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E86E" w14:textId="2C150DA6" w:rsidR="0070418B" w:rsidRPr="00C36B84" w:rsidRDefault="007001EA" w:rsidP="00955908">
      <w:pPr>
        <w:keepNext/>
        <w:keepLines/>
        <w:tabs>
          <w:tab w:val="right" w:pos="851"/>
          <w:tab w:val="left" w:pos="4082"/>
        </w:tabs>
        <w:spacing w:before="240" w:after="120"/>
        <w:ind w:left="1247" w:right="284" w:hanging="1247"/>
        <w:rPr>
          <w:b/>
          <w:sz w:val="28"/>
          <w:szCs w:val="28"/>
        </w:rPr>
      </w:pPr>
      <w:bookmarkStart w:id="0" w:name="_Hlk82010765"/>
      <w:r>
        <w:rPr>
          <w:b/>
          <w:sz w:val="28"/>
        </w:rPr>
        <w:tab/>
      </w:r>
      <w:r w:rsidR="0070418B" w:rsidRPr="00C36B84">
        <w:rPr>
          <w:b/>
          <w:sz w:val="28"/>
        </w:rPr>
        <w:t>Annexe à la décision CRC-17/1</w:t>
      </w:r>
    </w:p>
    <w:p w14:paraId="55118646" w14:textId="7D1C4F86" w:rsidR="0070418B" w:rsidRPr="00C36B84" w:rsidRDefault="0070418B" w:rsidP="00955908">
      <w:pPr>
        <w:keepNext/>
        <w:keepLines/>
        <w:tabs>
          <w:tab w:val="right" w:pos="851"/>
          <w:tab w:val="left" w:pos="4082"/>
        </w:tabs>
        <w:spacing w:before="240" w:after="120"/>
        <w:ind w:left="1247" w:right="284" w:hanging="1247"/>
        <w:rPr>
          <w:b/>
          <w:sz w:val="28"/>
          <w:szCs w:val="28"/>
        </w:rPr>
      </w:pPr>
      <w:r w:rsidRPr="00C36B84">
        <w:rPr>
          <w:b/>
          <w:sz w:val="28"/>
        </w:rPr>
        <w:tab/>
      </w:r>
      <w:r w:rsidRPr="00C36B84">
        <w:rPr>
          <w:b/>
          <w:sz w:val="28"/>
        </w:rPr>
        <w:tab/>
        <w:t>Justification de la conclusion du Comité d</w:t>
      </w:r>
      <w:r w:rsidR="00263978" w:rsidRPr="00C36B84">
        <w:rPr>
          <w:b/>
          <w:sz w:val="28"/>
        </w:rPr>
        <w:t>’</w:t>
      </w:r>
      <w:r w:rsidRPr="00C36B84">
        <w:rPr>
          <w:b/>
          <w:sz w:val="28"/>
        </w:rPr>
        <w:t xml:space="preserve">étude des produits chimiques </w:t>
      </w:r>
      <w:r w:rsidR="00DB6395" w:rsidRPr="00C36B84">
        <w:rPr>
          <w:b/>
          <w:sz w:val="28"/>
        </w:rPr>
        <w:t>que</w:t>
      </w:r>
      <w:r w:rsidRPr="00C36B84">
        <w:rPr>
          <w:b/>
          <w:sz w:val="28"/>
        </w:rPr>
        <w:t xml:space="preserve"> les notifications de mesure de réglementation finale concernant l</w:t>
      </w:r>
      <w:r w:rsidR="00263978" w:rsidRPr="00C36B84">
        <w:rPr>
          <w:b/>
          <w:sz w:val="28"/>
        </w:rPr>
        <w:t>’</w:t>
      </w:r>
      <w:r w:rsidRPr="00C36B84">
        <w:rPr>
          <w:b/>
          <w:sz w:val="28"/>
        </w:rPr>
        <w:t>iprodione</w:t>
      </w:r>
      <w:r w:rsidR="00CF6937" w:rsidRPr="00C36B84">
        <w:rPr>
          <w:b/>
          <w:sz w:val="28"/>
        </w:rPr>
        <w:t>, dans la catégorie des pesticides</w:t>
      </w:r>
      <w:r w:rsidRPr="00C36B84">
        <w:rPr>
          <w:b/>
          <w:sz w:val="28"/>
        </w:rPr>
        <w:t>, soumises par le Mozambique et par l</w:t>
      </w:r>
      <w:r w:rsidR="00263978" w:rsidRPr="00C36B84">
        <w:rPr>
          <w:b/>
          <w:sz w:val="28"/>
        </w:rPr>
        <w:t>’</w:t>
      </w:r>
      <w:r w:rsidRPr="00C36B84">
        <w:rPr>
          <w:b/>
          <w:sz w:val="28"/>
        </w:rPr>
        <w:t>Union européenne satisfont aux critères énoncés dans l</w:t>
      </w:r>
      <w:r w:rsidR="00263978" w:rsidRPr="00C36B84">
        <w:rPr>
          <w:b/>
          <w:sz w:val="28"/>
        </w:rPr>
        <w:t>’</w:t>
      </w:r>
      <w:r w:rsidRPr="00C36B84">
        <w:rPr>
          <w:b/>
          <w:sz w:val="28"/>
        </w:rPr>
        <w:t>Annexe II de la Convention de Rotterdam</w:t>
      </w:r>
    </w:p>
    <w:p w14:paraId="1031191F" w14:textId="329A305E" w:rsidR="00F23195" w:rsidRPr="00C36B84" w:rsidRDefault="0070418B" w:rsidP="00AD11DC">
      <w:pPr>
        <w:pStyle w:val="Normalnumber"/>
        <w:numPr>
          <w:ilvl w:val="0"/>
          <w:numId w:val="7"/>
        </w:numPr>
        <w:rPr>
          <w:lang w:val="fr-FR"/>
        </w:rPr>
      </w:pPr>
      <w:r w:rsidRPr="00C36B84">
        <w:rPr>
          <w:lang w:val="fr-FR"/>
        </w:rPr>
        <w:t>Les notifications concernant l</w:t>
      </w:r>
      <w:r w:rsidR="00263978" w:rsidRPr="00C36B84">
        <w:rPr>
          <w:lang w:val="fr-FR"/>
        </w:rPr>
        <w:t>’</w:t>
      </w:r>
      <w:r w:rsidRPr="00C36B84">
        <w:rPr>
          <w:snapToGrid w:val="0"/>
          <w:lang w:val="fr-FR"/>
        </w:rPr>
        <w:t xml:space="preserve">iprodione </w:t>
      </w:r>
      <w:r w:rsidRPr="00C36B84">
        <w:rPr>
          <w:lang w:val="fr-FR"/>
        </w:rPr>
        <w:t>soumises par le Mozambique et par l</w:t>
      </w:r>
      <w:r w:rsidR="00263978" w:rsidRPr="00C36B84">
        <w:rPr>
          <w:lang w:val="fr-FR"/>
        </w:rPr>
        <w:t>’</w:t>
      </w:r>
      <w:r w:rsidRPr="00C36B84">
        <w:rPr>
          <w:lang w:val="fr-FR"/>
        </w:rPr>
        <w:t>Union européenne ont été vérifiées par le Secrétariat, qui s</w:t>
      </w:r>
      <w:r w:rsidR="00263978" w:rsidRPr="00C36B84">
        <w:rPr>
          <w:lang w:val="fr-FR"/>
        </w:rPr>
        <w:t>’</w:t>
      </w:r>
      <w:r w:rsidRPr="00C36B84">
        <w:rPr>
          <w:lang w:val="fr-FR"/>
        </w:rPr>
        <w:t>est assuré qu</w:t>
      </w:r>
      <w:r w:rsidR="00263978" w:rsidRPr="00C36B84">
        <w:rPr>
          <w:lang w:val="fr-FR"/>
        </w:rPr>
        <w:t>’</w:t>
      </w:r>
      <w:r w:rsidRPr="00C36B84">
        <w:rPr>
          <w:lang w:val="fr-FR"/>
        </w:rPr>
        <w:t>elles contenaient les informations demandées dans l</w:t>
      </w:r>
      <w:r w:rsidR="00263978" w:rsidRPr="00C36B84">
        <w:rPr>
          <w:lang w:val="fr-FR"/>
        </w:rPr>
        <w:t>’</w:t>
      </w:r>
      <w:r w:rsidRPr="00C36B84">
        <w:rPr>
          <w:lang w:val="fr-FR"/>
        </w:rPr>
        <w:t>Annexe I de la Convention de Rotterdam. Ces notifications ont fait l</w:t>
      </w:r>
      <w:r w:rsidR="00263978" w:rsidRPr="00C36B84">
        <w:rPr>
          <w:lang w:val="fr-FR"/>
        </w:rPr>
        <w:t>’</w:t>
      </w:r>
      <w:r w:rsidRPr="00C36B84">
        <w:rPr>
          <w:lang w:val="fr-FR"/>
        </w:rPr>
        <w:t>objet d</w:t>
      </w:r>
      <w:r w:rsidR="00263978" w:rsidRPr="00C36B84">
        <w:rPr>
          <w:lang w:val="fr-FR"/>
        </w:rPr>
        <w:t>’</w:t>
      </w:r>
      <w:r w:rsidRPr="00C36B84">
        <w:rPr>
          <w:lang w:val="fr-FR"/>
        </w:rPr>
        <w:t>un</w:t>
      </w:r>
      <w:r w:rsidR="009B52F8" w:rsidRPr="00C36B84">
        <w:rPr>
          <w:lang w:val="fr-FR"/>
        </w:rPr>
        <w:t> </w:t>
      </w:r>
      <w:r w:rsidRPr="00C36B84">
        <w:rPr>
          <w:lang w:val="fr-FR"/>
        </w:rPr>
        <w:t>examen préliminaire effectué par le Secrétariat et le Bureau, qui ont déterminé si elles semblaient répondre aux exigences de la Convention.</w:t>
      </w:r>
    </w:p>
    <w:p w14:paraId="1CBEEA2A" w14:textId="1202823B" w:rsidR="0070418B" w:rsidRPr="00C36B84" w:rsidRDefault="0070418B" w:rsidP="00AD11DC">
      <w:pPr>
        <w:pStyle w:val="Normalnumber"/>
        <w:numPr>
          <w:ilvl w:val="0"/>
          <w:numId w:val="7"/>
        </w:numPr>
        <w:rPr>
          <w:lang w:val="fr-FR"/>
        </w:rPr>
      </w:pPr>
      <w:r w:rsidRPr="00C36B84">
        <w:rPr>
          <w:lang w:val="fr-FR"/>
        </w:rPr>
        <w:t>Les notifications et la documentation à l</w:t>
      </w:r>
      <w:r w:rsidR="00263978" w:rsidRPr="00C36B84">
        <w:rPr>
          <w:lang w:val="fr-FR"/>
        </w:rPr>
        <w:t>’</w:t>
      </w:r>
      <w:r w:rsidRPr="00C36B84">
        <w:rPr>
          <w:lang w:val="fr-FR"/>
        </w:rPr>
        <w:t>appui ont été mises à la disposition du Comité d</w:t>
      </w:r>
      <w:r w:rsidR="00263978" w:rsidRPr="00C36B84">
        <w:rPr>
          <w:lang w:val="fr-FR"/>
        </w:rPr>
        <w:t>’</w:t>
      </w:r>
      <w:r w:rsidRPr="00C36B84">
        <w:rPr>
          <w:lang w:val="fr-FR"/>
        </w:rPr>
        <w:t>étude des produits chimiques pour examen dans les documents</w:t>
      </w:r>
      <w:r w:rsidR="00174418" w:rsidRPr="00C36B84">
        <w:rPr>
          <w:lang w:val="fr-FR"/>
        </w:rPr>
        <w:t> </w:t>
      </w:r>
      <w:r w:rsidRPr="00C36B84">
        <w:rPr>
          <w:lang w:val="fr-FR"/>
        </w:rPr>
        <w:t xml:space="preserve">UNEP/FAO/RC/CRC.17/5, UNEP/FAO/RC/CRC.17/INF/11 et UNEP/FAO/RC/CRC.17/INF/12. </w:t>
      </w:r>
      <w:r w:rsidRPr="00C36B84">
        <w:rPr>
          <w:u w:color="000000"/>
          <w:bdr w:val="nil"/>
          <w:lang w:val="fr-FR"/>
        </w:rPr>
        <w:t>Des informations sur le</w:t>
      </w:r>
      <w:r w:rsidR="009B52F8" w:rsidRPr="00C36B84">
        <w:rPr>
          <w:u w:color="000000"/>
          <w:bdr w:val="nil"/>
          <w:lang w:val="fr-FR"/>
        </w:rPr>
        <w:t> </w:t>
      </w:r>
      <w:r w:rsidRPr="00C36B84">
        <w:rPr>
          <w:u w:color="000000"/>
          <w:bdr w:val="nil"/>
          <w:lang w:val="fr-FR"/>
        </w:rPr>
        <w:t>commerce sont reproduites dans le document UNEP/FAO/RC/CRC.17/INF/5.</w:t>
      </w:r>
    </w:p>
    <w:p w14:paraId="632A18EF" w14:textId="77777777" w:rsidR="0070418B" w:rsidRPr="00C36B84" w:rsidRDefault="0070418B" w:rsidP="009B52F8">
      <w:pPr>
        <w:pStyle w:val="CH1"/>
      </w:pPr>
      <w:r w:rsidRPr="00C36B84">
        <w:tab/>
        <w:t>I.</w:t>
      </w:r>
      <w:r w:rsidRPr="00C36B84">
        <w:tab/>
        <w:t>Mozambique</w:t>
      </w:r>
    </w:p>
    <w:p w14:paraId="610B7432" w14:textId="77777777" w:rsidR="0070418B" w:rsidRPr="00C36B84" w:rsidRDefault="0070418B" w:rsidP="009B52F8">
      <w:pPr>
        <w:pStyle w:val="CH3"/>
      </w:pPr>
      <w:r w:rsidRPr="00C36B84">
        <w:rPr>
          <w:snapToGrid w:val="0"/>
        </w:rPr>
        <w:tab/>
        <w:t>a)</w:t>
      </w:r>
      <w:r w:rsidRPr="00C36B84">
        <w:rPr>
          <w:snapToGrid w:val="0"/>
        </w:rPr>
        <w:tab/>
        <w:t>Portée de la mesure de réglementation notifiée par le Mozambique</w:t>
      </w:r>
    </w:p>
    <w:p w14:paraId="22A42505" w14:textId="57E11856" w:rsidR="00F23195" w:rsidRPr="00C36B84" w:rsidRDefault="0070418B" w:rsidP="00AD11DC">
      <w:pPr>
        <w:pStyle w:val="Normalnumber"/>
        <w:numPr>
          <w:ilvl w:val="0"/>
          <w:numId w:val="7"/>
        </w:numPr>
        <w:rPr>
          <w:lang w:val="fr-FR"/>
        </w:rPr>
      </w:pPr>
      <w:r w:rsidRPr="00C36B84">
        <w:rPr>
          <w:lang w:val="fr-FR"/>
        </w:rPr>
        <w:t>La mesure de réglementation notifiée par le Mozambique concerne l</w:t>
      </w:r>
      <w:r w:rsidR="00263978" w:rsidRPr="00C36B84">
        <w:rPr>
          <w:lang w:val="fr-FR"/>
        </w:rPr>
        <w:t>’</w:t>
      </w:r>
      <w:r w:rsidRPr="00C36B84">
        <w:rPr>
          <w:lang w:val="fr-FR"/>
        </w:rPr>
        <w:t>iprodione (nº CAS 36734</w:t>
      </w:r>
      <w:r w:rsidR="009B52F8" w:rsidRPr="00C36B84">
        <w:rPr>
          <w:lang w:val="fr-FR"/>
        </w:rPr>
        <w:noBreakHyphen/>
      </w:r>
      <w:r w:rsidRPr="00C36B84">
        <w:rPr>
          <w:lang w:val="fr-FR"/>
        </w:rPr>
        <w:t>19-7) en tant que pesticide. La Direction nationale des services agraires, par sa</w:t>
      </w:r>
      <w:r w:rsidR="009B52F8" w:rsidRPr="00C36B84">
        <w:rPr>
          <w:lang w:val="fr-FR"/>
        </w:rPr>
        <w:t> </w:t>
      </w:r>
      <w:r w:rsidRPr="00C36B84">
        <w:rPr>
          <w:lang w:val="fr-FR"/>
        </w:rPr>
        <w:t>décision 001/DNSA/2014, a interdit la poursuite de l</w:t>
      </w:r>
      <w:r w:rsidR="00263978" w:rsidRPr="00C36B84">
        <w:rPr>
          <w:lang w:val="fr-FR"/>
        </w:rPr>
        <w:t>’</w:t>
      </w:r>
      <w:r w:rsidRPr="00C36B84">
        <w:rPr>
          <w:lang w:val="fr-FR"/>
        </w:rPr>
        <w:t>importation et de l</w:t>
      </w:r>
      <w:r w:rsidR="00263978" w:rsidRPr="00C36B84">
        <w:rPr>
          <w:lang w:val="fr-FR"/>
        </w:rPr>
        <w:t>’</w:t>
      </w:r>
      <w:r w:rsidRPr="00C36B84">
        <w:rPr>
          <w:lang w:val="fr-FR"/>
        </w:rPr>
        <w:t>utilisation de l</w:t>
      </w:r>
      <w:r w:rsidR="00263978" w:rsidRPr="00C36B84">
        <w:rPr>
          <w:lang w:val="fr-FR"/>
        </w:rPr>
        <w:t>’</w:t>
      </w:r>
      <w:r w:rsidRPr="00C36B84">
        <w:rPr>
          <w:lang w:val="fr-FR"/>
        </w:rPr>
        <w:t>iprodione au Mozambique. La mesure de réglementation est entrée en vigueur le 15 juillet 2014. L</w:t>
      </w:r>
      <w:r w:rsidR="00263978" w:rsidRPr="00C36B84">
        <w:rPr>
          <w:lang w:val="fr-FR"/>
        </w:rPr>
        <w:t>’</w:t>
      </w:r>
      <w:r w:rsidRPr="00C36B84">
        <w:rPr>
          <w:lang w:val="fr-FR"/>
        </w:rPr>
        <w:t>interdiction de toute utilisation et l</w:t>
      </w:r>
      <w:r w:rsidR="00263978" w:rsidRPr="00C36B84">
        <w:rPr>
          <w:lang w:val="fr-FR"/>
        </w:rPr>
        <w:t>’</w:t>
      </w:r>
      <w:r w:rsidRPr="00C36B84">
        <w:rPr>
          <w:lang w:val="fr-FR"/>
        </w:rPr>
        <w:t>annulation de l</w:t>
      </w:r>
      <w:r w:rsidR="00263978" w:rsidRPr="00C36B84">
        <w:rPr>
          <w:lang w:val="fr-FR"/>
        </w:rPr>
        <w:t>’</w:t>
      </w:r>
      <w:r w:rsidRPr="00C36B84">
        <w:rPr>
          <w:lang w:val="fr-FR"/>
        </w:rPr>
        <w:t>homologation des produits contenant de l</w:t>
      </w:r>
      <w:r w:rsidR="00263978" w:rsidRPr="00C36B84">
        <w:rPr>
          <w:lang w:val="fr-FR"/>
        </w:rPr>
        <w:t>’</w:t>
      </w:r>
      <w:r w:rsidRPr="00C36B84">
        <w:rPr>
          <w:lang w:val="fr-FR"/>
        </w:rPr>
        <w:t>iprodione dans le</w:t>
      </w:r>
      <w:r w:rsidR="00571CDC" w:rsidRPr="00C36B84">
        <w:rPr>
          <w:lang w:val="fr-FR"/>
        </w:rPr>
        <w:t> </w:t>
      </w:r>
      <w:r w:rsidRPr="00C36B84">
        <w:rPr>
          <w:lang w:val="fr-FR"/>
        </w:rPr>
        <w:t>pays ont été décidées en raison de la toxicité et des propriétés dangereuses de cette substance active qui, conjuguées à sa mauvaise utilisation dans le pays du fait des conditions d</w:t>
      </w:r>
      <w:r w:rsidR="00263978" w:rsidRPr="00C36B84">
        <w:rPr>
          <w:lang w:val="fr-FR"/>
        </w:rPr>
        <w:t>’</w:t>
      </w:r>
      <w:r w:rsidRPr="00C36B84">
        <w:rPr>
          <w:lang w:val="fr-FR"/>
        </w:rPr>
        <w:t xml:space="preserve">utilisation particulières </w:t>
      </w:r>
      <w:r w:rsidR="005008C9" w:rsidRPr="00C36B84">
        <w:rPr>
          <w:lang w:val="fr-FR"/>
        </w:rPr>
        <w:t xml:space="preserve">observées </w:t>
      </w:r>
      <w:r w:rsidRPr="00C36B84">
        <w:rPr>
          <w:lang w:val="fr-FR"/>
        </w:rPr>
        <w:t>au niveau local, peuvent nuire à la santé humaine et animale.</w:t>
      </w:r>
    </w:p>
    <w:p w14:paraId="2ACF50C4" w14:textId="3BF40EC4" w:rsidR="0070418B" w:rsidRPr="00C36B84" w:rsidRDefault="0070418B" w:rsidP="00AD11DC">
      <w:pPr>
        <w:pStyle w:val="Normalnumber"/>
        <w:numPr>
          <w:ilvl w:val="0"/>
          <w:numId w:val="7"/>
        </w:numPr>
        <w:rPr>
          <w:lang w:val="fr-FR"/>
        </w:rPr>
      </w:pPr>
      <w:r w:rsidRPr="00C36B84">
        <w:rPr>
          <w:snapToGrid w:val="0"/>
          <w:lang w:val="fr-FR"/>
        </w:rPr>
        <w:t>La décision d</w:t>
      </w:r>
      <w:r w:rsidR="00263978" w:rsidRPr="00C36B84">
        <w:rPr>
          <w:snapToGrid w:val="0"/>
          <w:lang w:val="fr-FR"/>
        </w:rPr>
        <w:t>’</w:t>
      </w:r>
      <w:r w:rsidRPr="00C36B84">
        <w:rPr>
          <w:snapToGrid w:val="0"/>
          <w:lang w:val="fr-FR"/>
        </w:rPr>
        <w:t>annuler l</w:t>
      </w:r>
      <w:r w:rsidR="00263978" w:rsidRPr="00C36B84">
        <w:rPr>
          <w:snapToGrid w:val="0"/>
          <w:lang w:val="fr-FR"/>
        </w:rPr>
        <w:t>’</w:t>
      </w:r>
      <w:r w:rsidRPr="00C36B84">
        <w:rPr>
          <w:snapToGrid w:val="0"/>
          <w:lang w:val="fr-FR"/>
        </w:rPr>
        <w:t>homologation de l</w:t>
      </w:r>
      <w:r w:rsidR="00263978" w:rsidRPr="00C36B84">
        <w:rPr>
          <w:snapToGrid w:val="0"/>
          <w:lang w:val="fr-FR"/>
        </w:rPr>
        <w:t>’</w:t>
      </w:r>
      <w:r w:rsidRPr="00C36B84">
        <w:rPr>
          <w:snapToGrid w:val="0"/>
          <w:lang w:val="fr-FR"/>
        </w:rPr>
        <w:t xml:space="preserve">iprodione constituait la dernière étape du projet </w:t>
      </w:r>
      <w:proofErr w:type="gramStart"/>
      <w:r w:rsidRPr="00C36B84">
        <w:rPr>
          <w:snapToGrid w:val="0"/>
          <w:lang w:val="fr-FR"/>
        </w:rPr>
        <w:t>visant</w:t>
      </w:r>
      <w:proofErr w:type="gramEnd"/>
      <w:r w:rsidRPr="00C36B84">
        <w:rPr>
          <w:snapToGrid w:val="0"/>
          <w:lang w:val="fr-FR"/>
        </w:rPr>
        <w:t xml:space="preserve"> à réduire les risques liés aux pesticides très </w:t>
      </w:r>
      <w:r w:rsidRPr="00C36B84">
        <w:rPr>
          <w:lang w:val="fr-FR"/>
        </w:rPr>
        <w:t>dangereux</w:t>
      </w:r>
      <w:r w:rsidRPr="00C36B84">
        <w:rPr>
          <w:snapToGrid w:val="0"/>
          <w:lang w:val="fr-FR"/>
        </w:rPr>
        <w:t>, qui a permis de recenser les pesticides très dangereux homologués au Mozambique. À l</w:t>
      </w:r>
      <w:r w:rsidR="00263978" w:rsidRPr="00C36B84">
        <w:rPr>
          <w:snapToGrid w:val="0"/>
          <w:lang w:val="fr-FR"/>
        </w:rPr>
        <w:t>’</w:t>
      </w:r>
      <w:r w:rsidRPr="00C36B84">
        <w:rPr>
          <w:snapToGrid w:val="0"/>
          <w:lang w:val="fr-FR"/>
        </w:rPr>
        <w:t>issue de consultations avec différents acteurs (secteur public, secteur privé, société civile et autres), l</w:t>
      </w:r>
      <w:r w:rsidR="00263978" w:rsidRPr="00C36B84">
        <w:rPr>
          <w:snapToGrid w:val="0"/>
          <w:lang w:val="fr-FR"/>
        </w:rPr>
        <w:t>’</w:t>
      </w:r>
      <w:r w:rsidRPr="00C36B84">
        <w:rPr>
          <w:snapToGrid w:val="0"/>
          <w:lang w:val="fr-FR"/>
        </w:rPr>
        <w:t>annulation des homologations et, partant, l</w:t>
      </w:r>
      <w:r w:rsidR="00263978" w:rsidRPr="00C36B84">
        <w:rPr>
          <w:snapToGrid w:val="0"/>
          <w:lang w:val="fr-FR"/>
        </w:rPr>
        <w:t>’</w:t>
      </w:r>
      <w:r w:rsidRPr="00C36B84">
        <w:rPr>
          <w:snapToGrid w:val="0"/>
          <w:lang w:val="fr-FR"/>
        </w:rPr>
        <w:t>interdiction et la non-approbation de son utilisation au Mozambique ont été approuvées.</w:t>
      </w:r>
    </w:p>
    <w:p w14:paraId="6E5A485E" w14:textId="728AD6C0" w:rsidR="0070418B" w:rsidRPr="00C36B84" w:rsidRDefault="0070418B" w:rsidP="00AD11DC">
      <w:pPr>
        <w:pStyle w:val="Normalnumber"/>
        <w:numPr>
          <w:ilvl w:val="0"/>
          <w:numId w:val="7"/>
        </w:numPr>
        <w:rPr>
          <w:lang w:val="fr-FR"/>
        </w:rPr>
      </w:pPr>
      <w:r w:rsidRPr="00C36B84">
        <w:rPr>
          <w:lang w:val="fr-FR"/>
        </w:rPr>
        <w:t>La notification contient les informations demandées dans l</w:t>
      </w:r>
      <w:r w:rsidR="00263978" w:rsidRPr="00C36B84">
        <w:rPr>
          <w:lang w:val="fr-FR"/>
        </w:rPr>
        <w:t>’</w:t>
      </w:r>
      <w:r w:rsidRPr="00C36B84">
        <w:rPr>
          <w:lang w:val="fr-FR"/>
        </w:rPr>
        <w:t>Annexe I.</w:t>
      </w:r>
    </w:p>
    <w:p w14:paraId="18971DD6" w14:textId="426B9E1E" w:rsidR="0070418B" w:rsidRPr="00C36B84" w:rsidRDefault="0070418B" w:rsidP="00955908">
      <w:pPr>
        <w:pStyle w:val="CH3"/>
        <w:snapToGrid w:val="0"/>
        <w:rPr>
          <w:snapToGrid w:val="0"/>
        </w:rPr>
      </w:pPr>
      <w:r w:rsidRPr="00C36B84">
        <w:rPr>
          <w:snapToGrid w:val="0"/>
        </w:rPr>
        <w:tab/>
        <w:t>b)</w:t>
      </w:r>
      <w:r w:rsidRPr="00C36B84">
        <w:rPr>
          <w:snapToGrid w:val="0"/>
        </w:rPr>
        <w:tab/>
        <w:t>Critère énoncé au paragraphe a) de l</w:t>
      </w:r>
      <w:r w:rsidR="00263978" w:rsidRPr="00C36B84">
        <w:rPr>
          <w:snapToGrid w:val="0"/>
        </w:rPr>
        <w:t>’</w:t>
      </w:r>
      <w:r w:rsidRPr="00C36B84">
        <w:rPr>
          <w:snapToGrid w:val="0"/>
        </w:rPr>
        <w:t>Annexe II</w:t>
      </w:r>
    </w:p>
    <w:p w14:paraId="78604C91" w14:textId="7E5C9315" w:rsidR="0070418B" w:rsidRPr="00C36B84" w:rsidRDefault="00FF0013" w:rsidP="00FF0013">
      <w:pPr>
        <w:pStyle w:val="NormalNonumber"/>
        <w:rPr>
          <w:i/>
          <w:iCs/>
        </w:rPr>
      </w:pPr>
      <w:r w:rsidRPr="00C36B84">
        <w:rPr>
          <w:i/>
          <w:iCs/>
        </w:rPr>
        <w:tab/>
        <w:t>a)</w:t>
      </w:r>
      <w:r w:rsidRPr="00C36B84">
        <w:rPr>
          <w:i/>
          <w:iCs/>
        </w:rPr>
        <w:tab/>
      </w:r>
      <w:r w:rsidR="0081144D" w:rsidRPr="00C36B84">
        <w:rPr>
          <w:i/>
          <w:iCs/>
        </w:rPr>
        <w:t>Confirme que la mesure de réglementation finale a été prise pour protéger la santé des</w:t>
      </w:r>
      <w:r w:rsidR="00571CDC" w:rsidRPr="00C36B84">
        <w:rPr>
          <w:i/>
          <w:iCs/>
        </w:rPr>
        <w:t> </w:t>
      </w:r>
      <w:r w:rsidR="0081144D" w:rsidRPr="00C36B84">
        <w:rPr>
          <w:i/>
          <w:iCs/>
        </w:rPr>
        <w:t>personnes ou l</w:t>
      </w:r>
      <w:r w:rsidR="00263978" w:rsidRPr="00C36B84">
        <w:rPr>
          <w:i/>
          <w:iCs/>
        </w:rPr>
        <w:t>’</w:t>
      </w:r>
      <w:r w:rsidR="0081144D" w:rsidRPr="00C36B84">
        <w:rPr>
          <w:i/>
          <w:iCs/>
        </w:rPr>
        <w:t>environnement</w:t>
      </w:r>
      <w:r w:rsidR="0070418B" w:rsidRPr="00C36B84">
        <w:rPr>
          <w:i/>
          <w:iCs/>
        </w:rPr>
        <w:t> ;</w:t>
      </w:r>
    </w:p>
    <w:p w14:paraId="6FCDEE69" w14:textId="79A5EEF2" w:rsidR="00F23195" w:rsidRPr="00C36B84" w:rsidRDefault="0070418B" w:rsidP="00AD11DC">
      <w:pPr>
        <w:pStyle w:val="Normalnumber"/>
        <w:numPr>
          <w:ilvl w:val="0"/>
          <w:numId w:val="7"/>
        </w:numPr>
        <w:rPr>
          <w:lang w:val="fr-FR"/>
        </w:rPr>
      </w:pPr>
      <w:r w:rsidRPr="00C36B84">
        <w:rPr>
          <w:lang w:val="fr-FR"/>
        </w:rPr>
        <w:t>Le Comité confirme que la mesure de réglementation a été prise pour réduire les risques que présente l</w:t>
      </w:r>
      <w:r w:rsidR="00263978" w:rsidRPr="00C36B84">
        <w:rPr>
          <w:lang w:val="fr-FR"/>
        </w:rPr>
        <w:t>’</w:t>
      </w:r>
      <w:r w:rsidRPr="00C36B84">
        <w:rPr>
          <w:lang w:val="fr-FR"/>
        </w:rPr>
        <w:t>iprodione pour la santé humaine (UNEP/FAO/RC/CRC.17/5, section</w:t>
      </w:r>
      <w:r w:rsidR="00D81032">
        <w:rPr>
          <w:lang w:val="fr-FR"/>
        </w:rPr>
        <w:t> </w:t>
      </w:r>
      <w:r w:rsidRPr="00C36B84">
        <w:rPr>
          <w:lang w:val="fr-FR"/>
        </w:rPr>
        <w:t>2.4.2.1 de la</w:t>
      </w:r>
      <w:r w:rsidR="00571CDC" w:rsidRPr="00C36B84">
        <w:rPr>
          <w:lang w:val="fr-FR"/>
        </w:rPr>
        <w:t> </w:t>
      </w:r>
      <w:r w:rsidR="009A49D0" w:rsidRPr="00C36B84">
        <w:rPr>
          <w:lang w:val="fr-FR"/>
        </w:rPr>
        <w:t>notification reçue d</w:t>
      </w:r>
      <w:r w:rsidRPr="00C36B84">
        <w:rPr>
          <w:lang w:val="fr-FR"/>
        </w:rPr>
        <w:t>u Mozambique).</w:t>
      </w:r>
    </w:p>
    <w:p w14:paraId="6CEC353F" w14:textId="41277A3E" w:rsidR="0070418B" w:rsidRPr="00C36B84" w:rsidRDefault="0070418B" w:rsidP="00AD11DC">
      <w:pPr>
        <w:pStyle w:val="Normalnumber"/>
        <w:numPr>
          <w:ilvl w:val="0"/>
          <w:numId w:val="7"/>
        </w:numPr>
        <w:rPr>
          <w:lang w:val="fr-FR"/>
        </w:rPr>
      </w:pPr>
      <w:r w:rsidRPr="00C36B84">
        <w:rPr>
          <w:lang w:val="fr-FR"/>
        </w:rPr>
        <w:t>La notification indique que l</w:t>
      </w:r>
      <w:r w:rsidR="00263978" w:rsidRPr="00C36B84">
        <w:rPr>
          <w:lang w:val="fr-FR"/>
        </w:rPr>
        <w:t>’</w:t>
      </w:r>
      <w:r w:rsidRPr="00C36B84">
        <w:rPr>
          <w:lang w:val="fr-FR"/>
        </w:rPr>
        <w:t>interdiction de toute utilisation et l</w:t>
      </w:r>
      <w:r w:rsidR="00263978" w:rsidRPr="00C36B84">
        <w:rPr>
          <w:lang w:val="fr-FR"/>
        </w:rPr>
        <w:t>’</w:t>
      </w:r>
      <w:r w:rsidRPr="00C36B84">
        <w:rPr>
          <w:lang w:val="fr-FR"/>
        </w:rPr>
        <w:t>annulation de l</w:t>
      </w:r>
      <w:r w:rsidR="00263978" w:rsidRPr="00C36B84">
        <w:rPr>
          <w:lang w:val="fr-FR"/>
        </w:rPr>
        <w:t>’</w:t>
      </w:r>
      <w:r w:rsidRPr="00C36B84">
        <w:rPr>
          <w:lang w:val="fr-FR"/>
        </w:rPr>
        <w:t>homologation des produits contenant de l</w:t>
      </w:r>
      <w:r w:rsidR="00263978" w:rsidRPr="00C36B84">
        <w:rPr>
          <w:lang w:val="fr-FR"/>
        </w:rPr>
        <w:t>’</w:t>
      </w:r>
      <w:r w:rsidRPr="00C36B84">
        <w:rPr>
          <w:lang w:val="fr-FR"/>
        </w:rPr>
        <w:t>iprodione au Mozambique ont été décidées en raison de la toxicité et des</w:t>
      </w:r>
      <w:r w:rsidR="00571CDC" w:rsidRPr="00C36B84">
        <w:rPr>
          <w:lang w:val="fr-FR"/>
        </w:rPr>
        <w:t> </w:t>
      </w:r>
      <w:r w:rsidRPr="00C36B84">
        <w:rPr>
          <w:lang w:val="fr-FR"/>
        </w:rPr>
        <w:t xml:space="preserve">propriétés dangereuses de cette substance </w:t>
      </w:r>
      <w:r w:rsidR="005008C9" w:rsidRPr="00C36B84">
        <w:rPr>
          <w:lang w:val="fr-FR"/>
        </w:rPr>
        <w:t xml:space="preserve">active </w:t>
      </w:r>
      <w:r w:rsidRPr="00C36B84">
        <w:rPr>
          <w:lang w:val="fr-FR"/>
        </w:rPr>
        <w:t>qui, conjuguées à sa mauvaise utilisation dans le</w:t>
      </w:r>
      <w:r w:rsidR="00571CDC" w:rsidRPr="00C36B84">
        <w:rPr>
          <w:lang w:val="fr-FR"/>
        </w:rPr>
        <w:t> </w:t>
      </w:r>
      <w:r w:rsidRPr="00C36B84">
        <w:rPr>
          <w:lang w:val="fr-FR"/>
        </w:rPr>
        <w:t>pays du fait des conditions d</w:t>
      </w:r>
      <w:r w:rsidR="00263978" w:rsidRPr="00C36B84">
        <w:rPr>
          <w:lang w:val="fr-FR"/>
        </w:rPr>
        <w:t>’</w:t>
      </w:r>
      <w:r w:rsidRPr="00C36B84">
        <w:rPr>
          <w:lang w:val="fr-FR"/>
        </w:rPr>
        <w:t xml:space="preserve">utilisation particulières </w:t>
      </w:r>
      <w:r w:rsidR="005008C9" w:rsidRPr="00C36B84">
        <w:rPr>
          <w:lang w:val="fr-FR"/>
        </w:rPr>
        <w:t xml:space="preserve">observées </w:t>
      </w:r>
      <w:r w:rsidRPr="00C36B84">
        <w:rPr>
          <w:lang w:val="fr-FR"/>
        </w:rPr>
        <w:t>au niveau local, peuvent nuire à la</w:t>
      </w:r>
      <w:r w:rsidR="00571CDC" w:rsidRPr="00C36B84">
        <w:rPr>
          <w:lang w:val="fr-FR"/>
        </w:rPr>
        <w:t> </w:t>
      </w:r>
      <w:r w:rsidRPr="00C36B84">
        <w:rPr>
          <w:lang w:val="fr-FR"/>
        </w:rPr>
        <w:t>santé humaine et animale.</w:t>
      </w:r>
    </w:p>
    <w:p w14:paraId="3CC39E3C" w14:textId="6159BA61" w:rsidR="0070418B" w:rsidRPr="00C36B84" w:rsidRDefault="0070418B" w:rsidP="00AD11DC">
      <w:pPr>
        <w:pStyle w:val="Normalnumber"/>
        <w:numPr>
          <w:ilvl w:val="0"/>
          <w:numId w:val="7"/>
        </w:numPr>
        <w:rPr>
          <w:lang w:val="fr-FR"/>
        </w:rPr>
      </w:pPr>
      <w:r w:rsidRPr="00C36B84">
        <w:rPr>
          <w:lang w:val="fr-FR"/>
        </w:rPr>
        <w:t>Il a été considéré que l</w:t>
      </w:r>
      <w:r w:rsidR="00263978" w:rsidRPr="00C36B84">
        <w:rPr>
          <w:lang w:val="fr-FR"/>
        </w:rPr>
        <w:t>’</w:t>
      </w:r>
      <w:r w:rsidRPr="00C36B84">
        <w:rPr>
          <w:lang w:val="fr-FR"/>
        </w:rPr>
        <w:t>iprodione et les produits contenant de l</w:t>
      </w:r>
      <w:r w:rsidR="00263978" w:rsidRPr="00C36B84">
        <w:rPr>
          <w:lang w:val="fr-FR"/>
        </w:rPr>
        <w:t>’</w:t>
      </w:r>
      <w:r w:rsidRPr="00C36B84">
        <w:rPr>
          <w:lang w:val="fr-FR"/>
        </w:rPr>
        <w:t>iprodione étaient nocifs pour la</w:t>
      </w:r>
      <w:r w:rsidR="00571CDC" w:rsidRPr="00C36B84">
        <w:rPr>
          <w:lang w:val="fr-FR"/>
        </w:rPr>
        <w:t> </w:t>
      </w:r>
      <w:r w:rsidRPr="00C36B84">
        <w:rPr>
          <w:lang w:val="fr-FR"/>
        </w:rPr>
        <w:t>santé humaine</w:t>
      </w:r>
      <w:r w:rsidR="004C5942" w:rsidRPr="00C36B84">
        <w:rPr>
          <w:lang w:val="fr-FR"/>
        </w:rPr>
        <w:t>, compte tenu</w:t>
      </w:r>
      <w:r w:rsidRPr="00C36B84">
        <w:rPr>
          <w:lang w:val="fr-FR"/>
        </w:rPr>
        <w:t xml:space="preserve"> des conditions locales d</w:t>
      </w:r>
      <w:r w:rsidR="00263978" w:rsidRPr="00C36B84">
        <w:rPr>
          <w:lang w:val="fr-FR"/>
        </w:rPr>
        <w:t>’</w:t>
      </w:r>
      <w:r w:rsidRPr="00C36B84">
        <w:rPr>
          <w:lang w:val="fr-FR"/>
        </w:rPr>
        <w:t>utilisation au Mozambique et nécessitaient des</w:t>
      </w:r>
      <w:r w:rsidR="00571CDC" w:rsidRPr="00C36B84">
        <w:rPr>
          <w:lang w:val="fr-FR"/>
        </w:rPr>
        <w:t> </w:t>
      </w:r>
      <w:r w:rsidRPr="00C36B84">
        <w:rPr>
          <w:lang w:val="fr-FR"/>
        </w:rPr>
        <w:t>mesures d</w:t>
      </w:r>
      <w:r w:rsidR="00263978" w:rsidRPr="00C36B84">
        <w:rPr>
          <w:lang w:val="fr-FR"/>
        </w:rPr>
        <w:t>’</w:t>
      </w:r>
      <w:r w:rsidRPr="00C36B84">
        <w:rPr>
          <w:lang w:val="fr-FR"/>
        </w:rPr>
        <w:t>atténuation des risques. La notification fait référence à un rapport d</w:t>
      </w:r>
      <w:r w:rsidR="00263978" w:rsidRPr="00C36B84">
        <w:rPr>
          <w:lang w:val="fr-FR"/>
        </w:rPr>
        <w:t>’</w:t>
      </w:r>
      <w:r w:rsidRPr="00C36B84">
        <w:rPr>
          <w:lang w:val="fr-FR"/>
        </w:rPr>
        <w:t>expertise établi par des consultants, intitulé « </w:t>
      </w:r>
      <w:proofErr w:type="spellStart"/>
      <w:r w:rsidRPr="00C36B84">
        <w:rPr>
          <w:lang w:val="fr-FR"/>
        </w:rPr>
        <w:t>Shortlisting</w:t>
      </w:r>
      <w:proofErr w:type="spellEnd"/>
      <w:r w:rsidRPr="00C36B84">
        <w:rPr>
          <w:lang w:val="fr-FR"/>
        </w:rPr>
        <w:t xml:space="preserve"> </w:t>
      </w:r>
      <w:proofErr w:type="spellStart"/>
      <w:r w:rsidRPr="00C36B84">
        <w:rPr>
          <w:lang w:val="fr-FR"/>
        </w:rPr>
        <w:t>highly</w:t>
      </w:r>
      <w:proofErr w:type="spellEnd"/>
      <w:r w:rsidRPr="00C36B84">
        <w:rPr>
          <w:lang w:val="fr-FR"/>
        </w:rPr>
        <w:t xml:space="preserve"> </w:t>
      </w:r>
      <w:proofErr w:type="spellStart"/>
      <w:r w:rsidRPr="00C36B84">
        <w:rPr>
          <w:lang w:val="fr-FR"/>
        </w:rPr>
        <w:t>hazardous</w:t>
      </w:r>
      <w:proofErr w:type="spellEnd"/>
      <w:r w:rsidRPr="00C36B84">
        <w:rPr>
          <w:lang w:val="fr-FR"/>
        </w:rPr>
        <w:t xml:space="preserve"> pesticides » (Come et van der </w:t>
      </w:r>
      <w:proofErr w:type="spellStart"/>
      <w:r w:rsidRPr="00C36B84">
        <w:rPr>
          <w:lang w:val="fr-FR"/>
        </w:rPr>
        <w:t>Valk</w:t>
      </w:r>
      <w:proofErr w:type="spellEnd"/>
      <w:r w:rsidRPr="00C36B84">
        <w:rPr>
          <w:lang w:val="fr-FR"/>
        </w:rPr>
        <w:t>, 2014</w:t>
      </w:r>
      <w:r w:rsidR="005008C9" w:rsidRPr="00C36B84">
        <w:rPr>
          <w:lang w:val="fr-FR"/>
        </w:rPr>
        <w:t>, voir</w:t>
      </w:r>
      <w:r w:rsidR="00571CDC" w:rsidRPr="00C36B84">
        <w:rPr>
          <w:lang w:val="fr-FR"/>
        </w:rPr>
        <w:t> </w:t>
      </w:r>
      <w:r w:rsidR="005008C9" w:rsidRPr="00C36B84">
        <w:rPr>
          <w:lang w:val="fr-FR"/>
        </w:rPr>
        <w:t>la référence complète dans la section suivante</w:t>
      </w:r>
      <w:r w:rsidRPr="00C36B84">
        <w:rPr>
          <w:lang w:val="fr-FR"/>
        </w:rPr>
        <w:t>), où l</w:t>
      </w:r>
      <w:r w:rsidR="00263978" w:rsidRPr="00C36B84">
        <w:rPr>
          <w:lang w:val="fr-FR"/>
        </w:rPr>
        <w:t>’</w:t>
      </w:r>
      <w:r w:rsidRPr="00C36B84">
        <w:rPr>
          <w:lang w:val="fr-FR"/>
        </w:rPr>
        <w:t>iprodione est répertorié comme équivalent ou similaire à un cancérogène des catégories 1A et 1B du SGH. La conclusion a été fondée sur des</w:t>
      </w:r>
      <w:r w:rsidR="00571CDC" w:rsidRPr="00C36B84">
        <w:rPr>
          <w:lang w:val="fr-FR"/>
        </w:rPr>
        <w:t> </w:t>
      </w:r>
      <w:r w:rsidRPr="00C36B84">
        <w:rPr>
          <w:lang w:val="fr-FR"/>
        </w:rPr>
        <w:t>évaluations réalisées par l</w:t>
      </w:r>
      <w:r w:rsidR="00263978" w:rsidRPr="00C36B84">
        <w:rPr>
          <w:lang w:val="fr-FR"/>
        </w:rPr>
        <w:t>’</w:t>
      </w:r>
      <w:r w:rsidRPr="00C36B84">
        <w:rPr>
          <w:lang w:val="fr-FR"/>
        </w:rPr>
        <w:t>Agence des États-Unis pour la protection de l</w:t>
      </w:r>
      <w:r w:rsidR="00263978" w:rsidRPr="00C36B84">
        <w:rPr>
          <w:lang w:val="fr-FR"/>
        </w:rPr>
        <w:t>’</w:t>
      </w:r>
      <w:r w:rsidRPr="00C36B84">
        <w:rPr>
          <w:lang w:val="fr-FR"/>
        </w:rPr>
        <w:t xml:space="preserve">environnement (EPA) et </w:t>
      </w:r>
      <w:r w:rsidRPr="00C36B84">
        <w:rPr>
          <w:lang w:val="fr-FR"/>
        </w:rPr>
        <w:lastRenderedPageBreak/>
        <w:t>par l</w:t>
      </w:r>
      <w:r w:rsidR="00263978" w:rsidRPr="00C36B84">
        <w:rPr>
          <w:lang w:val="fr-FR"/>
        </w:rPr>
        <w:t>’</w:t>
      </w:r>
      <w:r w:rsidRPr="00C36B84">
        <w:rPr>
          <w:lang w:val="fr-FR"/>
        </w:rPr>
        <w:t>Autorité européenne de sécurité des aliments (EFSA)</w:t>
      </w:r>
      <w:r w:rsidR="003A1B42" w:rsidRPr="00C36B84">
        <w:rPr>
          <w:lang w:val="fr-FR"/>
        </w:rPr>
        <w:t xml:space="preserve"> classant</w:t>
      </w:r>
      <w:r w:rsidRPr="00C36B84">
        <w:rPr>
          <w:lang w:val="fr-FR"/>
        </w:rPr>
        <w:t xml:space="preserve"> l</w:t>
      </w:r>
      <w:r w:rsidR="00263978" w:rsidRPr="00C36B84">
        <w:rPr>
          <w:lang w:val="fr-FR"/>
        </w:rPr>
        <w:t>’</w:t>
      </w:r>
      <w:r w:rsidRPr="00C36B84">
        <w:rPr>
          <w:lang w:val="fr-FR"/>
        </w:rPr>
        <w:t xml:space="preserve">iprodione comme probablement cancérogène </w:t>
      </w:r>
      <w:r w:rsidR="003A1B42" w:rsidRPr="00C36B84">
        <w:rPr>
          <w:lang w:val="fr-FR"/>
        </w:rPr>
        <w:t>et comme agent cancérogène de catégorie 2</w:t>
      </w:r>
      <w:r w:rsidRPr="00C36B84">
        <w:rPr>
          <w:lang w:val="fr-FR"/>
        </w:rPr>
        <w:t>.</w:t>
      </w:r>
    </w:p>
    <w:p w14:paraId="379A3073" w14:textId="448544C5" w:rsidR="0070418B" w:rsidRPr="00C36B84" w:rsidRDefault="0070418B" w:rsidP="00AD11DC">
      <w:pPr>
        <w:pStyle w:val="Normalnumber"/>
        <w:numPr>
          <w:ilvl w:val="0"/>
          <w:numId w:val="7"/>
        </w:numPr>
        <w:rPr>
          <w:lang w:val="fr-FR"/>
        </w:rPr>
      </w:pPr>
      <w:r w:rsidRPr="00C36B84">
        <w:rPr>
          <w:lang w:val="fr-FR"/>
        </w:rPr>
        <w:t>Dans la conclusion finale de l</w:t>
      </w:r>
      <w:r w:rsidR="00263978" w:rsidRPr="00C36B84">
        <w:rPr>
          <w:lang w:val="fr-FR"/>
        </w:rPr>
        <w:t>’</w:t>
      </w:r>
      <w:r w:rsidRPr="00C36B84">
        <w:rPr>
          <w:lang w:val="fr-FR"/>
        </w:rPr>
        <w:t>évaluation des pesticides très dangereux au Mozambique, l</w:t>
      </w:r>
      <w:r w:rsidR="00263978" w:rsidRPr="00C36B84">
        <w:rPr>
          <w:lang w:val="fr-FR"/>
        </w:rPr>
        <w:t>’</w:t>
      </w:r>
      <w:r w:rsidRPr="00C36B84">
        <w:rPr>
          <w:lang w:val="fr-FR"/>
        </w:rPr>
        <w:t>iprodione est répertorié comme équivalent ou similaire à un cancérogène des catégories 1A et 1B du</w:t>
      </w:r>
      <w:r w:rsidR="00FF0013" w:rsidRPr="00C36B84">
        <w:rPr>
          <w:lang w:val="fr-FR"/>
        </w:rPr>
        <w:t> </w:t>
      </w:r>
      <w:r w:rsidRPr="00C36B84">
        <w:rPr>
          <w:lang w:val="fr-FR"/>
        </w:rPr>
        <w:t>SGH, et est donc considéré comme « se rapprochant » d</w:t>
      </w:r>
      <w:r w:rsidR="00263978" w:rsidRPr="00C36B84">
        <w:rPr>
          <w:lang w:val="fr-FR"/>
        </w:rPr>
        <w:t>’</w:t>
      </w:r>
      <w:r w:rsidRPr="00C36B84">
        <w:rPr>
          <w:lang w:val="fr-FR"/>
        </w:rPr>
        <w:t>un pesticide très dangereux (Come</w:t>
      </w:r>
      <w:r w:rsidR="00FF0013" w:rsidRPr="00C36B84">
        <w:rPr>
          <w:lang w:val="fr-FR"/>
        </w:rPr>
        <w:t> </w:t>
      </w:r>
      <w:r w:rsidRPr="00C36B84">
        <w:rPr>
          <w:lang w:val="fr-FR"/>
        </w:rPr>
        <w:t>et</w:t>
      </w:r>
      <w:r w:rsidR="00FF0013" w:rsidRPr="00C36B84">
        <w:rPr>
          <w:lang w:val="fr-FR"/>
        </w:rPr>
        <w:t> </w:t>
      </w:r>
      <w:r w:rsidRPr="00C36B84">
        <w:rPr>
          <w:lang w:val="fr-FR"/>
        </w:rPr>
        <w:t>van</w:t>
      </w:r>
      <w:r w:rsidR="00571CDC" w:rsidRPr="00C36B84">
        <w:rPr>
          <w:lang w:val="fr-FR"/>
        </w:rPr>
        <w:t> </w:t>
      </w:r>
      <w:r w:rsidRPr="00C36B84">
        <w:rPr>
          <w:lang w:val="fr-FR"/>
        </w:rPr>
        <w:t>der</w:t>
      </w:r>
      <w:r w:rsidR="00571CDC" w:rsidRPr="00C36B84">
        <w:rPr>
          <w:lang w:val="fr-FR"/>
        </w:rPr>
        <w:t> </w:t>
      </w:r>
      <w:proofErr w:type="spellStart"/>
      <w:r w:rsidRPr="00C36B84">
        <w:rPr>
          <w:lang w:val="fr-FR"/>
        </w:rPr>
        <w:t>Valk</w:t>
      </w:r>
      <w:proofErr w:type="spellEnd"/>
      <w:r w:rsidRPr="00C36B84">
        <w:rPr>
          <w:lang w:val="fr-FR"/>
        </w:rPr>
        <w:t>, 2014).</w:t>
      </w:r>
    </w:p>
    <w:p w14:paraId="31417EA6" w14:textId="300C8779" w:rsidR="0070418B" w:rsidRPr="00C36B84" w:rsidRDefault="0070418B" w:rsidP="00AD11DC">
      <w:pPr>
        <w:pStyle w:val="Normalnumber"/>
        <w:numPr>
          <w:ilvl w:val="0"/>
          <w:numId w:val="7"/>
        </w:numPr>
        <w:rPr>
          <w:lang w:val="fr-FR"/>
        </w:rPr>
      </w:pPr>
      <w:r w:rsidRPr="00C36B84">
        <w:rPr>
          <w:lang w:val="fr-FR"/>
        </w:rPr>
        <w:t>En conséquence, le Comité confirme que le critère énoncé au paragraphe a) de l</w:t>
      </w:r>
      <w:r w:rsidR="00263978" w:rsidRPr="00C36B84">
        <w:rPr>
          <w:lang w:val="fr-FR"/>
        </w:rPr>
        <w:t>’</w:t>
      </w:r>
      <w:r w:rsidRPr="00C36B84">
        <w:rPr>
          <w:lang w:val="fr-FR"/>
        </w:rPr>
        <w:t>Annexe II est</w:t>
      </w:r>
      <w:r w:rsidR="00FF0013" w:rsidRPr="00C36B84">
        <w:rPr>
          <w:lang w:val="fr-FR"/>
        </w:rPr>
        <w:t> </w:t>
      </w:r>
      <w:r w:rsidRPr="00C36B84">
        <w:rPr>
          <w:lang w:val="fr-FR"/>
        </w:rPr>
        <w:t>rempli.</w:t>
      </w:r>
    </w:p>
    <w:p w14:paraId="18407B77" w14:textId="064BFFF9" w:rsidR="00F23195" w:rsidRPr="00C36B84" w:rsidRDefault="0070418B" w:rsidP="00571CDC">
      <w:pPr>
        <w:pStyle w:val="CH3"/>
        <w:rPr>
          <w:snapToGrid w:val="0"/>
        </w:rPr>
      </w:pPr>
      <w:r w:rsidRPr="00C36B84">
        <w:rPr>
          <w:snapToGrid w:val="0"/>
        </w:rPr>
        <w:tab/>
        <w:t>c)</w:t>
      </w:r>
      <w:r w:rsidRPr="00C36B84">
        <w:rPr>
          <w:snapToGrid w:val="0"/>
        </w:rPr>
        <w:tab/>
        <w:t>Critères énoncés au paragraphe b) de l</w:t>
      </w:r>
      <w:r w:rsidR="00263978" w:rsidRPr="00C36B84">
        <w:rPr>
          <w:snapToGrid w:val="0"/>
        </w:rPr>
        <w:t>’</w:t>
      </w:r>
      <w:r w:rsidRPr="00C36B84">
        <w:rPr>
          <w:snapToGrid w:val="0"/>
        </w:rPr>
        <w:t>Annexe II</w:t>
      </w:r>
    </w:p>
    <w:p w14:paraId="1939A419" w14:textId="3C83C795" w:rsidR="0070418B" w:rsidRPr="00C36B84" w:rsidRDefault="00571CDC" w:rsidP="00571CDC">
      <w:pPr>
        <w:pStyle w:val="NormalNonumber"/>
        <w:rPr>
          <w:i/>
          <w:iCs/>
        </w:rPr>
      </w:pPr>
      <w:r w:rsidRPr="00C36B84">
        <w:tab/>
      </w:r>
      <w:r w:rsidR="0070418B" w:rsidRPr="00C36B84">
        <w:rPr>
          <w:i/>
          <w:iCs/>
        </w:rPr>
        <w:t>b)</w:t>
      </w:r>
      <w:r w:rsidR="0070418B" w:rsidRPr="00C36B84">
        <w:rPr>
          <w:i/>
          <w:iCs/>
        </w:rPr>
        <w:tab/>
        <w:t>Vérifie que la mesure de réglementation finale a été prise à la suite d</w:t>
      </w:r>
      <w:r w:rsidR="00263978" w:rsidRPr="00C36B84">
        <w:rPr>
          <w:i/>
          <w:iCs/>
        </w:rPr>
        <w:t>’</w:t>
      </w:r>
      <w:r w:rsidR="0070418B" w:rsidRPr="00C36B84">
        <w:rPr>
          <w:i/>
          <w:iCs/>
        </w:rPr>
        <w:t>une évaluation des</w:t>
      </w:r>
      <w:r w:rsidR="00FF0013" w:rsidRPr="00C36B84">
        <w:rPr>
          <w:i/>
          <w:iCs/>
        </w:rPr>
        <w:t> </w:t>
      </w:r>
      <w:r w:rsidR="0070418B" w:rsidRPr="00C36B84">
        <w:rPr>
          <w:i/>
          <w:iCs/>
        </w:rPr>
        <w:t>risques. Cette évaluation doit reposer sur une étude des données scientifiques effectuée en tenant compte des circonstances propres à la Partie considérée. À cette fin, la documentation fournie d</w:t>
      </w:r>
      <w:r w:rsidR="00662DB0" w:rsidRPr="00C36B84">
        <w:rPr>
          <w:i/>
          <w:iCs/>
        </w:rPr>
        <w:t>oit</w:t>
      </w:r>
      <w:r w:rsidR="0070418B" w:rsidRPr="00C36B84">
        <w:rPr>
          <w:i/>
          <w:iCs/>
        </w:rPr>
        <w:t xml:space="preserve"> démontrer ce qui suit :</w:t>
      </w:r>
    </w:p>
    <w:p w14:paraId="535924D4" w14:textId="1C238854" w:rsidR="0070418B" w:rsidRPr="00C36B84" w:rsidRDefault="00571CDC" w:rsidP="00571CDC">
      <w:pPr>
        <w:pStyle w:val="NormalNonumber"/>
        <w:rPr>
          <w:i/>
        </w:rPr>
      </w:pPr>
      <w:r w:rsidRPr="00C36B84">
        <w:rPr>
          <w:i/>
        </w:rPr>
        <w:tab/>
      </w:r>
      <w:r w:rsidR="0070418B" w:rsidRPr="00C36B84">
        <w:rPr>
          <w:i/>
        </w:rPr>
        <w:t>i)</w:t>
      </w:r>
      <w:r w:rsidR="0070418B" w:rsidRPr="00C36B84">
        <w:rPr>
          <w:i/>
        </w:rPr>
        <w:tab/>
        <w:t>Les données étudiées ont été obtenues par des méthodes scientifiquement reconnues ;</w:t>
      </w:r>
    </w:p>
    <w:p w14:paraId="1DE6B960" w14:textId="1A31B0B8" w:rsidR="0070418B" w:rsidRPr="00C36B84" w:rsidRDefault="00571CDC" w:rsidP="00571CDC">
      <w:pPr>
        <w:pStyle w:val="NormalNonumber"/>
        <w:ind w:left="2381" w:hanging="1134"/>
        <w:rPr>
          <w:i/>
        </w:rPr>
      </w:pPr>
      <w:r w:rsidRPr="00C36B84">
        <w:rPr>
          <w:i/>
        </w:rPr>
        <w:tab/>
      </w:r>
      <w:r w:rsidR="0070418B" w:rsidRPr="00C36B84">
        <w:rPr>
          <w:i/>
        </w:rPr>
        <w:t>ii)</w:t>
      </w:r>
      <w:r w:rsidR="0070418B" w:rsidRPr="00C36B84">
        <w:rPr>
          <w:i/>
        </w:rPr>
        <w:tab/>
        <w:t>Ces données ont été analysées et corroborées selon des principes et des procédures scientifiques largement reconnus ;</w:t>
      </w:r>
    </w:p>
    <w:p w14:paraId="376261FB" w14:textId="6EA6CD37" w:rsidR="0070418B" w:rsidRPr="00C36B84" w:rsidRDefault="0070418B" w:rsidP="00AD11DC">
      <w:pPr>
        <w:pStyle w:val="Normalnumber"/>
        <w:numPr>
          <w:ilvl w:val="0"/>
          <w:numId w:val="7"/>
        </w:numPr>
        <w:rPr>
          <w:lang w:val="fr-FR"/>
        </w:rPr>
      </w:pPr>
      <w:r w:rsidRPr="00C36B84">
        <w:rPr>
          <w:lang w:val="fr-FR"/>
        </w:rPr>
        <w:t xml:space="preserve">La notification fait référence </w:t>
      </w:r>
      <w:r w:rsidR="008F09C5" w:rsidRPr="00C36B84">
        <w:rPr>
          <w:lang w:val="fr-FR"/>
        </w:rPr>
        <w:t xml:space="preserve">aux rapports </w:t>
      </w:r>
      <w:r w:rsidR="00C85C50" w:rsidRPr="00C36B84">
        <w:rPr>
          <w:lang w:val="fr-FR"/>
        </w:rPr>
        <w:t>d</w:t>
      </w:r>
      <w:r w:rsidR="00263978" w:rsidRPr="00C36B84">
        <w:rPr>
          <w:lang w:val="fr-FR"/>
        </w:rPr>
        <w:t>’</w:t>
      </w:r>
      <w:r w:rsidR="00C85C50" w:rsidRPr="00C36B84">
        <w:rPr>
          <w:lang w:val="fr-FR"/>
        </w:rPr>
        <w:t>expertise</w:t>
      </w:r>
      <w:r w:rsidR="008F09C5" w:rsidRPr="00C36B84">
        <w:rPr>
          <w:lang w:val="fr-FR"/>
        </w:rPr>
        <w:t>, établis</w:t>
      </w:r>
      <w:r w:rsidRPr="00C36B84">
        <w:rPr>
          <w:lang w:val="fr-FR"/>
        </w:rPr>
        <w:t xml:space="preserve"> </w:t>
      </w:r>
      <w:r w:rsidR="008F09C5" w:rsidRPr="00C36B84">
        <w:rPr>
          <w:lang w:val="fr-FR"/>
        </w:rPr>
        <w:t>à partir d</w:t>
      </w:r>
      <w:r w:rsidR="00263978" w:rsidRPr="00C36B84">
        <w:rPr>
          <w:lang w:val="fr-FR"/>
        </w:rPr>
        <w:t>’</w:t>
      </w:r>
      <w:r w:rsidRPr="00C36B84">
        <w:rPr>
          <w:lang w:val="fr-FR"/>
        </w:rPr>
        <w:t xml:space="preserve">évaluations internationales et </w:t>
      </w:r>
      <w:r w:rsidR="008F09C5" w:rsidRPr="00C36B84">
        <w:rPr>
          <w:lang w:val="fr-FR"/>
        </w:rPr>
        <w:t>de</w:t>
      </w:r>
      <w:r w:rsidRPr="00C36B84">
        <w:rPr>
          <w:lang w:val="fr-FR"/>
        </w:rPr>
        <w:t xml:space="preserve"> données </w:t>
      </w:r>
      <w:r w:rsidR="006F6FB2" w:rsidRPr="00C36B84">
        <w:rPr>
          <w:lang w:val="fr-FR"/>
        </w:rPr>
        <w:t xml:space="preserve">concernant les </w:t>
      </w:r>
      <w:r w:rsidRPr="00C36B84">
        <w:rPr>
          <w:lang w:val="fr-FR"/>
        </w:rPr>
        <w:t>propriétés</w:t>
      </w:r>
      <w:r w:rsidR="008F09C5" w:rsidRPr="00C36B84">
        <w:rPr>
          <w:lang w:val="fr-FR"/>
        </w:rPr>
        <w:t>, et au rapport de réunion</w:t>
      </w:r>
      <w:r w:rsidR="00C85C50" w:rsidRPr="00C36B84">
        <w:rPr>
          <w:lang w:val="fr-FR"/>
        </w:rPr>
        <w:t xml:space="preserve"> suivants</w:t>
      </w:r>
      <w:r w:rsidRPr="00C36B84">
        <w:rPr>
          <w:lang w:val="fr-FR"/>
        </w:rPr>
        <w:t> :</w:t>
      </w:r>
    </w:p>
    <w:p w14:paraId="5455A64F" w14:textId="743228F9" w:rsidR="0070418B" w:rsidRPr="005826F2" w:rsidRDefault="00A61BFB" w:rsidP="00AD11DC">
      <w:pPr>
        <w:pStyle w:val="Normalnumber"/>
        <w:numPr>
          <w:ilvl w:val="1"/>
          <w:numId w:val="7"/>
        </w:numPr>
        <w:rPr>
          <w:lang w:val="en-US"/>
        </w:rPr>
      </w:pPr>
      <w:bookmarkStart w:id="1" w:name="_Hlk89165382"/>
      <w:r w:rsidRPr="005826F2">
        <w:rPr>
          <w:lang w:val="en-US"/>
        </w:rPr>
        <w:t xml:space="preserve">A. M. </w:t>
      </w:r>
      <w:r w:rsidR="0070418B" w:rsidRPr="005826F2">
        <w:rPr>
          <w:lang w:val="en-US"/>
        </w:rPr>
        <w:t xml:space="preserve">Come et </w:t>
      </w:r>
      <w:r w:rsidRPr="005826F2">
        <w:rPr>
          <w:lang w:val="en-US"/>
        </w:rPr>
        <w:t xml:space="preserve">H. </w:t>
      </w:r>
      <w:r w:rsidR="0070418B" w:rsidRPr="005826F2">
        <w:rPr>
          <w:lang w:val="en-US"/>
        </w:rPr>
        <w:t xml:space="preserve">van der </w:t>
      </w:r>
      <w:proofErr w:type="spellStart"/>
      <w:r w:rsidR="0070418B" w:rsidRPr="005826F2">
        <w:rPr>
          <w:lang w:val="en-US"/>
        </w:rPr>
        <w:t>Valk</w:t>
      </w:r>
      <w:proofErr w:type="spellEnd"/>
      <w:r w:rsidR="0070418B" w:rsidRPr="005826F2">
        <w:rPr>
          <w:lang w:val="en-US"/>
        </w:rPr>
        <w:t xml:space="preserve">, « Reducing Risks of Highly Hazardous Pesticides in Mozambique: Step 1 – Shortlisting highly hazardous pesticides », rapport </w:t>
      </w:r>
      <w:proofErr w:type="spellStart"/>
      <w:r w:rsidR="0070418B" w:rsidRPr="005826F2">
        <w:rPr>
          <w:lang w:val="en-US"/>
        </w:rPr>
        <w:t>d</w:t>
      </w:r>
      <w:r w:rsidR="00263978" w:rsidRPr="005826F2">
        <w:rPr>
          <w:lang w:val="en-US"/>
        </w:rPr>
        <w:t>’</w:t>
      </w:r>
      <w:r w:rsidR="0070418B" w:rsidRPr="005826F2">
        <w:rPr>
          <w:lang w:val="en-US"/>
        </w:rPr>
        <w:t>expertise</w:t>
      </w:r>
      <w:proofErr w:type="spellEnd"/>
      <w:r w:rsidR="00C85C50" w:rsidRPr="005826F2">
        <w:rPr>
          <w:lang w:val="en-US"/>
        </w:rPr>
        <w:t xml:space="preserve"> </w:t>
      </w:r>
      <w:r w:rsidR="0070418B" w:rsidRPr="005826F2">
        <w:rPr>
          <w:lang w:val="en-US"/>
        </w:rPr>
        <w:t>dans le cadre du</w:t>
      </w:r>
      <w:r w:rsidR="00FF0013" w:rsidRPr="005826F2">
        <w:rPr>
          <w:lang w:val="en-US"/>
        </w:rPr>
        <w:t> </w:t>
      </w:r>
      <w:proofErr w:type="spellStart"/>
      <w:r w:rsidR="0070418B" w:rsidRPr="005826F2">
        <w:rPr>
          <w:lang w:val="en-US"/>
        </w:rPr>
        <w:t>projet</w:t>
      </w:r>
      <w:proofErr w:type="spellEnd"/>
      <w:r w:rsidR="0070418B" w:rsidRPr="005826F2">
        <w:rPr>
          <w:lang w:val="en-US"/>
        </w:rPr>
        <w:t> EP/MOZ/101/UEP</w:t>
      </w:r>
      <w:r w:rsidR="00C85C50" w:rsidRPr="005826F2">
        <w:rPr>
          <w:lang w:val="en-US"/>
        </w:rPr>
        <w:t xml:space="preserve"> (2014</w:t>
      </w:r>
      <w:proofErr w:type="gramStart"/>
      <w:r w:rsidR="00C85C50" w:rsidRPr="005826F2">
        <w:rPr>
          <w:lang w:val="en-US"/>
        </w:rPr>
        <w:t>)</w:t>
      </w:r>
      <w:r w:rsidR="0070418B" w:rsidRPr="005826F2">
        <w:rPr>
          <w:lang w:val="en-US"/>
        </w:rPr>
        <w:t> ;</w:t>
      </w:r>
      <w:proofErr w:type="gramEnd"/>
    </w:p>
    <w:p w14:paraId="74DA1384" w14:textId="35A2DAF7" w:rsidR="0070418B" w:rsidRPr="0059184D" w:rsidRDefault="00A61BFB" w:rsidP="00AD11DC">
      <w:pPr>
        <w:pStyle w:val="Normalnumber"/>
        <w:numPr>
          <w:ilvl w:val="1"/>
          <w:numId w:val="7"/>
        </w:numPr>
        <w:rPr>
          <w:lang w:val="en-US"/>
        </w:rPr>
      </w:pPr>
      <w:r w:rsidRPr="0059184D">
        <w:rPr>
          <w:lang w:val="en-US"/>
        </w:rPr>
        <w:t xml:space="preserve">A. M. </w:t>
      </w:r>
      <w:r w:rsidR="0070418B" w:rsidRPr="0059184D">
        <w:rPr>
          <w:lang w:val="en-US"/>
        </w:rPr>
        <w:t>Come</w:t>
      </w:r>
      <w:r w:rsidRPr="0059184D">
        <w:rPr>
          <w:lang w:val="en-US"/>
        </w:rPr>
        <w:t xml:space="preserve"> et consorts, </w:t>
      </w:r>
      <w:r w:rsidR="0070418B" w:rsidRPr="0059184D">
        <w:rPr>
          <w:lang w:val="en-US"/>
        </w:rPr>
        <w:t xml:space="preserve">« Reducing Risks of Highly Hazardous Pesticides in Mozambique: Step 2 – Survey of pesticide use practices in selected cropping systems », rapport </w:t>
      </w:r>
      <w:proofErr w:type="spellStart"/>
      <w:r w:rsidR="0070418B" w:rsidRPr="0059184D">
        <w:rPr>
          <w:lang w:val="en-US"/>
        </w:rPr>
        <w:t>d</w:t>
      </w:r>
      <w:r w:rsidR="00263978" w:rsidRPr="0059184D">
        <w:rPr>
          <w:lang w:val="en-US"/>
        </w:rPr>
        <w:t>’</w:t>
      </w:r>
      <w:r w:rsidR="0070418B" w:rsidRPr="0059184D">
        <w:rPr>
          <w:lang w:val="en-US"/>
        </w:rPr>
        <w:t>expertise</w:t>
      </w:r>
      <w:proofErr w:type="spellEnd"/>
      <w:r w:rsidR="0070418B" w:rsidRPr="0059184D">
        <w:rPr>
          <w:lang w:val="en-US"/>
        </w:rPr>
        <w:t xml:space="preserve"> dans le cadre du </w:t>
      </w:r>
      <w:proofErr w:type="spellStart"/>
      <w:r w:rsidR="0070418B" w:rsidRPr="0059184D">
        <w:rPr>
          <w:lang w:val="en-US"/>
        </w:rPr>
        <w:t>projet</w:t>
      </w:r>
      <w:proofErr w:type="spellEnd"/>
      <w:r w:rsidR="0070418B" w:rsidRPr="0059184D">
        <w:rPr>
          <w:lang w:val="en-US"/>
        </w:rPr>
        <w:t> EP/MOZ/101/UEP</w:t>
      </w:r>
      <w:r w:rsidRPr="0059184D">
        <w:rPr>
          <w:lang w:val="en-US"/>
        </w:rPr>
        <w:t xml:space="preserve"> (2014</w:t>
      </w:r>
      <w:proofErr w:type="gramStart"/>
      <w:r w:rsidRPr="0059184D">
        <w:rPr>
          <w:lang w:val="en-US"/>
        </w:rPr>
        <w:t>)</w:t>
      </w:r>
      <w:r w:rsidR="0070418B" w:rsidRPr="0059184D">
        <w:rPr>
          <w:lang w:val="en-US"/>
        </w:rPr>
        <w:t> ;</w:t>
      </w:r>
      <w:proofErr w:type="gramEnd"/>
    </w:p>
    <w:p w14:paraId="6D2BA197" w14:textId="34AD8F56" w:rsidR="0070418B" w:rsidRPr="00C36B84" w:rsidRDefault="00C85C50" w:rsidP="00AD11DC">
      <w:pPr>
        <w:pStyle w:val="Normalnumber"/>
        <w:numPr>
          <w:ilvl w:val="1"/>
          <w:numId w:val="7"/>
        </w:numPr>
        <w:rPr>
          <w:rFonts w:eastAsia="MS Mincho"/>
          <w:bCs/>
          <w:lang w:val="fr-FR"/>
        </w:rPr>
      </w:pPr>
      <w:proofErr w:type="spellStart"/>
      <w:r w:rsidRPr="0059184D">
        <w:rPr>
          <w:lang w:val="en-US"/>
        </w:rPr>
        <w:t>Organisation</w:t>
      </w:r>
      <w:proofErr w:type="spellEnd"/>
      <w:r w:rsidRPr="0059184D">
        <w:rPr>
          <w:lang w:val="en-US"/>
        </w:rPr>
        <w:t xml:space="preserve"> des Nations </w:t>
      </w:r>
      <w:proofErr w:type="spellStart"/>
      <w:r w:rsidRPr="0059184D">
        <w:rPr>
          <w:lang w:val="en-US"/>
        </w:rPr>
        <w:t>Unies</w:t>
      </w:r>
      <w:proofErr w:type="spellEnd"/>
      <w:r w:rsidRPr="0059184D">
        <w:rPr>
          <w:lang w:val="en-US"/>
        </w:rPr>
        <w:t xml:space="preserve"> pour </w:t>
      </w:r>
      <w:proofErr w:type="spellStart"/>
      <w:r w:rsidRPr="0059184D">
        <w:rPr>
          <w:lang w:val="en-US"/>
        </w:rPr>
        <w:t>l</w:t>
      </w:r>
      <w:r w:rsidR="00263978" w:rsidRPr="0059184D">
        <w:rPr>
          <w:lang w:val="en-US"/>
        </w:rPr>
        <w:t>’</w:t>
      </w:r>
      <w:r w:rsidRPr="0059184D">
        <w:rPr>
          <w:lang w:val="en-US"/>
        </w:rPr>
        <w:t>alimentation</w:t>
      </w:r>
      <w:proofErr w:type="spellEnd"/>
      <w:r w:rsidRPr="0059184D">
        <w:rPr>
          <w:lang w:val="en-US"/>
        </w:rPr>
        <w:t xml:space="preserve"> et </w:t>
      </w:r>
      <w:proofErr w:type="spellStart"/>
      <w:r w:rsidRPr="0059184D">
        <w:rPr>
          <w:lang w:val="en-US"/>
        </w:rPr>
        <w:t>l</w:t>
      </w:r>
      <w:r w:rsidR="00263978" w:rsidRPr="0059184D">
        <w:rPr>
          <w:lang w:val="en-US"/>
        </w:rPr>
        <w:t>’</w:t>
      </w:r>
      <w:r w:rsidRPr="0059184D">
        <w:rPr>
          <w:lang w:val="en-US"/>
        </w:rPr>
        <w:t>agriculture</w:t>
      </w:r>
      <w:proofErr w:type="spellEnd"/>
      <w:r w:rsidRPr="0059184D">
        <w:rPr>
          <w:lang w:val="en-US"/>
        </w:rPr>
        <w:t xml:space="preserve"> (</w:t>
      </w:r>
      <w:r w:rsidR="004E3C88" w:rsidRPr="0059184D">
        <w:rPr>
          <w:lang w:val="en-US"/>
        </w:rPr>
        <w:t>FAO</w:t>
      </w:r>
      <w:r w:rsidRPr="0059184D">
        <w:rPr>
          <w:lang w:val="en-US"/>
        </w:rPr>
        <w:t>)</w:t>
      </w:r>
      <w:r w:rsidR="004E3C88" w:rsidRPr="0059184D">
        <w:rPr>
          <w:lang w:val="en-US"/>
        </w:rPr>
        <w:t>/</w:t>
      </w:r>
      <w:proofErr w:type="spellStart"/>
      <w:r w:rsidR="004E3C88" w:rsidRPr="0059184D">
        <w:rPr>
          <w:lang w:val="en-US"/>
        </w:rPr>
        <w:t>Organisation</w:t>
      </w:r>
      <w:proofErr w:type="spellEnd"/>
      <w:r w:rsidR="004E3C88" w:rsidRPr="0059184D">
        <w:rPr>
          <w:lang w:val="en-US"/>
        </w:rPr>
        <w:t xml:space="preserve"> </w:t>
      </w:r>
      <w:proofErr w:type="spellStart"/>
      <w:r w:rsidR="004E3C88" w:rsidRPr="0059184D">
        <w:rPr>
          <w:lang w:val="en-US"/>
        </w:rPr>
        <w:t>mondiale</w:t>
      </w:r>
      <w:proofErr w:type="spellEnd"/>
      <w:r w:rsidR="004E3C88" w:rsidRPr="0059184D">
        <w:rPr>
          <w:lang w:val="en-US"/>
        </w:rPr>
        <w:t xml:space="preserve"> de la </w:t>
      </w:r>
      <w:proofErr w:type="spellStart"/>
      <w:r w:rsidR="00FF0013" w:rsidRPr="0059184D">
        <w:rPr>
          <w:lang w:val="en-US"/>
        </w:rPr>
        <w:t>S</w:t>
      </w:r>
      <w:r w:rsidR="004E3C88" w:rsidRPr="0059184D">
        <w:rPr>
          <w:lang w:val="en-US"/>
        </w:rPr>
        <w:t>anté</w:t>
      </w:r>
      <w:proofErr w:type="spellEnd"/>
      <w:r w:rsidR="004E3C88" w:rsidRPr="0059184D">
        <w:rPr>
          <w:lang w:val="en-US"/>
        </w:rPr>
        <w:t xml:space="preserve"> (OMS), 2008, « Report</w:t>
      </w:r>
      <w:r w:rsidRPr="0059184D">
        <w:rPr>
          <w:lang w:val="en-US"/>
        </w:rPr>
        <w:t xml:space="preserve"> of the second </w:t>
      </w:r>
      <w:r w:rsidR="004E3C88" w:rsidRPr="0059184D">
        <w:rPr>
          <w:lang w:val="en-US"/>
        </w:rPr>
        <w:t xml:space="preserve">FAO/WHO Joint Meeting on Pesticide Management and </w:t>
      </w:r>
      <w:r w:rsidRPr="0059184D">
        <w:rPr>
          <w:lang w:val="en-US"/>
        </w:rPr>
        <w:t>the fourth s</w:t>
      </w:r>
      <w:r w:rsidR="004E3C88" w:rsidRPr="0059184D">
        <w:rPr>
          <w:lang w:val="en-US"/>
        </w:rPr>
        <w:t>ession of the FAO Panel of Experts on Pesticide Management</w:t>
      </w:r>
      <w:r w:rsidR="00A61BFB" w:rsidRPr="0059184D">
        <w:rPr>
          <w:lang w:val="en-US"/>
        </w:rPr>
        <w:t> »</w:t>
      </w:r>
      <w:r w:rsidR="004E3C88" w:rsidRPr="0059184D">
        <w:rPr>
          <w:lang w:val="en-US"/>
        </w:rPr>
        <w:t xml:space="preserve"> </w:t>
      </w:r>
      <w:r w:rsidRPr="0059184D">
        <w:rPr>
          <w:lang w:val="en-US"/>
        </w:rPr>
        <w:t>(p. 14</w:t>
      </w:r>
      <w:r w:rsidR="00A61BFB" w:rsidRPr="0059184D">
        <w:rPr>
          <w:lang w:val="en-US"/>
        </w:rPr>
        <w:noBreakHyphen/>
      </w:r>
      <w:r w:rsidRPr="0059184D">
        <w:rPr>
          <w:lang w:val="en-US"/>
        </w:rPr>
        <w:t>18)</w:t>
      </w:r>
      <w:r w:rsidR="00A61BFB" w:rsidRPr="0059184D">
        <w:rPr>
          <w:lang w:val="en-US"/>
        </w:rPr>
        <w:t>,</w:t>
      </w:r>
      <w:r w:rsidR="004E3C88" w:rsidRPr="0059184D">
        <w:rPr>
          <w:lang w:val="en-US"/>
        </w:rPr>
        <w:t xml:space="preserve"> Gen</w:t>
      </w:r>
      <w:r w:rsidR="00A61BFB" w:rsidRPr="0059184D">
        <w:rPr>
          <w:lang w:val="en-US"/>
        </w:rPr>
        <w:t>ève (2008)</w:t>
      </w:r>
      <w:r w:rsidR="000C126C" w:rsidRPr="0059184D">
        <w:rPr>
          <w:lang w:val="en-US"/>
        </w:rPr>
        <w:t>.</w:t>
      </w:r>
      <w:r w:rsidR="004E3C88" w:rsidRPr="0059184D">
        <w:rPr>
          <w:lang w:val="en-US"/>
        </w:rPr>
        <w:t xml:space="preserve"> </w:t>
      </w:r>
      <w:r w:rsidR="000C126C" w:rsidRPr="00C36B84">
        <w:rPr>
          <w:lang w:val="fr-FR"/>
        </w:rPr>
        <w:t xml:space="preserve">Disponible </w:t>
      </w:r>
      <w:r w:rsidRPr="00C36B84">
        <w:rPr>
          <w:lang w:val="fr-FR"/>
        </w:rPr>
        <w:t>à l</w:t>
      </w:r>
      <w:r w:rsidR="00263978" w:rsidRPr="00C36B84">
        <w:rPr>
          <w:lang w:val="fr-FR"/>
        </w:rPr>
        <w:t>’</w:t>
      </w:r>
      <w:r w:rsidRPr="00C36B84">
        <w:rPr>
          <w:lang w:val="fr-FR"/>
        </w:rPr>
        <w:t>adresse</w:t>
      </w:r>
      <w:r w:rsidR="004E3C88" w:rsidRPr="00C36B84">
        <w:rPr>
          <w:lang w:val="fr-FR"/>
        </w:rPr>
        <w:t xml:space="preserve"> http://www.fao.org/fileadmin/templates/agphome/</w:t>
      </w:r>
      <w:r w:rsidR="00FF0013" w:rsidRPr="00C36B84">
        <w:rPr>
          <w:lang w:val="fr-FR"/>
        </w:rPr>
        <w:br/>
      </w:r>
      <w:r w:rsidR="004E3C88" w:rsidRPr="00C36B84">
        <w:rPr>
          <w:lang w:val="fr-FR"/>
        </w:rPr>
        <w:t>documents/</w:t>
      </w:r>
      <w:proofErr w:type="spellStart"/>
      <w:r w:rsidR="004E3C88" w:rsidRPr="00C36B84">
        <w:rPr>
          <w:lang w:val="fr-FR"/>
        </w:rPr>
        <w:t>Pests_Pesticides</w:t>
      </w:r>
      <w:proofErr w:type="spellEnd"/>
      <w:r w:rsidR="004E3C88" w:rsidRPr="00C36B84">
        <w:rPr>
          <w:lang w:val="fr-FR"/>
        </w:rPr>
        <w:t>/Code/Report.pdf.</w:t>
      </w:r>
    </w:p>
    <w:bookmarkEnd w:id="1"/>
    <w:p w14:paraId="3DE31AC3" w14:textId="5A9CC29A" w:rsidR="0070418B" w:rsidRPr="00C36B84" w:rsidRDefault="0070418B" w:rsidP="00AD11DC">
      <w:pPr>
        <w:pStyle w:val="Normalnumber"/>
        <w:numPr>
          <w:ilvl w:val="0"/>
          <w:numId w:val="7"/>
        </w:numPr>
        <w:rPr>
          <w:lang w:val="fr-FR"/>
        </w:rPr>
      </w:pPr>
      <w:r w:rsidRPr="00C36B84">
        <w:rPr>
          <w:lang w:val="fr-FR"/>
        </w:rPr>
        <w:t>Les rapports d</w:t>
      </w:r>
      <w:r w:rsidR="00263978" w:rsidRPr="00C36B84">
        <w:rPr>
          <w:lang w:val="fr-FR"/>
        </w:rPr>
        <w:t>’</w:t>
      </w:r>
      <w:r w:rsidRPr="00C36B84">
        <w:rPr>
          <w:lang w:val="fr-FR"/>
        </w:rPr>
        <w:t>expertise disponibles et les critères d</w:t>
      </w:r>
      <w:r w:rsidR="00263978" w:rsidRPr="00C36B84">
        <w:rPr>
          <w:lang w:val="fr-FR"/>
        </w:rPr>
        <w:t>’</w:t>
      </w:r>
      <w:r w:rsidRPr="00C36B84">
        <w:rPr>
          <w:lang w:val="fr-FR"/>
        </w:rPr>
        <w:t>évaluation des dangers établis par la</w:t>
      </w:r>
      <w:r w:rsidR="00571CDC" w:rsidRPr="00C36B84">
        <w:rPr>
          <w:lang w:val="fr-FR"/>
        </w:rPr>
        <w:t> </w:t>
      </w:r>
      <w:r w:rsidRPr="00C36B84">
        <w:rPr>
          <w:lang w:val="fr-FR"/>
        </w:rPr>
        <w:t>Réunion conjointe de la FAO et de l</w:t>
      </w:r>
      <w:r w:rsidR="00263978" w:rsidRPr="00C36B84">
        <w:rPr>
          <w:lang w:val="fr-FR"/>
        </w:rPr>
        <w:t>’</w:t>
      </w:r>
      <w:r w:rsidRPr="00C36B84">
        <w:rPr>
          <w:lang w:val="fr-FR"/>
        </w:rPr>
        <w:t>OMS sur la gestion des pesticides (JMPM) sont considérés comme scientifiquement fondés, obtenus selon des méthodes scientifiquement reconnues et communiqués conformément à des principes et procédures scientifiques largement reconnus.</w:t>
      </w:r>
    </w:p>
    <w:p w14:paraId="4C867CE3" w14:textId="6D607CE9" w:rsidR="0070418B" w:rsidRPr="00C36B84" w:rsidRDefault="0070418B" w:rsidP="00AD11DC">
      <w:pPr>
        <w:pStyle w:val="Normalnumber"/>
        <w:numPr>
          <w:ilvl w:val="0"/>
          <w:numId w:val="7"/>
        </w:numPr>
        <w:rPr>
          <w:lang w:val="fr-FR"/>
        </w:rPr>
      </w:pPr>
      <w:r w:rsidRPr="00C36B84">
        <w:rPr>
          <w:lang w:val="fr-FR"/>
        </w:rPr>
        <w:t>L</w:t>
      </w:r>
      <w:r w:rsidR="00263978" w:rsidRPr="00C36B84">
        <w:rPr>
          <w:lang w:val="fr-FR"/>
        </w:rPr>
        <w:t>’</w:t>
      </w:r>
      <w:r w:rsidRPr="00C36B84">
        <w:rPr>
          <w:lang w:val="fr-FR"/>
        </w:rPr>
        <w:t>iprodione a été inscrit sur une liste restreinte en tant que pesticide « se rapprochant » d</w:t>
      </w:r>
      <w:r w:rsidR="00263978" w:rsidRPr="00C36B84">
        <w:rPr>
          <w:lang w:val="fr-FR"/>
        </w:rPr>
        <w:t>’</w:t>
      </w:r>
      <w:r w:rsidRPr="00C36B84">
        <w:rPr>
          <w:lang w:val="fr-FR"/>
        </w:rPr>
        <w:t>un</w:t>
      </w:r>
      <w:r w:rsidR="00571CDC" w:rsidRPr="00C36B84">
        <w:rPr>
          <w:lang w:val="fr-FR"/>
        </w:rPr>
        <w:t> </w:t>
      </w:r>
      <w:r w:rsidRPr="00C36B84">
        <w:rPr>
          <w:lang w:val="fr-FR"/>
        </w:rPr>
        <w:t>pesticide très dangereux</w:t>
      </w:r>
      <w:r w:rsidR="004C5942" w:rsidRPr="00C36B84">
        <w:rPr>
          <w:lang w:val="fr-FR"/>
        </w:rPr>
        <w:t>, compte tenu</w:t>
      </w:r>
      <w:r w:rsidRPr="00C36B84">
        <w:rPr>
          <w:lang w:val="fr-FR"/>
        </w:rPr>
        <w:t xml:space="preserve"> des critères suivants :</w:t>
      </w:r>
    </w:p>
    <w:p w14:paraId="5E71E655" w14:textId="462443B6" w:rsidR="0070418B" w:rsidRPr="00C36B84" w:rsidRDefault="0070418B" w:rsidP="00AD11DC">
      <w:pPr>
        <w:pStyle w:val="Normalnumber"/>
        <w:numPr>
          <w:ilvl w:val="1"/>
          <w:numId w:val="7"/>
        </w:numPr>
        <w:rPr>
          <w:lang w:val="fr-FR"/>
        </w:rPr>
      </w:pPr>
      <w:r w:rsidRPr="00C36B84">
        <w:rPr>
          <w:lang w:val="fr-FR"/>
        </w:rPr>
        <w:t>Pesticides pour lesquels les évaluations de la cancérogénicité réalisées par différentes autorités compétentes en matière d</w:t>
      </w:r>
      <w:r w:rsidR="00263978" w:rsidRPr="00C36B84">
        <w:rPr>
          <w:lang w:val="fr-FR"/>
        </w:rPr>
        <w:t>’</w:t>
      </w:r>
      <w:r w:rsidRPr="00C36B84">
        <w:rPr>
          <w:lang w:val="fr-FR"/>
        </w:rPr>
        <w:t>homologation ou d</w:t>
      </w:r>
      <w:r w:rsidR="00263978" w:rsidRPr="00C36B84">
        <w:rPr>
          <w:lang w:val="fr-FR"/>
        </w:rPr>
        <w:t>’</w:t>
      </w:r>
      <w:r w:rsidRPr="00C36B84">
        <w:rPr>
          <w:lang w:val="fr-FR"/>
        </w:rPr>
        <w:t>évaluation n</w:t>
      </w:r>
      <w:r w:rsidR="00263978" w:rsidRPr="00C36B84">
        <w:rPr>
          <w:lang w:val="fr-FR"/>
        </w:rPr>
        <w:t>’</w:t>
      </w:r>
      <w:r w:rsidRPr="00C36B84">
        <w:rPr>
          <w:lang w:val="fr-FR"/>
        </w:rPr>
        <w:t>ont pas conduit à une</w:t>
      </w:r>
      <w:r w:rsidR="00571CDC" w:rsidRPr="00C36B84">
        <w:rPr>
          <w:lang w:val="fr-FR"/>
        </w:rPr>
        <w:t> </w:t>
      </w:r>
      <w:r w:rsidRPr="00C36B84">
        <w:rPr>
          <w:lang w:val="fr-FR"/>
        </w:rPr>
        <w:t>classification cohérente dans la catégorie 1A ou 1B du SGH, mais dont l</w:t>
      </w:r>
      <w:r w:rsidR="00263978" w:rsidRPr="00C36B84">
        <w:rPr>
          <w:lang w:val="fr-FR"/>
        </w:rPr>
        <w:t>’</w:t>
      </w:r>
      <w:r w:rsidRPr="00C36B84">
        <w:rPr>
          <w:lang w:val="fr-FR"/>
        </w:rPr>
        <w:t>utilisation au</w:t>
      </w:r>
      <w:r w:rsidR="00571CDC" w:rsidRPr="00C36B84">
        <w:rPr>
          <w:lang w:val="fr-FR"/>
        </w:rPr>
        <w:t> </w:t>
      </w:r>
      <w:r w:rsidRPr="00C36B84">
        <w:rPr>
          <w:lang w:val="fr-FR"/>
        </w:rPr>
        <w:t>Mozambique a été jugée particulièrement préoccupante sur la base des données probantes présentées par l</w:t>
      </w:r>
      <w:r w:rsidR="00263978" w:rsidRPr="00C36B84">
        <w:rPr>
          <w:lang w:val="fr-FR"/>
        </w:rPr>
        <w:t>’</w:t>
      </w:r>
      <w:r w:rsidRPr="00C36B84">
        <w:rPr>
          <w:lang w:val="fr-FR"/>
        </w:rPr>
        <w:t xml:space="preserve">une de ces autorités (Come et van der </w:t>
      </w:r>
      <w:proofErr w:type="spellStart"/>
      <w:r w:rsidRPr="00C36B84">
        <w:rPr>
          <w:lang w:val="fr-FR"/>
        </w:rPr>
        <w:t>Valk</w:t>
      </w:r>
      <w:proofErr w:type="spellEnd"/>
      <w:r w:rsidRPr="00C36B84">
        <w:rPr>
          <w:lang w:val="fr-FR"/>
        </w:rPr>
        <w:t>, 2014) ;</w:t>
      </w:r>
    </w:p>
    <w:p w14:paraId="529E2ADC" w14:textId="5C3C06C6" w:rsidR="0070418B" w:rsidRPr="00C36B84" w:rsidRDefault="0070418B" w:rsidP="00AD11DC">
      <w:pPr>
        <w:pStyle w:val="Normalnumber"/>
        <w:numPr>
          <w:ilvl w:val="1"/>
          <w:numId w:val="7"/>
        </w:numPr>
        <w:rPr>
          <w:lang w:val="fr-FR"/>
        </w:rPr>
      </w:pPr>
      <w:r w:rsidRPr="00C36B84">
        <w:rPr>
          <w:lang w:val="fr-FR"/>
        </w:rPr>
        <w:t>L</w:t>
      </w:r>
      <w:r w:rsidR="00263978" w:rsidRPr="00C36B84">
        <w:rPr>
          <w:lang w:val="fr-FR"/>
        </w:rPr>
        <w:t>’</w:t>
      </w:r>
      <w:r w:rsidR="00FB4F20" w:rsidRPr="00C36B84">
        <w:rPr>
          <w:lang w:val="fr-FR"/>
        </w:rPr>
        <w:t>USEPA</w:t>
      </w:r>
      <w:r w:rsidRPr="00C36B84">
        <w:rPr>
          <w:lang w:val="fr-FR"/>
        </w:rPr>
        <w:t xml:space="preserve"> a classé l</w:t>
      </w:r>
      <w:r w:rsidR="00263978" w:rsidRPr="00C36B84">
        <w:rPr>
          <w:lang w:val="fr-FR"/>
        </w:rPr>
        <w:t>’</w:t>
      </w:r>
      <w:r w:rsidRPr="00C36B84">
        <w:rPr>
          <w:lang w:val="fr-FR"/>
        </w:rPr>
        <w:t>iprodione comme probablement cancérogène. La substance était homologuée aux États-Unis. Cependant, toutes les utilisations en milieu résidentiel ont été proscrites en raison des préoccupations quant aux risques de cancer et les préposés à l</w:t>
      </w:r>
      <w:r w:rsidR="00263978" w:rsidRPr="00C36B84">
        <w:rPr>
          <w:lang w:val="fr-FR"/>
        </w:rPr>
        <w:t>’</w:t>
      </w:r>
      <w:r w:rsidRPr="00C36B84">
        <w:rPr>
          <w:lang w:val="fr-FR"/>
        </w:rPr>
        <w:t>utilisation de pulvérisateurs à dos et de mélangeurs ont été priés de porter un équipement de protection individuelle à double épaisseur, un masque et des gants. L</w:t>
      </w:r>
      <w:r w:rsidR="00263978" w:rsidRPr="00C36B84">
        <w:rPr>
          <w:lang w:val="fr-FR"/>
        </w:rPr>
        <w:t>’</w:t>
      </w:r>
      <w:r w:rsidRPr="00C36B84">
        <w:rPr>
          <w:lang w:val="fr-FR"/>
        </w:rPr>
        <w:t>iprodione était homologué dans l</w:t>
      </w:r>
      <w:r w:rsidR="00263978" w:rsidRPr="00C36B84">
        <w:rPr>
          <w:lang w:val="fr-FR"/>
        </w:rPr>
        <w:t>’</w:t>
      </w:r>
      <w:r w:rsidRPr="00C36B84">
        <w:rPr>
          <w:lang w:val="fr-FR"/>
        </w:rPr>
        <w:t>Union européenne. Dans l</w:t>
      </w:r>
      <w:r w:rsidR="00263978" w:rsidRPr="00C36B84">
        <w:rPr>
          <w:lang w:val="fr-FR"/>
        </w:rPr>
        <w:t>’</w:t>
      </w:r>
      <w:r w:rsidRPr="00C36B84">
        <w:rPr>
          <w:lang w:val="fr-FR"/>
        </w:rPr>
        <w:t>étude de 2004 de l</w:t>
      </w:r>
      <w:r w:rsidR="00263978" w:rsidRPr="00C36B84">
        <w:rPr>
          <w:lang w:val="fr-FR"/>
        </w:rPr>
        <w:t>’</w:t>
      </w:r>
      <w:r w:rsidRPr="00C36B84">
        <w:rPr>
          <w:lang w:val="fr-FR"/>
        </w:rPr>
        <w:t xml:space="preserve">Union européenne, </w:t>
      </w:r>
      <w:r w:rsidR="00A61BFB" w:rsidRPr="00C36B84">
        <w:rPr>
          <w:lang w:val="fr-FR"/>
        </w:rPr>
        <w:t>il</w:t>
      </w:r>
      <w:r w:rsidRPr="00C36B84">
        <w:rPr>
          <w:lang w:val="fr-FR"/>
        </w:rPr>
        <w:t xml:space="preserve"> a été classé parmi les substances cancérogènes de catégorie 2. Les autorités </w:t>
      </w:r>
      <w:r w:rsidR="00A61BFB" w:rsidRPr="00C36B84">
        <w:rPr>
          <w:lang w:val="fr-FR"/>
        </w:rPr>
        <w:t>m</w:t>
      </w:r>
      <w:r w:rsidRPr="00C36B84">
        <w:rPr>
          <w:lang w:val="fr-FR"/>
        </w:rPr>
        <w:t>ozambi</w:t>
      </w:r>
      <w:r w:rsidR="00A61BFB" w:rsidRPr="00C36B84">
        <w:rPr>
          <w:lang w:val="fr-FR"/>
        </w:rPr>
        <w:t>caines</w:t>
      </w:r>
      <w:r w:rsidRPr="00C36B84">
        <w:rPr>
          <w:lang w:val="fr-FR"/>
        </w:rPr>
        <w:t xml:space="preserve"> ont estimé que les mesures d</w:t>
      </w:r>
      <w:r w:rsidR="00263978" w:rsidRPr="00C36B84">
        <w:rPr>
          <w:lang w:val="fr-FR"/>
        </w:rPr>
        <w:t>’</w:t>
      </w:r>
      <w:r w:rsidRPr="00C36B84">
        <w:rPr>
          <w:lang w:val="fr-FR"/>
        </w:rPr>
        <w:t>atténuation des risques proposées par les États-Unis ne pouvaient être appliquées dans le pays.</w:t>
      </w:r>
    </w:p>
    <w:p w14:paraId="18DF2DEA" w14:textId="5317A47D" w:rsidR="0070418B" w:rsidRPr="00C36B84" w:rsidRDefault="0070418B" w:rsidP="00AD11DC">
      <w:pPr>
        <w:pStyle w:val="Normalnumber"/>
        <w:numPr>
          <w:ilvl w:val="0"/>
          <w:numId w:val="7"/>
        </w:numPr>
        <w:rPr>
          <w:lang w:val="fr-FR"/>
        </w:rPr>
      </w:pPr>
      <w:r w:rsidRPr="00C36B84">
        <w:rPr>
          <w:lang w:val="fr-FR"/>
        </w:rPr>
        <w:t>Dans la conclusion finale de l</w:t>
      </w:r>
      <w:r w:rsidR="00263978" w:rsidRPr="00C36B84">
        <w:rPr>
          <w:lang w:val="fr-FR"/>
        </w:rPr>
        <w:t>’</w:t>
      </w:r>
      <w:r w:rsidRPr="00C36B84">
        <w:rPr>
          <w:lang w:val="fr-FR"/>
        </w:rPr>
        <w:t>évaluation des pesticides très dangereux au Mozambique, l</w:t>
      </w:r>
      <w:r w:rsidR="00263978" w:rsidRPr="00C36B84">
        <w:rPr>
          <w:lang w:val="fr-FR"/>
        </w:rPr>
        <w:t>’</w:t>
      </w:r>
      <w:r w:rsidRPr="00C36B84">
        <w:rPr>
          <w:lang w:val="fr-FR"/>
        </w:rPr>
        <w:t>iprodione est répertorié comme équivalent ou similaire à un cancérogène des catégories 1A et 1B du</w:t>
      </w:r>
      <w:r w:rsidR="00571CDC" w:rsidRPr="00C36B84">
        <w:rPr>
          <w:lang w:val="fr-FR"/>
        </w:rPr>
        <w:t> </w:t>
      </w:r>
      <w:r w:rsidRPr="00C36B84">
        <w:rPr>
          <w:lang w:val="fr-FR"/>
        </w:rPr>
        <w:t>SGH, et est donc considéré comme « se rapprochant » d</w:t>
      </w:r>
      <w:r w:rsidR="00263978" w:rsidRPr="00C36B84">
        <w:rPr>
          <w:lang w:val="fr-FR"/>
        </w:rPr>
        <w:t>’</w:t>
      </w:r>
      <w:r w:rsidRPr="00C36B84">
        <w:rPr>
          <w:lang w:val="fr-FR"/>
        </w:rPr>
        <w:t>un pesticide très dangereux (Come</w:t>
      </w:r>
      <w:r w:rsidR="00FF0013" w:rsidRPr="00C36B84">
        <w:rPr>
          <w:lang w:val="fr-FR"/>
        </w:rPr>
        <w:t> </w:t>
      </w:r>
      <w:r w:rsidRPr="00C36B84">
        <w:rPr>
          <w:lang w:val="fr-FR"/>
        </w:rPr>
        <w:t>et</w:t>
      </w:r>
      <w:r w:rsidR="00FF0013" w:rsidRPr="00C36B84">
        <w:rPr>
          <w:lang w:val="fr-FR"/>
        </w:rPr>
        <w:t> </w:t>
      </w:r>
      <w:r w:rsidRPr="00C36B84">
        <w:rPr>
          <w:lang w:val="fr-FR"/>
        </w:rPr>
        <w:t>van</w:t>
      </w:r>
      <w:r w:rsidR="00571CDC" w:rsidRPr="00C36B84">
        <w:rPr>
          <w:lang w:val="fr-FR"/>
        </w:rPr>
        <w:t> </w:t>
      </w:r>
      <w:r w:rsidRPr="00C36B84">
        <w:rPr>
          <w:lang w:val="fr-FR"/>
        </w:rPr>
        <w:t xml:space="preserve">der </w:t>
      </w:r>
      <w:proofErr w:type="spellStart"/>
      <w:r w:rsidRPr="00C36B84">
        <w:rPr>
          <w:lang w:val="fr-FR"/>
        </w:rPr>
        <w:t>Valk</w:t>
      </w:r>
      <w:proofErr w:type="spellEnd"/>
      <w:r w:rsidRPr="00C36B84">
        <w:rPr>
          <w:lang w:val="fr-FR"/>
        </w:rPr>
        <w:t>, 2014).</w:t>
      </w:r>
    </w:p>
    <w:p w14:paraId="6B00E857" w14:textId="7C81418E" w:rsidR="00F23195" w:rsidRPr="00C36B84" w:rsidRDefault="0070418B" w:rsidP="00AD11DC">
      <w:pPr>
        <w:pStyle w:val="Normalnumber"/>
        <w:numPr>
          <w:ilvl w:val="0"/>
          <w:numId w:val="7"/>
        </w:numPr>
        <w:rPr>
          <w:lang w:val="fr-FR"/>
        </w:rPr>
      </w:pPr>
      <w:r w:rsidRPr="00C36B84">
        <w:rPr>
          <w:lang w:val="fr-FR"/>
        </w:rPr>
        <w:t>Il a été considéré que l</w:t>
      </w:r>
      <w:r w:rsidR="00263978" w:rsidRPr="00C36B84">
        <w:rPr>
          <w:lang w:val="fr-FR"/>
        </w:rPr>
        <w:t>’</w:t>
      </w:r>
      <w:r w:rsidRPr="00C36B84">
        <w:rPr>
          <w:lang w:val="fr-FR"/>
        </w:rPr>
        <w:t>iprodione et les produits contenant de l</w:t>
      </w:r>
      <w:r w:rsidR="00263978" w:rsidRPr="00C36B84">
        <w:rPr>
          <w:lang w:val="fr-FR"/>
        </w:rPr>
        <w:t>’</w:t>
      </w:r>
      <w:r w:rsidRPr="00C36B84">
        <w:rPr>
          <w:lang w:val="fr-FR"/>
        </w:rPr>
        <w:t>iprodione étaient nocifs pour la</w:t>
      </w:r>
      <w:r w:rsidR="00571CDC" w:rsidRPr="00C36B84">
        <w:rPr>
          <w:lang w:val="fr-FR"/>
        </w:rPr>
        <w:t> </w:t>
      </w:r>
      <w:r w:rsidRPr="00C36B84">
        <w:rPr>
          <w:lang w:val="fr-FR"/>
        </w:rPr>
        <w:t>santé humaine</w:t>
      </w:r>
      <w:r w:rsidR="009B3FEC" w:rsidRPr="00C36B84">
        <w:rPr>
          <w:lang w:val="fr-FR"/>
        </w:rPr>
        <w:t>,</w:t>
      </w:r>
      <w:r w:rsidRPr="00C36B84">
        <w:rPr>
          <w:lang w:val="fr-FR"/>
        </w:rPr>
        <w:t xml:space="preserve"> compte tenu des conditions locales d</w:t>
      </w:r>
      <w:r w:rsidR="00263978" w:rsidRPr="00C36B84">
        <w:rPr>
          <w:lang w:val="fr-FR"/>
        </w:rPr>
        <w:t>’</w:t>
      </w:r>
      <w:r w:rsidRPr="00C36B84">
        <w:rPr>
          <w:lang w:val="fr-FR"/>
        </w:rPr>
        <w:t xml:space="preserve">utilisation au Mozambique et nécessitaient </w:t>
      </w:r>
      <w:r w:rsidRPr="00C36B84">
        <w:rPr>
          <w:lang w:val="fr-FR"/>
        </w:rPr>
        <w:lastRenderedPageBreak/>
        <w:t>des</w:t>
      </w:r>
      <w:r w:rsidR="00571CDC" w:rsidRPr="00C36B84">
        <w:rPr>
          <w:lang w:val="fr-FR"/>
        </w:rPr>
        <w:t> </w:t>
      </w:r>
      <w:r w:rsidRPr="00C36B84">
        <w:rPr>
          <w:lang w:val="fr-FR"/>
        </w:rPr>
        <w:t>mesures d</w:t>
      </w:r>
      <w:r w:rsidR="00263978" w:rsidRPr="00C36B84">
        <w:rPr>
          <w:lang w:val="fr-FR"/>
        </w:rPr>
        <w:t>’</w:t>
      </w:r>
      <w:r w:rsidRPr="00C36B84">
        <w:rPr>
          <w:lang w:val="fr-FR"/>
        </w:rPr>
        <w:t>atténuation des risques (UNEP/FAO/RC/CRC.17/5, section</w:t>
      </w:r>
      <w:r w:rsidR="00742C00">
        <w:rPr>
          <w:lang w:val="fr-FR"/>
        </w:rPr>
        <w:t> </w:t>
      </w:r>
      <w:r w:rsidRPr="00C36B84">
        <w:rPr>
          <w:lang w:val="fr-FR"/>
        </w:rPr>
        <w:t xml:space="preserve">2.4.2.1 de la </w:t>
      </w:r>
      <w:r w:rsidR="009A49D0" w:rsidRPr="00C36B84">
        <w:rPr>
          <w:lang w:val="fr-FR"/>
        </w:rPr>
        <w:t>notification reçue d</w:t>
      </w:r>
      <w:r w:rsidRPr="00C36B84">
        <w:rPr>
          <w:lang w:val="fr-FR"/>
        </w:rPr>
        <w:t>u Mozambique).</w:t>
      </w:r>
    </w:p>
    <w:p w14:paraId="181202A8" w14:textId="482BE2BD" w:rsidR="00F23195" w:rsidRPr="00C36B84" w:rsidRDefault="0070418B" w:rsidP="00AD11DC">
      <w:pPr>
        <w:pStyle w:val="Normalnumber"/>
        <w:numPr>
          <w:ilvl w:val="0"/>
          <w:numId w:val="7"/>
        </w:numPr>
        <w:rPr>
          <w:lang w:val="fr-FR"/>
        </w:rPr>
      </w:pPr>
      <w:r w:rsidRPr="00C36B84">
        <w:rPr>
          <w:lang w:val="fr-FR"/>
        </w:rPr>
        <w:t xml:space="preserve">Les rapports disponibles élaborés dans le cadre </w:t>
      </w:r>
      <w:r w:rsidR="009B3FEC" w:rsidRPr="00C36B84">
        <w:rPr>
          <w:lang w:val="fr-FR"/>
        </w:rPr>
        <w:t>du projet de réduction des risques présentés par les pesticides très dangereux</w:t>
      </w:r>
      <w:r w:rsidRPr="00C36B84">
        <w:rPr>
          <w:lang w:val="fr-FR"/>
        </w:rPr>
        <w:t xml:space="preserve"> </w:t>
      </w:r>
      <w:r w:rsidR="009B3FEC" w:rsidRPr="00C36B84">
        <w:rPr>
          <w:lang w:val="fr-FR"/>
        </w:rPr>
        <w:t xml:space="preserve">mené par le </w:t>
      </w:r>
      <w:r w:rsidRPr="00C36B84">
        <w:rPr>
          <w:lang w:val="fr-FR"/>
        </w:rPr>
        <w:t>Mozambique et inclus dans la documentation à l</w:t>
      </w:r>
      <w:r w:rsidR="00263978" w:rsidRPr="00C36B84">
        <w:rPr>
          <w:lang w:val="fr-FR"/>
        </w:rPr>
        <w:t>’</w:t>
      </w:r>
      <w:r w:rsidRPr="00C36B84">
        <w:rPr>
          <w:lang w:val="fr-FR"/>
        </w:rPr>
        <w:t>appui présentent des méthodes détaillées, précisant que des critères internationalement reconnus établis par la JMPM aux fins du recensement des pesticides très dangereux, ainsi que le critère complémentaire utilisé par le Mozambique, ont été utilisés pour répertorier l</w:t>
      </w:r>
      <w:r w:rsidR="00263978" w:rsidRPr="00C36B84">
        <w:rPr>
          <w:lang w:val="fr-FR"/>
        </w:rPr>
        <w:t>’</w:t>
      </w:r>
      <w:r w:rsidRPr="00C36B84">
        <w:rPr>
          <w:lang w:val="fr-FR"/>
        </w:rPr>
        <w:t>iprodione comme « se rapprochant » d</w:t>
      </w:r>
      <w:r w:rsidR="00263978" w:rsidRPr="00C36B84">
        <w:rPr>
          <w:lang w:val="fr-FR"/>
        </w:rPr>
        <w:t>’</w:t>
      </w:r>
      <w:r w:rsidRPr="00C36B84">
        <w:rPr>
          <w:lang w:val="fr-FR"/>
        </w:rPr>
        <w:t>un</w:t>
      </w:r>
      <w:r w:rsidR="00571CDC" w:rsidRPr="00C36B84">
        <w:rPr>
          <w:lang w:val="fr-FR"/>
        </w:rPr>
        <w:t> </w:t>
      </w:r>
      <w:r w:rsidRPr="00C36B84">
        <w:rPr>
          <w:lang w:val="fr-FR"/>
        </w:rPr>
        <w:t>pesticide très dangereux (UNEP/FAO/RC/CRC.17/INF/11, p. 15). En outre, dans le rapport de l</w:t>
      </w:r>
      <w:r w:rsidR="00263978" w:rsidRPr="00C36B84">
        <w:rPr>
          <w:lang w:val="fr-FR"/>
        </w:rPr>
        <w:t>’</w:t>
      </w:r>
      <w:r w:rsidRPr="00C36B84">
        <w:rPr>
          <w:lang w:val="fr-FR"/>
        </w:rPr>
        <w:t>enquête sur les pratiques en matière d</w:t>
      </w:r>
      <w:r w:rsidR="00263978" w:rsidRPr="00C36B84">
        <w:rPr>
          <w:lang w:val="fr-FR"/>
        </w:rPr>
        <w:t>’</w:t>
      </w:r>
      <w:r w:rsidRPr="00C36B84">
        <w:rPr>
          <w:lang w:val="fr-FR"/>
        </w:rPr>
        <w:t>utilisation des pesticides dans certains systèmes de culture, il</w:t>
      </w:r>
      <w:r w:rsidR="00571CDC" w:rsidRPr="00C36B84">
        <w:rPr>
          <w:lang w:val="fr-FR"/>
        </w:rPr>
        <w:t> </w:t>
      </w:r>
      <w:r w:rsidRPr="00C36B84">
        <w:rPr>
          <w:lang w:val="fr-FR"/>
        </w:rPr>
        <w:t xml:space="preserve">est indiqué que </w:t>
      </w:r>
      <w:r w:rsidR="00091AC5" w:rsidRPr="00C36B84">
        <w:rPr>
          <w:lang w:val="fr-FR"/>
        </w:rPr>
        <w:t>l</w:t>
      </w:r>
      <w:r w:rsidRPr="00C36B84">
        <w:rPr>
          <w:lang w:val="fr-FR"/>
        </w:rPr>
        <w:t xml:space="preserve">a conception </w:t>
      </w:r>
      <w:r w:rsidR="00091AC5" w:rsidRPr="00C36B84">
        <w:rPr>
          <w:lang w:val="fr-FR"/>
        </w:rPr>
        <w:t xml:space="preserve">de </w:t>
      </w:r>
      <w:r w:rsidR="0087783C" w:rsidRPr="00C36B84">
        <w:rPr>
          <w:lang w:val="fr-FR"/>
        </w:rPr>
        <w:t>ladi</w:t>
      </w:r>
      <w:r w:rsidR="00091AC5" w:rsidRPr="00C36B84">
        <w:rPr>
          <w:lang w:val="fr-FR"/>
        </w:rPr>
        <w:t xml:space="preserve">te enquête </w:t>
      </w:r>
      <w:r w:rsidRPr="00C36B84">
        <w:rPr>
          <w:lang w:val="fr-FR"/>
        </w:rPr>
        <w:t>a été guidée par l</w:t>
      </w:r>
      <w:r w:rsidR="00263978" w:rsidRPr="00C36B84">
        <w:rPr>
          <w:lang w:val="fr-FR"/>
        </w:rPr>
        <w:t>’</w:t>
      </w:r>
      <w:r w:rsidRPr="00C36B84">
        <w:rPr>
          <w:lang w:val="fr-FR"/>
        </w:rPr>
        <w:t>examen de diverses enquêtes existantes sur l</w:t>
      </w:r>
      <w:r w:rsidR="00263978" w:rsidRPr="00C36B84">
        <w:rPr>
          <w:lang w:val="fr-FR"/>
        </w:rPr>
        <w:t>’</w:t>
      </w:r>
      <w:r w:rsidRPr="00C36B84">
        <w:rPr>
          <w:lang w:val="fr-FR"/>
        </w:rPr>
        <w:t>utilisation des pesticides ou sur l</w:t>
      </w:r>
      <w:r w:rsidR="00263978" w:rsidRPr="00C36B84">
        <w:rPr>
          <w:lang w:val="fr-FR"/>
        </w:rPr>
        <w:t>’</w:t>
      </w:r>
      <w:r w:rsidRPr="00C36B84">
        <w:rPr>
          <w:lang w:val="fr-FR"/>
        </w:rPr>
        <w:t>exposition aux pesticides menées pour le compte de l</w:t>
      </w:r>
      <w:r w:rsidR="00263978" w:rsidRPr="00C36B84">
        <w:rPr>
          <w:lang w:val="fr-FR"/>
        </w:rPr>
        <w:t>’</w:t>
      </w:r>
      <w:r w:rsidRPr="00C36B84">
        <w:rPr>
          <w:lang w:val="fr-FR"/>
        </w:rPr>
        <w:t>OMS et au titre de la Convention de Rotterdam, ainsi que par les orientations générales de la FAO relatives à l</w:t>
      </w:r>
      <w:r w:rsidR="00263978" w:rsidRPr="00C36B84">
        <w:rPr>
          <w:lang w:val="fr-FR"/>
        </w:rPr>
        <w:t>’</w:t>
      </w:r>
      <w:r w:rsidRPr="00C36B84">
        <w:rPr>
          <w:lang w:val="fr-FR"/>
        </w:rPr>
        <w:t>élaboration de ce type de questionnaire. Les enquêteurs ont d</w:t>
      </w:r>
      <w:r w:rsidR="00263978" w:rsidRPr="00C36B84">
        <w:rPr>
          <w:lang w:val="fr-FR"/>
        </w:rPr>
        <w:t>’</w:t>
      </w:r>
      <w:r w:rsidRPr="00C36B84">
        <w:rPr>
          <w:lang w:val="fr-FR"/>
        </w:rPr>
        <w:t>ailleurs été formés aux</w:t>
      </w:r>
      <w:r w:rsidR="00571CDC" w:rsidRPr="00C36B84">
        <w:rPr>
          <w:lang w:val="fr-FR"/>
        </w:rPr>
        <w:t> </w:t>
      </w:r>
      <w:r w:rsidRPr="00C36B84">
        <w:rPr>
          <w:lang w:val="fr-FR"/>
        </w:rPr>
        <w:t>techniques d</w:t>
      </w:r>
      <w:r w:rsidR="00263978" w:rsidRPr="00C36B84">
        <w:rPr>
          <w:lang w:val="fr-FR"/>
        </w:rPr>
        <w:t>’</w:t>
      </w:r>
      <w:r w:rsidRPr="00C36B84">
        <w:rPr>
          <w:lang w:val="fr-FR"/>
        </w:rPr>
        <w:t>enquête (UNEP/FAO/RC/CRC.17/INF/11, p. 57–58).</w:t>
      </w:r>
    </w:p>
    <w:p w14:paraId="06BB4D2E" w14:textId="34C6CCC1" w:rsidR="0070418B" w:rsidRPr="00C36B84" w:rsidRDefault="0070418B" w:rsidP="00AD11DC">
      <w:pPr>
        <w:pStyle w:val="Normalnumber"/>
        <w:numPr>
          <w:ilvl w:val="0"/>
          <w:numId w:val="7"/>
        </w:numPr>
        <w:rPr>
          <w:lang w:val="fr-FR"/>
        </w:rPr>
      </w:pPr>
      <w:r w:rsidRPr="00C36B84">
        <w:rPr>
          <w:lang w:val="fr-FR"/>
        </w:rPr>
        <w:t>En conséquence, le Comité confirme que les critères énoncés au paragraphe b), alinéas i) et ii), de l</w:t>
      </w:r>
      <w:r w:rsidR="00263978" w:rsidRPr="00C36B84">
        <w:rPr>
          <w:lang w:val="fr-FR"/>
        </w:rPr>
        <w:t>’</w:t>
      </w:r>
      <w:r w:rsidRPr="00C36B84">
        <w:rPr>
          <w:lang w:val="fr-FR"/>
        </w:rPr>
        <w:t>Annexe II sont remplis.</w:t>
      </w:r>
    </w:p>
    <w:p w14:paraId="5A8C81C0" w14:textId="0BAB4754" w:rsidR="0070418B" w:rsidRPr="00C36B84" w:rsidRDefault="00FF0013" w:rsidP="00FF0013">
      <w:pPr>
        <w:pStyle w:val="NormalNonumber"/>
        <w:ind w:left="2381" w:hanging="1134"/>
        <w:rPr>
          <w:i/>
        </w:rPr>
      </w:pPr>
      <w:r w:rsidRPr="00C36B84">
        <w:rPr>
          <w:i/>
        </w:rPr>
        <w:tab/>
      </w:r>
      <w:r w:rsidR="0070418B" w:rsidRPr="00C36B84">
        <w:rPr>
          <w:i/>
        </w:rPr>
        <w:t>iii)</w:t>
      </w:r>
      <w:r w:rsidR="0070418B" w:rsidRPr="00C36B84">
        <w:rPr>
          <w:i/>
        </w:rPr>
        <w:tab/>
        <w:t>La mesure de réglementation finale est fondée sur une évaluation des risques qui tient compte des circonstances propres à la Partie qui a pris la mesure ;</w:t>
      </w:r>
    </w:p>
    <w:p w14:paraId="474D1890" w14:textId="05238C2A" w:rsidR="00F23195" w:rsidRPr="00C36B84" w:rsidRDefault="0070418B" w:rsidP="00AD11DC">
      <w:pPr>
        <w:pStyle w:val="Normalnumber"/>
        <w:numPr>
          <w:ilvl w:val="0"/>
          <w:numId w:val="7"/>
        </w:numPr>
        <w:rPr>
          <w:lang w:val="fr-FR"/>
        </w:rPr>
      </w:pPr>
      <w:r w:rsidRPr="00C36B84">
        <w:rPr>
          <w:lang w:val="fr-FR"/>
        </w:rPr>
        <w:t>La notification indique que la mesure de réglementation finale est fondée sur une évaluation des risques ou des dangers qui tient compte des circonstances propres à la Partie afin de protéger la</w:t>
      </w:r>
      <w:r w:rsidR="00571CDC" w:rsidRPr="00C36B84">
        <w:rPr>
          <w:lang w:val="fr-FR"/>
        </w:rPr>
        <w:t> </w:t>
      </w:r>
      <w:r w:rsidRPr="00C36B84">
        <w:rPr>
          <w:lang w:val="fr-FR"/>
        </w:rPr>
        <w:t>santé humaine (UNEP/FAO/RC/CRC.17/5, section</w:t>
      </w:r>
      <w:r w:rsidR="00742C00">
        <w:rPr>
          <w:lang w:val="fr-FR"/>
        </w:rPr>
        <w:t> </w:t>
      </w:r>
      <w:r w:rsidRPr="00C36B84">
        <w:rPr>
          <w:lang w:val="fr-FR"/>
        </w:rPr>
        <w:t xml:space="preserve">2.4 de la </w:t>
      </w:r>
      <w:r w:rsidR="009A49D0" w:rsidRPr="00C36B84">
        <w:rPr>
          <w:lang w:val="fr-FR"/>
        </w:rPr>
        <w:t>notification reçue d</w:t>
      </w:r>
      <w:r w:rsidRPr="00C36B84">
        <w:rPr>
          <w:lang w:val="fr-FR"/>
        </w:rPr>
        <w:t>u Mozambique). Dans le but de réduire les risques les plus importants liés à l</w:t>
      </w:r>
      <w:r w:rsidR="00263978" w:rsidRPr="00C36B84">
        <w:rPr>
          <w:lang w:val="fr-FR"/>
        </w:rPr>
        <w:t>’</w:t>
      </w:r>
      <w:r w:rsidRPr="00C36B84">
        <w:rPr>
          <w:lang w:val="fr-FR"/>
        </w:rPr>
        <w:t>utilisation des pesticides, le</w:t>
      </w:r>
      <w:r w:rsidR="00571CDC" w:rsidRPr="00C36B84">
        <w:rPr>
          <w:lang w:val="fr-FR"/>
        </w:rPr>
        <w:t> </w:t>
      </w:r>
      <w:r w:rsidR="009B3FEC" w:rsidRPr="00C36B84">
        <w:rPr>
          <w:lang w:val="fr-FR"/>
        </w:rPr>
        <w:t>G</w:t>
      </w:r>
      <w:r w:rsidRPr="00C36B84">
        <w:rPr>
          <w:lang w:val="fr-FR"/>
        </w:rPr>
        <w:t xml:space="preserve">ouvernement </w:t>
      </w:r>
      <w:r w:rsidR="009B3FEC" w:rsidRPr="00C36B84">
        <w:rPr>
          <w:lang w:val="fr-FR"/>
        </w:rPr>
        <w:t xml:space="preserve">mozambicain </w:t>
      </w:r>
      <w:r w:rsidRPr="00C36B84">
        <w:rPr>
          <w:lang w:val="fr-FR"/>
        </w:rPr>
        <w:t xml:space="preserve">a lancé le </w:t>
      </w:r>
      <w:r w:rsidR="009B3FEC" w:rsidRPr="00C36B84">
        <w:rPr>
          <w:lang w:val="fr-FR"/>
        </w:rPr>
        <w:t xml:space="preserve">projet de réduction des risques présentés par les pesticides très dangereux </w:t>
      </w:r>
      <w:r w:rsidRPr="00C36B84">
        <w:rPr>
          <w:lang w:val="fr-FR"/>
        </w:rPr>
        <w:t>avec l</w:t>
      </w:r>
      <w:r w:rsidR="00263978" w:rsidRPr="00C36B84">
        <w:rPr>
          <w:lang w:val="fr-FR"/>
        </w:rPr>
        <w:t>’</w:t>
      </w:r>
      <w:r w:rsidRPr="00C36B84">
        <w:rPr>
          <w:lang w:val="fr-FR"/>
        </w:rPr>
        <w:t>appui technique de l</w:t>
      </w:r>
      <w:r w:rsidR="00263978" w:rsidRPr="00C36B84">
        <w:rPr>
          <w:lang w:val="fr-FR"/>
        </w:rPr>
        <w:t>’</w:t>
      </w:r>
      <w:r w:rsidRPr="00C36B84">
        <w:rPr>
          <w:lang w:val="fr-FR"/>
        </w:rPr>
        <w:t xml:space="preserve">Unité de gestion des pesticides de la FAO et </w:t>
      </w:r>
      <w:r w:rsidR="00E631C4" w:rsidRPr="00C36B84">
        <w:rPr>
          <w:lang w:val="fr-FR"/>
        </w:rPr>
        <w:t>un</w:t>
      </w:r>
      <w:r w:rsidR="00571CDC" w:rsidRPr="00C36B84">
        <w:rPr>
          <w:lang w:val="fr-FR"/>
        </w:rPr>
        <w:t> </w:t>
      </w:r>
      <w:r w:rsidRPr="00C36B84">
        <w:rPr>
          <w:lang w:val="fr-FR"/>
        </w:rPr>
        <w:t>financ</w:t>
      </w:r>
      <w:r w:rsidR="00E631C4" w:rsidRPr="00C36B84">
        <w:rPr>
          <w:lang w:val="fr-FR"/>
        </w:rPr>
        <w:t>ement</w:t>
      </w:r>
      <w:r w:rsidRPr="00C36B84">
        <w:rPr>
          <w:lang w:val="fr-FR"/>
        </w:rPr>
        <w:t xml:space="preserve"> du Fonds d</w:t>
      </w:r>
      <w:r w:rsidR="00263978" w:rsidRPr="00C36B84">
        <w:rPr>
          <w:lang w:val="fr-FR"/>
        </w:rPr>
        <w:t>’</w:t>
      </w:r>
      <w:r w:rsidRPr="00C36B84">
        <w:rPr>
          <w:lang w:val="fr-FR"/>
        </w:rPr>
        <w:t xml:space="preserve">affectation spéciale </w:t>
      </w:r>
      <w:r w:rsidR="00E631C4" w:rsidRPr="00C36B84">
        <w:rPr>
          <w:lang w:val="fr-FR"/>
        </w:rPr>
        <w:t>du</w:t>
      </w:r>
      <w:r w:rsidRPr="00C36B84">
        <w:rPr>
          <w:lang w:val="fr-FR"/>
        </w:rPr>
        <w:t xml:space="preserve"> Programme de démarrage rapide de l</w:t>
      </w:r>
      <w:r w:rsidR="00263978" w:rsidRPr="00C36B84">
        <w:rPr>
          <w:lang w:val="fr-FR"/>
        </w:rPr>
        <w:t>’</w:t>
      </w:r>
      <w:r w:rsidRPr="00C36B84">
        <w:rPr>
          <w:lang w:val="fr-FR"/>
        </w:rPr>
        <w:t>Approche stratégique de la gestion internationale des produits chimiques (SAICM). L</w:t>
      </w:r>
      <w:r w:rsidR="00263978" w:rsidRPr="00C36B84">
        <w:rPr>
          <w:lang w:val="fr-FR"/>
        </w:rPr>
        <w:t>’</w:t>
      </w:r>
      <w:r w:rsidRPr="00C36B84">
        <w:rPr>
          <w:lang w:val="fr-FR"/>
        </w:rPr>
        <w:t>objectif ultime du projet était d</w:t>
      </w:r>
      <w:r w:rsidR="00263978" w:rsidRPr="00C36B84">
        <w:rPr>
          <w:lang w:val="fr-FR"/>
        </w:rPr>
        <w:t>’</w:t>
      </w:r>
      <w:r w:rsidRPr="00C36B84">
        <w:rPr>
          <w:lang w:val="fr-FR"/>
        </w:rPr>
        <w:t>élaborer et de mettre en œuvre un « plan d</w:t>
      </w:r>
      <w:r w:rsidR="00263978" w:rsidRPr="00C36B84">
        <w:rPr>
          <w:lang w:val="fr-FR"/>
        </w:rPr>
        <w:t>’</w:t>
      </w:r>
      <w:r w:rsidRPr="00C36B84">
        <w:rPr>
          <w:lang w:val="fr-FR"/>
        </w:rPr>
        <w:t>action pour la réduction des risques liés aux</w:t>
      </w:r>
      <w:r w:rsidR="00571CDC" w:rsidRPr="00C36B84">
        <w:rPr>
          <w:lang w:val="fr-FR"/>
        </w:rPr>
        <w:t> </w:t>
      </w:r>
      <w:r w:rsidRPr="00C36B84">
        <w:rPr>
          <w:lang w:val="fr-FR"/>
        </w:rPr>
        <w:t>pesticides très dangereux » axé sur les pesticides et les situations d</w:t>
      </w:r>
      <w:r w:rsidR="00263978" w:rsidRPr="00C36B84">
        <w:rPr>
          <w:lang w:val="fr-FR"/>
        </w:rPr>
        <w:t>’</w:t>
      </w:r>
      <w:r w:rsidRPr="00C36B84">
        <w:rPr>
          <w:lang w:val="fr-FR"/>
        </w:rPr>
        <w:t>utilisation présentant le plus de</w:t>
      </w:r>
      <w:r w:rsidR="00571CDC" w:rsidRPr="00C36B84">
        <w:rPr>
          <w:lang w:val="fr-FR"/>
        </w:rPr>
        <w:t> </w:t>
      </w:r>
      <w:r w:rsidRPr="00C36B84">
        <w:rPr>
          <w:lang w:val="fr-FR"/>
        </w:rPr>
        <w:t>danger, qui se traduirait au fil du temps par la mise en œuvre de diverses mesures de réduction des</w:t>
      </w:r>
      <w:r w:rsidR="00571CDC" w:rsidRPr="00C36B84">
        <w:rPr>
          <w:lang w:val="fr-FR"/>
        </w:rPr>
        <w:t> </w:t>
      </w:r>
      <w:r w:rsidRPr="00C36B84">
        <w:rPr>
          <w:lang w:val="fr-FR"/>
        </w:rPr>
        <w:t>risques fondées sur un examen des conditions d</w:t>
      </w:r>
      <w:r w:rsidR="00263978" w:rsidRPr="00C36B84">
        <w:rPr>
          <w:lang w:val="fr-FR"/>
        </w:rPr>
        <w:t>’</w:t>
      </w:r>
      <w:r w:rsidRPr="00C36B84">
        <w:rPr>
          <w:lang w:val="fr-FR"/>
        </w:rPr>
        <w:t>utilisation. Ces mesures pouvaient comprendre l</w:t>
      </w:r>
      <w:r w:rsidR="00263978" w:rsidRPr="00C36B84">
        <w:rPr>
          <w:lang w:val="fr-FR"/>
        </w:rPr>
        <w:t>’</w:t>
      </w:r>
      <w:r w:rsidRPr="00C36B84">
        <w:rPr>
          <w:lang w:val="fr-FR"/>
        </w:rPr>
        <w:t>annulation de certaines homologations de pesticides très dangereux, la mise en œuvre de mesures d</w:t>
      </w:r>
      <w:r w:rsidR="00263978" w:rsidRPr="00C36B84">
        <w:rPr>
          <w:lang w:val="fr-FR"/>
        </w:rPr>
        <w:t>’</w:t>
      </w:r>
      <w:r w:rsidRPr="00C36B84">
        <w:rPr>
          <w:lang w:val="fr-FR"/>
        </w:rPr>
        <w:t>atténuation des risques, des restrictions d</w:t>
      </w:r>
      <w:r w:rsidR="00263978" w:rsidRPr="00C36B84">
        <w:rPr>
          <w:lang w:val="fr-FR"/>
        </w:rPr>
        <w:t>’</w:t>
      </w:r>
      <w:r w:rsidRPr="00C36B84">
        <w:rPr>
          <w:lang w:val="fr-FR"/>
        </w:rPr>
        <w:t>utilisation appropriées, l</w:t>
      </w:r>
      <w:r w:rsidR="00263978" w:rsidRPr="00C36B84">
        <w:rPr>
          <w:lang w:val="fr-FR"/>
        </w:rPr>
        <w:t>’</w:t>
      </w:r>
      <w:r w:rsidRPr="00C36B84">
        <w:rPr>
          <w:lang w:val="fr-FR"/>
        </w:rPr>
        <w:t>élaboration d</w:t>
      </w:r>
      <w:r w:rsidR="00263978" w:rsidRPr="00C36B84">
        <w:rPr>
          <w:lang w:val="fr-FR"/>
        </w:rPr>
        <w:t>’</w:t>
      </w:r>
      <w:r w:rsidRPr="00C36B84">
        <w:rPr>
          <w:lang w:val="fr-FR"/>
        </w:rPr>
        <w:t>autres stratégies de</w:t>
      </w:r>
      <w:r w:rsidR="00571CDC" w:rsidRPr="00C36B84">
        <w:rPr>
          <w:lang w:val="fr-FR"/>
        </w:rPr>
        <w:t> </w:t>
      </w:r>
      <w:r w:rsidRPr="00C36B84">
        <w:rPr>
          <w:lang w:val="fr-FR"/>
        </w:rPr>
        <w:t>lutte antiparasitaire, la promotion de bonnes pratiques agricoles et l</w:t>
      </w:r>
      <w:r w:rsidR="00263978" w:rsidRPr="00C36B84">
        <w:rPr>
          <w:lang w:val="fr-FR"/>
        </w:rPr>
        <w:t>’</w:t>
      </w:r>
      <w:r w:rsidR="00E631C4" w:rsidRPr="00C36B84">
        <w:rPr>
          <w:lang w:val="fr-FR"/>
        </w:rPr>
        <w:t>éventuel</w:t>
      </w:r>
      <w:r w:rsidR="005D7251" w:rsidRPr="00C36B84">
        <w:rPr>
          <w:lang w:val="fr-FR"/>
        </w:rPr>
        <w:t xml:space="preserve"> abandon </w:t>
      </w:r>
      <w:r w:rsidRPr="00C36B84">
        <w:rPr>
          <w:lang w:val="fr-FR"/>
        </w:rPr>
        <w:t>progressi</w:t>
      </w:r>
      <w:r w:rsidR="005D7251" w:rsidRPr="00C36B84">
        <w:rPr>
          <w:lang w:val="fr-FR"/>
        </w:rPr>
        <w:t>f</w:t>
      </w:r>
      <w:r w:rsidRPr="00C36B84">
        <w:rPr>
          <w:lang w:val="fr-FR"/>
        </w:rPr>
        <w:t xml:space="preserve"> de certains pesticides (UNEP/FAO/RC/CRC.17/INF/11).</w:t>
      </w:r>
    </w:p>
    <w:p w14:paraId="3B89C616" w14:textId="3F705AE3" w:rsidR="0070418B" w:rsidRPr="00C36B84" w:rsidRDefault="0070418B" w:rsidP="00AD11DC">
      <w:pPr>
        <w:pStyle w:val="Normalnumber"/>
        <w:numPr>
          <w:ilvl w:val="0"/>
          <w:numId w:val="7"/>
        </w:numPr>
        <w:rPr>
          <w:rFonts w:eastAsia="MS Mincho"/>
          <w:bCs/>
          <w:iCs/>
          <w:lang w:val="fr-FR"/>
        </w:rPr>
      </w:pPr>
      <w:r w:rsidRPr="00C36B84">
        <w:rPr>
          <w:lang w:val="fr-FR"/>
        </w:rPr>
        <w:t xml:space="preserve">Le projet </w:t>
      </w:r>
      <w:r w:rsidR="005D7251" w:rsidRPr="00C36B84">
        <w:rPr>
          <w:lang w:val="fr-FR"/>
        </w:rPr>
        <w:t>comprenait</w:t>
      </w:r>
      <w:r w:rsidRPr="00C36B84">
        <w:rPr>
          <w:lang w:val="fr-FR"/>
        </w:rPr>
        <w:t xml:space="preserve"> trois étapes, dont la première a consisté à passer en revue tous les</w:t>
      </w:r>
      <w:r w:rsidR="00571CDC" w:rsidRPr="00C36B84">
        <w:rPr>
          <w:lang w:val="fr-FR"/>
        </w:rPr>
        <w:t> </w:t>
      </w:r>
      <w:r w:rsidRPr="00C36B84">
        <w:rPr>
          <w:lang w:val="fr-FR"/>
        </w:rPr>
        <w:t>pesticides homologués au Mozambique et à établir une liste restreinte des pesticides très dangereux. Ladite liste restreinte a été établie à partir d</w:t>
      </w:r>
      <w:r w:rsidR="00263978" w:rsidRPr="00C36B84">
        <w:rPr>
          <w:lang w:val="fr-FR"/>
        </w:rPr>
        <w:t>’</w:t>
      </w:r>
      <w:r w:rsidRPr="00C36B84">
        <w:rPr>
          <w:lang w:val="fr-FR"/>
        </w:rPr>
        <w:t>une évaluation des dangers liés aux pesticides</w:t>
      </w:r>
      <w:r w:rsidR="0087783C" w:rsidRPr="00C36B84">
        <w:rPr>
          <w:lang w:val="fr-FR"/>
        </w:rPr>
        <w:t xml:space="preserve"> considérés</w:t>
      </w:r>
      <w:r w:rsidRPr="00C36B84">
        <w:rPr>
          <w:lang w:val="fr-FR"/>
        </w:rPr>
        <w:t xml:space="preserve">, sur la base de critères établis par la </w:t>
      </w:r>
      <w:r w:rsidR="009B3FEC" w:rsidRPr="00C36B84">
        <w:rPr>
          <w:lang w:val="fr-FR"/>
        </w:rPr>
        <w:t>JMPM</w:t>
      </w:r>
      <w:r w:rsidRPr="00C36B84">
        <w:rPr>
          <w:lang w:val="fr-FR"/>
        </w:rPr>
        <w:t xml:space="preserve"> (FAO et OMS, 2008) et de critères complémentaires pour les pesticides dont les caractéristiques se rapprochent des critères de la JMPM.</w:t>
      </w:r>
    </w:p>
    <w:p w14:paraId="5F932A13" w14:textId="2B7B7548" w:rsidR="00F23195" w:rsidRPr="00C36B84" w:rsidRDefault="0070418B" w:rsidP="00AD11DC">
      <w:pPr>
        <w:pStyle w:val="Normalnumber"/>
        <w:numPr>
          <w:ilvl w:val="0"/>
          <w:numId w:val="7"/>
        </w:numPr>
        <w:rPr>
          <w:lang w:val="fr-FR"/>
        </w:rPr>
      </w:pPr>
      <w:r w:rsidRPr="00C36B84">
        <w:rPr>
          <w:lang w:val="fr-FR"/>
        </w:rPr>
        <w:t>La formulation de l</w:t>
      </w:r>
      <w:r w:rsidR="00263978" w:rsidRPr="00C36B84">
        <w:rPr>
          <w:lang w:val="fr-FR"/>
        </w:rPr>
        <w:t>’</w:t>
      </w:r>
      <w:r w:rsidRPr="00C36B84">
        <w:rPr>
          <w:lang w:val="fr-FR"/>
        </w:rPr>
        <w:t>iprodione homologuée à l</w:t>
      </w:r>
      <w:r w:rsidR="00263978" w:rsidRPr="00C36B84">
        <w:rPr>
          <w:lang w:val="fr-FR"/>
        </w:rPr>
        <w:t>’</w:t>
      </w:r>
      <w:r w:rsidRPr="00C36B84">
        <w:rPr>
          <w:lang w:val="fr-FR"/>
        </w:rPr>
        <w:t xml:space="preserve">époque au Mozambique était </w:t>
      </w:r>
      <w:r w:rsidR="002C51AE" w:rsidRPr="00C36B84">
        <w:rPr>
          <w:lang w:val="fr-FR"/>
        </w:rPr>
        <w:t xml:space="preserve">celle appelée </w:t>
      </w:r>
      <w:r w:rsidRPr="00C36B84">
        <w:rPr>
          <w:lang w:val="fr-FR"/>
        </w:rPr>
        <w:t>Iprodione 25,5 % SC (UNEP/FAO/RC/CRC.17/5, section</w:t>
      </w:r>
      <w:r w:rsidR="00742C00">
        <w:rPr>
          <w:lang w:val="fr-FR"/>
        </w:rPr>
        <w:t> </w:t>
      </w:r>
      <w:r w:rsidRPr="00C36B84">
        <w:rPr>
          <w:lang w:val="fr-FR"/>
        </w:rPr>
        <w:t xml:space="preserve">1.3 de la </w:t>
      </w:r>
      <w:r w:rsidR="009A49D0" w:rsidRPr="00C36B84">
        <w:rPr>
          <w:lang w:val="fr-FR"/>
        </w:rPr>
        <w:t>notification reçue d</w:t>
      </w:r>
      <w:r w:rsidRPr="00C36B84">
        <w:rPr>
          <w:lang w:val="fr-FR"/>
        </w:rPr>
        <w:t xml:space="preserve">u Mozambique et UNEP/FAO/RC/CRC.17/INF/11, p. 49). Cette formulation a été évaluée par rapport aux critères de la </w:t>
      </w:r>
      <w:r w:rsidR="009B3FEC" w:rsidRPr="00C36B84">
        <w:rPr>
          <w:lang w:val="fr-FR"/>
        </w:rPr>
        <w:t>JMPM</w:t>
      </w:r>
      <w:r w:rsidRPr="00C36B84">
        <w:rPr>
          <w:lang w:val="fr-FR"/>
        </w:rPr>
        <w:t xml:space="preserve"> permettant le recensement des pesticides très dangereux et au critère complémentaire suivant, utilisé par le Mozambique pour recenser les pesticides dont les caractéristiques « se</w:t>
      </w:r>
      <w:r w:rsidR="00571CDC" w:rsidRPr="00C36B84">
        <w:rPr>
          <w:lang w:val="fr-FR"/>
        </w:rPr>
        <w:t> </w:t>
      </w:r>
      <w:r w:rsidRPr="00C36B84">
        <w:rPr>
          <w:lang w:val="fr-FR"/>
        </w:rPr>
        <w:t>rapprochent » de celles des pesticides très dangereux : pesticides pour lesquels les évaluations de la cancérogénicité réalisées par différentes autorités compétentes en matière d</w:t>
      </w:r>
      <w:r w:rsidR="00263978" w:rsidRPr="00C36B84">
        <w:rPr>
          <w:lang w:val="fr-FR"/>
        </w:rPr>
        <w:t>’</w:t>
      </w:r>
      <w:r w:rsidRPr="00C36B84">
        <w:rPr>
          <w:lang w:val="fr-FR"/>
        </w:rPr>
        <w:t>homologation ou d</w:t>
      </w:r>
      <w:r w:rsidR="00263978" w:rsidRPr="00C36B84">
        <w:rPr>
          <w:lang w:val="fr-FR"/>
        </w:rPr>
        <w:t>’</w:t>
      </w:r>
      <w:r w:rsidRPr="00C36B84">
        <w:rPr>
          <w:lang w:val="fr-FR"/>
        </w:rPr>
        <w:t>évaluation n</w:t>
      </w:r>
      <w:r w:rsidR="00263978" w:rsidRPr="00C36B84">
        <w:rPr>
          <w:lang w:val="fr-FR"/>
        </w:rPr>
        <w:t>’</w:t>
      </w:r>
      <w:r w:rsidRPr="00C36B84">
        <w:rPr>
          <w:lang w:val="fr-FR"/>
        </w:rPr>
        <w:t>ont pas conduit à une classification cohérente dans la catégorie 1A ou 1B du SGH, mais dont l</w:t>
      </w:r>
      <w:r w:rsidR="00263978" w:rsidRPr="00C36B84">
        <w:rPr>
          <w:lang w:val="fr-FR"/>
        </w:rPr>
        <w:t>’</w:t>
      </w:r>
      <w:r w:rsidRPr="00C36B84">
        <w:rPr>
          <w:lang w:val="fr-FR"/>
        </w:rPr>
        <w:t>utilisation au Mozambique a été jugée particulièrement préoccupante sur la base des données probantes présentées par l</w:t>
      </w:r>
      <w:r w:rsidR="00263978" w:rsidRPr="00C36B84">
        <w:rPr>
          <w:lang w:val="fr-FR"/>
        </w:rPr>
        <w:t>’</w:t>
      </w:r>
      <w:r w:rsidRPr="00C36B84">
        <w:rPr>
          <w:lang w:val="fr-FR"/>
        </w:rPr>
        <w:t>une de ces autorités. En conséquence, l</w:t>
      </w:r>
      <w:r w:rsidR="00263978" w:rsidRPr="00C36B84">
        <w:rPr>
          <w:lang w:val="fr-FR"/>
        </w:rPr>
        <w:t>’</w:t>
      </w:r>
      <w:r w:rsidRPr="00C36B84">
        <w:rPr>
          <w:lang w:val="fr-FR"/>
        </w:rPr>
        <w:t>iprodione figurait sur la liste restreinte en tant que pesticide « se rapprochant » d</w:t>
      </w:r>
      <w:r w:rsidR="00263978" w:rsidRPr="00C36B84">
        <w:rPr>
          <w:lang w:val="fr-FR"/>
        </w:rPr>
        <w:t>’</w:t>
      </w:r>
      <w:r w:rsidRPr="00C36B84">
        <w:rPr>
          <w:lang w:val="fr-FR"/>
        </w:rPr>
        <w:t>un pesticide très dangereux.</w:t>
      </w:r>
    </w:p>
    <w:p w14:paraId="0413D8E0" w14:textId="7ADE0105" w:rsidR="0070418B" w:rsidRPr="00C36B84" w:rsidRDefault="0070418B" w:rsidP="00AD11DC">
      <w:pPr>
        <w:pStyle w:val="Normalnumber"/>
        <w:numPr>
          <w:ilvl w:val="0"/>
          <w:numId w:val="7"/>
        </w:numPr>
        <w:rPr>
          <w:rFonts w:eastAsia="MS Mincho"/>
          <w:bCs/>
          <w:iCs/>
          <w:lang w:val="fr-FR"/>
        </w:rPr>
      </w:pPr>
      <w:r w:rsidRPr="00C36B84">
        <w:rPr>
          <w:lang w:val="fr-FR"/>
        </w:rPr>
        <w:t>Au cours de la deuxième étape du projet, une enquête sur l</w:t>
      </w:r>
      <w:r w:rsidR="00263978" w:rsidRPr="00C36B84">
        <w:rPr>
          <w:lang w:val="fr-FR"/>
        </w:rPr>
        <w:t>’</w:t>
      </w:r>
      <w:r w:rsidRPr="00C36B84">
        <w:rPr>
          <w:lang w:val="fr-FR"/>
        </w:rPr>
        <w:t xml:space="preserve">utilisation a été réalisée dans certaines régions et certains systèmes de culture du Mozambique. Cette enquête visait principalement à déterminer les conditions </w:t>
      </w:r>
      <w:r w:rsidR="005D7251" w:rsidRPr="00C36B84">
        <w:rPr>
          <w:lang w:val="fr-FR"/>
        </w:rPr>
        <w:t>d</w:t>
      </w:r>
      <w:r w:rsidR="00263978" w:rsidRPr="00C36B84">
        <w:rPr>
          <w:lang w:val="fr-FR"/>
        </w:rPr>
        <w:t>’</w:t>
      </w:r>
      <w:r w:rsidR="005D7251" w:rsidRPr="00C36B84">
        <w:rPr>
          <w:lang w:val="fr-FR"/>
        </w:rPr>
        <w:t>utilisation d</w:t>
      </w:r>
      <w:r w:rsidRPr="00C36B84">
        <w:rPr>
          <w:lang w:val="fr-FR"/>
        </w:rPr>
        <w:t>es pesticides dans le pays et la mesure dans laquelle elles</w:t>
      </w:r>
      <w:r w:rsidR="00FF0013" w:rsidRPr="00C36B84">
        <w:rPr>
          <w:lang w:val="fr-FR"/>
        </w:rPr>
        <w:t> </w:t>
      </w:r>
      <w:r w:rsidRPr="00C36B84">
        <w:rPr>
          <w:lang w:val="fr-FR"/>
        </w:rPr>
        <w:t xml:space="preserve">influent sur les </w:t>
      </w:r>
      <w:proofErr w:type="gramStart"/>
      <w:r w:rsidRPr="00C36B84">
        <w:rPr>
          <w:lang w:val="fr-FR"/>
        </w:rPr>
        <w:t>risques potentiels</w:t>
      </w:r>
      <w:proofErr w:type="gramEnd"/>
      <w:r w:rsidRPr="00C36B84">
        <w:rPr>
          <w:lang w:val="fr-FR"/>
        </w:rPr>
        <w:t xml:space="preserve"> pour la santé humaine et pour l</w:t>
      </w:r>
      <w:r w:rsidR="00263978" w:rsidRPr="00C36B84">
        <w:rPr>
          <w:lang w:val="fr-FR"/>
        </w:rPr>
        <w:t>’</w:t>
      </w:r>
      <w:r w:rsidRPr="00C36B84">
        <w:rPr>
          <w:lang w:val="fr-FR"/>
        </w:rPr>
        <w:t>environnement.</w:t>
      </w:r>
    </w:p>
    <w:p w14:paraId="0873C7B8" w14:textId="18171934" w:rsidR="0070418B" w:rsidRPr="00C36B84" w:rsidRDefault="0070418B" w:rsidP="00AD11DC">
      <w:pPr>
        <w:pStyle w:val="Normalnumber"/>
        <w:numPr>
          <w:ilvl w:val="0"/>
          <w:numId w:val="7"/>
        </w:numPr>
        <w:rPr>
          <w:rFonts w:eastAsia="MS Mincho"/>
          <w:bCs/>
          <w:iCs/>
          <w:lang w:val="fr-FR"/>
        </w:rPr>
      </w:pPr>
      <w:r w:rsidRPr="00C36B84">
        <w:rPr>
          <w:lang w:val="fr-FR"/>
        </w:rPr>
        <w:t>L</w:t>
      </w:r>
      <w:r w:rsidR="00263978" w:rsidRPr="00C36B84">
        <w:rPr>
          <w:lang w:val="fr-FR"/>
        </w:rPr>
        <w:t>’</w:t>
      </w:r>
      <w:r w:rsidRPr="00C36B84">
        <w:rPr>
          <w:lang w:val="fr-FR"/>
        </w:rPr>
        <w:t>enquête (menée auprès de 325 agriculteurs de subsistance) a fait apparaître que la plupart des</w:t>
      </w:r>
      <w:r w:rsidR="00FF0013" w:rsidRPr="00C36B84">
        <w:rPr>
          <w:lang w:val="fr-FR"/>
        </w:rPr>
        <w:t> </w:t>
      </w:r>
      <w:r w:rsidRPr="00C36B84">
        <w:rPr>
          <w:lang w:val="fr-FR"/>
        </w:rPr>
        <w:t>agriculteurs (95 %) utilisaient des pesticides et que les conditions d</w:t>
      </w:r>
      <w:r w:rsidR="00263978" w:rsidRPr="00C36B84">
        <w:rPr>
          <w:lang w:val="fr-FR"/>
        </w:rPr>
        <w:t>’</w:t>
      </w:r>
      <w:r w:rsidRPr="00C36B84">
        <w:rPr>
          <w:lang w:val="fr-FR"/>
        </w:rPr>
        <w:t>utilisation étaient susceptibles d</w:t>
      </w:r>
      <w:r w:rsidR="00263978" w:rsidRPr="00C36B84">
        <w:rPr>
          <w:lang w:val="fr-FR"/>
        </w:rPr>
        <w:t>’</w:t>
      </w:r>
      <w:r w:rsidRPr="00C36B84">
        <w:rPr>
          <w:lang w:val="fr-FR"/>
        </w:rPr>
        <w:t>entraîner une exposition excessive. La moitié des agriculteurs interrogés n</w:t>
      </w:r>
      <w:r w:rsidR="00263978" w:rsidRPr="00C36B84">
        <w:rPr>
          <w:lang w:val="fr-FR"/>
        </w:rPr>
        <w:t>’</w:t>
      </w:r>
      <w:r w:rsidRPr="00C36B84">
        <w:rPr>
          <w:lang w:val="fr-FR"/>
        </w:rPr>
        <w:t>avaient jamais reçu de</w:t>
      </w:r>
      <w:r w:rsidR="00FF0013" w:rsidRPr="00C36B84">
        <w:rPr>
          <w:lang w:val="fr-FR"/>
        </w:rPr>
        <w:t> </w:t>
      </w:r>
      <w:r w:rsidRPr="00C36B84">
        <w:rPr>
          <w:lang w:val="fr-FR"/>
        </w:rPr>
        <w:t>formation en matière d</w:t>
      </w:r>
      <w:r w:rsidR="00263978" w:rsidRPr="00C36B84">
        <w:rPr>
          <w:lang w:val="fr-FR"/>
        </w:rPr>
        <w:t>’</w:t>
      </w:r>
      <w:r w:rsidRPr="00C36B84">
        <w:rPr>
          <w:lang w:val="fr-FR"/>
        </w:rPr>
        <w:t xml:space="preserve">utilisation des pesticides et souvent les autres, qui avaient reçu une telle </w:t>
      </w:r>
      <w:r w:rsidRPr="00C36B84">
        <w:rPr>
          <w:lang w:val="fr-FR"/>
        </w:rPr>
        <w:lastRenderedPageBreak/>
        <w:t xml:space="preserve">formation, ne comprenaient pas les risques encourus. Les agriculteurs pulvérisaient les cultures maraîchères au moins 14 fois par </w:t>
      </w:r>
      <w:r w:rsidR="005D7251" w:rsidRPr="00C36B84">
        <w:rPr>
          <w:lang w:val="fr-FR"/>
        </w:rPr>
        <w:t>campagne</w:t>
      </w:r>
      <w:r w:rsidRPr="00C36B84">
        <w:rPr>
          <w:lang w:val="fr-FR"/>
        </w:rPr>
        <w:t xml:space="preserve">. Une pulvérisation sur trois se faisait avec une </w:t>
      </w:r>
      <w:r w:rsidR="005D7251" w:rsidRPr="00C36B84">
        <w:rPr>
          <w:lang w:val="fr-FR"/>
        </w:rPr>
        <w:t>prépar</w:t>
      </w:r>
      <w:r w:rsidRPr="00C36B84">
        <w:rPr>
          <w:lang w:val="fr-FR"/>
        </w:rPr>
        <w:t>ation contenant un pesticide très dangereux (près de 30 % des agriculteurs interrogés utilisaient des</w:t>
      </w:r>
      <w:r w:rsidR="00FF0013" w:rsidRPr="00C36B84">
        <w:rPr>
          <w:lang w:val="fr-FR"/>
        </w:rPr>
        <w:t> </w:t>
      </w:r>
      <w:r w:rsidRPr="00C36B84">
        <w:rPr>
          <w:lang w:val="fr-FR"/>
        </w:rPr>
        <w:t>pesticides très dangereux).</w:t>
      </w:r>
    </w:p>
    <w:p w14:paraId="5CC1961D" w14:textId="4D1C5A3F" w:rsidR="0070418B" w:rsidRPr="00C36B84" w:rsidRDefault="00350015" w:rsidP="00AD11DC">
      <w:pPr>
        <w:pStyle w:val="Normalnumber"/>
        <w:numPr>
          <w:ilvl w:val="0"/>
          <w:numId w:val="7"/>
        </w:numPr>
        <w:rPr>
          <w:rFonts w:eastAsia="MS Mincho"/>
          <w:bCs/>
          <w:iCs/>
          <w:lang w:val="fr-FR"/>
        </w:rPr>
      </w:pPr>
      <w:r w:rsidRPr="00C36B84">
        <w:rPr>
          <w:lang w:val="fr-FR"/>
        </w:rPr>
        <w:t>En outre, la quasi-totalité des agriculteurs (93 %) ne possédait pas d</w:t>
      </w:r>
      <w:r w:rsidR="00263978" w:rsidRPr="00C36B84">
        <w:rPr>
          <w:lang w:val="fr-FR"/>
        </w:rPr>
        <w:t>’</w:t>
      </w:r>
      <w:r w:rsidRPr="00C36B84">
        <w:rPr>
          <w:lang w:val="fr-FR"/>
        </w:rPr>
        <w:t xml:space="preserve">équipement de protection individuelle (EPI), </w:t>
      </w:r>
      <w:r w:rsidR="00A65DBB" w:rsidRPr="00C36B84">
        <w:rPr>
          <w:lang w:val="fr-FR"/>
        </w:rPr>
        <w:t>n</w:t>
      </w:r>
      <w:r w:rsidR="00263978" w:rsidRPr="00C36B84">
        <w:rPr>
          <w:lang w:val="fr-FR"/>
        </w:rPr>
        <w:t>’</w:t>
      </w:r>
      <w:r w:rsidR="00A65DBB" w:rsidRPr="00C36B84">
        <w:rPr>
          <w:lang w:val="fr-FR"/>
        </w:rPr>
        <w:t>en utilisait pas, ou n</w:t>
      </w:r>
      <w:r w:rsidR="00263978" w:rsidRPr="00C36B84">
        <w:rPr>
          <w:lang w:val="fr-FR"/>
        </w:rPr>
        <w:t>’</w:t>
      </w:r>
      <w:r w:rsidR="00A65DBB" w:rsidRPr="00C36B84">
        <w:rPr>
          <w:lang w:val="fr-FR"/>
        </w:rPr>
        <w:t xml:space="preserve">utilisait </w:t>
      </w:r>
      <w:r w:rsidRPr="00C36B84">
        <w:rPr>
          <w:lang w:val="fr-FR"/>
        </w:rPr>
        <w:t>qu</w:t>
      </w:r>
      <w:r w:rsidR="00263978" w:rsidRPr="00C36B84">
        <w:rPr>
          <w:lang w:val="fr-FR"/>
        </w:rPr>
        <w:t>’</w:t>
      </w:r>
      <w:r w:rsidRPr="00C36B84">
        <w:rPr>
          <w:lang w:val="fr-FR"/>
        </w:rPr>
        <w:t>un seul élément</w:t>
      </w:r>
      <w:r w:rsidR="00A65DBB" w:rsidRPr="00C36B84">
        <w:rPr>
          <w:lang w:val="fr-FR"/>
        </w:rPr>
        <w:t xml:space="preserve"> de protection</w:t>
      </w:r>
      <w:r w:rsidRPr="00C36B84">
        <w:rPr>
          <w:lang w:val="fr-FR"/>
        </w:rPr>
        <w:t xml:space="preserve">. Seuls 2 % de ceux qui </w:t>
      </w:r>
      <w:r w:rsidR="00A65DBB" w:rsidRPr="00C36B84">
        <w:rPr>
          <w:lang w:val="fr-FR"/>
        </w:rPr>
        <w:t xml:space="preserve">se servaient de </w:t>
      </w:r>
      <w:r w:rsidRPr="00C36B84">
        <w:rPr>
          <w:lang w:val="fr-FR"/>
        </w:rPr>
        <w:t xml:space="preserve">pesticides très dangereux portaient un EPI adéquat </w:t>
      </w:r>
      <w:r w:rsidR="00A65DBB" w:rsidRPr="00C36B84">
        <w:rPr>
          <w:lang w:val="fr-FR"/>
        </w:rPr>
        <w:t xml:space="preserve">offrant une </w:t>
      </w:r>
      <w:r w:rsidRPr="00C36B84">
        <w:rPr>
          <w:lang w:val="fr-FR"/>
        </w:rPr>
        <w:t>protection intégrale. Environ la moitié des agriculteurs n</w:t>
      </w:r>
      <w:r w:rsidR="00263978" w:rsidRPr="00C36B84">
        <w:rPr>
          <w:lang w:val="fr-FR"/>
        </w:rPr>
        <w:t>’</w:t>
      </w:r>
      <w:r w:rsidRPr="00C36B84">
        <w:rPr>
          <w:lang w:val="fr-FR"/>
        </w:rPr>
        <w:t>avaient reçu aucune formation en matière d</w:t>
      </w:r>
      <w:r w:rsidR="00263978" w:rsidRPr="00C36B84">
        <w:rPr>
          <w:lang w:val="fr-FR"/>
        </w:rPr>
        <w:t>’</w:t>
      </w:r>
      <w:r w:rsidRPr="00C36B84">
        <w:rPr>
          <w:lang w:val="fr-FR"/>
        </w:rPr>
        <w:t>utilisation des</w:t>
      </w:r>
      <w:r w:rsidR="00571CDC" w:rsidRPr="00C36B84">
        <w:rPr>
          <w:lang w:val="fr-FR"/>
        </w:rPr>
        <w:t> </w:t>
      </w:r>
      <w:r w:rsidRPr="00C36B84">
        <w:rPr>
          <w:lang w:val="fr-FR"/>
        </w:rPr>
        <w:t>pesticides. La majorité des préposés à l</w:t>
      </w:r>
      <w:r w:rsidR="00263978" w:rsidRPr="00C36B84">
        <w:rPr>
          <w:lang w:val="fr-FR"/>
        </w:rPr>
        <w:t>’</w:t>
      </w:r>
      <w:r w:rsidRPr="00C36B84">
        <w:rPr>
          <w:lang w:val="fr-FR"/>
        </w:rPr>
        <w:t>application de pesticides utilisaient des pulvérisateurs manuels (36 %). Venaient ensuite les pulvérisateurs électriques à batterie (33 %) et des équipements inappropriés tels que des arrosoirs (13,5 %) ou d</w:t>
      </w:r>
      <w:r w:rsidR="00263978" w:rsidRPr="00C36B84">
        <w:rPr>
          <w:lang w:val="fr-FR"/>
        </w:rPr>
        <w:t>’</w:t>
      </w:r>
      <w:r w:rsidRPr="00C36B84">
        <w:rPr>
          <w:lang w:val="fr-FR"/>
        </w:rPr>
        <w:t>autres moyens (non précisés) (12,5 %). Environ la</w:t>
      </w:r>
      <w:r w:rsidR="00571CDC" w:rsidRPr="00C36B84">
        <w:rPr>
          <w:lang w:val="fr-FR"/>
        </w:rPr>
        <w:t> </w:t>
      </w:r>
      <w:r w:rsidRPr="00C36B84">
        <w:rPr>
          <w:lang w:val="fr-FR"/>
        </w:rPr>
        <w:t>moitié des agriculteurs interrogés ont dit avoir remarqué des projections de pesticide sur leurs</w:t>
      </w:r>
      <w:r w:rsidR="00571CDC" w:rsidRPr="00C36B84">
        <w:rPr>
          <w:lang w:val="fr-FR"/>
        </w:rPr>
        <w:t> </w:t>
      </w:r>
      <w:r w:rsidRPr="00C36B84">
        <w:rPr>
          <w:lang w:val="fr-FR"/>
        </w:rPr>
        <w:t>vêtements, sur leur peau nue ou dans leurs yeux lors des traitements. Sur le plan de la santé, les</w:t>
      </w:r>
      <w:r w:rsidR="00571CDC" w:rsidRPr="00C36B84">
        <w:rPr>
          <w:lang w:val="fr-FR"/>
        </w:rPr>
        <w:t> </w:t>
      </w:r>
      <w:r w:rsidRPr="00C36B84">
        <w:rPr>
          <w:lang w:val="fr-FR"/>
        </w:rPr>
        <w:t>principaux symptômes associés à l</w:t>
      </w:r>
      <w:r w:rsidR="00263978" w:rsidRPr="00C36B84">
        <w:rPr>
          <w:lang w:val="fr-FR"/>
        </w:rPr>
        <w:t>’</w:t>
      </w:r>
      <w:r w:rsidRPr="00C36B84">
        <w:rPr>
          <w:lang w:val="fr-FR"/>
        </w:rPr>
        <w:t>utilisation de pesticides, selon les agriculteurs qui en avaient observé, étaient les suivants : maux de tête, éruptions cutanées, irritation des yeux, vomissements, irritation des narines, troubles de la vision, vertiges et transpiration excessive. Près de la moitié des</w:t>
      </w:r>
      <w:r w:rsidR="00571CDC" w:rsidRPr="00C36B84">
        <w:rPr>
          <w:lang w:val="fr-FR"/>
        </w:rPr>
        <w:t> </w:t>
      </w:r>
      <w:r w:rsidRPr="00C36B84">
        <w:rPr>
          <w:lang w:val="fr-FR"/>
        </w:rPr>
        <w:t>agriculteurs ont indiqué qu</w:t>
      </w:r>
      <w:r w:rsidR="00263978" w:rsidRPr="00C36B84">
        <w:rPr>
          <w:lang w:val="fr-FR"/>
        </w:rPr>
        <w:t>’</w:t>
      </w:r>
      <w:r w:rsidRPr="00C36B84">
        <w:rPr>
          <w:lang w:val="fr-FR"/>
        </w:rPr>
        <w:t>ils ne lisaient pas les étiquettes des pesticides, y compris les</w:t>
      </w:r>
      <w:r w:rsidR="006266DA" w:rsidRPr="00C36B84">
        <w:rPr>
          <w:lang w:val="fr-FR"/>
        </w:rPr>
        <w:t> </w:t>
      </w:r>
      <w:r w:rsidRPr="00C36B84">
        <w:rPr>
          <w:lang w:val="fr-FR"/>
        </w:rPr>
        <w:t>instructions d</w:t>
      </w:r>
      <w:r w:rsidR="00263978" w:rsidRPr="00C36B84">
        <w:rPr>
          <w:lang w:val="fr-FR"/>
        </w:rPr>
        <w:t>’</w:t>
      </w:r>
      <w:r w:rsidRPr="00C36B84">
        <w:rPr>
          <w:lang w:val="fr-FR"/>
        </w:rPr>
        <w:t>utilisation concernant par exemple le dosage approprié et les mesures de protection, principalement pour des raisons d</w:t>
      </w:r>
      <w:r w:rsidR="00263978" w:rsidRPr="00C36B84">
        <w:rPr>
          <w:lang w:val="fr-FR"/>
        </w:rPr>
        <w:t>’</w:t>
      </w:r>
      <w:r w:rsidRPr="00C36B84">
        <w:rPr>
          <w:lang w:val="fr-FR"/>
        </w:rPr>
        <w:t>analphabétisme. Un agriculteur sur quatre ne comprenait pas bien le</w:t>
      </w:r>
      <w:r w:rsidR="00571CDC" w:rsidRPr="00C36B84">
        <w:rPr>
          <w:lang w:val="fr-FR"/>
        </w:rPr>
        <w:t> </w:t>
      </w:r>
      <w:r w:rsidRPr="00C36B84">
        <w:rPr>
          <w:lang w:val="fr-FR"/>
        </w:rPr>
        <w:t>code couleur indicatif de la toxicité aiguë sur les étiquettes des pesticides.</w:t>
      </w:r>
    </w:p>
    <w:p w14:paraId="09A8C030" w14:textId="3B3E1A10" w:rsidR="0070418B" w:rsidRPr="00C36B84" w:rsidRDefault="0070418B" w:rsidP="00AD11DC">
      <w:pPr>
        <w:pStyle w:val="Normalnumber"/>
        <w:numPr>
          <w:ilvl w:val="0"/>
          <w:numId w:val="7"/>
        </w:numPr>
        <w:rPr>
          <w:rFonts w:eastAsia="MS Mincho"/>
          <w:bCs/>
          <w:iCs/>
          <w:lang w:val="fr-FR"/>
        </w:rPr>
      </w:pPr>
      <w:r w:rsidRPr="00C36B84">
        <w:rPr>
          <w:lang w:val="fr-FR"/>
        </w:rPr>
        <w:t>Les résultats de l</w:t>
      </w:r>
      <w:r w:rsidR="00263978" w:rsidRPr="00C36B84">
        <w:rPr>
          <w:lang w:val="fr-FR"/>
        </w:rPr>
        <w:t>’</w:t>
      </w:r>
      <w:r w:rsidRPr="00C36B84">
        <w:rPr>
          <w:lang w:val="fr-FR"/>
        </w:rPr>
        <w:t xml:space="preserve">enquête ont </w:t>
      </w:r>
      <w:r w:rsidR="001B60ED" w:rsidRPr="00C36B84">
        <w:rPr>
          <w:lang w:val="fr-FR"/>
        </w:rPr>
        <w:t>montré</w:t>
      </w:r>
      <w:r w:rsidRPr="00C36B84">
        <w:rPr>
          <w:lang w:val="fr-FR"/>
        </w:rPr>
        <w:t xml:space="preserve"> qu</w:t>
      </w:r>
      <w:r w:rsidR="00263978" w:rsidRPr="00C36B84">
        <w:rPr>
          <w:lang w:val="fr-FR"/>
        </w:rPr>
        <w:t>’</w:t>
      </w:r>
      <w:r w:rsidRPr="00C36B84">
        <w:rPr>
          <w:lang w:val="fr-FR"/>
        </w:rPr>
        <w:t>au Mozambique, l</w:t>
      </w:r>
      <w:r w:rsidR="00263978" w:rsidRPr="00C36B84">
        <w:rPr>
          <w:lang w:val="fr-FR"/>
        </w:rPr>
        <w:t>’</w:t>
      </w:r>
      <w:r w:rsidRPr="00C36B84">
        <w:rPr>
          <w:lang w:val="fr-FR"/>
        </w:rPr>
        <w:t>utilisation de pesticides en général, et de pesticides très dangereux en particulier, était susceptible d</w:t>
      </w:r>
      <w:r w:rsidR="00263978" w:rsidRPr="00C36B84">
        <w:rPr>
          <w:lang w:val="fr-FR"/>
        </w:rPr>
        <w:t>’</w:t>
      </w:r>
      <w:r w:rsidRPr="00C36B84">
        <w:rPr>
          <w:lang w:val="fr-FR"/>
        </w:rPr>
        <w:t>entraîner une exposition excessive des</w:t>
      </w:r>
      <w:r w:rsidR="00571CDC" w:rsidRPr="00C36B84">
        <w:rPr>
          <w:lang w:val="fr-FR"/>
        </w:rPr>
        <w:t> </w:t>
      </w:r>
      <w:r w:rsidRPr="00C36B84">
        <w:rPr>
          <w:lang w:val="fr-FR"/>
        </w:rPr>
        <w:t>agriculteurs. Dès lors, l</w:t>
      </w:r>
      <w:r w:rsidR="00263978" w:rsidRPr="00C36B84">
        <w:rPr>
          <w:lang w:val="fr-FR"/>
        </w:rPr>
        <w:t>’</w:t>
      </w:r>
      <w:r w:rsidRPr="00C36B84">
        <w:rPr>
          <w:lang w:val="fr-FR"/>
        </w:rPr>
        <w:t>application de mesures d</w:t>
      </w:r>
      <w:r w:rsidR="00263978" w:rsidRPr="00C36B84">
        <w:rPr>
          <w:lang w:val="fr-FR"/>
        </w:rPr>
        <w:t>’</w:t>
      </w:r>
      <w:r w:rsidRPr="00C36B84">
        <w:rPr>
          <w:lang w:val="fr-FR"/>
        </w:rPr>
        <w:t>atténuation des risques reposant uniquement sur le port d</w:t>
      </w:r>
      <w:r w:rsidR="00263978" w:rsidRPr="00C36B84">
        <w:rPr>
          <w:lang w:val="fr-FR"/>
        </w:rPr>
        <w:t>’</w:t>
      </w:r>
      <w:r w:rsidRPr="00C36B84">
        <w:rPr>
          <w:lang w:val="fr-FR"/>
        </w:rPr>
        <w:t>un EPI approprié dans les conditions locales d</w:t>
      </w:r>
      <w:r w:rsidR="00263978" w:rsidRPr="00C36B84">
        <w:rPr>
          <w:lang w:val="fr-FR"/>
        </w:rPr>
        <w:t>’</w:t>
      </w:r>
      <w:r w:rsidRPr="00C36B84">
        <w:rPr>
          <w:lang w:val="fr-FR"/>
        </w:rPr>
        <w:t>utilisation serait difficile à mettre en œuvre et peu susceptible de donner des résultats.</w:t>
      </w:r>
    </w:p>
    <w:p w14:paraId="29E1A943" w14:textId="3C57B328" w:rsidR="0070418B" w:rsidRPr="00C36B84" w:rsidRDefault="0070418B" w:rsidP="00AD11DC">
      <w:pPr>
        <w:pStyle w:val="Normalnumber"/>
        <w:numPr>
          <w:ilvl w:val="0"/>
          <w:numId w:val="7"/>
        </w:numPr>
        <w:rPr>
          <w:rFonts w:eastAsia="MS Mincho"/>
          <w:bCs/>
          <w:iCs/>
          <w:lang w:val="fr-FR"/>
        </w:rPr>
      </w:pPr>
      <w:r w:rsidRPr="00C36B84">
        <w:rPr>
          <w:lang w:val="fr-FR"/>
        </w:rPr>
        <w:t xml:space="preserve">La troisième étape du projet a consisté </w:t>
      </w:r>
      <w:r w:rsidR="00182ED7" w:rsidRPr="00C36B84">
        <w:rPr>
          <w:lang w:val="fr-FR"/>
        </w:rPr>
        <w:t>à</w:t>
      </w:r>
      <w:r w:rsidRPr="00C36B84">
        <w:rPr>
          <w:lang w:val="fr-FR"/>
        </w:rPr>
        <w:t xml:space="preserve"> consult</w:t>
      </w:r>
      <w:r w:rsidR="00182ED7" w:rsidRPr="00C36B84">
        <w:rPr>
          <w:lang w:val="fr-FR"/>
        </w:rPr>
        <w:t>er l</w:t>
      </w:r>
      <w:r w:rsidRPr="00C36B84">
        <w:rPr>
          <w:lang w:val="fr-FR"/>
        </w:rPr>
        <w:t>es parties prenantes, afin d</w:t>
      </w:r>
      <w:r w:rsidR="00263978" w:rsidRPr="00C36B84">
        <w:rPr>
          <w:lang w:val="fr-FR"/>
        </w:rPr>
        <w:t>’</w:t>
      </w:r>
      <w:r w:rsidRPr="00C36B84">
        <w:rPr>
          <w:lang w:val="fr-FR"/>
        </w:rPr>
        <w:t>examiner plus avant l</w:t>
      </w:r>
      <w:r w:rsidR="00263978" w:rsidRPr="00C36B84">
        <w:rPr>
          <w:lang w:val="fr-FR"/>
        </w:rPr>
        <w:t>’</w:t>
      </w:r>
      <w:r w:rsidRPr="00C36B84">
        <w:rPr>
          <w:lang w:val="fr-FR"/>
        </w:rPr>
        <w:t>utilisation des pesticides très dangereux et les risques qui y sont associés au Mozambique, et d</w:t>
      </w:r>
      <w:r w:rsidR="00263978" w:rsidRPr="00C36B84">
        <w:rPr>
          <w:lang w:val="fr-FR"/>
        </w:rPr>
        <w:t>’</w:t>
      </w:r>
      <w:r w:rsidRPr="00C36B84">
        <w:rPr>
          <w:lang w:val="fr-FR"/>
        </w:rPr>
        <w:t>affiner la liste restreinte sur la base des résultats de l</w:t>
      </w:r>
      <w:r w:rsidR="00263978" w:rsidRPr="00C36B84">
        <w:rPr>
          <w:lang w:val="fr-FR"/>
        </w:rPr>
        <w:t>’</w:t>
      </w:r>
      <w:r w:rsidRPr="00C36B84">
        <w:rPr>
          <w:lang w:val="fr-FR"/>
        </w:rPr>
        <w:t>enquête, ainsi que des compétences et de l</w:t>
      </w:r>
      <w:r w:rsidR="00263978" w:rsidRPr="00C36B84">
        <w:rPr>
          <w:lang w:val="fr-FR"/>
        </w:rPr>
        <w:t>’</w:t>
      </w:r>
      <w:r w:rsidRPr="00C36B84">
        <w:rPr>
          <w:lang w:val="fr-FR"/>
        </w:rPr>
        <w:t>expérience des parties prenantes.</w:t>
      </w:r>
    </w:p>
    <w:p w14:paraId="51272F2E" w14:textId="38B45D65" w:rsidR="0070418B" w:rsidRPr="00C36B84" w:rsidRDefault="0070418B" w:rsidP="00AD11DC">
      <w:pPr>
        <w:pStyle w:val="Normalnumber"/>
        <w:numPr>
          <w:ilvl w:val="0"/>
          <w:numId w:val="7"/>
        </w:numPr>
        <w:rPr>
          <w:rFonts w:eastAsia="MS Mincho"/>
          <w:bCs/>
          <w:iCs/>
          <w:lang w:val="fr-FR"/>
        </w:rPr>
      </w:pPr>
      <w:r w:rsidRPr="00C36B84">
        <w:rPr>
          <w:lang w:val="fr-FR"/>
        </w:rPr>
        <w:t xml:space="preserve">Il a été </w:t>
      </w:r>
      <w:r w:rsidR="00642F73" w:rsidRPr="00C36B84">
        <w:rPr>
          <w:lang w:val="fr-FR"/>
        </w:rPr>
        <w:t>estim</w:t>
      </w:r>
      <w:r w:rsidRPr="00C36B84">
        <w:rPr>
          <w:lang w:val="fr-FR"/>
        </w:rPr>
        <w:t>é que l</w:t>
      </w:r>
      <w:r w:rsidR="00263978" w:rsidRPr="00C36B84">
        <w:rPr>
          <w:lang w:val="fr-FR"/>
        </w:rPr>
        <w:t>’</w:t>
      </w:r>
      <w:r w:rsidRPr="00C36B84">
        <w:rPr>
          <w:lang w:val="fr-FR"/>
        </w:rPr>
        <w:t xml:space="preserve">iprodione et les produits contenant </w:t>
      </w:r>
      <w:r w:rsidR="00FB4F20" w:rsidRPr="00C36B84">
        <w:rPr>
          <w:lang w:val="fr-FR"/>
        </w:rPr>
        <w:t>cette matière active</w:t>
      </w:r>
      <w:r w:rsidRPr="00C36B84">
        <w:rPr>
          <w:lang w:val="fr-FR"/>
        </w:rPr>
        <w:t xml:space="preserve"> étaient nocifs pour la santé humaine</w:t>
      </w:r>
      <w:r w:rsidR="004C5942" w:rsidRPr="00C36B84">
        <w:rPr>
          <w:lang w:val="fr-FR"/>
        </w:rPr>
        <w:t>, compte tenu</w:t>
      </w:r>
      <w:r w:rsidRPr="00C36B84">
        <w:rPr>
          <w:lang w:val="fr-FR"/>
        </w:rPr>
        <w:t xml:space="preserve"> des conditions locales d</w:t>
      </w:r>
      <w:r w:rsidR="00263978" w:rsidRPr="00C36B84">
        <w:rPr>
          <w:lang w:val="fr-FR"/>
        </w:rPr>
        <w:t>’</w:t>
      </w:r>
      <w:r w:rsidRPr="00C36B84">
        <w:rPr>
          <w:lang w:val="fr-FR"/>
        </w:rPr>
        <w:t>utilisation au Mozambique et nécessitaient des</w:t>
      </w:r>
      <w:r w:rsidR="00571CDC" w:rsidRPr="00C36B84">
        <w:rPr>
          <w:lang w:val="fr-FR"/>
        </w:rPr>
        <w:t> </w:t>
      </w:r>
      <w:r w:rsidRPr="00C36B84">
        <w:rPr>
          <w:lang w:val="fr-FR"/>
        </w:rPr>
        <w:t>mesures d</w:t>
      </w:r>
      <w:r w:rsidR="00263978" w:rsidRPr="00C36B84">
        <w:rPr>
          <w:lang w:val="fr-FR"/>
        </w:rPr>
        <w:t>’</w:t>
      </w:r>
      <w:r w:rsidRPr="00C36B84">
        <w:rPr>
          <w:lang w:val="fr-FR"/>
        </w:rPr>
        <w:t>atténuation des risques. En conséquence, les autorités ont décidé d</w:t>
      </w:r>
      <w:r w:rsidR="00263978" w:rsidRPr="00C36B84">
        <w:rPr>
          <w:lang w:val="fr-FR"/>
        </w:rPr>
        <w:t>’</w:t>
      </w:r>
      <w:r w:rsidRPr="00C36B84">
        <w:rPr>
          <w:lang w:val="fr-FR"/>
        </w:rPr>
        <w:t>interdire toute utilisation future d</w:t>
      </w:r>
      <w:r w:rsidR="00FB4F20" w:rsidRPr="00C36B84">
        <w:rPr>
          <w:lang w:val="fr-FR"/>
        </w:rPr>
        <w:t>e la matière active</w:t>
      </w:r>
      <w:r w:rsidRPr="00C36B84">
        <w:rPr>
          <w:lang w:val="fr-FR"/>
        </w:rPr>
        <w:t xml:space="preserve"> iprodione dans le pays et d</w:t>
      </w:r>
      <w:r w:rsidR="00263978" w:rsidRPr="00C36B84">
        <w:rPr>
          <w:lang w:val="fr-FR"/>
        </w:rPr>
        <w:t>’</w:t>
      </w:r>
      <w:r w:rsidRPr="00C36B84">
        <w:rPr>
          <w:lang w:val="fr-FR"/>
        </w:rPr>
        <w:t>annuler l</w:t>
      </w:r>
      <w:r w:rsidR="00263978" w:rsidRPr="00C36B84">
        <w:rPr>
          <w:lang w:val="fr-FR"/>
        </w:rPr>
        <w:t>’</w:t>
      </w:r>
      <w:r w:rsidRPr="00C36B84">
        <w:rPr>
          <w:lang w:val="fr-FR"/>
        </w:rPr>
        <w:t>homologation de tous les</w:t>
      </w:r>
      <w:r w:rsidR="00571CDC" w:rsidRPr="00C36B84">
        <w:rPr>
          <w:lang w:val="fr-FR"/>
        </w:rPr>
        <w:t> </w:t>
      </w:r>
      <w:r w:rsidRPr="00C36B84">
        <w:rPr>
          <w:lang w:val="fr-FR"/>
        </w:rPr>
        <w:t xml:space="preserve">produits qui en contiennent </w:t>
      </w:r>
      <w:bookmarkStart w:id="2" w:name="_Hlk83409271"/>
      <w:r w:rsidRPr="00C36B84">
        <w:rPr>
          <w:lang w:val="fr-FR"/>
        </w:rPr>
        <w:t>(UNEP/FAO/RC/CRC.17/5</w:t>
      </w:r>
      <w:bookmarkEnd w:id="2"/>
      <w:r w:rsidRPr="00C36B84">
        <w:rPr>
          <w:lang w:val="fr-FR"/>
        </w:rPr>
        <w:t>, section</w:t>
      </w:r>
      <w:r w:rsidR="00742C00">
        <w:rPr>
          <w:lang w:val="fr-FR"/>
        </w:rPr>
        <w:t> </w:t>
      </w:r>
      <w:r w:rsidRPr="00C36B84">
        <w:rPr>
          <w:lang w:val="fr-FR"/>
        </w:rPr>
        <w:t xml:space="preserve">2.4.2.1 de la </w:t>
      </w:r>
      <w:r w:rsidR="009A49D0" w:rsidRPr="00C36B84">
        <w:rPr>
          <w:lang w:val="fr-FR"/>
        </w:rPr>
        <w:t>notification reçue d</w:t>
      </w:r>
      <w:r w:rsidRPr="00C36B84">
        <w:rPr>
          <w:lang w:val="fr-FR"/>
        </w:rPr>
        <w:t>u Mozambique, et en particulier les informations concernant spécifiquement l</w:t>
      </w:r>
      <w:r w:rsidR="00263978" w:rsidRPr="00C36B84">
        <w:rPr>
          <w:lang w:val="fr-FR"/>
        </w:rPr>
        <w:t>’</w:t>
      </w:r>
      <w:r w:rsidRPr="00C36B84">
        <w:rPr>
          <w:lang w:val="fr-FR"/>
        </w:rPr>
        <w:t>iprodione contenues dans la documentation à l</w:t>
      </w:r>
      <w:r w:rsidR="00263978" w:rsidRPr="00C36B84">
        <w:rPr>
          <w:lang w:val="fr-FR"/>
        </w:rPr>
        <w:t>’</w:t>
      </w:r>
      <w:r w:rsidRPr="00C36B84">
        <w:rPr>
          <w:lang w:val="fr-FR"/>
        </w:rPr>
        <w:t>appui).</w:t>
      </w:r>
    </w:p>
    <w:p w14:paraId="6749C842" w14:textId="1D3181B9" w:rsidR="0070418B" w:rsidRPr="00C36B84" w:rsidRDefault="0070418B" w:rsidP="00AD11DC">
      <w:pPr>
        <w:pStyle w:val="Normalnumber"/>
        <w:numPr>
          <w:ilvl w:val="0"/>
          <w:numId w:val="7"/>
        </w:numPr>
        <w:rPr>
          <w:rFonts w:eastAsia="MS Mincho"/>
          <w:bCs/>
          <w:iCs/>
          <w:lang w:val="fr-FR"/>
        </w:rPr>
      </w:pPr>
      <w:r w:rsidRPr="00C36B84">
        <w:rPr>
          <w:lang w:val="fr-FR"/>
        </w:rPr>
        <w:t>Même si l</w:t>
      </w:r>
      <w:r w:rsidR="00263978" w:rsidRPr="00C36B84">
        <w:rPr>
          <w:lang w:val="fr-FR"/>
        </w:rPr>
        <w:t>’</w:t>
      </w:r>
      <w:r w:rsidRPr="00C36B84">
        <w:rPr>
          <w:lang w:val="fr-FR"/>
        </w:rPr>
        <w:t>évaluation des risques ne comprenait pas d</w:t>
      </w:r>
      <w:r w:rsidR="00263978" w:rsidRPr="00C36B84">
        <w:rPr>
          <w:lang w:val="fr-FR"/>
        </w:rPr>
        <w:t>’</w:t>
      </w:r>
      <w:r w:rsidRPr="00C36B84">
        <w:rPr>
          <w:lang w:val="fr-FR"/>
        </w:rPr>
        <w:t>informations spécifiques relatives à l</w:t>
      </w:r>
      <w:r w:rsidR="00263978" w:rsidRPr="00C36B84">
        <w:rPr>
          <w:lang w:val="fr-FR"/>
        </w:rPr>
        <w:t>’</w:t>
      </w:r>
      <w:r w:rsidRPr="00C36B84">
        <w:rPr>
          <w:lang w:val="fr-FR"/>
        </w:rPr>
        <w:t>exposition réelle ou mesurée des travailleurs agricoles du Mozambique à l</w:t>
      </w:r>
      <w:r w:rsidR="00263978" w:rsidRPr="00C36B84">
        <w:rPr>
          <w:lang w:val="fr-FR"/>
        </w:rPr>
        <w:t>’</w:t>
      </w:r>
      <w:r w:rsidRPr="00C36B84">
        <w:rPr>
          <w:lang w:val="fr-FR"/>
        </w:rPr>
        <w:t>iprodione, la notification et la documentation à l</w:t>
      </w:r>
      <w:r w:rsidR="00263978" w:rsidRPr="00C36B84">
        <w:rPr>
          <w:lang w:val="fr-FR"/>
        </w:rPr>
        <w:t>’</w:t>
      </w:r>
      <w:r w:rsidRPr="00C36B84">
        <w:rPr>
          <w:lang w:val="fr-FR"/>
        </w:rPr>
        <w:t>appui fournissent une évaluation des conditions d</w:t>
      </w:r>
      <w:r w:rsidR="00263978" w:rsidRPr="00C36B84">
        <w:rPr>
          <w:lang w:val="fr-FR"/>
        </w:rPr>
        <w:t>’</w:t>
      </w:r>
      <w:r w:rsidRPr="00C36B84">
        <w:rPr>
          <w:lang w:val="fr-FR"/>
        </w:rPr>
        <w:t>utilisation des pesticides prévalant dans ce pays. De l</w:t>
      </w:r>
      <w:r w:rsidR="00263978" w:rsidRPr="00C36B84">
        <w:rPr>
          <w:lang w:val="fr-FR"/>
        </w:rPr>
        <w:t>’</w:t>
      </w:r>
      <w:r w:rsidRPr="00C36B84">
        <w:rPr>
          <w:lang w:val="fr-FR"/>
        </w:rPr>
        <w:t>iprodione a été importé au Mozambique en 2013 et les homologations des</w:t>
      </w:r>
      <w:r w:rsidR="00571CDC" w:rsidRPr="00C36B84">
        <w:rPr>
          <w:lang w:val="fr-FR"/>
        </w:rPr>
        <w:t> </w:t>
      </w:r>
      <w:r w:rsidRPr="00C36B84">
        <w:rPr>
          <w:lang w:val="fr-FR"/>
        </w:rPr>
        <w:t>formulations sont restées valables ; dès lors, il n</w:t>
      </w:r>
      <w:r w:rsidR="00263978" w:rsidRPr="00C36B84">
        <w:rPr>
          <w:lang w:val="fr-FR"/>
        </w:rPr>
        <w:t>’</w:t>
      </w:r>
      <w:r w:rsidRPr="00C36B84">
        <w:rPr>
          <w:lang w:val="fr-FR"/>
        </w:rPr>
        <w:t>était pas possible d</w:t>
      </w:r>
      <w:r w:rsidR="00263978" w:rsidRPr="00C36B84">
        <w:rPr>
          <w:lang w:val="fr-FR"/>
        </w:rPr>
        <w:t>’</w:t>
      </w:r>
      <w:r w:rsidRPr="00C36B84">
        <w:rPr>
          <w:lang w:val="fr-FR"/>
        </w:rPr>
        <w:t xml:space="preserve">en exclure une utilisation future </w:t>
      </w:r>
      <w:bookmarkStart w:id="3" w:name="_Hlk83408822"/>
      <w:r w:rsidRPr="00C36B84">
        <w:rPr>
          <w:lang w:val="fr-FR"/>
        </w:rPr>
        <w:t xml:space="preserve">(UNEP/FAO/RC/CRC.17/INF/11, p. 35). </w:t>
      </w:r>
      <w:bookmarkEnd w:id="3"/>
      <w:r w:rsidRPr="00C36B84">
        <w:rPr>
          <w:lang w:val="fr-FR"/>
        </w:rPr>
        <w:t>Les utilisations homologuées pour les formulations de l</w:t>
      </w:r>
      <w:r w:rsidR="00263978" w:rsidRPr="00C36B84">
        <w:rPr>
          <w:lang w:val="fr-FR"/>
        </w:rPr>
        <w:t>’</w:t>
      </w:r>
      <w:r w:rsidRPr="00C36B84">
        <w:rPr>
          <w:lang w:val="fr-FR"/>
        </w:rPr>
        <w:t>iprodione concernaient la vigne, les arbres fruitiers et les légumes. L</w:t>
      </w:r>
      <w:r w:rsidR="00263978" w:rsidRPr="00C36B84">
        <w:rPr>
          <w:lang w:val="fr-FR"/>
        </w:rPr>
        <w:t>’</w:t>
      </w:r>
      <w:r w:rsidRPr="00C36B84">
        <w:rPr>
          <w:lang w:val="fr-FR"/>
        </w:rPr>
        <w:t>enquête menée auprès des</w:t>
      </w:r>
      <w:r w:rsidR="00571CDC" w:rsidRPr="00C36B84">
        <w:rPr>
          <w:lang w:val="fr-FR"/>
        </w:rPr>
        <w:t> </w:t>
      </w:r>
      <w:r w:rsidRPr="00C36B84">
        <w:rPr>
          <w:lang w:val="fr-FR"/>
        </w:rPr>
        <w:t>utilisateurs portait notamment sur les systèmes de culture maraîchère, qui constituaient les cultures prédominantes dans deux des régions étudiées (UNEP/FAO/RC/CRC.17/INF/11, p. 52</w:t>
      </w:r>
      <w:r w:rsidR="006266DA" w:rsidRPr="00C36B84">
        <w:rPr>
          <w:lang w:val="fr-FR"/>
        </w:rPr>
        <w:t xml:space="preserve"> à </w:t>
      </w:r>
      <w:r w:rsidRPr="00C36B84">
        <w:rPr>
          <w:lang w:val="fr-FR"/>
        </w:rPr>
        <w:t>77). La</w:t>
      </w:r>
      <w:r w:rsidR="00571CDC" w:rsidRPr="00C36B84">
        <w:rPr>
          <w:lang w:val="fr-FR"/>
        </w:rPr>
        <w:t> </w:t>
      </w:r>
      <w:r w:rsidRPr="00C36B84">
        <w:rPr>
          <w:lang w:val="fr-FR"/>
        </w:rPr>
        <w:t>notification et la documentation à l</w:t>
      </w:r>
      <w:r w:rsidR="00263978" w:rsidRPr="00C36B84">
        <w:rPr>
          <w:lang w:val="fr-FR"/>
        </w:rPr>
        <w:t>’</w:t>
      </w:r>
      <w:r w:rsidRPr="00C36B84">
        <w:rPr>
          <w:lang w:val="fr-FR"/>
        </w:rPr>
        <w:t>appui indiquent que l</w:t>
      </w:r>
      <w:r w:rsidR="00263978" w:rsidRPr="00C36B84">
        <w:rPr>
          <w:lang w:val="fr-FR"/>
        </w:rPr>
        <w:t>’</w:t>
      </w:r>
      <w:r w:rsidRPr="00C36B84">
        <w:rPr>
          <w:lang w:val="fr-FR"/>
        </w:rPr>
        <w:t>utilisation des pesticides en général était susceptible d</w:t>
      </w:r>
      <w:r w:rsidR="00263978" w:rsidRPr="00C36B84">
        <w:rPr>
          <w:lang w:val="fr-FR"/>
        </w:rPr>
        <w:t>’</w:t>
      </w:r>
      <w:r w:rsidRPr="00C36B84">
        <w:rPr>
          <w:lang w:val="fr-FR"/>
        </w:rPr>
        <w:t>entraîner une exposition excessive des agriculteurs</w:t>
      </w:r>
      <w:r w:rsidR="004C5942" w:rsidRPr="00C36B84">
        <w:rPr>
          <w:lang w:val="fr-FR"/>
        </w:rPr>
        <w:t>, compte tenu</w:t>
      </w:r>
      <w:r w:rsidRPr="00C36B84">
        <w:rPr>
          <w:lang w:val="fr-FR"/>
        </w:rPr>
        <w:t xml:space="preserve"> de la disponibilité, de la</w:t>
      </w:r>
      <w:r w:rsidR="00571CDC" w:rsidRPr="00C36B84">
        <w:rPr>
          <w:lang w:val="fr-FR"/>
        </w:rPr>
        <w:t> </w:t>
      </w:r>
      <w:r w:rsidRPr="00C36B84">
        <w:rPr>
          <w:lang w:val="fr-FR"/>
        </w:rPr>
        <w:t>connaissance et de l</w:t>
      </w:r>
      <w:r w:rsidR="00263978" w:rsidRPr="00C36B84">
        <w:rPr>
          <w:lang w:val="fr-FR"/>
        </w:rPr>
        <w:t>’</w:t>
      </w:r>
      <w:r w:rsidRPr="00C36B84">
        <w:rPr>
          <w:lang w:val="fr-FR"/>
        </w:rPr>
        <w:t xml:space="preserve">utilisation des EPI chez ces derniers, ce dont témoignait le nombre élevé de </w:t>
      </w:r>
      <w:r w:rsidR="00FB4F20" w:rsidRPr="00C36B84">
        <w:rPr>
          <w:lang w:val="fr-FR"/>
        </w:rPr>
        <w:t>déclaration</w:t>
      </w:r>
      <w:r w:rsidRPr="00C36B84">
        <w:rPr>
          <w:lang w:val="fr-FR"/>
        </w:rPr>
        <w:t>s d</w:t>
      </w:r>
      <w:r w:rsidR="00263978" w:rsidRPr="00C36B84">
        <w:rPr>
          <w:lang w:val="fr-FR"/>
        </w:rPr>
        <w:t>’</w:t>
      </w:r>
      <w:r w:rsidRPr="00C36B84">
        <w:rPr>
          <w:lang w:val="fr-FR"/>
        </w:rPr>
        <w:t xml:space="preserve">effets nocifs sur la santé. La mesure de réglementation finale a été prise </w:t>
      </w:r>
      <w:r w:rsidR="001B60ED" w:rsidRPr="00C36B84">
        <w:rPr>
          <w:lang w:val="fr-FR"/>
        </w:rPr>
        <w:t xml:space="preserve">comme </w:t>
      </w:r>
      <w:proofErr w:type="gramStart"/>
      <w:r w:rsidR="001B60ED" w:rsidRPr="00C36B84">
        <w:rPr>
          <w:lang w:val="fr-FR"/>
        </w:rPr>
        <w:t xml:space="preserve">suite </w:t>
      </w:r>
      <w:r w:rsidRPr="00C36B84">
        <w:rPr>
          <w:lang w:val="fr-FR"/>
        </w:rPr>
        <w:t>à</w:t>
      </w:r>
      <w:proofErr w:type="gramEnd"/>
      <w:r w:rsidRPr="00C36B84">
        <w:rPr>
          <w:lang w:val="fr-FR"/>
        </w:rPr>
        <w:t xml:space="preserve"> l</w:t>
      </w:r>
      <w:r w:rsidR="00263978" w:rsidRPr="00C36B84">
        <w:rPr>
          <w:lang w:val="fr-FR"/>
        </w:rPr>
        <w:t>’</w:t>
      </w:r>
      <w:r w:rsidRPr="00C36B84">
        <w:rPr>
          <w:lang w:val="fr-FR"/>
        </w:rPr>
        <w:t>objectif national de réduction des risques les plus importants liés à l</w:t>
      </w:r>
      <w:r w:rsidR="00263978" w:rsidRPr="00C36B84">
        <w:rPr>
          <w:lang w:val="fr-FR"/>
        </w:rPr>
        <w:t>’</w:t>
      </w:r>
      <w:r w:rsidRPr="00C36B84">
        <w:rPr>
          <w:lang w:val="fr-FR"/>
        </w:rPr>
        <w:t>utilisation des pesticides que s</w:t>
      </w:r>
      <w:r w:rsidR="00263978" w:rsidRPr="00C36B84">
        <w:rPr>
          <w:lang w:val="fr-FR"/>
        </w:rPr>
        <w:t>’</w:t>
      </w:r>
      <w:r w:rsidRPr="00C36B84">
        <w:rPr>
          <w:lang w:val="fr-FR"/>
        </w:rPr>
        <w:t>était fixé le Mozambique.</w:t>
      </w:r>
    </w:p>
    <w:p w14:paraId="4BA025A4" w14:textId="72C07127" w:rsidR="00F23195" w:rsidRPr="00C36B84" w:rsidRDefault="0070418B" w:rsidP="00AD11DC">
      <w:pPr>
        <w:pStyle w:val="Normalnumber"/>
        <w:numPr>
          <w:ilvl w:val="0"/>
          <w:numId w:val="7"/>
        </w:numPr>
        <w:rPr>
          <w:lang w:val="fr-FR"/>
        </w:rPr>
      </w:pPr>
      <w:r w:rsidRPr="00C36B84">
        <w:rPr>
          <w:lang w:val="fr-FR"/>
        </w:rPr>
        <w:t>Il pouvait être considéré que l</w:t>
      </w:r>
      <w:r w:rsidR="00263978" w:rsidRPr="00C36B84">
        <w:rPr>
          <w:lang w:val="fr-FR"/>
        </w:rPr>
        <w:t>’</w:t>
      </w:r>
      <w:r w:rsidRPr="00C36B84">
        <w:rPr>
          <w:lang w:val="fr-FR"/>
        </w:rPr>
        <w:t xml:space="preserve">objectif du Mozambique </w:t>
      </w:r>
      <w:r w:rsidR="00FB4F20" w:rsidRPr="00C36B84">
        <w:rPr>
          <w:lang w:val="fr-FR"/>
        </w:rPr>
        <w:t>d</w:t>
      </w:r>
      <w:r w:rsidR="00263978" w:rsidRPr="00C36B84">
        <w:rPr>
          <w:lang w:val="fr-FR"/>
        </w:rPr>
        <w:t>’</w:t>
      </w:r>
      <w:r w:rsidRPr="00C36B84">
        <w:rPr>
          <w:lang w:val="fr-FR"/>
        </w:rPr>
        <w:t xml:space="preserve">élaborer et </w:t>
      </w:r>
      <w:r w:rsidR="00FB4F20" w:rsidRPr="00C36B84">
        <w:rPr>
          <w:lang w:val="fr-FR"/>
        </w:rPr>
        <w:t>de</w:t>
      </w:r>
      <w:r w:rsidRPr="00C36B84">
        <w:rPr>
          <w:lang w:val="fr-FR"/>
        </w:rPr>
        <w:t xml:space="preserve"> mettre en œuvre un</w:t>
      </w:r>
      <w:r w:rsidR="00571CDC" w:rsidRPr="00C36B84">
        <w:rPr>
          <w:lang w:val="fr-FR"/>
        </w:rPr>
        <w:t> </w:t>
      </w:r>
      <w:r w:rsidRPr="00C36B84">
        <w:rPr>
          <w:lang w:val="fr-FR"/>
        </w:rPr>
        <w:t>« plan d</w:t>
      </w:r>
      <w:r w:rsidR="00263978" w:rsidRPr="00C36B84">
        <w:rPr>
          <w:lang w:val="fr-FR"/>
        </w:rPr>
        <w:t>’</w:t>
      </w:r>
      <w:r w:rsidRPr="00C36B84">
        <w:rPr>
          <w:lang w:val="fr-FR"/>
        </w:rPr>
        <w:t>action pour la réduction des risques liés aux pesticides très dangereux » constituait une</w:t>
      </w:r>
      <w:r w:rsidR="00571CDC" w:rsidRPr="00C36B84">
        <w:rPr>
          <w:lang w:val="fr-FR"/>
        </w:rPr>
        <w:t> </w:t>
      </w:r>
      <w:r w:rsidRPr="00C36B84">
        <w:rPr>
          <w:lang w:val="fr-FR"/>
        </w:rPr>
        <w:t>politique nationale en vertu de laquelle les pesticides en question ne devaient pas être homologués, partant du principe que les conditions d</w:t>
      </w:r>
      <w:r w:rsidR="00263978" w:rsidRPr="00C36B84">
        <w:rPr>
          <w:lang w:val="fr-FR"/>
        </w:rPr>
        <w:t>’</w:t>
      </w:r>
      <w:r w:rsidRPr="00C36B84">
        <w:rPr>
          <w:lang w:val="fr-FR"/>
        </w:rPr>
        <w:t xml:space="preserve">utilisation prévalant dans le pays entraîneraient des risques inacceptables pour les travailleurs agricoles. </w:t>
      </w:r>
      <w:bookmarkStart w:id="4" w:name="_Hlk82543289"/>
      <w:r w:rsidRPr="00C36B84">
        <w:rPr>
          <w:lang w:val="fr-FR"/>
        </w:rPr>
        <w:t>L</w:t>
      </w:r>
      <w:r w:rsidR="00263978" w:rsidRPr="00C36B84">
        <w:rPr>
          <w:lang w:val="fr-FR"/>
        </w:rPr>
        <w:t>’</w:t>
      </w:r>
      <w:r w:rsidRPr="00C36B84">
        <w:rPr>
          <w:lang w:val="fr-FR"/>
        </w:rPr>
        <w:t>iprodione a été inscrit sur la liste restreinte des</w:t>
      </w:r>
      <w:r w:rsidR="00571CDC" w:rsidRPr="00C36B84">
        <w:rPr>
          <w:lang w:val="fr-FR"/>
        </w:rPr>
        <w:t> </w:t>
      </w:r>
      <w:r w:rsidRPr="00C36B84">
        <w:rPr>
          <w:lang w:val="fr-FR"/>
        </w:rPr>
        <w:t xml:space="preserve">pesticides très dangereux en tant que </w:t>
      </w:r>
      <w:r w:rsidR="00FB4F20" w:rsidRPr="00C36B84">
        <w:rPr>
          <w:lang w:val="fr-FR"/>
        </w:rPr>
        <w:t xml:space="preserve">substance </w:t>
      </w:r>
      <w:r w:rsidRPr="00C36B84">
        <w:rPr>
          <w:lang w:val="fr-FR"/>
        </w:rPr>
        <w:t>« se rapprochant » d</w:t>
      </w:r>
      <w:r w:rsidR="00263978" w:rsidRPr="00C36B84">
        <w:rPr>
          <w:lang w:val="fr-FR"/>
        </w:rPr>
        <w:t>’</w:t>
      </w:r>
      <w:r w:rsidRPr="00C36B84">
        <w:rPr>
          <w:lang w:val="fr-FR"/>
        </w:rPr>
        <w:t>un pesticide très dangereux</w:t>
      </w:r>
      <w:r w:rsidR="004C5942" w:rsidRPr="00C36B84">
        <w:rPr>
          <w:lang w:val="fr-FR"/>
        </w:rPr>
        <w:t>, compte tenu</w:t>
      </w:r>
      <w:r w:rsidRPr="00C36B84">
        <w:rPr>
          <w:lang w:val="fr-FR"/>
        </w:rPr>
        <w:t xml:space="preserve"> des critères suivants</w:t>
      </w:r>
      <w:bookmarkEnd w:id="4"/>
      <w:r w:rsidRPr="00C36B84">
        <w:rPr>
          <w:lang w:val="fr-FR"/>
        </w:rPr>
        <w:t> :</w:t>
      </w:r>
      <w:bookmarkStart w:id="5" w:name="_Hlk82543312"/>
      <w:r w:rsidRPr="00C36B84">
        <w:rPr>
          <w:lang w:val="fr-FR"/>
        </w:rPr>
        <w:t xml:space="preserve"> pesticides pour lesquels les évaluations de la cancérogénicité réalisées par différentes autorités compétentes en matière d</w:t>
      </w:r>
      <w:r w:rsidR="00263978" w:rsidRPr="00C36B84">
        <w:rPr>
          <w:lang w:val="fr-FR"/>
        </w:rPr>
        <w:t>’</w:t>
      </w:r>
      <w:r w:rsidRPr="00C36B84">
        <w:rPr>
          <w:lang w:val="fr-FR"/>
        </w:rPr>
        <w:t>homologation ou d</w:t>
      </w:r>
      <w:r w:rsidR="00263978" w:rsidRPr="00C36B84">
        <w:rPr>
          <w:lang w:val="fr-FR"/>
        </w:rPr>
        <w:t>’</w:t>
      </w:r>
      <w:r w:rsidRPr="00C36B84">
        <w:rPr>
          <w:lang w:val="fr-FR"/>
        </w:rPr>
        <w:t>évaluation n</w:t>
      </w:r>
      <w:r w:rsidR="00263978" w:rsidRPr="00C36B84">
        <w:rPr>
          <w:lang w:val="fr-FR"/>
        </w:rPr>
        <w:t>’</w:t>
      </w:r>
      <w:r w:rsidRPr="00C36B84">
        <w:rPr>
          <w:lang w:val="fr-FR"/>
        </w:rPr>
        <w:t xml:space="preserve">ont pas </w:t>
      </w:r>
      <w:r w:rsidRPr="00C36B84">
        <w:rPr>
          <w:lang w:val="fr-FR"/>
        </w:rPr>
        <w:lastRenderedPageBreak/>
        <w:t>conduit à une classification cohérente dans la catégorie 1A ou 1B du SGH, mais dont l</w:t>
      </w:r>
      <w:r w:rsidR="00263978" w:rsidRPr="00C36B84">
        <w:rPr>
          <w:lang w:val="fr-FR"/>
        </w:rPr>
        <w:t>’</w:t>
      </w:r>
      <w:r w:rsidRPr="00C36B84">
        <w:rPr>
          <w:lang w:val="fr-FR"/>
        </w:rPr>
        <w:t>utilisation au Mozambique a été jugée particulièrement préoccupante sur la base des données probantes présentées par l</w:t>
      </w:r>
      <w:r w:rsidR="00263978" w:rsidRPr="00C36B84">
        <w:rPr>
          <w:lang w:val="fr-FR"/>
        </w:rPr>
        <w:t>’</w:t>
      </w:r>
      <w:r w:rsidRPr="00C36B84">
        <w:rPr>
          <w:lang w:val="fr-FR"/>
        </w:rPr>
        <w:t>une de ces autorités (</w:t>
      </w:r>
      <w:r w:rsidR="00FB4F20" w:rsidRPr="00C36B84">
        <w:rPr>
          <w:lang w:val="fr-FR"/>
        </w:rPr>
        <w:t>Come</w:t>
      </w:r>
      <w:r w:rsidRPr="00C36B84">
        <w:rPr>
          <w:lang w:val="fr-FR"/>
        </w:rPr>
        <w:t xml:space="preserve"> et van der </w:t>
      </w:r>
      <w:proofErr w:type="spellStart"/>
      <w:r w:rsidRPr="00C36B84">
        <w:rPr>
          <w:lang w:val="fr-FR"/>
        </w:rPr>
        <w:t>Valk</w:t>
      </w:r>
      <w:proofErr w:type="spellEnd"/>
      <w:r w:rsidR="00FB4F20" w:rsidRPr="00C36B84">
        <w:rPr>
          <w:lang w:val="fr-FR"/>
        </w:rPr>
        <w:t>,</w:t>
      </w:r>
      <w:r w:rsidRPr="00C36B84">
        <w:rPr>
          <w:lang w:val="fr-FR"/>
        </w:rPr>
        <w:t xml:space="preserve"> 2014). L</w:t>
      </w:r>
      <w:r w:rsidR="00263978" w:rsidRPr="00C36B84">
        <w:rPr>
          <w:lang w:val="fr-FR"/>
        </w:rPr>
        <w:t>’</w:t>
      </w:r>
      <w:r w:rsidR="00FB4F20" w:rsidRPr="00C36B84">
        <w:rPr>
          <w:lang w:val="fr-FR"/>
        </w:rPr>
        <w:t>USEPA</w:t>
      </w:r>
      <w:r w:rsidRPr="00C36B84">
        <w:rPr>
          <w:lang w:val="fr-FR"/>
        </w:rPr>
        <w:t xml:space="preserve"> </w:t>
      </w:r>
      <w:r w:rsidR="00182ED7" w:rsidRPr="00C36B84">
        <w:rPr>
          <w:lang w:val="fr-FR"/>
        </w:rPr>
        <w:t>l</w:t>
      </w:r>
      <w:r w:rsidR="00263978" w:rsidRPr="00C36B84">
        <w:rPr>
          <w:lang w:val="fr-FR"/>
        </w:rPr>
        <w:t>’</w:t>
      </w:r>
      <w:r w:rsidRPr="00C36B84">
        <w:rPr>
          <w:lang w:val="fr-FR"/>
        </w:rPr>
        <w:t>a classé comme probablement cancérogène. Dans l</w:t>
      </w:r>
      <w:r w:rsidR="00263978" w:rsidRPr="00C36B84">
        <w:rPr>
          <w:lang w:val="fr-FR"/>
        </w:rPr>
        <w:t>’</w:t>
      </w:r>
      <w:r w:rsidRPr="00C36B84">
        <w:rPr>
          <w:lang w:val="fr-FR"/>
        </w:rPr>
        <w:t>étude de 2004 de l</w:t>
      </w:r>
      <w:r w:rsidR="00263978" w:rsidRPr="00C36B84">
        <w:rPr>
          <w:lang w:val="fr-FR"/>
        </w:rPr>
        <w:t>’</w:t>
      </w:r>
      <w:r w:rsidRPr="00C36B84">
        <w:rPr>
          <w:lang w:val="fr-FR"/>
        </w:rPr>
        <w:t xml:space="preserve">Union européenne, </w:t>
      </w:r>
      <w:r w:rsidR="00182ED7" w:rsidRPr="00C36B84">
        <w:rPr>
          <w:lang w:val="fr-FR"/>
        </w:rPr>
        <w:t>il</w:t>
      </w:r>
      <w:r w:rsidRPr="00C36B84">
        <w:rPr>
          <w:lang w:val="fr-FR"/>
        </w:rPr>
        <w:t xml:space="preserve"> a été classé </w:t>
      </w:r>
      <w:r w:rsidR="00FB4F20" w:rsidRPr="00C36B84">
        <w:rPr>
          <w:lang w:val="fr-FR"/>
        </w:rPr>
        <w:t xml:space="preserve">comme </w:t>
      </w:r>
      <w:r w:rsidRPr="00C36B84">
        <w:rPr>
          <w:lang w:val="fr-FR"/>
        </w:rPr>
        <w:t>substance cancérogène de catégorie 2 (UNEP/FAO/RC/CRC.17/5, section</w:t>
      </w:r>
      <w:r w:rsidR="00742C00">
        <w:rPr>
          <w:lang w:val="fr-FR"/>
        </w:rPr>
        <w:t> </w:t>
      </w:r>
      <w:r w:rsidRPr="00C36B84">
        <w:rPr>
          <w:lang w:val="fr-FR"/>
        </w:rPr>
        <w:t xml:space="preserve">2.4.2.1 de la </w:t>
      </w:r>
      <w:r w:rsidR="009A49D0" w:rsidRPr="00C36B84">
        <w:rPr>
          <w:lang w:val="fr-FR"/>
        </w:rPr>
        <w:t>notification reçue d</w:t>
      </w:r>
      <w:r w:rsidRPr="00C36B84">
        <w:rPr>
          <w:lang w:val="fr-FR"/>
        </w:rPr>
        <w:t>u</w:t>
      </w:r>
      <w:r w:rsidR="006266DA" w:rsidRPr="00C36B84">
        <w:rPr>
          <w:lang w:val="fr-FR"/>
        </w:rPr>
        <w:t> </w:t>
      </w:r>
      <w:r w:rsidRPr="00C36B84">
        <w:rPr>
          <w:lang w:val="fr-FR"/>
        </w:rPr>
        <w:t>Mozambique).</w:t>
      </w:r>
    </w:p>
    <w:p w14:paraId="1D96E324" w14:textId="25F3891D" w:rsidR="0070418B" w:rsidRPr="00C36B84" w:rsidRDefault="0070418B" w:rsidP="00AD11DC">
      <w:pPr>
        <w:pStyle w:val="Normalnumber"/>
        <w:numPr>
          <w:ilvl w:val="0"/>
          <w:numId w:val="7"/>
        </w:numPr>
        <w:rPr>
          <w:rFonts w:eastAsia="MS Mincho"/>
          <w:bCs/>
          <w:iCs/>
          <w:lang w:val="fr-FR"/>
        </w:rPr>
      </w:pPr>
      <w:r w:rsidRPr="00C36B84">
        <w:rPr>
          <w:lang w:val="fr-FR"/>
        </w:rPr>
        <w:t>L</w:t>
      </w:r>
      <w:r w:rsidR="00263978" w:rsidRPr="00C36B84">
        <w:rPr>
          <w:lang w:val="fr-FR"/>
        </w:rPr>
        <w:t>’</w:t>
      </w:r>
      <w:r w:rsidRPr="00C36B84">
        <w:rPr>
          <w:lang w:val="fr-FR"/>
        </w:rPr>
        <w:t xml:space="preserve">iprodione était homologué aux États-Unis. Cependant, toutes </w:t>
      </w:r>
      <w:r w:rsidR="00182ED7" w:rsidRPr="00C36B84">
        <w:rPr>
          <w:lang w:val="fr-FR"/>
        </w:rPr>
        <w:t>s</w:t>
      </w:r>
      <w:r w:rsidRPr="00C36B84">
        <w:rPr>
          <w:lang w:val="fr-FR"/>
        </w:rPr>
        <w:t>es utilisations en milieu résidentiel ont été proscrites en raison de préoccupations quant aux risques de cancer</w:t>
      </w:r>
      <w:r w:rsidR="000D4595" w:rsidRPr="00C36B84">
        <w:rPr>
          <w:lang w:val="fr-FR"/>
        </w:rPr>
        <w:t xml:space="preserve"> qu</w:t>
      </w:r>
      <w:r w:rsidR="00263978" w:rsidRPr="00C36B84">
        <w:rPr>
          <w:lang w:val="fr-FR"/>
        </w:rPr>
        <w:t>’</w:t>
      </w:r>
      <w:r w:rsidR="000D4595" w:rsidRPr="00C36B84">
        <w:rPr>
          <w:lang w:val="fr-FR"/>
        </w:rPr>
        <w:t>il peut comporter</w:t>
      </w:r>
      <w:r w:rsidRPr="00C36B84">
        <w:rPr>
          <w:lang w:val="fr-FR"/>
        </w:rPr>
        <w:t>. En outre, les préposés à l</w:t>
      </w:r>
      <w:r w:rsidR="00263978" w:rsidRPr="00C36B84">
        <w:rPr>
          <w:lang w:val="fr-FR"/>
        </w:rPr>
        <w:t>’</w:t>
      </w:r>
      <w:r w:rsidRPr="00C36B84">
        <w:rPr>
          <w:lang w:val="fr-FR"/>
        </w:rPr>
        <w:t>utilisation de pulvérisateurs à dos et de mélangeurs ont été priés de porter un équipement de protection individuelle à double épaisseur, un masque et des gants (UNEP/FAO/RC/CRC.17/INF/11, p. 327).</w:t>
      </w:r>
      <w:bookmarkEnd w:id="5"/>
    </w:p>
    <w:p w14:paraId="4094A236" w14:textId="11EE7C2C" w:rsidR="0070418B" w:rsidRPr="00C36B84" w:rsidRDefault="0070418B" w:rsidP="00AD11DC">
      <w:pPr>
        <w:pStyle w:val="Normalnumber"/>
        <w:numPr>
          <w:ilvl w:val="0"/>
          <w:numId w:val="7"/>
        </w:numPr>
        <w:rPr>
          <w:rFonts w:eastAsia="MS Mincho"/>
          <w:bCs/>
          <w:iCs/>
          <w:lang w:val="fr-FR"/>
        </w:rPr>
      </w:pPr>
      <w:r w:rsidRPr="00C36B84">
        <w:rPr>
          <w:lang w:val="fr-FR"/>
        </w:rPr>
        <w:t>Selon l</w:t>
      </w:r>
      <w:r w:rsidR="00263978" w:rsidRPr="00C36B84">
        <w:rPr>
          <w:lang w:val="fr-FR"/>
        </w:rPr>
        <w:t>’</w:t>
      </w:r>
      <w:r w:rsidRPr="00C36B84">
        <w:rPr>
          <w:lang w:val="fr-FR"/>
        </w:rPr>
        <w:t>enquête, les utilisations et les techniques d</w:t>
      </w:r>
      <w:r w:rsidR="00263978" w:rsidRPr="00C36B84">
        <w:rPr>
          <w:lang w:val="fr-FR"/>
        </w:rPr>
        <w:t>’</w:t>
      </w:r>
      <w:r w:rsidRPr="00C36B84">
        <w:rPr>
          <w:lang w:val="fr-FR"/>
        </w:rPr>
        <w:t xml:space="preserve">application </w:t>
      </w:r>
      <w:r w:rsidR="00642F73" w:rsidRPr="00C36B84">
        <w:rPr>
          <w:lang w:val="fr-FR"/>
        </w:rPr>
        <w:t xml:space="preserve">des pesticides au Mozambique </w:t>
      </w:r>
      <w:r w:rsidRPr="00C36B84">
        <w:rPr>
          <w:lang w:val="fr-FR"/>
        </w:rPr>
        <w:t xml:space="preserve">étaient similaires à celles </w:t>
      </w:r>
      <w:r w:rsidR="00642F73" w:rsidRPr="00C36B84">
        <w:rPr>
          <w:lang w:val="fr-FR"/>
        </w:rPr>
        <w:t>observées aux</w:t>
      </w:r>
      <w:r w:rsidRPr="00C36B84">
        <w:rPr>
          <w:lang w:val="fr-FR"/>
        </w:rPr>
        <w:t xml:space="preserve"> États-Unis (utilisation sur les cultures de plein champ, de fruits et de légumes). Les autorités </w:t>
      </w:r>
      <w:r w:rsidR="00642F73" w:rsidRPr="00C36B84">
        <w:rPr>
          <w:lang w:val="fr-FR"/>
        </w:rPr>
        <w:t>m</w:t>
      </w:r>
      <w:r w:rsidRPr="00C36B84">
        <w:rPr>
          <w:lang w:val="fr-FR"/>
        </w:rPr>
        <w:t>ozambi</w:t>
      </w:r>
      <w:r w:rsidR="00642F73" w:rsidRPr="00C36B84">
        <w:rPr>
          <w:lang w:val="fr-FR"/>
        </w:rPr>
        <w:t>caines</w:t>
      </w:r>
      <w:r w:rsidRPr="00C36B84">
        <w:rPr>
          <w:lang w:val="fr-FR"/>
        </w:rPr>
        <w:t xml:space="preserve"> </w:t>
      </w:r>
      <w:r w:rsidR="00642F73" w:rsidRPr="00C36B84">
        <w:rPr>
          <w:lang w:val="fr-FR"/>
        </w:rPr>
        <w:t xml:space="preserve">ont toutefois estimé </w:t>
      </w:r>
      <w:r w:rsidRPr="00C36B84">
        <w:rPr>
          <w:lang w:val="fr-FR"/>
        </w:rPr>
        <w:t>que les mesures d</w:t>
      </w:r>
      <w:r w:rsidR="00263978" w:rsidRPr="00C36B84">
        <w:rPr>
          <w:lang w:val="fr-FR"/>
        </w:rPr>
        <w:t>’</w:t>
      </w:r>
      <w:r w:rsidRPr="00C36B84">
        <w:rPr>
          <w:lang w:val="fr-FR"/>
        </w:rPr>
        <w:t xml:space="preserve">atténuation des risques </w:t>
      </w:r>
      <w:r w:rsidR="00642F73" w:rsidRPr="00C36B84">
        <w:rPr>
          <w:lang w:val="fr-FR"/>
        </w:rPr>
        <w:t>exig</w:t>
      </w:r>
      <w:r w:rsidRPr="00C36B84">
        <w:rPr>
          <w:lang w:val="fr-FR"/>
        </w:rPr>
        <w:t xml:space="preserve">ées </w:t>
      </w:r>
      <w:r w:rsidR="00642F73" w:rsidRPr="00C36B84">
        <w:rPr>
          <w:lang w:val="fr-FR"/>
        </w:rPr>
        <w:t>aux</w:t>
      </w:r>
      <w:r w:rsidRPr="00C36B84">
        <w:rPr>
          <w:lang w:val="fr-FR"/>
        </w:rPr>
        <w:t xml:space="preserve"> États-Unis ne pouvaient être appliquées dans le pays.</w:t>
      </w:r>
    </w:p>
    <w:p w14:paraId="211FCC0F" w14:textId="318DEC34" w:rsidR="0070418B" w:rsidRPr="00C36B84" w:rsidRDefault="00642F73" w:rsidP="00AD11DC">
      <w:pPr>
        <w:pStyle w:val="Normalnumber"/>
        <w:numPr>
          <w:ilvl w:val="0"/>
          <w:numId w:val="7"/>
        </w:numPr>
        <w:rPr>
          <w:rFonts w:eastAsia="MS Mincho"/>
          <w:bCs/>
          <w:iCs/>
          <w:lang w:val="fr-FR"/>
        </w:rPr>
      </w:pPr>
      <w:r w:rsidRPr="00C36B84">
        <w:rPr>
          <w:lang w:val="fr-FR"/>
        </w:rPr>
        <w:t>C</w:t>
      </w:r>
      <w:r w:rsidR="0070418B" w:rsidRPr="00C36B84">
        <w:rPr>
          <w:lang w:val="fr-FR"/>
        </w:rPr>
        <w:t>ompte tenu de l</w:t>
      </w:r>
      <w:r w:rsidR="00263978" w:rsidRPr="00C36B84">
        <w:rPr>
          <w:lang w:val="fr-FR"/>
        </w:rPr>
        <w:t>’</w:t>
      </w:r>
      <w:r w:rsidR="0070418B" w:rsidRPr="00C36B84">
        <w:rPr>
          <w:lang w:val="fr-FR"/>
        </w:rPr>
        <w:t>objectif national de réduction des risques liés aux pesticides les plus dangereux, notamment aux pesticides très dangereux, les résultats de l</w:t>
      </w:r>
      <w:r w:rsidR="00263978" w:rsidRPr="00C36B84">
        <w:rPr>
          <w:lang w:val="fr-FR"/>
        </w:rPr>
        <w:t>’</w:t>
      </w:r>
      <w:r w:rsidR="0070418B" w:rsidRPr="00C36B84">
        <w:rPr>
          <w:lang w:val="fr-FR"/>
        </w:rPr>
        <w:t>enquête sur les pratiques en matière d</w:t>
      </w:r>
      <w:r w:rsidR="00263978" w:rsidRPr="00C36B84">
        <w:rPr>
          <w:lang w:val="fr-FR"/>
        </w:rPr>
        <w:t>’</w:t>
      </w:r>
      <w:r w:rsidR="0070418B" w:rsidRPr="00C36B84">
        <w:rPr>
          <w:lang w:val="fr-FR"/>
        </w:rPr>
        <w:t>utilisation des pesticides dans certains systèmes de culture au Mozambique (dont certaines sont représentatives des utilisations homologuées pour l</w:t>
      </w:r>
      <w:r w:rsidR="00263978" w:rsidRPr="00C36B84">
        <w:rPr>
          <w:lang w:val="fr-FR"/>
        </w:rPr>
        <w:t>’</w:t>
      </w:r>
      <w:r w:rsidR="0070418B" w:rsidRPr="00C36B84">
        <w:rPr>
          <w:lang w:val="fr-FR"/>
        </w:rPr>
        <w:t>iprodione), qui ont notamment mis en évidence la disponibilité et l</w:t>
      </w:r>
      <w:r w:rsidR="00263978" w:rsidRPr="00C36B84">
        <w:rPr>
          <w:lang w:val="fr-FR"/>
        </w:rPr>
        <w:t>’</w:t>
      </w:r>
      <w:r w:rsidR="0070418B" w:rsidRPr="00C36B84">
        <w:rPr>
          <w:lang w:val="fr-FR"/>
        </w:rPr>
        <w:t>utilisation inadéquates des EPI et le caractère probablement cancérogène de l</w:t>
      </w:r>
      <w:r w:rsidR="00263978" w:rsidRPr="00C36B84">
        <w:rPr>
          <w:lang w:val="fr-FR"/>
        </w:rPr>
        <w:t>’</w:t>
      </w:r>
      <w:r w:rsidR="0070418B" w:rsidRPr="00C36B84">
        <w:rPr>
          <w:lang w:val="fr-FR"/>
        </w:rPr>
        <w:t>iprodione, et compte tenu des informations passerelles relatives aux exigences en matière d</w:t>
      </w:r>
      <w:r w:rsidR="00263978" w:rsidRPr="00C36B84">
        <w:rPr>
          <w:lang w:val="fr-FR"/>
        </w:rPr>
        <w:t>’</w:t>
      </w:r>
      <w:r w:rsidR="0070418B" w:rsidRPr="00C36B84">
        <w:rPr>
          <w:lang w:val="fr-FR"/>
        </w:rPr>
        <w:t>EPI aux États-Unis, il est conclu que la mesure de réglementation finale est fondée sur une évaluation des</w:t>
      </w:r>
      <w:r w:rsidR="006266DA" w:rsidRPr="00C36B84">
        <w:rPr>
          <w:lang w:val="fr-FR"/>
        </w:rPr>
        <w:t> </w:t>
      </w:r>
      <w:r w:rsidR="0070418B" w:rsidRPr="00C36B84">
        <w:rPr>
          <w:lang w:val="fr-FR"/>
        </w:rPr>
        <w:t>risques tenant compte des circonstances propres à la Partie qui a pris la mesure.</w:t>
      </w:r>
    </w:p>
    <w:p w14:paraId="5BE41824" w14:textId="5F3B9D03" w:rsidR="0070418B" w:rsidRPr="00C36B84" w:rsidRDefault="0070418B" w:rsidP="00AD11DC">
      <w:pPr>
        <w:pStyle w:val="Normalnumber"/>
        <w:numPr>
          <w:ilvl w:val="0"/>
          <w:numId w:val="7"/>
        </w:numPr>
        <w:rPr>
          <w:lang w:val="fr-FR"/>
        </w:rPr>
      </w:pPr>
      <w:r w:rsidRPr="00C36B84">
        <w:rPr>
          <w:lang w:val="fr-FR"/>
        </w:rPr>
        <w:t>En conséquence, le Comité confirme que le critère énoncé au paragraphe b), alinéa iii), de l</w:t>
      </w:r>
      <w:r w:rsidR="00263978" w:rsidRPr="00C36B84">
        <w:rPr>
          <w:lang w:val="fr-FR"/>
        </w:rPr>
        <w:t>’</w:t>
      </w:r>
      <w:r w:rsidRPr="00C36B84">
        <w:rPr>
          <w:lang w:val="fr-FR"/>
        </w:rPr>
        <w:t>Annexe II est rempli.</w:t>
      </w:r>
    </w:p>
    <w:p w14:paraId="587EFBDC" w14:textId="5637C3C9" w:rsidR="0070418B" w:rsidRPr="00C36B84" w:rsidRDefault="0070418B" w:rsidP="00AD11DC">
      <w:pPr>
        <w:pStyle w:val="Normalnumber"/>
        <w:numPr>
          <w:ilvl w:val="0"/>
          <w:numId w:val="7"/>
        </w:numPr>
        <w:rPr>
          <w:lang w:val="fr-FR"/>
        </w:rPr>
      </w:pPr>
      <w:r w:rsidRPr="00C36B84">
        <w:rPr>
          <w:lang w:val="fr-FR"/>
        </w:rPr>
        <w:t>Le Comité confirme que les critères énoncés au paragraphe b) de l</w:t>
      </w:r>
      <w:r w:rsidR="00263978" w:rsidRPr="00C36B84">
        <w:rPr>
          <w:lang w:val="fr-FR"/>
        </w:rPr>
        <w:t>’</w:t>
      </w:r>
      <w:r w:rsidRPr="00C36B84">
        <w:rPr>
          <w:lang w:val="fr-FR"/>
        </w:rPr>
        <w:t>Annexe II sont remplis.</w:t>
      </w:r>
    </w:p>
    <w:p w14:paraId="1A911E83" w14:textId="33F740FE" w:rsidR="0070418B" w:rsidRPr="00C36B84" w:rsidRDefault="0070418B" w:rsidP="00955908">
      <w:pPr>
        <w:pStyle w:val="CH3"/>
        <w:snapToGrid w:val="0"/>
        <w:rPr>
          <w:snapToGrid w:val="0"/>
        </w:rPr>
      </w:pPr>
      <w:r w:rsidRPr="00C36B84">
        <w:rPr>
          <w:snapToGrid w:val="0"/>
        </w:rPr>
        <w:tab/>
        <w:t>d)</w:t>
      </w:r>
      <w:r w:rsidRPr="00C36B84">
        <w:rPr>
          <w:snapToGrid w:val="0"/>
        </w:rPr>
        <w:tab/>
        <w:t>Critères énoncés au paragraphe c) de l</w:t>
      </w:r>
      <w:r w:rsidR="00263978" w:rsidRPr="00C36B84">
        <w:rPr>
          <w:snapToGrid w:val="0"/>
        </w:rPr>
        <w:t>’</w:t>
      </w:r>
      <w:r w:rsidRPr="00C36B84">
        <w:rPr>
          <w:snapToGrid w:val="0"/>
        </w:rPr>
        <w:t>Annexe II</w:t>
      </w:r>
    </w:p>
    <w:p w14:paraId="4C4C372B" w14:textId="6AB8A152" w:rsidR="0070418B" w:rsidRPr="00C36B84" w:rsidRDefault="006266DA" w:rsidP="006266DA">
      <w:pPr>
        <w:pStyle w:val="NormalNonumber"/>
        <w:rPr>
          <w:i/>
        </w:rPr>
      </w:pPr>
      <w:r w:rsidRPr="00C36B84">
        <w:rPr>
          <w:i/>
        </w:rPr>
        <w:tab/>
      </w:r>
      <w:r w:rsidR="0070418B" w:rsidRPr="00C36B84">
        <w:rPr>
          <w:i/>
        </w:rPr>
        <w:t>c)</w:t>
      </w:r>
      <w:r w:rsidR="0070418B" w:rsidRPr="00C36B84">
        <w:rPr>
          <w:i/>
        </w:rPr>
        <w:tab/>
        <w:t>Détermine si la mesure de réglementation finale fournit une base suffisante pour justifier l</w:t>
      </w:r>
      <w:r w:rsidR="00263978" w:rsidRPr="00C36B84">
        <w:rPr>
          <w:i/>
        </w:rPr>
        <w:t>’</w:t>
      </w:r>
      <w:r w:rsidR="0070418B" w:rsidRPr="00C36B84">
        <w:rPr>
          <w:i/>
        </w:rPr>
        <w:t>inscription du produit chimique considéré à l</w:t>
      </w:r>
      <w:r w:rsidR="00263978" w:rsidRPr="00C36B84">
        <w:rPr>
          <w:i/>
        </w:rPr>
        <w:t>’</w:t>
      </w:r>
      <w:r w:rsidR="0070418B" w:rsidRPr="00C36B84">
        <w:rPr>
          <w:i/>
        </w:rPr>
        <w:t>Annexe III</w:t>
      </w:r>
      <w:r w:rsidR="004C5942" w:rsidRPr="00C36B84">
        <w:rPr>
          <w:i/>
        </w:rPr>
        <w:t>, compte tenu</w:t>
      </w:r>
      <w:r w:rsidR="0070418B" w:rsidRPr="00C36B84">
        <w:rPr>
          <w:i/>
        </w:rPr>
        <w:t xml:space="preserve"> des éléments suivants :</w:t>
      </w:r>
    </w:p>
    <w:p w14:paraId="22ED5393" w14:textId="44135C32" w:rsidR="0070418B" w:rsidRPr="00C36B84" w:rsidRDefault="006266DA" w:rsidP="006266DA">
      <w:pPr>
        <w:pStyle w:val="NormalNonumber"/>
        <w:ind w:left="2381" w:hanging="1134"/>
        <w:rPr>
          <w:i/>
        </w:rPr>
      </w:pPr>
      <w:r w:rsidRPr="00C36B84">
        <w:rPr>
          <w:i/>
        </w:rPr>
        <w:tab/>
      </w:r>
      <w:r w:rsidR="0070418B" w:rsidRPr="00C36B84">
        <w:rPr>
          <w:i/>
        </w:rPr>
        <w:t>i)</w:t>
      </w:r>
      <w:r w:rsidR="0070418B" w:rsidRPr="00C36B84">
        <w:rPr>
          <w:i/>
        </w:rPr>
        <w:tab/>
        <w:t>La mesure de réglementation finale a-t-elle entraîné, ou devrait-elle entraîner, une</w:t>
      </w:r>
      <w:r w:rsidRPr="00C36B84">
        <w:rPr>
          <w:i/>
        </w:rPr>
        <w:t> </w:t>
      </w:r>
      <w:r w:rsidR="0070418B" w:rsidRPr="00C36B84">
        <w:rPr>
          <w:i/>
        </w:rPr>
        <w:t>diminution sensible de la consommation du produit chimique ou du nombre de ses</w:t>
      </w:r>
      <w:r w:rsidRPr="00C36B84">
        <w:rPr>
          <w:i/>
        </w:rPr>
        <w:t> </w:t>
      </w:r>
      <w:r w:rsidR="0070418B" w:rsidRPr="00C36B84">
        <w:rPr>
          <w:i/>
        </w:rPr>
        <w:t>emplois ?</w:t>
      </w:r>
    </w:p>
    <w:p w14:paraId="05ABF7E9" w14:textId="7B5D368B" w:rsidR="0070418B" w:rsidRPr="00C36B84" w:rsidRDefault="0070418B" w:rsidP="00AD11DC">
      <w:pPr>
        <w:pStyle w:val="Normalnumber"/>
        <w:numPr>
          <w:ilvl w:val="0"/>
          <w:numId w:val="7"/>
        </w:numPr>
        <w:rPr>
          <w:rFonts w:eastAsia="MS Mincho"/>
          <w:iCs/>
          <w:lang w:val="fr-FR"/>
        </w:rPr>
      </w:pPr>
      <w:r w:rsidRPr="00C36B84">
        <w:rPr>
          <w:lang w:val="fr-FR"/>
        </w:rPr>
        <w:t>Avant l</w:t>
      </w:r>
      <w:r w:rsidR="00263978" w:rsidRPr="00C36B84">
        <w:rPr>
          <w:lang w:val="fr-FR"/>
        </w:rPr>
        <w:t>’</w:t>
      </w:r>
      <w:r w:rsidRPr="00C36B84">
        <w:rPr>
          <w:lang w:val="fr-FR"/>
        </w:rPr>
        <w:t>entrée en vigueur de la mesure de réglementation, l</w:t>
      </w:r>
      <w:r w:rsidR="00263978" w:rsidRPr="00C36B84">
        <w:rPr>
          <w:lang w:val="fr-FR"/>
        </w:rPr>
        <w:t>’</w:t>
      </w:r>
      <w:r w:rsidRPr="00C36B84">
        <w:rPr>
          <w:lang w:val="fr-FR"/>
        </w:rPr>
        <w:t xml:space="preserve">iprodione était utilisé au Mozambique comme fongicide sur les vignes, les arbres fruitiers et les légumes. Il </w:t>
      </w:r>
      <w:r w:rsidR="00501FC8" w:rsidRPr="00C36B84">
        <w:rPr>
          <w:lang w:val="fr-FR"/>
        </w:rPr>
        <w:t xml:space="preserve">en </w:t>
      </w:r>
      <w:r w:rsidRPr="00C36B84">
        <w:rPr>
          <w:lang w:val="fr-FR"/>
        </w:rPr>
        <w:t>existait une</w:t>
      </w:r>
      <w:r w:rsidR="006266DA" w:rsidRPr="00C36B84">
        <w:rPr>
          <w:lang w:val="fr-FR"/>
        </w:rPr>
        <w:t> </w:t>
      </w:r>
      <w:r w:rsidRPr="00C36B84">
        <w:rPr>
          <w:lang w:val="fr-FR"/>
        </w:rPr>
        <w:t>formulation homologuée sur le marché (UNEP/FAO/RC/CRC.17/5, section</w:t>
      </w:r>
      <w:r w:rsidR="00742C00">
        <w:rPr>
          <w:lang w:val="fr-FR"/>
        </w:rPr>
        <w:t> </w:t>
      </w:r>
      <w:r w:rsidRPr="00C36B84">
        <w:rPr>
          <w:lang w:val="fr-FR"/>
        </w:rPr>
        <w:t xml:space="preserve">1.3 de la </w:t>
      </w:r>
      <w:r w:rsidR="009A49D0" w:rsidRPr="00C36B84">
        <w:rPr>
          <w:lang w:val="fr-FR"/>
        </w:rPr>
        <w:t>notification reçue d</w:t>
      </w:r>
      <w:r w:rsidRPr="00C36B84">
        <w:rPr>
          <w:lang w:val="fr-FR"/>
        </w:rPr>
        <w:t>u Mozambique). La documentation à l</w:t>
      </w:r>
      <w:r w:rsidR="00263978" w:rsidRPr="00C36B84">
        <w:rPr>
          <w:lang w:val="fr-FR"/>
        </w:rPr>
        <w:t>’</w:t>
      </w:r>
      <w:r w:rsidRPr="00C36B84">
        <w:rPr>
          <w:lang w:val="fr-FR"/>
        </w:rPr>
        <w:t>appui fai</w:t>
      </w:r>
      <w:r w:rsidR="00501FC8" w:rsidRPr="00C36B84">
        <w:rPr>
          <w:lang w:val="fr-FR"/>
        </w:rPr>
        <w:t>t</w:t>
      </w:r>
      <w:r w:rsidRPr="00C36B84">
        <w:rPr>
          <w:lang w:val="fr-FR"/>
        </w:rPr>
        <w:t xml:space="preserve"> état d</w:t>
      </w:r>
      <w:r w:rsidR="00263978" w:rsidRPr="00C36B84">
        <w:rPr>
          <w:lang w:val="fr-FR"/>
        </w:rPr>
        <w:t>’</w:t>
      </w:r>
      <w:r w:rsidRPr="00C36B84">
        <w:rPr>
          <w:lang w:val="fr-FR"/>
        </w:rPr>
        <w:t xml:space="preserve">une importation de 12 litres </w:t>
      </w:r>
      <w:r w:rsidR="00501FC8" w:rsidRPr="00C36B84">
        <w:rPr>
          <w:lang w:val="fr-FR"/>
        </w:rPr>
        <w:t>de cette</w:t>
      </w:r>
      <w:r w:rsidR="006266DA" w:rsidRPr="00C36B84">
        <w:rPr>
          <w:lang w:val="fr-FR"/>
        </w:rPr>
        <w:t> </w:t>
      </w:r>
      <w:r w:rsidR="00501FC8" w:rsidRPr="00C36B84">
        <w:rPr>
          <w:lang w:val="fr-FR"/>
        </w:rPr>
        <w:t xml:space="preserve">formulation </w:t>
      </w:r>
      <w:r w:rsidRPr="00C36B84">
        <w:rPr>
          <w:lang w:val="fr-FR"/>
        </w:rPr>
        <w:t>en 2013 (UNEP/FAO/RC/CRC.17/5, section</w:t>
      </w:r>
      <w:r w:rsidR="00742C00">
        <w:rPr>
          <w:lang w:val="fr-FR"/>
        </w:rPr>
        <w:t> </w:t>
      </w:r>
      <w:r w:rsidRPr="00C36B84">
        <w:rPr>
          <w:lang w:val="fr-FR"/>
        </w:rPr>
        <w:t xml:space="preserve">2.5.1 de la </w:t>
      </w:r>
      <w:r w:rsidR="009A49D0" w:rsidRPr="00C36B84">
        <w:rPr>
          <w:lang w:val="fr-FR"/>
        </w:rPr>
        <w:t>notification reçue d</w:t>
      </w:r>
      <w:r w:rsidRPr="00C36B84">
        <w:rPr>
          <w:lang w:val="fr-FR"/>
        </w:rPr>
        <w:t xml:space="preserve">u Mozambique ; </w:t>
      </w:r>
      <w:r w:rsidR="00FB4F20" w:rsidRPr="00C36B84">
        <w:rPr>
          <w:lang w:val="fr-FR"/>
        </w:rPr>
        <w:t>Come</w:t>
      </w:r>
      <w:r w:rsidRPr="00C36B84">
        <w:rPr>
          <w:lang w:val="fr-FR"/>
        </w:rPr>
        <w:t xml:space="preserve"> et van der </w:t>
      </w:r>
      <w:proofErr w:type="spellStart"/>
      <w:r w:rsidRPr="00C36B84">
        <w:rPr>
          <w:lang w:val="fr-FR"/>
        </w:rPr>
        <w:t>Valk</w:t>
      </w:r>
      <w:proofErr w:type="spellEnd"/>
      <w:r w:rsidR="00FB4F20" w:rsidRPr="00C36B84">
        <w:rPr>
          <w:lang w:val="fr-FR"/>
        </w:rPr>
        <w:t>,</w:t>
      </w:r>
      <w:r w:rsidRPr="00C36B84">
        <w:rPr>
          <w:lang w:val="fr-FR"/>
        </w:rPr>
        <w:t xml:space="preserve"> 2014, tableau 6).</w:t>
      </w:r>
    </w:p>
    <w:p w14:paraId="31526064" w14:textId="6D7A4D37" w:rsidR="0070418B" w:rsidRPr="00C36B84" w:rsidRDefault="0070418B" w:rsidP="00AD11DC">
      <w:pPr>
        <w:pStyle w:val="Normalnumber"/>
        <w:numPr>
          <w:ilvl w:val="0"/>
          <w:numId w:val="7"/>
        </w:numPr>
        <w:rPr>
          <w:lang w:val="fr-FR"/>
        </w:rPr>
      </w:pPr>
      <w:r w:rsidRPr="00C36B84">
        <w:rPr>
          <w:lang w:val="fr-FR"/>
        </w:rPr>
        <w:t>La mesure de réglementation finale a interdit l</w:t>
      </w:r>
      <w:r w:rsidR="00263978" w:rsidRPr="00C36B84">
        <w:rPr>
          <w:lang w:val="fr-FR"/>
        </w:rPr>
        <w:t>’</w:t>
      </w:r>
      <w:r w:rsidRPr="00C36B84">
        <w:rPr>
          <w:lang w:val="fr-FR"/>
        </w:rPr>
        <w:t>importation et l</w:t>
      </w:r>
      <w:r w:rsidR="00263978" w:rsidRPr="00C36B84">
        <w:rPr>
          <w:lang w:val="fr-FR"/>
        </w:rPr>
        <w:t>’</w:t>
      </w:r>
      <w:r w:rsidRPr="00C36B84">
        <w:rPr>
          <w:lang w:val="fr-FR"/>
        </w:rPr>
        <w:t>utilisation de l</w:t>
      </w:r>
      <w:r w:rsidR="00263978" w:rsidRPr="00C36B84">
        <w:rPr>
          <w:lang w:val="fr-FR"/>
        </w:rPr>
        <w:t>’</w:t>
      </w:r>
      <w:r w:rsidRPr="00C36B84">
        <w:rPr>
          <w:lang w:val="fr-FR"/>
        </w:rPr>
        <w:t>iprodione et annulé l</w:t>
      </w:r>
      <w:r w:rsidR="00263978" w:rsidRPr="00C36B84">
        <w:rPr>
          <w:lang w:val="fr-FR"/>
        </w:rPr>
        <w:t>’</w:t>
      </w:r>
      <w:r w:rsidRPr="00C36B84">
        <w:rPr>
          <w:lang w:val="fr-FR"/>
        </w:rPr>
        <w:t xml:space="preserve">homologation de tous les produits contenant </w:t>
      </w:r>
      <w:r w:rsidR="00957AB9" w:rsidRPr="00C36B84">
        <w:rPr>
          <w:lang w:val="fr-FR"/>
        </w:rPr>
        <w:t>cette substance</w:t>
      </w:r>
      <w:r w:rsidRPr="00C36B84">
        <w:rPr>
          <w:lang w:val="fr-FR"/>
        </w:rPr>
        <w:t>. Les informations relatives à l</w:t>
      </w:r>
      <w:r w:rsidR="00263978" w:rsidRPr="00C36B84">
        <w:rPr>
          <w:lang w:val="fr-FR"/>
        </w:rPr>
        <w:t>’</w:t>
      </w:r>
      <w:r w:rsidRPr="00C36B84">
        <w:rPr>
          <w:lang w:val="fr-FR"/>
        </w:rPr>
        <w:t>homologation et aux quantités importées n</w:t>
      </w:r>
      <w:r w:rsidR="00263978" w:rsidRPr="00C36B84">
        <w:rPr>
          <w:lang w:val="fr-FR"/>
        </w:rPr>
        <w:t>’</w:t>
      </w:r>
      <w:r w:rsidRPr="00C36B84">
        <w:rPr>
          <w:lang w:val="fr-FR"/>
        </w:rPr>
        <w:t>étaient disponibles que pour une seule formulation et pour une courte période, mais la mesure de réglementation devrait néanmoins permettre de mettre fin à l</w:t>
      </w:r>
      <w:r w:rsidR="00263978" w:rsidRPr="00C36B84">
        <w:rPr>
          <w:lang w:val="fr-FR"/>
        </w:rPr>
        <w:t>’</w:t>
      </w:r>
      <w:r w:rsidRPr="00C36B84">
        <w:rPr>
          <w:lang w:val="fr-FR"/>
        </w:rPr>
        <w:t>exposition à ce produit chimique au Mozambique.</w:t>
      </w:r>
    </w:p>
    <w:p w14:paraId="5288A5EE" w14:textId="64F1B4CD" w:rsidR="00F23195"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 est</w:t>
      </w:r>
      <w:r w:rsidR="006266DA" w:rsidRPr="00C36B84">
        <w:rPr>
          <w:lang w:val="fr-FR"/>
        </w:rPr>
        <w:t> </w:t>
      </w:r>
      <w:r w:rsidRPr="00C36B84">
        <w:rPr>
          <w:lang w:val="fr-FR"/>
        </w:rPr>
        <w:t>rempli.</w:t>
      </w:r>
    </w:p>
    <w:p w14:paraId="3D17889C" w14:textId="181AFC48" w:rsidR="0070418B" w:rsidRPr="00C36B84" w:rsidRDefault="006266DA" w:rsidP="006266DA">
      <w:pPr>
        <w:pStyle w:val="NormalNonumber"/>
        <w:ind w:left="2381" w:hanging="1134"/>
        <w:rPr>
          <w:i/>
        </w:rPr>
      </w:pPr>
      <w:r w:rsidRPr="00C36B84">
        <w:rPr>
          <w:i/>
        </w:rPr>
        <w:tab/>
      </w:r>
      <w:r w:rsidR="0070418B" w:rsidRPr="00C36B84">
        <w:rPr>
          <w:i/>
        </w:rPr>
        <w:t>ii)</w:t>
      </w:r>
      <w:r w:rsidR="0070418B" w:rsidRPr="00C36B84">
        <w:rPr>
          <w:i/>
        </w:rPr>
        <w:tab/>
        <w:t>La mesure de réglementation finale s</w:t>
      </w:r>
      <w:r w:rsidR="00263978" w:rsidRPr="00C36B84">
        <w:rPr>
          <w:i/>
        </w:rPr>
        <w:t>’</w:t>
      </w:r>
      <w:r w:rsidR="0070418B" w:rsidRPr="00C36B84">
        <w:rPr>
          <w:i/>
        </w:rPr>
        <w:t>est-elle effectivement traduite par une diminution des risques, ou devrait-elle entraîner une diminution importante des risques, pour la</w:t>
      </w:r>
      <w:r w:rsidRPr="00C36B84">
        <w:rPr>
          <w:i/>
        </w:rPr>
        <w:t> </w:t>
      </w:r>
      <w:r w:rsidR="0070418B" w:rsidRPr="00C36B84">
        <w:rPr>
          <w:i/>
        </w:rPr>
        <w:t>santé des personnes ou l</w:t>
      </w:r>
      <w:r w:rsidR="00263978" w:rsidRPr="00C36B84">
        <w:rPr>
          <w:i/>
        </w:rPr>
        <w:t>’</w:t>
      </w:r>
      <w:r w:rsidR="0070418B" w:rsidRPr="00C36B84">
        <w:rPr>
          <w:i/>
        </w:rPr>
        <w:t>environnement dans la Partie qui a soumis la notification ?</w:t>
      </w:r>
    </w:p>
    <w:p w14:paraId="7B08CA05" w14:textId="4E845CDF" w:rsidR="00F23195" w:rsidRPr="00C36B84" w:rsidRDefault="0070418B" w:rsidP="00AD11DC">
      <w:pPr>
        <w:pStyle w:val="Normalnumber"/>
        <w:numPr>
          <w:ilvl w:val="0"/>
          <w:numId w:val="7"/>
        </w:numPr>
        <w:rPr>
          <w:lang w:val="fr-FR"/>
        </w:rPr>
      </w:pPr>
      <w:r w:rsidRPr="00C36B84">
        <w:rPr>
          <w:lang w:val="fr-FR"/>
        </w:rPr>
        <w:t>L</w:t>
      </w:r>
      <w:r w:rsidR="00263978" w:rsidRPr="00C36B84">
        <w:rPr>
          <w:lang w:val="fr-FR"/>
        </w:rPr>
        <w:t>’</w:t>
      </w:r>
      <w:r w:rsidRPr="00C36B84">
        <w:rPr>
          <w:lang w:val="fr-FR"/>
        </w:rPr>
        <w:t>iprodione a été répertorié comme équivalent ou similaire à un cancérogène des catégories 1A et 1B du SGH (UNEP/FAO/RC/CRC.17/5, section</w:t>
      </w:r>
      <w:r w:rsidR="00317009">
        <w:rPr>
          <w:lang w:val="fr-FR"/>
        </w:rPr>
        <w:t> </w:t>
      </w:r>
      <w:r w:rsidRPr="00C36B84">
        <w:rPr>
          <w:lang w:val="fr-FR"/>
        </w:rPr>
        <w:t xml:space="preserve">2.4.2.1 de la </w:t>
      </w:r>
      <w:r w:rsidR="009A49D0" w:rsidRPr="00C36B84">
        <w:rPr>
          <w:lang w:val="fr-FR"/>
        </w:rPr>
        <w:t>notification reçue d</w:t>
      </w:r>
      <w:r w:rsidRPr="00C36B84">
        <w:rPr>
          <w:lang w:val="fr-FR"/>
        </w:rPr>
        <w:t>u Mozambique). Une enquête de suivi (</w:t>
      </w:r>
      <w:r w:rsidR="00FB4F20" w:rsidRPr="00C36B84">
        <w:rPr>
          <w:lang w:val="fr-FR"/>
        </w:rPr>
        <w:t>Come</w:t>
      </w:r>
      <w:r w:rsidRPr="00C36B84">
        <w:rPr>
          <w:lang w:val="fr-FR"/>
        </w:rPr>
        <w:t xml:space="preserve"> </w:t>
      </w:r>
      <w:r w:rsidRPr="00C36B84">
        <w:rPr>
          <w:i/>
          <w:iCs/>
          <w:lang w:val="fr-FR"/>
        </w:rPr>
        <w:t>et al</w:t>
      </w:r>
      <w:r w:rsidRPr="00C36B84">
        <w:rPr>
          <w:lang w:val="fr-FR"/>
        </w:rPr>
        <w:t>., 2014) a permis de constater qu</w:t>
      </w:r>
      <w:r w:rsidR="00263978" w:rsidRPr="00C36B84">
        <w:rPr>
          <w:lang w:val="fr-FR"/>
        </w:rPr>
        <w:t>’</w:t>
      </w:r>
      <w:r w:rsidRPr="00C36B84">
        <w:rPr>
          <w:lang w:val="fr-FR"/>
        </w:rPr>
        <w:t>au Mozambique, l</w:t>
      </w:r>
      <w:r w:rsidR="00263978" w:rsidRPr="00C36B84">
        <w:rPr>
          <w:lang w:val="fr-FR"/>
        </w:rPr>
        <w:t>’</w:t>
      </w:r>
      <w:r w:rsidRPr="00C36B84">
        <w:rPr>
          <w:lang w:val="fr-FR"/>
        </w:rPr>
        <w:t>utilisation de pesticides en général, et de pesticides très dangereux en particulier, était susceptible d</w:t>
      </w:r>
      <w:r w:rsidR="00263978" w:rsidRPr="00C36B84">
        <w:rPr>
          <w:lang w:val="fr-FR"/>
        </w:rPr>
        <w:t>’</w:t>
      </w:r>
      <w:r w:rsidRPr="00C36B84">
        <w:rPr>
          <w:lang w:val="fr-FR"/>
        </w:rPr>
        <w:t>entraîner une</w:t>
      </w:r>
      <w:r w:rsidR="006266DA" w:rsidRPr="00C36B84">
        <w:rPr>
          <w:lang w:val="fr-FR"/>
        </w:rPr>
        <w:t> </w:t>
      </w:r>
      <w:r w:rsidRPr="00C36B84">
        <w:rPr>
          <w:lang w:val="fr-FR"/>
        </w:rPr>
        <w:t xml:space="preserve">exposition excessive des agriculteurs. </w:t>
      </w:r>
      <w:r w:rsidR="00501FC8" w:rsidRPr="00C36B84">
        <w:rPr>
          <w:lang w:val="fr-FR"/>
        </w:rPr>
        <w:t>Il a été estimé que l</w:t>
      </w:r>
      <w:r w:rsidR="00263978" w:rsidRPr="00C36B84">
        <w:rPr>
          <w:lang w:val="fr-FR"/>
        </w:rPr>
        <w:t>’</w:t>
      </w:r>
      <w:r w:rsidRPr="00C36B84">
        <w:rPr>
          <w:lang w:val="fr-FR"/>
        </w:rPr>
        <w:t xml:space="preserve">iprodione et les produits </w:t>
      </w:r>
      <w:r w:rsidR="00957AB9" w:rsidRPr="00C36B84">
        <w:rPr>
          <w:lang w:val="fr-FR"/>
        </w:rPr>
        <w:t xml:space="preserve">qui en </w:t>
      </w:r>
      <w:r w:rsidRPr="00C36B84">
        <w:rPr>
          <w:lang w:val="fr-FR"/>
        </w:rPr>
        <w:t>cont</w:t>
      </w:r>
      <w:r w:rsidR="00957AB9" w:rsidRPr="00C36B84">
        <w:rPr>
          <w:lang w:val="fr-FR"/>
        </w:rPr>
        <w:t xml:space="preserve">iennent </w:t>
      </w:r>
      <w:r w:rsidR="00501FC8" w:rsidRPr="00C36B84">
        <w:rPr>
          <w:lang w:val="fr-FR"/>
        </w:rPr>
        <w:t>s</w:t>
      </w:r>
      <w:r w:rsidR="00957AB9" w:rsidRPr="00C36B84">
        <w:rPr>
          <w:lang w:val="fr-FR"/>
        </w:rPr>
        <w:t xml:space="preserve">ont </w:t>
      </w:r>
      <w:r w:rsidRPr="00C36B84">
        <w:rPr>
          <w:lang w:val="fr-FR"/>
        </w:rPr>
        <w:t>nocifs pour la santé humaine</w:t>
      </w:r>
      <w:r w:rsidR="00957AB9" w:rsidRPr="00C36B84">
        <w:rPr>
          <w:lang w:val="fr-FR"/>
        </w:rPr>
        <w:t>,</w:t>
      </w:r>
      <w:r w:rsidRPr="00C36B84">
        <w:rPr>
          <w:lang w:val="fr-FR"/>
        </w:rPr>
        <w:t xml:space="preserve"> compte tenu des conditions locales d</w:t>
      </w:r>
      <w:r w:rsidR="00263978" w:rsidRPr="00C36B84">
        <w:rPr>
          <w:lang w:val="fr-FR"/>
        </w:rPr>
        <w:t>’</w:t>
      </w:r>
      <w:r w:rsidRPr="00C36B84">
        <w:rPr>
          <w:lang w:val="fr-FR"/>
        </w:rPr>
        <w:t>utilisation</w:t>
      </w:r>
      <w:r w:rsidR="00957AB9" w:rsidRPr="00C36B84">
        <w:rPr>
          <w:lang w:val="fr-FR"/>
        </w:rPr>
        <w:t>,</w:t>
      </w:r>
      <w:r w:rsidRPr="00C36B84">
        <w:rPr>
          <w:lang w:val="fr-FR"/>
        </w:rPr>
        <w:t xml:space="preserve"> et </w:t>
      </w:r>
      <w:r w:rsidR="00501FC8" w:rsidRPr="00C36B84">
        <w:rPr>
          <w:lang w:val="fr-FR"/>
        </w:rPr>
        <w:lastRenderedPageBreak/>
        <w:t>qu</w:t>
      </w:r>
      <w:r w:rsidR="00263978" w:rsidRPr="00C36B84">
        <w:rPr>
          <w:lang w:val="fr-FR"/>
        </w:rPr>
        <w:t>’</w:t>
      </w:r>
      <w:r w:rsidR="00501FC8" w:rsidRPr="00C36B84">
        <w:rPr>
          <w:lang w:val="fr-FR"/>
        </w:rPr>
        <w:t xml:space="preserve">ils </w:t>
      </w:r>
      <w:r w:rsidRPr="00C36B84">
        <w:rPr>
          <w:lang w:val="fr-FR"/>
        </w:rPr>
        <w:t>nécessit</w:t>
      </w:r>
      <w:r w:rsidR="00501FC8" w:rsidRPr="00C36B84">
        <w:rPr>
          <w:lang w:val="fr-FR"/>
        </w:rPr>
        <w:t>e</w:t>
      </w:r>
      <w:r w:rsidRPr="00C36B84">
        <w:rPr>
          <w:lang w:val="fr-FR"/>
        </w:rPr>
        <w:t>nt des mesures d</w:t>
      </w:r>
      <w:r w:rsidR="00263978" w:rsidRPr="00C36B84">
        <w:rPr>
          <w:lang w:val="fr-FR"/>
        </w:rPr>
        <w:t>’</w:t>
      </w:r>
      <w:r w:rsidRPr="00C36B84">
        <w:rPr>
          <w:lang w:val="fr-FR"/>
        </w:rPr>
        <w:t>atténuation des risques (UNEP/FAO/RC/CRC.17/5, section</w:t>
      </w:r>
      <w:r w:rsidR="00317009">
        <w:rPr>
          <w:lang w:val="fr-FR"/>
        </w:rPr>
        <w:t> </w:t>
      </w:r>
      <w:r w:rsidRPr="00C36B84">
        <w:rPr>
          <w:lang w:val="fr-FR"/>
        </w:rPr>
        <w:t xml:space="preserve">2.4.2.1 de la </w:t>
      </w:r>
      <w:r w:rsidR="009A49D0" w:rsidRPr="00C36B84">
        <w:rPr>
          <w:lang w:val="fr-FR"/>
        </w:rPr>
        <w:t>notification reçue d</w:t>
      </w:r>
      <w:r w:rsidRPr="00C36B84">
        <w:rPr>
          <w:lang w:val="fr-FR"/>
        </w:rPr>
        <w:t xml:space="preserve">u Mozambique). </w:t>
      </w:r>
      <w:r w:rsidR="00501FC8" w:rsidRPr="00C36B84">
        <w:rPr>
          <w:lang w:val="fr-FR"/>
        </w:rPr>
        <w:t>L</w:t>
      </w:r>
      <w:r w:rsidR="00263978" w:rsidRPr="00C36B84">
        <w:rPr>
          <w:lang w:val="fr-FR"/>
        </w:rPr>
        <w:t>’</w:t>
      </w:r>
      <w:r w:rsidRPr="00C36B84">
        <w:rPr>
          <w:lang w:val="fr-FR"/>
        </w:rPr>
        <w:t>application de mesures d</w:t>
      </w:r>
      <w:r w:rsidR="00263978" w:rsidRPr="00C36B84">
        <w:rPr>
          <w:lang w:val="fr-FR"/>
        </w:rPr>
        <w:t>’</w:t>
      </w:r>
      <w:r w:rsidRPr="00C36B84">
        <w:rPr>
          <w:lang w:val="fr-FR"/>
        </w:rPr>
        <w:t>atténuation des risques reposant uniquement sur le port d</w:t>
      </w:r>
      <w:r w:rsidR="00263978" w:rsidRPr="00C36B84">
        <w:rPr>
          <w:lang w:val="fr-FR"/>
        </w:rPr>
        <w:t>’</w:t>
      </w:r>
      <w:r w:rsidRPr="00C36B84">
        <w:rPr>
          <w:lang w:val="fr-FR"/>
        </w:rPr>
        <w:t>un EPI approprié dans les conditions locales d</w:t>
      </w:r>
      <w:r w:rsidR="00263978" w:rsidRPr="00C36B84">
        <w:rPr>
          <w:lang w:val="fr-FR"/>
        </w:rPr>
        <w:t>’</w:t>
      </w:r>
      <w:r w:rsidRPr="00C36B84">
        <w:rPr>
          <w:lang w:val="fr-FR"/>
        </w:rPr>
        <w:t xml:space="preserve">utilisation </w:t>
      </w:r>
      <w:r w:rsidR="00501FC8" w:rsidRPr="00C36B84">
        <w:rPr>
          <w:lang w:val="fr-FR"/>
        </w:rPr>
        <w:t xml:space="preserve">a été jugée </w:t>
      </w:r>
      <w:r w:rsidRPr="00C36B84">
        <w:rPr>
          <w:lang w:val="fr-FR"/>
        </w:rPr>
        <w:t xml:space="preserve">difficile à mettre en œuvre et peu susceptible de </w:t>
      </w:r>
      <w:r w:rsidR="00957AB9" w:rsidRPr="00C36B84">
        <w:rPr>
          <w:lang w:val="fr-FR"/>
        </w:rPr>
        <w:t xml:space="preserve">produire </w:t>
      </w:r>
      <w:r w:rsidRPr="00C36B84">
        <w:rPr>
          <w:lang w:val="fr-FR"/>
        </w:rPr>
        <w:t>des résultats.</w:t>
      </w:r>
    </w:p>
    <w:p w14:paraId="24BC24CD" w14:textId="1E7FEDAB" w:rsidR="0070418B" w:rsidRPr="00C36B84" w:rsidRDefault="0070418B" w:rsidP="00AD11DC">
      <w:pPr>
        <w:pStyle w:val="Normalnumber"/>
        <w:numPr>
          <w:ilvl w:val="0"/>
          <w:numId w:val="7"/>
        </w:numPr>
        <w:rPr>
          <w:lang w:val="fr-FR"/>
        </w:rPr>
      </w:pPr>
      <w:r w:rsidRPr="00C36B84">
        <w:rPr>
          <w:lang w:val="fr-FR"/>
        </w:rPr>
        <w:t>Il peut être considéré que l</w:t>
      </w:r>
      <w:r w:rsidR="00263978" w:rsidRPr="00C36B84">
        <w:rPr>
          <w:lang w:val="fr-FR"/>
        </w:rPr>
        <w:t>’</w:t>
      </w:r>
      <w:r w:rsidRPr="00C36B84">
        <w:rPr>
          <w:lang w:val="fr-FR"/>
        </w:rPr>
        <w:t>interdiction de toutes les formulations de l</w:t>
      </w:r>
      <w:r w:rsidR="00263978" w:rsidRPr="00C36B84">
        <w:rPr>
          <w:lang w:val="fr-FR"/>
        </w:rPr>
        <w:t>’</w:t>
      </w:r>
      <w:r w:rsidRPr="00C36B84">
        <w:rPr>
          <w:lang w:val="fr-FR"/>
        </w:rPr>
        <w:t>iprodione au Mozambique permet de réduire autant que possible les risques associés à l</w:t>
      </w:r>
      <w:r w:rsidR="00263978" w:rsidRPr="00C36B84">
        <w:rPr>
          <w:lang w:val="fr-FR"/>
        </w:rPr>
        <w:t>’</w:t>
      </w:r>
      <w:r w:rsidRPr="00C36B84">
        <w:rPr>
          <w:lang w:val="fr-FR"/>
        </w:rPr>
        <w:t>exposition à l</w:t>
      </w:r>
      <w:r w:rsidR="00263978" w:rsidRPr="00C36B84">
        <w:rPr>
          <w:lang w:val="fr-FR"/>
        </w:rPr>
        <w:t>’</w:t>
      </w:r>
      <w:r w:rsidRPr="00C36B84">
        <w:rPr>
          <w:lang w:val="fr-FR"/>
        </w:rPr>
        <w:t>iprodione.</w:t>
      </w:r>
    </w:p>
    <w:p w14:paraId="43D1CB61" w14:textId="77777777" w:rsidR="00F23195" w:rsidRPr="00C36B84" w:rsidRDefault="0070418B" w:rsidP="00AD11DC">
      <w:pPr>
        <w:pStyle w:val="Normalnumber"/>
        <w:numPr>
          <w:ilvl w:val="0"/>
          <w:numId w:val="7"/>
        </w:numPr>
        <w:rPr>
          <w:lang w:val="fr-FR"/>
        </w:rPr>
      </w:pPr>
      <w:r w:rsidRPr="00C36B84">
        <w:rPr>
          <w:lang w:val="fr-FR"/>
        </w:rPr>
        <w:t>Le Comité confirme que le critère énoncé au paragraphe c), alinéa ii), est rempli.</w:t>
      </w:r>
    </w:p>
    <w:p w14:paraId="093EBB42" w14:textId="69336FE7" w:rsidR="0070418B" w:rsidRPr="00C36B84" w:rsidRDefault="006266DA" w:rsidP="006266DA">
      <w:pPr>
        <w:pStyle w:val="NormalNonumber"/>
        <w:ind w:left="2381" w:hanging="1134"/>
        <w:rPr>
          <w:i/>
        </w:rPr>
      </w:pPr>
      <w:r w:rsidRPr="00C36B84">
        <w:rPr>
          <w:i/>
        </w:rPr>
        <w:tab/>
      </w:r>
      <w:r w:rsidR="0070418B" w:rsidRPr="00C36B84">
        <w:rPr>
          <w:i/>
        </w:rPr>
        <w:t>iii)</w:t>
      </w:r>
      <w:r w:rsidR="0070418B" w:rsidRPr="00C36B84">
        <w:rPr>
          <w:i/>
        </w:rPr>
        <w:tab/>
        <w:t>Les considérations qui ont mené à la mesure de réglementation finale sont-elles valables uniquement dans une zone géographique restreinte ou dans d</w:t>
      </w:r>
      <w:r w:rsidR="00263978" w:rsidRPr="00C36B84">
        <w:rPr>
          <w:i/>
        </w:rPr>
        <w:t>’</w:t>
      </w:r>
      <w:r w:rsidR="0070418B" w:rsidRPr="00C36B84">
        <w:rPr>
          <w:i/>
        </w:rPr>
        <w:t>autres circonstances particulières ?</w:t>
      </w:r>
    </w:p>
    <w:p w14:paraId="46A2937D" w14:textId="1F9BE503" w:rsidR="0070418B" w:rsidRPr="00C36B84" w:rsidRDefault="0070418B" w:rsidP="00AD11DC">
      <w:pPr>
        <w:pStyle w:val="Normalnumber"/>
        <w:numPr>
          <w:ilvl w:val="0"/>
          <w:numId w:val="7"/>
        </w:numPr>
        <w:rPr>
          <w:rFonts w:eastAsia="MS Mincho"/>
          <w:iCs/>
          <w:lang w:val="fr-FR"/>
        </w:rPr>
      </w:pPr>
      <w:r w:rsidRPr="00C36B84">
        <w:rPr>
          <w:lang w:val="fr-FR"/>
        </w:rPr>
        <w:t>La mesure de réglementation finale ét</w:t>
      </w:r>
      <w:r w:rsidR="00957AB9" w:rsidRPr="00C36B84">
        <w:rPr>
          <w:lang w:val="fr-FR"/>
        </w:rPr>
        <w:t>ait</w:t>
      </w:r>
      <w:r w:rsidRPr="00C36B84">
        <w:rPr>
          <w:lang w:val="fr-FR"/>
        </w:rPr>
        <w:t xml:space="preserve"> fondée sur des informations relatives à l</w:t>
      </w:r>
      <w:r w:rsidR="00263978" w:rsidRPr="00C36B84">
        <w:rPr>
          <w:lang w:val="fr-FR"/>
        </w:rPr>
        <w:t>’</w:t>
      </w:r>
      <w:r w:rsidRPr="00C36B84">
        <w:rPr>
          <w:lang w:val="fr-FR"/>
        </w:rPr>
        <w:t>utilisation des</w:t>
      </w:r>
      <w:r w:rsidR="006266DA" w:rsidRPr="00C36B84">
        <w:rPr>
          <w:lang w:val="fr-FR"/>
        </w:rPr>
        <w:t> </w:t>
      </w:r>
      <w:r w:rsidRPr="00C36B84">
        <w:rPr>
          <w:lang w:val="fr-FR"/>
        </w:rPr>
        <w:t>pesticides et à l</w:t>
      </w:r>
      <w:r w:rsidR="00263978" w:rsidRPr="00C36B84">
        <w:rPr>
          <w:lang w:val="fr-FR"/>
        </w:rPr>
        <w:t>’</w:t>
      </w:r>
      <w:r w:rsidRPr="00C36B84">
        <w:rPr>
          <w:lang w:val="fr-FR"/>
        </w:rPr>
        <w:t>exposition à ceux-ci lors de leur application (UNEP/FAO/RC/CRC.17/5, section</w:t>
      </w:r>
      <w:r w:rsidR="006266DA" w:rsidRPr="00C36B84">
        <w:rPr>
          <w:lang w:val="fr-FR"/>
        </w:rPr>
        <w:t> </w:t>
      </w:r>
      <w:r w:rsidRPr="00C36B84">
        <w:rPr>
          <w:lang w:val="fr-FR"/>
        </w:rPr>
        <w:t xml:space="preserve">2.4.2.1 de la </w:t>
      </w:r>
      <w:r w:rsidR="009A49D0" w:rsidRPr="00C36B84">
        <w:rPr>
          <w:lang w:val="fr-FR"/>
        </w:rPr>
        <w:t>notification reçue d</w:t>
      </w:r>
      <w:r w:rsidRPr="00C36B84">
        <w:rPr>
          <w:lang w:val="fr-FR"/>
        </w:rPr>
        <w:t xml:space="preserve">u Mozambique), ainsi que sur des informations internationales relatives aux dangers. Comme </w:t>
      </w:r>
      <w:r w:rsidR="00980067" w:rsidRPr="00C36B84">
        <w:rPr>
          <w:lang w:val="fr-FR"/>
        </w:rPr>
        <w:t>aucune valeur d</w:t>
      </w:r>
      <w:r w:rsidR="00263978" w:rsidRPr="00C36B84">
        <w:rPr>
          <w:lang w:val="fr-FR"/>
        </w:rPr>
        <w:t>’</w:t>
      </w:r>
      <w:r w:rsidR="00980067" w:rsidRPr="00C36B84">
        <w:rPr>
          <w:lang w:val="fr-FR"/>
        </w:rPr>
        <w:t>exposition spécifique au Mozambique n</w:t>
      </w:r>
      <w:r w:rsidR="00263978" w:rsidRPr="00C36B84">
        <w:rPr>
          <w:lang w:val="fr-FR"/>
        </w:rPr>
        <w:t>’</w:t>
      </w:r>
      <w:r w:rsidR="00980067" w:rsidRPr="00C36B84">
        <w:rPr>
          <w:lang w:val="fr-FR"/>
        </w:rPr>
        <w:t>en avait été dégagée pour l</w:t>
      </w:r>
      <w:r w:rsidR="00263978" w:rsidRPr="00C36B84">
        <w:rPr>
          <w:lang w:val="fr-FR"/>
        </w:rPr>
        <w:t>’</w:t>
      </w:r>
      <w:r w:rsidR="00980067" w:rsidRPr="00C36B84">
        <w:rPr>
          <w:lang w:val="fr-FR"/>
        </w:rPr>
        <w:t>iprodione</w:t>
      </w:r>
      <w:r w:rsidRPr="00C36B84">
        <w:rPr>
          <w:lang w:val="fr-FR"/>
        </w:rPr>
        <w:t>, les considérations ne sont pas limitées géographiquement.</w:t>
      </w:r>
    </w:p>
    <w:p w14:paraId="19F925B6" w14:textId="76AF3879" w:rsidR="00F23195" w:rsidRPr="00C36B84" w:rsidRDefault="0070418B" w:rsidP="00AD11DC">
      <w:pPr>
        <w:pStyle w:val="Normalnumber"/>
        <w:numPr>
          <w:ilvl w:val="0"/>
          <w:numId w:val="7"/>
        </w:numPr>
        <w:rPr>
          <w:lang w:val="fr-FR"/>
        </w:rPr>
      </w:pPr>
      <w:r w:rsidRPr="00C36B84">
        <w:rPr>
          <w:lang w:val="fr-FR"/>
        </w:rPr>
        <w:t>L</w:t>
      </w:r>
      <w:r w:rsidR="00263978" w:rsidRPr="00C36B84">
        <w:rPr>
          <w:lang w:val="fr-FR"/>
        </w:rPr>
        <w:t>’</w:t>
      </w:r>
      <w:r w:rsidRPr="00C36B84">
        <w:rPr>
          <w:lang w:val="fr-FR"/>
        </w:rPr>
        <w:t>enquête sur l</w:t>
      </w:r>
      <w:r w:rsidR="00263978" w:rsidRPr="00C36B84">
        <w:rPr>
          <w:lang w:val="fr-FR"/>
        </w:rPr>
        <w:t>’</w:t>
      </w:r>
      <w:r w:rsidRPr="00C36B84">
        <w:rPr>
          <w:lang w:val="fr-FR"/>
        </w:rPr>
        <w:t>utilisation des pesticides au Mozambique a mis en évidence que les</w:t>
      </w:r>
      <w:r w:rsidR="006266DA" w:rsidRPr="00C36B84">
        <w:rPr>
          <w:lang w:val="fr-FR"/>
        </w:rPr>
        <w:t> </w:t>
      </w:r>
      <w:r w:rsidRPr="00C36B84">
        <w:rPr>
          <w:lang w:val="fr-FR"/>
        </w:rPr>
        <w:t xml:space="preserve">équipements de protection individuelle </w:t>
      </w:r>
      <w:r w:rsidR="008D4A10" w:rsidRPr="00C36B84">
        <w:rPr>
          <w:lang w:val="fr-FR"/>
        </w:rPr>
        <w:t xml:space="preserve">y </w:t>
      </w:r>
      <w:r w:rsidRPr="00C36B84">
        <w:rPr>
          <w:lang w:val="fr-FR"/>
        </w:rPr>
        <w:t>étaient peu utilisés (UNEP/FAO/RC/CRC.17/5, section</w:t>
      </w:r>
      <w:r w:rsidR="006266DA" w:rsidRPr="00C36B84">
        <w:rPr>
          <w:lang w:val="fr-FR"/>
        </w:rPr>
        <w:t> </w:t>
      </w:r>
      <w:r w:rsidRPr="00C36B84">
        <w:rPr>
          <w:lang w:val="fr-FR"/>
        </w:rPr>
        <w:t xml:space="preserve">2.4.2.1 de la </w:t>
      </w:r>
      <w:r w:rsidR="009A49D0" w:rsidRPr="00C36B84">
        <w:rPr>
          <w:lang w:val="fr-FR"/>
        </w:rPr>
        <w:t>notification reçue d</w:t>
      </w:r>
      <w:r w:rsidRPr="00C36B84">
        <w:rPr>
          <w:lang w:val="fr-FR"/>
        </w:rPr>
        <w:t>u Mozambique). La notification précise que 93 % des</w:t>
      </w:r>
      <w:r w:rsidR="006266DA" w:rsidRPr="00C36B84">
        <w:rPr>
          <w:lang w:val="fr-FR"/>
        </w:rPr>
        <w:t> </w:t>
      </w:r>
      <w:r w:rsidRPr="00C36B84">
        <w:rPr>
          <w:lang w:val="fr-FR"/>
        </w:rPr>
        <w:t xml:space="preserve">agriculteurs ne </w:t>
      </w:r>
      <w:r w:rsidR="008D4A10" w:rsidRPr="00C36B84">
        <w:rPr>
          <w:lang w:val="fr-FR"/>
        </w:rPr>
        <w:t>possédaient pas d</w:t>
      </w:r>
      <w:r w:rsidR="00263978" w:rsidRPr="00C36B84">
        <w:rPr>
          <w:lang w:val="fr-FR"/>
        </w:rPr>
        <w:t>’</w:t>
      </w:r>
      <w:r w:rsidR="008D4A10" w:rsidRPr="00C36B84">
        <w:rPr>
          <w:lang w:val="fr-FR"/>
        </w:rPr>
        <w:t>équipements de protection individuelle (EPI), n</w:t>
      </w:r>
      <w:r w:rsidR="00263978" w:rsidRPr="00C36B84">
        <w:rPr>
          <w:lang w:val="fr-FR"/>
        </w:rPr>
        <w:t>’</w:t>
      </w:r>
      <w:r w:rsidR="008D4A10" w:rsidRPr="00C36B84">
        <w:rPr>
          <w:lang w:val="fr-FR"/>
        </w:rPr>
        <w:t>en utilisaient pas, ou n</w:t>
      </w:r>
      <w:r w:rsidR="00263978" w:rsidRPr="00C36B84">
        <w:rPr>
          <w:lang w:val="fr-FR"/>
        </w:rPr>
        <w:t>’</w:t>
      </w:r>
      <w:r w:rsidR="008D4A10" w:rsidRPr="00C36B84">
        <w:rPr>
          <w:lang w:val="fr-FR"/>
        </w:rPr>
        <w:t>utilisaient qu</w:t>
      </w:r>
      <w:r w:rsidR="00263978" w:rsidRPr="00C36B84">
        <w:rPr>
          <w:lang w:val="fr-FR"/>
        </w:rPr>
        <w:t>’</w:t>
      </w:r>
      <w:r w:rsidR="008D4A10" w:rsidRPr="00C36B84">
        <w:rPr>
          <w:lang w:val="fr-FR"/>
        </w:rPr>
        <w:t>un seul élément de protection</w:t>
      </w:r>
      <w:r w:rsidRPr="00C36B84">
        <w:rPr>
          <w:lang w:val="fr-FR"/>
        </w:rPr>
        <w:t>. Environ la moitié des agriculteurs interrogés ont dit avoir remarqué des projections de pesticide sur leurs vêtements, sur leur peau nue ou dans les yeux lors des traitements. Près de la moitié des agriculteurs ont indiqué qu</w:t>
      </w:r>
      <w:r w:rsidR="00263978" w:rsidRPr="00C36B84">
        <w:rPr>
          <w:lang w:val="fr-FR"/>
        </w:rPr>
        <w:t>’</w:t>
      </w:r>
      <w:r w:rsidRPr="00C36B84">
        <w:rPr>
          <w:lang w:val="fr-FR"/>
        </w:rPr>
        <w:t>ils ne lisaient pas les étiquettes des pesticides, y compris les instructions d</w:t>
      </w:r>
      <w:r w:rsidR="00263978" w:rsidRPr="00C36B84">
        <w:rPr>
          <w:lang w:val="fr-FR"/>
        </w:rPr>
        <w:t>’</w:t>
      </w:r>
      <w:r w:rsidRPr="00C36B84">
        <w:rPr>
          <w:lang w:val="fr-FR"/>
        </w:rPr>
        <w:t>utilisation concernant par exemple le dosage approprié et les mesures de protection, principalement pour des raisons d</w:t>
      </w:r>
      <w:r w:rsidR="00263978" w:rsidRPr="00C36B84">
        <w:rPr>
          <w:lang w:val="fr-FR"/>
        </w:rPr>
        <w:t>’</w:t>
      </w:r>
      <w:r w:rsidRPr="00C36B84">
        <w:rPr>
          <w:lang w:val="fr-FR"/>
        </w:rPr>
        <w:t>analphabétisme. Ces informations ne concernaient pas l</w:t>
      </w:r>
      <w:r w:rsidR="00263978" w:rsidRPr="00C36B84">
        <w:rPr>
          <w:lang w:val="fr-FR"/>
        </w:rPr>
        <w:t>’</w:t>
      </w:r>
      <w:r w:rsidRPr="00C36B84">
        <w:rPr>
          <w:lang w:val="fr-FR"/>
        </w:rPr>
        <w:t>utilisation de l</w:t>
      </w:r>
      <w:r w:rsidR="00263978" w:rsidRPr="00C36B84">
        <w:rPr>
          <w:lang w:val="fr-FR"/>
        </w:rPr>
        <w:t>’</w:t>
      </w:r>
      <w:r w:rsidRPr="00C36B84">
        <w:rPr>
          <w:lang w:val="fr-FR"/>
        </w:rPr>
        <w:t>iprodione en particulier, mais l</w:t>
      </w:r>
      <w:r w:rsidR="00263978" w:rsidRPr="00C36B84">
        <w:rPr>
          <w:lang w:val="fr-FR"/>
        </w:rPr>
        <w:t>’</w:t>
      </w:r>
      <w:r w:rsidRPr="00C36B84">
        <w:rPr>
          <w:lang w:val="fr-FR"/>
        </w:rPr>
        <w:t>utilisation des pesticides en général. Ce type de situation pouvait se retrouver ailleurs.</w:t>
      </w:r>
    </w:p>
    <w:p w14:paraId="58D8AC04" w14:textId="64BE923A" w:rsidR="00F23195"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iii), est</w:t>
      </w:r>
      <w:r w:rsidR="006266DA" w:rsidRPr="00C36B84">
        <w:rPr>
          <w:lang w:val="fr-FR"/>
        </w:rPr>
        <w:t> </w:t>
      </w:r>
      <w:r w:rsidRPr="00C36B84">
        <w:rPr>
          <w:lang w:val="fr-FR"/>
        </w:rPr>
        <w:t>rempli.</w:t>
      </w:r>
    </w:p>
    <w:p w14:paraId="2FDEFF26" w14:textId="515F1C34" w:rsidR="0070418B" w:rsidRPr="00C36B84" w:rsidRDefault="006266DA" w:rsidP="006266DA">
      <w:pPr>
        <w:pStyle w:val="NormalNonumber"/>
        <w:ind w:left="2381" w:hanging="1134"/>
        <w:rPr>
          <w:i/>
        </w:rPr>
      </w:pPr>
      <w:r w:rsidRPr="00C36B84">
        <w:rPr>
          <w:i/>
        </w:rPr>
        <w:tab/>
      </w:r>
      <w:r w:rsidR="0070418B" w:rsidRPr="00C36B84">
        <w:rPr>
          <w:i/>
        </w:rPr>
        <w:t>iv)</w:t>
      </w:r>
      <w:r w:rsidR="0070418B" w:rsidRPr="00C36B84">
        <w:rPr>
          <w:i/>
        </w:rPr>
        <w:tab/>
        <w:t>Apparaît-il que le produit chimique considéré fait l</w:t>
      </w:r>
      <w:r w:rsidR="00263978" w:rsidRPr="00C36B84">
        <w:rPr>
          <w:i/>
        </w:rPr>
        <w:t>’</w:t>
      </w:r>
      <w:r w:rsidR="0070418B" w:rsidRPr="00C36B84">
        <w:rPr>
          <w:i/>
        </w:rPr>
        <w:t>objet d</w:t>
      </w:r>
      <w:r w:rsidR="00263978" w:rsidRPr="00C36B84">
        <w:rPr>
          <w:i/>
        </w:rPr>
        <w:t>’</w:t>
      </w:r>
      <w:r w:rsidR="0070418B" w:rsidRPr="00C36B84">
        <w:rPr>
          <w:i/>
        </w:rPr>
        <w:t>échanges commerciaux internationaux ?</w:t>
      </w:r>
    </w:p>
    <w:p w14:paraId="7ECE17E2" w14:textId="0DC53C54" w:rsidR="00F23195" w:rsidRPr="00C36B84" w:rsidRDefault="0070418B" w:rsidP="00AD11DC">
      <w:pPr>
        <w:pStyle w:val="Normalnumber"/>
        <w:numPr>
          <w:ilvl w:val="0"/>
          <w:numId w:val="7"/>
        </w:numPr>
        <w:rPr>
          <w:lang w:val="fr-FR"/>
        </w:rPr>
      </w:pPr>
      <w:r w:rsidRPr="00C36B84">
        <w:rPr>
          <w:lang w:val="fr-FR"/>
        </w:rPr>
        <w:t>Selon la notification et la documentation à l</w:t>
      </w:r>
      <w:r w:rsidR="00263978" w:rsidRPr="00C36B84">
        <w:rPr>
          <w:lang w:val="fr-FR"/>
        </w:rPr>
        <w:t>’</w:t>
      </w:r>
      <w:r w:rsidRPr="00C36B84">
        <w:rPr>
          <w:lang w:val="fr-FR"/>
        </w:rPr>
        <w:t>appui, de l</w:t>
      </w:r>
      <w:r w:rsidR="00263978" w:rsidRPr="00C36B84">
        <w:rPr>
          <w:lang w:val="fr-FR"/>
        </w:rPr>
        <w:t>’</w:t>
      </w:r>
      <w:r w:rsidRPr="00C36B84">
        <w:rPr>
          <w:lang w:val="fr-FR"/>
        </w:rPr>
        <w:t>iprodione a été importé sur le marché mozambicain en 2013. De récentes communications adressées par l</w:t>
      </w:r>
      <w:r w:rsidR="00263978" w:rsidRPr="00C36B84">
        <w:rPr>
          <w:lang w:val="fr-FR"/>
        </w:rPr>
        <w:t>’</w:t>
      </w:r>
      <w:r w:rsidRPr="00C36B84">
        <w:rPr>
          <w:lang w:val="fr-FR"/>
        </w:rPr>
        <w:t>Union européenne et par l</w:t>
      </w:r>
      <w:r w:rsidR="00263978" w:rsidRPr="00C36B84">
        <w:rPr>
          <w:lang w:val="fr-FR"/>
        </w:rPr>
        <w:t>’</w:t>
      </w:r>
      <w:r w:rsidRPr="00C36B84">
        <w:rPr>
          <w:lang w:val="fr-FR"/>
        </w:rPr>
        <w:t xml:space="preserve">organisation </w:t>
      </w:r>
      <w:proofErr w:type="spellStart"/>
      <w:r w:rsidRPr="00C36B84">
        <w:rPr>
          <w:lang w:val="fr-FR"/>
        </w:rPr>
        <w:t>CropLife</w:t>
      </w:r>
      <w:proofErr w:type="spellEnd"/>
      <w:r w:rsidRPr="00C36B84">
        <w:rPr>
          <w:lang w:val="fr-FR"/>
        </w:rPr>
        <w:t xml:space="preserve"> International au Secrétariat confirment la poursuite du commerce de </w:t>
      </w:r>
      <w:r w:rsidR="008D4A10" w:rsidRPr="00C36B84">
        <w:rPr>
          <w:lang w:val="fr-FR"/>
        </w:rPr>
        <w:t>cette</w:t>
      </w:r>
      <w:r w:rsidR="006266DA" w:rsidRPr="00C36B84">
        <w:rPr>
          <w:lang w:val="fr-FR"/>
        </w:rPr>
        <w:t> </w:t>
      </w:r>
      <w:r w:rsidR="008D4A10" w:rsidRPr="00C36B84">
        <w:rPr>
          <w:lang w:val="fr-FR"/>
        </w:rPr>
        <w:t xml:space="preserve">substance </w:t>
      </w:r>
      <w:r w:rsidRPr="00C36B84">
        <w:rPr>
          <w:lang w:val="fr-FR"/>
        </w:rPr>
        <w:t>(UNEP/FAO/RC/CRC.17/INF/5).</w:t>
      </w:r>
    </w:p>
    <w:p w14:paraId="28E9181E" w14:textId="634B4AEF" w:rsidR="0070418B"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iv), est</w:t>
      </w:r>
      <w:r w:rsidR="006266DA" w:rsidRPr="00C36B84">
        <w:rPr>
          <w:lang w:val="fr-FR"/>
        </w:rPr>
        <w:t> </w:t>
      </w:r>
      <w:r w:rsidRPr="00C36B84">
        <w:rPr>
          <w:lang w:val="fr-FR"/>
        </w:rPr>
        <w:t>rempli.</w:t>
      </w:r>
    </w:p>
    <w:p w14:paraId="114F0474" w14:textId="29781C1C" w:rsidR="0070418B" w:rsidRPr="00C36B84" w:rsidRDefault="0070418B" w:rsidP="00AD11DC">
      <w:pPr>
        <w:pStyle w:val="Normalnumber"/>
        <w:numPr>
          <w:ilvl w:val="0"/>
          <w:numId w:val="7"/>
        </w:numPr>
        <w:rPr>
          <w:lang w:val="fr-FR"/>
        </w:rPr>
      </w:pPr>
      <w:r w:rsidRPr="00C36B84">
        <w:rPr>
          <w:lang w:val="fr-FR"/>
        </w:rPr>
        <w:t>Le Comité confirme que les critères énoncés au paragraphe c) de l</w:t>
      </w:r>
      <w:r w:rsidR="00263978" w:rsidRPr="00C36B84">
        <w:rPr>
          <w:lang w:val="fr-FR"/>
        </w:rPr>
        <w:t>’</w:t>
      </w:r>
      <w:r w:rsidRPr="00C36B84">
        <w:rPr>
          <w:lang w:val="fr-FR"/>
        </w:rPr>
        <w:t>Annexe II sont remplis.</w:t>
      </w:r>
    </w:p>
    <w:p w14:paraId="1F6A898B" w14:textId="15C49680" w:rsidR="0070418B" w:rsidRPr="00C36B84" w:rsidRDefault="0070418B" w:rsidP="00955908">
      <w:pPr>
        <w:pStyle w:val="CH3"/>
        <w:snapToGrid w:val="0"/>
        <w:rPr>
          <w:snapToGrid w:val="0"/>
        </w:rPr>
      </w:pPr>
      <w:r w:rsidRPr="00C36B84">
        <w:rPr>
          <w:snapToGrid w:val="0"/>
        </w:rPr>
        <w:tab/>
        <w:t>e)</w:t>
      </w:r>
      <w:r w:rsidRPr="00C36B84">
        <w:rPr>
          <w:snapToGrid w:val="0"/>
        </w:rPr>
        <w:tab/>
        <w:t>Critère énoncé au paragraphe d) de l</w:t>
      </w:r>
      <w:r w:rsidR="00263978" w:rsidRPr="00C36B84">
        <w:rPr>
          <w:snapToGrid w:val="0"/>
        </w:rPr>
        <w:t>’</w:t>
      </w:r>
      <w:r w:rsidRPr="00C36B84">
        <w:rPr>
          <w:snapToGrid w:val="0"/>
        </w:rPr>
        <w:t>Annexe II</w:t>
      </w:r>
    </w:p>
    <w:p w14:paraId="552B6433" w14:textId="44BE9B10" w:rsidR="0070418B" w:rsidRPr="00C36B84" w:rsidRDefault="006266DA" w:rsidP="006266DA">
      <w:pPr>
        <w:pStyle w:val="NormalNonumber"/>
        <w:rPr>
          <w:i/>
        </w:rPr>
      </w:pPr>
      <w:r w:rsidRPr="00C36B84">
        <w:rPr>
          <w:i/>
        </w:rPr>
        <w:tab/>
      </w:r>
      <w:r w:rsidR="0070418B" w:rsidRPr="00C36B84">
        <w:rPr>
          <w:i/>
        </w:rPr>
        <w:t>d)</w:t>
      </w:r>
      <w:r w:rsidR="0070418B" w:rsidRPr="00C36B84">
        <w:rPr>
          <w:i/>
        </w:rPr>
        <w:tab/>
        <w:t>Tient compte du fait qu</w:t>
      </w:r>
      <w:r w:rsidR="00263978" w:rsidRPr="00C36B84">
        <w:rPr>
          <w:i/>
        </w:rPr>
        <w:t>’</w:t>
      </w:r>
      <w:r w:rsidR="0070418B" w:rsidRPr="00C36B84">
        <w:rPr>
          <w:i/>
        </w:rPr>
        <w:t>un abus intentionnel ne constitue pas en soi une raison suffisante pour inscrire un produit chimique à l</w:t>
      </w:r>
      <w:r w:rsidR="00263978" w:rsidRPr="00C36B84">
        <w:rPr>
          <w:i/>
        </w:rPr>
        <w:t>’</w:t>
      </w:r>
      <w:r w:rsidR="0070418B" w:rsidRPr="00C36B84">
        <w:rPr>
          <w:i/>
        </w:rPr>
        <w:t>Annexe III.</w:t>
      </w:r>
    </w:p>
    <w:p w14:paraId="7CAFD609" w14:textId="4A552CC4" w:rsidR="0070418B" w:rsidRPr="00C36B84" w:rsidRDefault="0070418B" w:rsidP="00AD11DC">
      <w:pPr>
        <w:pStyle w:val="Normalnumber"/>
        <w:numPr>
          <w:ilvl w:val="0"/>
          <w:numId w:val="7"/>
        </w:numPr>
        <w:rPr>
          <w:lang w:val="fr-FR"/>
        </w:rPr>
      </w:pPr>
      <w:r w:rsidRPr="00C36B84">
        <w:rPr>
          <w:lang w:val="fr-FR"/>
        </w:rPr>
        <w:t>Aucun élément de la notification n</w:t>
      </w:r>
      <w:r w:rsidR="00263978" w:rsidRPr="00C36B84">
        <w:rPr>
          <w:lang w:val="fr-FR"/>
        </w:rPr>
        <w:t>’</w:t>
      </w:r>
      <w:r w:rsidRPr="00C36B84">
        <w:rPr>
          <w:lang w:val="fr-FR"/>
        </w:rPr>
        <w:t>indique que la mesure de réglementation a été motivée par</w:t>
      </w:r>
      <w:r w:rsidR="006F15CB" w:rsidRPr="00C36B84">
        <w:rPr>
          <w:lang w:val="fr-FR"/>
        </w:rPr>
        <w:t> </w:t>
      </w:r>
      <w:r w:rsidRPr="00C36B84">
        <w:rPr>
          <w:lang w:val="fr-FR"/>
        </w:rPr>
        <w:t>des préoccupations concernant un abus intentionnel.</w:t>
      </w:r>
    </w:p>
    <w:p w14:paraId="504E521D" w14:textId="425999B5" w:rsidR="00F23195" w:rsidRPr="00C36B84" w:rsidRDefault="0070418B" w:rsidP="00AD11DC">
      <w:pPr>
        <w:pStyle w:val="Normalnumber"/>
        <w:numPr>
          <w:ilvl w:val="0"/>
          <w:numId w:val="7"/>
        </w:numPr>
        <w:rPr>
          <w:lang w:val="fr-FR"/>
        </w:rPr>
      </w:pPr>
      <w:r w:rsidRPr="00C36B84">
        <w:rPr>
          <w:lang w:val="fr-FR"/>
        </w:rPr>
        <w:t xml:space="preserve">Compte tenu des considérations </w:t>
      </w:r>
      <w:r w:rsidR="006F6FB2" w:rsidRPr="00C36B84">
        <w:rPr>
          <w:lang w:val="fr-FR"/>
        </w:rPr>
        <w:t>précédentes</w:t>
      </w:r>
      <w:r w:rsidRPr="00C36B84">
        <w:rPr>
          <w:lang w:val="fr-FR"/>
        </w:rPr>
        <w:t>, le Comité confirme que le critère énoncé au</w:t>
      </w:r>
      <w:r w:rsidR="006F15CB" w:rsidRPr="00C36B84">
        <w:rPr>
          <w:lang w:val="fr-FR"/>
        </w:rPr>
        <w:t> </w:t>
      </w:r>
      <w:r w:rsidRPr="00C36B84">
        <w:rPr>
          <w:lang w:val="fr-FR"/>
        </w:rPr>
        <w:t>paragraphe d) de l</w:t>
      </w:r>
      <w:r w:rsidR="00263978" w:rsidRPr="00C36B84">
        <w:rPr>
          <w:lang w:val="fr-FR"/>
        </w:rPr>
        <w:t>’</w:t>
      </w:r>
      <w:r w:rsidRPr="00C36B84">
        <w:rPr>
          <w:lang w:val="fr-FR"/>
        </w:rPr>
        <w:t>Annexe II est rempli.</w:t>
      </w:r>
    </w:p>
    <w:p w14:paraId="6FCC6365" w14:textId="43773C3A" w:rsidR="0070418B" w:rsidRPr="00C36B84" w:rsidRDefault="0070418B" w:rsidP="00955908">
      <w:pPr>
        <w:pStyle w:val="CH3"/>
        <w:snapToGrid w:val="0"/>
        <w:rPr>
          <w:snapToGrid w:val="0"/>
        </w:rPr>
      </w:pPr>
      <w:r w:rsidRPr="00C36B84">
        <w:rPr>
          <w:snapToGrid w:val="0"/>
        </w:rPr>
        <w:tab/>
        <w:t>f)</w:t>
      </w:r>
      <w:r w:rsidRPr="00C36B84">
        <w:rPr>
          <w:snapToGrid w:val="0"/>
        </w:rPr>
        <w:tab/>
        <w:t>Conclusions</w:t>
      </w:r>
    </w:p>
    <w:p w14:paraId="0CBD55D1" w14:textId="4F147CBB" w:rsidR="00F23195" w:rsidRPr="00C36B84" w:rsidRDefault="0070418B" w:rsidP="00AD11DC">
      <w:pPr>
        <w:pStyle w:val="Normalnumber"/>
        <w:numPr>
          <w:ilvl w:val="0"/>
          <w:numId w:val="7"/>
        </w:numPr>
        <w:rPr>
          <w:lang w:val="fr-FR"/>
        </w:rPr>
      </w:pPr>
      <w:r w:rsidRPr="00C36B84">
        <w:rPr>
          <w:lang w:val="fr-FR"/>
        </w:rPr>
        <w:t xml:space="preserve">Le Comité conclut que la notification de mesure de réglementation finale </w:t>
      </w:r>
      <w:r w:rsidR="00326E4C" w:rsidRPr="00C36B84">
        <w:rPr>
          <w:lang w:val="fr-FR"/>
        </w:rPr>
        <w:t>présentée par</w:t>
      </w:r>
      <w:r w:rsidRPr="00C36B84">
        <w:rPr>
          <w:lang w:val="fr-FR"/>
        </w:rPr>
        <w:t xml:space="preserve"> le</w:t>
      </w:r>
      <w:r w:rsidR="006F15CB" w:rsidRPr="00C36B84">
        <w:rPr>
          <w:lang w:val="fr-FR"/>
        </w:rPr>
        <w:t> </w:t>
      </w:r>
      <w:r w:rsidRPr="00C36B84">
        <w:rPr>
          <w:lang w:val="fr-FR"/>
        </w:rPr>
        <w:t>Mozambique satisfait aux critères énoncés dans l</w:t>
      </w:r>
      <w:r w:rsidR="00263978" w:rsidRPr="00C36B84">
        <w:rPr>
          <w:lang w:val="fr-FR"/>
        </w:rPr>
        <w:t>’</w:t>
      </w:r>
      <w:r w:rsidRPr="00C36B84">
        <w:rPr>
          <w:lang w:val="fr-FR"/>
        </w:rPr>
        <w:t>Annexe II de la Convention.</w:t>
      </w:r>
    </w:p>
    <w:p w14:paraId="251C88BB" w14:textId="67B10297" w:rsidR="0070418B" w:rsidRPr="00C36B84" w:rsidRDefault="0070418B" w:rsidP="00955908">
      <w:pPr>
        <w:pStyle w:val="CH1"/>
      </w:pPr>
      <w:r w:rsidRPr="00C36B84">
        <w:lastRenderedPageBreak/>
        <w:tab/>
        <w:t>II.</w:t>
      </w:r>
      <w:r w:rsidRPr="00C36B84">
        <w:tab/>
        <w:t>Union européenne</w:t>
      </w:r>
    </w:p>
    <w:p w14:paraId="52B64586" w14:textId="27F95822" w:rsidR="0070418B" w:rsidRPr="00C36B84" w:rsidRDefault="0070418B" w:rsidP="00955908">
      <w:pPr>
        <w:pStyle w:val="CH3"/>
        <w:snapToGrid w:val="0"/>
        <w:rPr>
          <w:snapToGrid w:val="0"/>
        </w:rPr>
      </w:pPr>
      <w:r w:rsidRPr="00C36B84">
        <w:rPr>
          <w:snapToGrid w:val="0"/>
        </w:rPr>
        <w:tab/>
        <w:t>a)</w:t>
      </w:r>
      <w:r w:rsidRPr="00C36B84">
        <w:rPr>
          <w:snapToGrid w:val="0"/>
        </w:rPr>
        <w:tab/>
        <w:t>Portée de la mesure de réglementation notifiée par l</w:t>
      </w:r>
      <w:r w:rsidR="00263978" w:rsidRPr="00C36B84">
        <w:rPr>
          <w:snapToGrid w:val="0"/>
        </w:rPr>
        <w:t>’</w:t>
      </w:r>
      <w:r w:rsidRPr="00C36B84">
        <w:rPr>
          <w:snapToGrid w:val="0"/>
        </w:rPr>
        <w:t>Union européenne</w:t>
      </w:r>
    </w:p>
    <w:p w14:paraId="36AB2A4E" w14:textId="167B3402" w:rsidR="00F23195" w:rsidRPr="00C36B84" w:rsidRDefault="0070418B" w:rsidP="00AD11DC">
      <w:pPr>
        <w:pStyle w:val="Normalnumber"/>
        <w:numPr>
          <w:ilvl w:val="0"/>
          <w:numId w:val="7"/>
        </w:numPr>
        <w:rPr>
          <w:lang w:val="fr-FR"/>
        </w:rPr>
      </w:pPr>
      <w:r w:rsidRPr="00C36B84">
        <w:rPr>
          <w:lang w:val="fr-FR"/>
        </w:rPr>
        <w:t>La mesure de réglementation notifiée par l</w:t>
      </w:r>
      <w:r w:rsidR="00263978" w:rsidRPr="00C36B84">
        <w:rPr>
          <w:lang w:val="fr-FR"/>
        </w:rPr>
        <w:t>’</w:t>
      </w:r>
      <w:r w:rsidRPr="00C36B84">
        <w:rPr>
          <w:lang w:val="fr-FR"/>
        </w:rPr>
        <w:t>Union européenne concerne l</w:t>
      </w:r>
      <w:r w:rsidR="00263978" w:rsidRPr="00C36B84">
        <w:rPr>
          <w:lang w:val="fr-FR"/>
        </w:rPr>
        <w:t>’</w:t>
      </w:r>
      <w:r w:rsidRPr="00C36B84">
        <w:rPr>
          <w:lang w:val="fr-FR"/>
        </w:rPr>
        <w:t>iprodione (nº CAS 36734-19-7) en tant que pesticide. L</w:t>
      </w:r>
      <w:r w:rsidR="00263978" w:rsidRPr="00C36B84">
        <w:rPr>
          <w:lang w:val="fr-FR"/>
        </w:rPr>
        <w:t>’</w:t>
      </w:r>
      <w:r w:rsidRPr="00C36B84">
        <w:rPr>
          <w:lang w:val="fr-FR"/>
        </w:rPr>
        <w:t>iprodione ne figure pas sur la liste des substances actives approuvées au titre du règlement (CE) nº 1107/2009</w:t>
      </w:r>
      <w:r w:rsidRPr="00C36B84">
        <w:rPr>
          <w:rStyle w:val="Appelnotedebasdep"/>
          <w:sz w:val="20"/>
          <w:szCs w:val="20"/>
          <w:lang w:val="fr-FR"/>
        </w:rPr>
        <w:footnoteReference w:id="2"/>
      </w:r>
      <w:r w:rsidRPr="00C36B84">
        <w:rPr>
          <w:lang w:val="fr-FR"/>
        </w:rPr>
        <w:t>. Il a été conclu qu</w:t>
      </w:r>
      <w:r w:rsidR="00263978" w:rsidRPr="00C36B84">
        <w:rPr>
          <w:lang w:val="fr-FR"/>
        </w:rPr>
        <w:t>’</w:t>
      </w:r>
      <w:r w:rsidRPr="00C36B84">
        <w:rPr>
          <w:lang w:val="fr-FR"/>
        </w:rPr>
        <w:t>aucun produit phytosanitaire contenant la substance active iprodione ne devrait satisfaire d</w:t>
      </w:r>
      <w:r w:rsidR="00263978" w:rsidRPr="00C36B84">
        <w:rPr>
          <w:lang w:val="fr-FR"/>
        </w:rPr>
        <w:t>’</w:t>
      </w:r>
      <w:r w:rsidRPr="00C36B84">
        <w:rPr>
          <w:lang w:val="fr-FR"/>
        </w:rPr>
        <w:t>une manière générale aux exigences énoncées au paragraphe 1 de l</w:t>
      </w:r>
      <w:r w:rsidR="00263978" w:rsidRPr="00C36B84">
        <w:rPr>
          <w:lang w:val="fr-FR"/>
        </w:rPr>
        <w:t>’</w:t>
      </w:r>
      <w:r w:rsidRPr="00C36B84">
        <w:rPr>
          <w:lang w:val="fr-FR"/>
        </w:rPr>
        <w:t>article 29 du règlement (CE) nº 1107/2009 et aux principes uniformes énoncés dans le règlement (CE) nº 546/2011. En conséquence, la mise sur le marché ou l</w:t>
      </w:r>
      <w:r w:rsidR="00263978" w:rsidRPr="00C36B84">
        <w:rPr>
          <w:lang w:val="fr-FR"/>
        </w:rPr>
        <w:t>’</w:t>
      </w:r>
      <w:r w:rsidRPr="00C36B84">
        <w:rPr>
          <w:lang w:val="fr-FR"/>
        </w:rPr>
        <w:t>utilisation de produits phytosanitaires contenant de l</w:t>
      </w:r>
      <w:r w:rsidR="00263978" w:rsidRPr="00C36B84">
        <w:rPr>
          <w:lang w:val="fr-FR"/>
        </w:rPr>
        <w:t>’</w:t>
      </w:r>
      <w:r w:rsidRPr="00C36B84">
        <w:rPr>
          <w:lang w:val="fr-FR"/>
        </w:rPr>
        <w:t>iprodione dans l</w:t>
      </w:r>
      <w:r w:rsidR="00263978" w:rsidRPr="00C36B84">
        <w:rPr>
          <w:lang w:val="fr-FR"/>
        </w:rPr>
        <w:t>’</w:t>
      </w:r>
      <w:r w:rsidRPr="00C36B84">
        <w:rPr>
          <w:lang w:val="fr-FR"/>
        </w:rPr>
        <w:t>Union européenne sont interdites depuis le</w:t>
      </w:r>
      <w:r w:rsidR="0065024D" w:rsidRPr="00C36B84">
        <w:rPr>
          <w:lang w:val="fr-FR"/>
        </w:rPr>
        <w:t> </w:t>
      </w:r>
      <w:r w:rsidRPr="00C36B84">
        <w:rPr>
          <w:lang w:val="fr-FR"/>
        </w:rPr>
        <w:t>6 mars 2018. L</w:t>
      </w:r>
      <w:r w:rsidR="00263978" w:rsidRPr="00C36B84">
        <w:rPr>
          <w:lang w:val="fr-FR"/>
        </w:rPr>
        <w:t>’</w:t>
      </w:r>
      <w:r w:rsidRPr="00C36B84">
        <w:rPr>
          <w:lang w:val="fr-FR"/>
        </w:rPr>
        <w:t>élimination, l</w:t>
      </w:r>
      <w:r w:rsidR="00263978" w:rsidRPr="00C36B84">
        <w:rPr>
          <w:lang w:val="fr-FR"/>
        </w:rPr>
        <w:t>’</w:t>
      </w:r>
      <w:r w:rsidRPr="00C36B84">
        <w:rPr>
          <w:lang w:val="fr-FR"/>
        </w:rPr>
        <w:t>entreposage, la mise sur le marché et l</w:t>
      </w:r>
      <w:r w:rsidR="00263978" w:rsidRPr="00C36B84">
        <w:rPr>
          <w:lang w:val="fr-FR"/>
        </w:rPr>
        <w:t>’</w:t>
      </w:r>
      <w:r w:rsidRPr="00C36B84">
        <w:rPr>
          <w:lang w:val="fr-FR"/>
        </w:rPr>
        <w:t>utilisation des stocks existants de produits phytosanitaires contenant de l</w:t>
      </w:r>
      <w:r w:rsidR="00263978" w:rsidRPr="00C36B84">
        <w:rPr>
          <w:lang w:val="fr-FR"/>
        </w:rPr>
        <w:t>’</w:t>
      </w:r>
      <w:r w:rsidRPr="00C36B84">
        <w:rPr>
          <w:lang w:val="fr-FR"/>
        </w:rPr>
        <w:t>iprodione sont interdits depuis le 6 mars 2018.</w:t>
      </w:r>
    </w:p>
    <w:p w14:paraId="5869AC9D" w14:textId="73963AE5" w:rsidR="0070418B" w:rsidRPr="00C36B84" w:rsidRDefault="0070418B" w:rsidP="00AD11DC">
      <w:pPr>
        <w:pStyle w:val="Normalnumber"/>
        <w:numPr>
          <w:ilvl w:val="0"/>
          <w:numId w:val="7"/>
        </w:numPr>
        <w:rPr>
          <w:lang w:val="fr-FR"/>
        </w:rPr>
      </w:pPr>
      <w:r w:rsidRPr="00C36B84">
        <w:rPr>
          <w:snapToGrid w:val="0"/>
          <w:lang w:val="fr-FR"/>
        </w:rPr>
        <w:t xml:space="preserve">La </w:t>
      </w:r>
      <w:r w:rsidRPr="00C36B84">
        <w:rPr>
          <w:lang w:val="fr-FR"/>
        </w:rPr>
        <w:t>notification</w:t>
      </w:r>
      <w:r w:rsidRPr="00C36B84">
        <w:rPr>
          <w:snapToGrid w:val="0"/>
          <w:lang w:val="fr-FR"/>
        </w:rPr>
        <w:t xml:space="preserve"> contient les informations demandées dans l</w:t>
      </w:r>
      <w:r w:rsidR="00263978" w:rsidRPr="00C36B84">
        <w:rPr>
          <w:snapToGrid w:val="0"/>
          <w:lang w:val="fr-FR"/>
        </w:rPr>
        <w:t>’</w:t>
      </w:r>
      <w:r w:rsidRPr="00C36B84">
        <w:rPr>
          <w:snapToGrid w:val="0"/>
          <w:lang w:val="fr-FR"/>
        </w:rPr>
        <w:t>Annexe I.</w:t>
      </w:r>
    </w:p>
    <w:p w14:paraId="690FEC62" w14:textId="6EBC4698" w:rsidR="0070418B" w:rsidRPr="00C36B84" w:rsidRDefault="0070418B" w:rsidP="00955908">
      <w:pPr>
        <w:pStyle w:val="CH3"/>
        <w:snapToGrid w:val="0"/>
        <w:rPr>
          <w:snapToGrid w:val="0"/>
        </w:rPr>
      </w:pPr>
      <w:r w:rsidRPr="00C36B84">
        <w:rPr>
          <w:snapToGrid w:val="0"/>
        </w:rPr>
        <w:tab/>
        <w:t>b)</w:t>
      </w:r>
      <w:r w:rsidRPr="00C36B84">
        <w:rPr>
          <w:snapToGrid w:val="0"/>
        </w:rPr>
        <w:tab/>
        <w:t>Critère énoncé au paragraphe a) de l</w:t>
      </w:r>
      <w:r w:rsidR="00263978" w:rsidRPr="00C36B84">
        <w:rPr>
          <w:snapToGrid w:val="0"/>
        </w:rPr>
        <w:t>’</w:t>
      </w:r>
      <w:r w:rsidRPr="00C36B84">
        <w:rPr>
          <w:snapToGrid w:val="0"/>
        </w:rPr>
        <w:t>Annexe II</w:t>
      </w:r>
    </w:p>
    <w:p w14:paraId="22EC5447" w14:textId="71388030" w:rsidR="0070418B" w:rsidRPr="00C36B84" w:rsidRDefault="0065024D" w:rsidP="0065024D">
      <w:pPr>
        <w:pStyle w:val="NormalNonumber"/>
        <w:rPr>
          <w:i/>
        </w:rPr>
      </w:pPr>
      <w:r w:rsidRPr="00C36B84">
        <w:rPr>
          <w:i/>
        </w:rPr>
        <w:tab/>
      </w:r>
      <w:r w:rsidR="0070418B" w:rsidRPr="00C36B84">
        <w:rPr>
          <w:i/>
        </w:rPr>
        <w:t>a)</w:t>
      </w:r>
      <w:r w:rsidR="0070418B" w:rsidRPr="00C36B84">
        <w:rPr>
          <w:i/>
        </w:rPr>
        <w:tab/>
        <w:t>Confirme que la mesure de réglementation finale a été prise pour protéger la santé humaine ou l</w:t>
      </w:r>
      <w:r w:rsidR="00263978" w:rsidRPr="00C36B84">
        <w:rPr>
          <w:i/>
        </w:rPr>
        <w:t>’</w:t>
      </w:r>
      <w:r w:rsidR="0070418B" w:rsidRPr="00C36B84">
        <w:rPr>
          <w:i/>
        </w:rPr>
        <w:t>environnement ;</w:t>
      </w:r>
    </w:p>
    <w:p w14:paraId="37F3CB1D" w14:textId="5DA12DB3" w:rsidR="00F23195" w:rsidRPr="00C36B84" w:rsidRDefault="0070418B" w:rsidP="00AD11DC">
      <w:pPr>
        <w:pStyle w:val="Normalnumber"/>
        <w:numPr>
          <w:ilvl w:val="0"/>
          <w:numId w:val="7"/>
        </w:numPr>
        <w:rPr>
          <w:lang w:val="fr-FR"/>
        </w:rPr>
      </w:pPr>
      <w:bookmarkStart w:id="6" w:name="_Hlk82544529"/>
      <w:r w:rsidRPr="00C36B84">
        <w:rPr>
          <w:lang w:val="fr-FR"/>
        </w:rPr>
        <w:t>Le Comité confirme que la mesure de réglementation a été prise pour réduire les risques que présente l</w:t>
      </w:r>
      <w:r w:rsidR="00263978" w:rsidRPr="00C36B84">
        <w:rPr>
          <w:lang w:val="fr-FR"/>
        </w:rPr>
        <w:t>’</w:t>
      </w:r>
      <w:r w:rsidRPr="00C36B84">
        <w:rPr>
          <w:lang w:val="fr-FR"/>
        </w:rPr>
        <w:t>iprodione pour la santé humaine et pour l</w:t>
      </w:r>
      <w:r w:rsidR="00263978" w:rsidRPr="00C36B84">
        <w:rPr>
          <w:lang w:val="fr-FR"/>
        </w:rPr>
        <w:t>’</w:t>
      </w:r>
      <w:r w:rsidRPr="00C36B84">
        <w:rPr>
          <w:lang w:val="fr-FR"/>
        </w:rPr>
        <w:t>environnement (UNEP/FAO/RC/CRC.17/5, sections</w:t>
      </w:r>
      <w:r w:rsidR="00317009">
        <w:rPr>
          <w:lang w:val="fr-FR"/>
        </w:rPr>
        <w:t> </w:t>
      </w:r>
      <w:r w:rsidRPr="00C36B84">
        <w:rPr>
          <w:lang w:val="fr-FR"/>
        </w:rPr>
        <w:t xml:space="preserve">2.4.2.1 et 2.4.2.2, respectivement, de la </w:t>
      </w:r>
      <w:r w:rsidR="009A49D0" w:rsidRPr="00C36B84">
        <w:rPr>
          <w:lang w:val="fr-FR"/>
        </w:rPr>
        <w:t>notification reçue d</w:t>
      </w:r>
      <w:r w:rsidRPr="00C36B84">
        <w:rPr>
          <w:lang w:val="fr-FR"/>
        </w:rPr>
        <w:t>e l</w:t>
      </w:r>
      <w:r w:rsidR="00263978" w:rsidRPr="00C36B84">
        <w:rPr>
          <w:lang w:val="fr-FR"/>
        </w:rPr>
        <w:t>’</w:t>
      </w:r>
      <w:r w:rsidRPr="00C36B84">
        <w:rPr>
          <w:lang w:val="fr-FR"/>
        </w:rPr>
        <w:t>Union européenne)</w:t>
      </w:r>
      <w:bookmarkEnd w:id="6"/>
      <w:r w:rsidRPr="00C36B84">
        <w:rPr>
          <w:lang w:val="fr-FR"/>
        </w:rPr>
        <w:t>.</w:t>
      </w:r>
    </w:p>
    <w:p w14:paraId="7F6065F2" w14:textId="4720D737" w:rsidR="0070418B" w:rsidRPr="00C36B84" w:rsidRDefault="0070418B" w:rsidP="00AD11DC">
      <w:pPr>
        <w:pStyle w:val="Normalnumber"/>
        <w:numPr>
          <w:ilvl w:val="0"/>
          <w:numId w:val="7"/>
        </w:numPr>
        <w:rPr>
          <w:lang w:val="fr-FR"/>
        </w:rPr>
      </w:pPr>
      <w:r w:rsidRPr="00C36B84">
        <w:rPr>
          <w:lang w:val="fr-FR"/>
        </w:rPr>
        <w:t>D</w:t>
      </w:r>
      <w:r w:rsidR="00263978" w:rsidRPr="00C36B84">
        <w:rPr>
          <w:lang w:val="fr-FR"/>
        </w:rPr>
        <w:t>’</w:t>
      </w:r>
      <w:r w:rsidRPr="00C36B84">
        <w:rPr>
          <w:lang w:val="fr-FR"/>
        </w:rPr>
        <w:t>après l</w:t>
      </w:r>
      <w:r w:rsidR="00263978" w:rsidRPr="00C36B84">
        <w:rPr>
          <w:lang w:val="fr-FR"/>
        </w:rPr>
        <w:t>’</w:t>
      </w:r>
      <w:r w:rsidRPr="00C36B84">
        <w:rPr>
          <w:lang w:val="fr-FR"/>
        </w:rPr>
        <w:t>évaluation relative à la santé humaine réalisée par l</w:t>
      </w:r>
      <w:r w:rsidR="00263978" w:rsidRPr="00C36B84">
        <w:rPr>
          <w:lang w:val="fr-FR"/>
        </w:rPr>
        <w:t>’</w:t>
      </w:r>
      <w:r w:rsidRPr="00C36B84">
        <w:rPr>
          <w:lang w:val="fr-FR"/>
        </w:rPr>
        <w:t>Union européenne, les</w:t>
      </w:r>
      <w:r w:rsidR="0065024D" w:rsidRPr="00C36B84">
        <w:rPr>
          <w:lang w:val="fr-FR"/>
        </w:rPr>
        <w:t> </w:t>
      </w:r>
      <w:r w:rsidRPr="00C36B84">
        <w:rPr>
          <w:lang w:val="fr-FR"/>
        </w:rPr>
        <w:t>préoccupations suivantes ont été mises en lumière :</w:t>
      </w:r>
    </w:p>
    <w:p w14:paraId="3033E6F5" w14:textId="52BDC0BB" w:rsidR="0070418B" w:rsidRPr="00C36B84" w:rsidRDefault="0070418B" w:rsidP="00AD11DC">
      <w:pPr>
        <w:pStyle w:val="Normalnumber"/>
        <w:numPr>
          <w:ilvl w:val="1"/>
          <w:numId w:val="7"/>
        </w:numPr>
        <w:rPr>
          <w:rFonts w:eastAsia="MS Mincho"/>
          <w:lang w:val="fr-FR"/>
        </w:rPr>
      </w:pPr>
      <w:r w:rsidRPr="00C36B84">
        <w:rPr>
          <w:lang w:val="fr-FR"/>
        </w:rPr>
        <w:t>Le potentiel génotoxique du métabolite RP 30228 (résidus et impuretés trouvés dans les</w:t>
      </w:r>
      <w:r w:rsidR="0065024D" w:rsidRPr="00C36B84">
        <w:rPr>
          <w:lang w:val="fr-FR"/>
        </w:rPr>
        <w:t> </w:t>
      </w:r>
      <w:r w:rsidRPr="00C36B84">
        <w:rPr>
          <w:lang w:val="fr-FR"/>
        </w:rPr>
        <w:t>équipements techniques)</w:t>
      </w:r>
      <w:r w:rsidR="00500758" w:rsidRPr="00C36B84">
        <w:rPr>
          <w:lang w:val="fr-FR"/>
        </w:rPr>
        <w:t xml:space="preserve"> qui</w:t>
      </w:r>
      <w:r w:rsidRPr="00C36B84">
        <w:rPr>
          <w:lang w:val="fr-FR"/>
        </w:rPr>
        <w:t xml:space="preserve">, </w:t>
      </w:r>
      <w:r w:rsidR="00500758" w:rsidRPr="00C36B84">
        <w:rPr>
          <w:lang w:val="fr-FR"/>
        </w:rPr>
        <w:t xml:space="preserve">selon les prévisions obtenues </w:t>
      </w:r>
      <w:r w:rsidRPr="00C36B84">
        <w:rPr>
          <w:lang w:val="fr-FR"/>
        </w:rPr>
        <w:t xml:space="preserve">dans un scénario </w:t>
      </w:r>
      <w:r w:rsidR="00500758" w:rsidRPr="00C36B84">
        <w:rPr>
          <w:lang w:val="fr-FR"/>
        </w:rPr>
        <w:t>établi pour des</w:t>
      </w:r>
      <w:r w:rsidR="0065024D" w:rsidRPr="00C36B84">
        <w:rPr>
          <w:lang w:val="fr-FR"/>
        </w:rPr>
        <w:t> </w:t>
      </w:r>
      <w:r w:rsidR="00500758" w:rsidRPr="00C36B84">
        <w:rPr>
          <w:lang w:val="fr-FR"/>
        </w:rPr>
        <w:t>utilisations représentatives par le Forum pour la coordination des modèles sur le devenir des</w:t>
      </w:r>
      <w:r w:rsidR="0065024D" w:rsidRPr="00C36B84">
        <w:rPr>
          <w:lang w:val="fr-FR"/>
        </w:rPr>
        <w:t> </w:t>
      </w:r>
      <w:r w:rsidR="00500758" w:rsidRPr="00C36B84">
        <w:rPr>
          <w:lang w:val="fr-FR"/>
        </w:rPr>
        <w:t>pesticides et leur utilisation (</w:t>
      </w:r>
      <w:r w:rsidRPr="00C36B84">
        <w:rPr>
          <w:lang w:val="fr-FR"/>
        </w:rPr>
        <w:t>FOCUS</w:t>
      </w:r>
      <w:r w:rsidR="00500758" w:rsidRPr="00C36B84">
        <w:rPr>
          <w:lang w:val="fr-FR"/>
        </w:rPr>
        <w:t>)</w:t>
      </w:r>
      <w:r w:rsidRPr="00C36B84">
        <w:rPr>
          <w:lang w:val="fr-FR"/>
        </w:rPr>
        <w:t>, devrait être présent dans les eaux souterraines à des</w:t>
      </w:r>
      <w:r w:rsidR="0065024D" w:rsidRPr="00C36B84">
        <w:rPr>
          <w:lang w:val="fr-FR"/>
        </w:rPr>
        <w:t> </w:t>
      </w:r>
      <w:r w:rsidRPr="00C36B84">
        <w:rPr>
          <w:lang w:val="fr-FR"/>
        </w:rPr>
        <w:t>concentrations supérieures à 0,1 µg/L</w:t>
      </w:r>
      <w:r w:rsidR="00500758" w:rsidRPr="00C36B84">
        <w:rPr>
          <w:lang w:val="fr-FR"/>
        </w:rPr>
        <w:t> </w:t>
      </w:r>
      <w:r w:rsidRPr="00C36B84">
        <w:rPr>
          <w:lang w:val="fr-FR"/>
        </w:rPr>
        <w:t>;</w:t>
      </w:r>
    </w:p>
    <w:p w14:paraId="52300A29" w14:textId="5B9482C9" w:rsidR="0070418B" w:rsidRPr="00C36B84" w:rsidRDefault="0070418B" w:rsidP="00AD11DC">
      <w:pPr>
        <w:pStyle w:val="Normalnumber"/>
        <w:numPr>
          <w:ilvl w:val="1"/>
          <w:numId w:val="7"/>
        </w:numPr>
        <w:rPr>
          <w:rFonts w:eastAsia="MS Mincho"/>
          <w:lang w:val="fr-FR"/>
        </w:rPr>
      </w:pPr>
      <w:r w:rsidRPr="00C36B84">
        <w:rPr>
          <w:lang w:val="fr-FR"/>
        </w:rPr>
        <w:t>L</w:t>
      </w:r>
      <w:r w:rsidR="00500758" w:rsidRPr="00C36B84">
        <w:rPr>
          <w:lang w:val="fr-FR"/>
        </w:rPr>
        <w:t>a classification actuelle de l</w:t>
      </w:r>
      <w:r w:rsidR="00263978" w:rsidRPr="00C36B84">
        <w:rPr>
          <w:lang w:val="fr-FR"/>
        </w:rPr>
        <w:t>’</w:t>
      </w:r>
      <w:r w:rsidRPr="00C36B84">
        <w:rPr>
          <w:lang w:val="fr-FR"/>
        </w:rPr>
        <w:t xml:space="preserve">iprodione </w:t>
      </w:r>
      <w:r w:rsidR="00500758" w:rsidRPr="00C36B84">
        <w:rPr>
          <w:lang w:val="fr-FR"/>
        </w:rPr>
        <w:t xml:space="preserve">comme </w:t>
      </w:r>
      <w:r w:rsidRPr="00C36B84">
        <w:rPr>
          <w:lang w:val="fr-FR"/>
        </w:rPr>
        <w:t xml:space="preserve">cancérogène de la catégorie 2 </w:t>
      </w:r>
      <w:r w:rsidR="00B478B1" w:rsidRPr="00C36B84">
        <w:rPr>
          <w:lang w:val="fr-FR"/>
        </w:rPr>
        <w:t xml:space="preserve">dans </w:t>
      </w:r>
      <w:r w:rsidR="00500758" w:rsidRPr="00C36B84">
        <w:rPr>
          <w:lang w:val="fr-FR"/>
        </w:rPr>
        <w:t>le</w:t>
      </w:r>
      <w:r w:rsidR="0065024D" w:rsidRPr="00C36B84">
        <w:rPr>
          <w:lang w:val="fr-FR"/>
        </w:rPr>
        <w:t> </w:t>
      </w:r>
      <w:r w:rsidRPr="00C36B84">
        <w:rPr>
          <w:lang w:val="fr-FR"/>
        </w:rPr>
        <w:t>Système général harmonisé de classification et d</w:t>
      </w:r>
      <w:r w:rsidR="00263978" w:rsidRPr="00C36B84">
        <w:rPr>
          <w:lang w:val="fr-FR"/>
        </w:rPr>
        <w:t>’</w:t>
      </w:r>
      <w:r w:rsidRPr="00C36B84">
        <w:rPr>
          <w:lang w:val="fr-FR"/>
        </w:rPr>
        <w:t>étiquetage des produits chimiques (SGH), conformément au règlement (CE) nº 1272/2008 du Parlement européen et du Conseil</w:t>
      </w:r>
      <w:r w:rsidR="0065024D" w:rsidRPr="00C36B84">
        <w:rPr>
          <w:lang w:val="fr-FR"/>
        </w:rPr>
        <w:t> ;</w:t>
      </w:r>
    </w:p>
    <w:p w14:paraId="1802B9D6" w14:textId="65BAA1BF" w:rsidR="0070418B" w:rsidRPr="00C36B84" w:rsidRDefault="0070418B" w:rsidP="00AD11DC">
      <w:pPr>
        <w:pStyle w:val="Normalnumber"/>
        <w:numPr>
          <w:ilvl w:val="1"/>
          <w:numId w:val="7"/>
        </w:numPr>
        <w:rPr>
          <w:rFonts w:eastAsia="MS Mincho"/>
          <w:lang w:val="fr-FR"/>
        </w:rPr>
      </w:pPr>
      <w:r w:rsidRPr="00C36B84">
        <w:rPr>
          <w:lang w:val="fr-FR"/>
        </w:rPr>
        <w:t xml:space="preserve">Pour les utilisations représentatives considérées, les </w:t>
      </w:r>
      <w:r w:rsidR="00500758" w:rsidRPr="00C36B84">
        <w:rPr>
          <w:lang w:val="fr-FR"/>
        </w:rPr>
        <w:t>taux de</w:t>
      </w:r>
      <w:r w:rsidRPr="00C36B84">
        <w:rPr>
          <w:lang w:val="fr-FR"/>
        </w:rPr>
        <w:t xml:space="preserve"> résidus </w:t>
      </w:r>
      <w:r w:rsidR="00500758" w:rsidRPr="00C36B84">
        <w:rPr>
          <w:lang w:val="fr-FR"/>
        </w:rPr>
        <w:t xml:space="preserve">qui </w:t>
      </w:r>
      <w:r w:rsidRPr="00C36B84">
        <w:rPr>
          <w:lang w:val="fr-FR"/>
        </w:rPr>
        <w:t>dépassent la</w:t>
      </w:r>
      <w:r w:rsidR="0065024D" w:rsidRPr="00C36B84">
        <w:rPr>
          <w:lang w:val="fr-FR"/>
        </w:rPr>
        <w:t> </w:t>
      </w:r>
      <w:r w:rsidRPr="00C36B84">
        <w:rPr>
          <w:lang w:val="fr-FR"/>
        </w:rPr>
        <w:t xml:space="preserve">valeur par défaut des </w:t>
      </w:r>
      <w:r w:rsidR="00646B54" w:rsidRPr="00C36B84">
        <w:rPr>
          <w:lang w:val="fr-FR"/>
        </w:rPr>
        <w:t>teneurs</w:t>
      </w:r>
      <w:r w:rsidRPr="00C36B84">
        <w:rPr>
          <w:lang w:val="fr-FR"/>
        </w:rPr>
        <w:t xml:space="preserve"> maximales en résidus de pesticides </w:t>
      </w:r>
      <w:r w:rsidR="00646B54" w:rsidRPr="00C36B84">
        <w:rPr>
          <w:lang w:val="fr-FR"/>
        </w:rPr>
        <w:t xml:space="preserve">admissibles </w:t>
      </w:r>
      <w:r w:rsidRPr="00C36B84">
        <w:rPr>
          <w:lang w:val="fr-FR"/>
        </w:rPr>
        <w:t>dans ou sur les denrées alimentaires et les aliments pour animaux d</w:t>
      </w:r>
      <w:r w:rsidR="00263978" w:rsidRPr="00C36B84">
        <w:rPr>
          <w:lang w:val="fr-FR"/>
        </w:rPr>
        <w:t>’</w:t>
      </w:r>
      <w:r w:rsidRPr="00C36B84">
        <w:rPr>
          <w:lang w:val="fr-FR"/>
        </w:rPr>
        <w:t>origine végétale et animale ;</w:t>
      </w:r>
    </w:p>
    <w:p w14:paraId="5F6B91E6" w14:textId="697355E0" w:rsidR="00F23195" w:rsidRPr="00C36B84" w:rsidRDefault="0070418B" w:rsidP="00AD11DC">
      <w:pPr>
        <w:pStyle w:val="Normalnumber"/>
        <w:numPr>
          <w:ilvl w:val="1"/>
          <w:numId w:val="7"/>
        </w:numPr>
        <w:rPr>
          <w:lang w:val="fr-FR"/>
        </w:rPr>
      </w:pPr>
      <w:r w:rsidRPr="00C36B84">
        <w:rPr>
          <w:lang w:val="fr-FR"/>
        </w:rPr>
        <w:t>Des risques aigus pour les consommateurs qui ne peuvent être exclus</w:t>
      </w:r>
      <w:r w:rsidR="00097488" w:rsidRPr="00C36B84">
        <w:rPr>
          <w:lang w:val="fr-FR"/>
        </w:rPr>
        <w:t xml:space="preserve">, selon </w:t>
      </w:r>
      <w:r w:rsidRPr="00C36B84">
        <w:rPr>
          <w:lang w:val="fr-FR"/>
        </w:rPr>
        <w:t>une</w:t>
      </w:r>
      <w:r w:rsidR="0065024D" w:rsidRPr="00C36B84">
        <w:rPr>
          <w:lang w:val="fr-FR"/>
        </w:rPr>
        <w:t> </w:t>
      </w:r>
      <w:r w:rsidRPr="00C36B84">
        <w:rPr>
          <w:lang w:val="fr-FR"/>
        </w:rPr>
        <w:t>évaluation préliminaire des risques.</w:t>
      </w:r>
    </w:p>
    <w:p w14:paraId="06F81DDC" w14:textId="0FCB74D8" w:rsidR="0070418B" w:rsidRPr="00C36B84" w:rsidRDefault="0070418B" w:rsidP="00AD11DC">
      <w:pPr>
        <w:pStyle w:val="Normalnumber"/>
        <w:numPr>
          <w:ilvl w:val="0"/>
          <w:numId w:val="7"/>
        </w:numPr>
        <w:rPr>
          <w:lang w:val="fr-FR"/>
        </w:rPr>
      </w:pPr>
      <w:r w:rsidRPr="00C36B84">
        <w:rPr>
          <w:lang w:val="fr-FR"/>
        </w:rPr>
        <w:t>D</w:t>
      </w:r>
      <w:r w:rsidR="00263978" w:rsidRPr="00C36B84">
        <w:rPr>
          <w:lang w:val="fr-FR"/>
        </w:rPr>
        <w:t>’</w:t>
      </w:r>
      <w:r w:rsidRPr="00C36B84">
        <w:rPr>
          <w:lang w:val="fr-FR"/>
        </w:rPr>
        <w:t>après l</w:t>
      </w:r>
      <w:r w:rsidR="00263978" w:rsidRPr="00C36B84">
        <w:rPr>
          <w:lang w:val="fr-FR"/>
        </w:rPr>
        <w:t>’</w:t>
      </w:r>
      <w:r w:rsidRPr="00C36B84">
        <w:rPr>
          <w:lang w:val="fr-FR"/>
        </w:rPr>
        <w:t>évaluation relative à l</w:t>
      </w:r>
      <w:r w:rsidR="00263978" w:rsidRPr="00C36B84">
        <w:rPr>
          <w:lang w:val="fr-FR"/>
        </w:rPr>
        <w:t>’</w:t>
      </w:r>
      <w:r w:rsidRPr="00C36B84">
        <w:rPr>
          <w:lang w:val="fr-FR"/>
        </w:rPr>
        <w:t>environnement réalisée par l</w:t>
      </w:r>
      <w:r w:rsidR="00263978" w:rsidRPr="00C36B84">
        <w:rPr>
          <w:lang w:val="fr-FR"/>
        </w:rPr>
        <w:t>’</w:t>
      </w:r>
      <w:r w:rsidRPr="00C36B84">
        <w:rPr>
          <w:lang w:val="fr-FR"/>
        </w:rPr>
        <w:t>Union européenne, les</w:t>
      </w:r>
      <w:r w:rsidR="0065024D" w:rsidRPr="00C36B84">
        <w:rPr>
          <w:lang w:val="fr-FR"/>
        </w:rPr>
        <w:t> p</w:t>
      </w:r>
      <w:r w:rsidRPr="00C36B84">
        <w:rPr>
          <w:lang w:val="fr-FR"/>
        </w:rPr>
        <w:t>réoccupations suivantes ont été mises en lumière :</w:t>
      </w:r>
    </w:p>
    <w:p w14:paraId="779E3332" w14:textId="541C03B4" w:rsidR="0070418B" w:rsidRPr="00C36B84" w:rsidRDefault="0070418B" w:rsidP="00AD11DC">
      <w:pPr>
        <w:pStyle w:val="Normalnumber"/>
        <w:numPr>
          <w:ilvl w:val="1"/>
          <w:numId w:val="7"/>
        </w:numPr>
        <w:rPr>
          <w:rFonts w:eastAsia="MS Mincho"/>
          <w:iCs/>
          <w:lang w:val="fr-FR"/>
        </w:rPr>
      </w:pPr>
      <w:r w:rsidRPr="00C36B84">
        <w:rPr>
          <w:lang w:val="fr-FR"/>
        </w:rPr>
        <w:t>Les concentrations prévues dans les eaux souterraines qui dépassent 0,1 µg/L pour les</w:t>
      </w:r>
      <w:r w:rsidR="0065024D" w:rsidRPr="00C36B84">
        <w:rPr>
          <w:lang w:val="fr-FR"/>
        </w:rPr>
        <w:t> </w:t>
      </w:r>
      <w:r w:rsidRPr="00C36B84">
        <w:rPr>
          <w:lang w:val="fr-FR"/>
        </w:rPr>
        <w:t>métabolites concernés RP 35606 et RP 30181. Les concentrations du métabolite RP 35606 dépassent d</w:t>
      </w:r>
      <w:r w:rsidR="00263978" w:rsidRPr="00C36B84">
        <w:rPr>
          <w:lang w:val="fr-FR"/>
        </w:rPr>
        <w:t>’</w:t>
      </w:r>
      <w:r w:rsidRPr="00C36B84">
        <w:rPr>
          <w:lang w:val="fr-FR"/>
        </w:rPr>
        <w:t>ailleurs 0,75 µg/L dans les sols acides et celles du métabolite RP 30181 dépassent 0,75 µg/L dans les sols acides et légèrement acides à alcalins pour les deux utilisations prévues (carottes et salades) ;</w:t>
      </w:r>
    </w:p>
    <w:p w14:paraId="0B1F00CD" w14:textId="2E2AC70A" w:rsidR="0070418B" w:rsidRPr="00C36B84" w:rsidRDefault="0070418B" w:rsidP="00AD11DC">
      <w:pPr>
        <w:pStyle w:val="Normalnumber"/>
        <w:numPr>
          <w:ilvl w:val="1"/>
          <w:numId w:val="7"/>
        </w:numPr>
        <w:rPr>
          <w:rFonts w:eastAsia="MS Mincho"/>
          <w:iCs/>
          <w:lang w:val="fr-FR"/>
        </w:rPr>
      </w:pPr>
      <w:r w:rsidRPr="00C36B84">
        <w:rPr>
          <w:lang w:val="fr-FR"/>
        </w:rPr>
        <w:t>Les risques élevés à long terme que présente l</w:t>
      </w:r>
      <w:r w:rsidR="00263978" w:rsidRPr="00C36B84">
        <w:rPr>
          <w:lang w:val="fr-FR"/>
        </w:rPr>
        <w:t>’</w:t>
      </w:r>
      <w:r w:rsidRPr="00C36B84">
        <w:rPr>
          <w:lang w:val="fr-FR"/>
        </w:rPr>
        <w:t>iprodione pour les organismes aquatiques.</w:t>
      </w:r>
    </w:p>
    <w:p w14:paraId="3F6E60DC" w14:textId="7E07F5AE" w:rsidR="0070418B" w:rsidRPr="00C36B84" w:rsidRDefault="0070418B" w:rsidP="00AD11DC">
      <w:pPr>
        <w:pStyle w:val="Normalnumber"/>
        <w:numPr>
          <w:ilvl w:val="0"/>
          <w:numId w:val="7"/>
        </w:numPr>
        <w:rPr>
          <w:lang w:val="fr-FR"/>
        </w:rPr>
      </w:pPr>
      <w:r w:rsidRPr="00C36B84">
        <w:rPr>
          <w:lang w:val="fr-FR"/>
        </w:rPr>
        <w:t>En outre, en ce qui concerne un métabolite trouvé sous forme de résidus dans les végétaux et d</w:t>
      </w:r>
      <w:r w:rsidR="00263978" w:rsidRPr="00C36B84">
        <w:rPr>
          <w:lang w:val="fr-FR"/>
        </w:rPr>
        <w:t>’</w:t>
      </w:r>
      <w:r w:rsidRPr="00C36B84">
        <w:rPr>
          <w:lang w:val="fr-FR"/>
        </w:rPr>
        <w:t>impuretés dans les équipements techniques, l</w:t>
      </w:r>
      <w:r w:rsidR="00263978" w:rsidRPr="00C36B84">
        <w:rPr>
          <w:lang w:val="fr-FR"/>
        </w:rPr>
        <w:t>’</w:t>
      </w:r>
      <w:r w:rsidRPr="00C36B84">
        <w:rPr>
          <w:lang w:val="fr-FR"/>
        </w:rPr>
        <w:t>autorité chargée des pesticides a conclu qu</w:t>
      </w:r>
      <w:r w:rsidR="00263978" w:rsidRPr="00C36B84">
        <w:rPr>
          <w:lang w:val="fr-FR"/>
        </w:rPr>
        <w:t>’</w:t>
      </w:r>
      <w:r w:rsidRPr="00C36B84">
        <w:rPr>
          <w:lang w:val="fr-FR"/>
        </w:rPr>
        <w:t>il n</w:t>
      </w:r>
      <w:r w:rsidR="00263978" w:rsidRPr="00C36B84">
        <w:rPr>
          <w:lang w:val="fr-FR"/>
        </w:rPr>
        <w:t>’</w:t>
      </w:r>
      <w:r w:rsidRPr="00C36B84">
        <w:rPr>
          <w:lang w:val="fr-FR"/>
        </w:rPr>
        <w:t>est pas possible d</w:t>
      </w:r>
      <w:r w:rsidR="00263978" w:rsidRPr="00C36B84">
        <w:rPr>
          <w:lang w:val="fr-FR"/>
        </w:rPr>
        <w:t>’</w:t>
      </w:r>
      <w:r w:rsidRPr="00C36B84">
        <w:rPr>
          <w:lang w:val="fr-FR"/>
        </w:rPr>
        <w:t>en exclure le potentiel génotoxique et, par conséquent, de confirmer la définition de valeurs de référence pour ce métabolite sur la base des informations disponibles. Par ailleurs, sur la base des</w:t>
      </w:r>
      <w:r w:rsidR="0065024D" w:rsidRPr="00C36B84">
        <w:rPr>
          <w:lang w:val="fr-FR"/>
        </w:rPr>
        <w:t> </w:t>
      </w:r>
      <w:r w:rsidRPr="00C36B84">
        <w:rPr>
          <w:lang w:val="fr-FR"/>
        </w:rPr>
        <w:t>informations disponibles, l</w:t>
      </w:r>
      <w:r w:rsidR="00263978" w:rsidRPr="00C36B84">
        <w:rPr>
          <w:lang w:val="fr-FR"/>
        </w:rPr>
        <w:t>’</w:t>
      </w:r>
      <w:r w:rsidRPr="00C36B84">
        <w:rPr>
          <w:lang w:val="fr-FR"/>
        </w:rPr>
        <w:t>évaluation des risques alimentaires n</w:t>
      </w:r>
      <w:r w:rsidR="00263978" w:rsidRPr="00C36B84">
        <w:rPr>
          <w:lang w:val="fr-FR"/>
        </w:rPr>
        <w:t>’</w:t>
      </w:r>
      <w:r w:rsidRPr="00C36B84">
        <w:rPr>
          <w:lang w:val="fr-FR"/>
        </w:rPr>
        <w:t>a pas pu être achevée, car il</w:t>
      </w:r>
      <w:r w:rsidR="0065024D" w:rsidRPr="00C36B84">
        <w:rPr>
          <w:lang w:val="fr-FR"/>
        </w:rPr>
        <w:t> </w:t>
      </w:r>
      <w:r w:rsidRPr="00C36B84">
        <w:rPr>
          <w:lang w:val="fr-FR"/>
        </w:rPr>
        <w:t>n</w:t>
      </w:r>
      <w:r w:rsidR="00263978" w:rsidRPr="00C36B84">
        <w:rPr>
          <w:lang w:val="fr-FR"/>
        </w:rPr>
        <w:t>’</w:t>
      </w:r>
      <w:r w:rsidRPr="00C36B84">
        <w:rPr>
          <w:lang w:val="fr-FR"/>
        </w:rPr>
        <w:t>est</w:t>
      </w:r>
      <w:r w:rsidR="0065024D" w:rsidRPr="00C36B84">
        <w:rPr>
          <w:lang w:val="fr-FR"/>
        </w:rPr>
        <w:t> </w:t>
      </w:r>
      <w:r w:rsidRPr="00C36B84">
        <w:rPr>
          <w:lang w:val="fr-FR"/>
        </w:rPr>
        <w:t>pas possible d</w:t>
      </w:r>
      <w:r w:rsidR="00263978" w:rsidRPr="00C36B84">
        <w:rPr>
          <w:lang w:val="fr-FR"/>
        </w:rPr>
        <w:t>’</w:t>
      </w:r>
      <w:r w:rsidRPr="00C36B84">
        <w:rPr>
          <w:lang w:val="fr-FR"/>
        </w:rPr>
        <w:t>établir les définitions des résidus aux fins de l</w:t>
      </w:r>
      <w:r w:rsidR="00263978" w:rsidRPr="00C36B84">
        <w:rPr>
          <w:lang w:val="fr-FR"/>
        </w:rPr>
        <w:t>’</w:t>
      </w:r>
      <w:r w:rsidRPr="00C36B84">
        <w:rPr>
          <w:lang w:val="fr-FR"/>
        </w:rPr>
        <w:t>évaluation des risques ; néanmoins, des risques aigus pour les consommateurs n</w:t>
      </w:r>
      <w:r w:rsidR="00263978" w:rsidRPr="00C36B84">
        <w:rPr>
          <w:lang w:val="fr-FR"/>
        </w:rPr>
        <w:t>’</w:t>
      </w:r>
      <w:r w:rsidRPr="00C36B84">
        <w:rPr>
          <w:lang w:val="fr-FR"/>
        </w:rPr>
        <w:t>ont pas pu être exclus. Enfin, l</w:t>
      </w:r>
      <w:r w:rsidR="00263978" w:rsidRPr="00C36B84">
        <w:rPr>
          <w:lang w:val="fr-FR"/>
        </w:rPr>
        <w:t>’</w:t>
      </w:r>
      <w:r w:rsidRPr="00C36B84">
        <w:rPr>
          <w:lang w:val="fr-FR"/>
        </w:rPr>
        <w:t xml:space="preserve">évaluation </w:t>
      </w:r>
      <w:r w:rsidRPr="00C36B84">
        <w:rPr>
          <w:lang w:val="fr-FR"/>
        </w:rPr>
        <w:lastRenderedPageBreak/>
        <w:t>des</w:t>
      </w:r>
      <w:r w:rsidR="0065024D" w:rsidRPr="00C36B84">
        <w:rPr>
          <w:lang w:val="fr-FR"/>
        </w:rPr>
        <w:t> </w:t>
      </w:r>
      <w:r w:rsidRPr="00C36B84">
        <w:rPr>
          <w:lang w:val="fr-FR"/>
        </w:rPr>
        <w:t>risques à long terme pour les mammifères sauvages pour toutes les voies d</w:t>
      </w:r>
      <w:r w:rsidR="00263978" w:rsidRPr="00C36B84">
        <w:rPr>
          <w:lang w:val="fr-FR"/>
        </w:rPr>
        <w:t>’</w:t>
      </w:r>
      <w:r w:rsidRPr="00C36B84">
        <w:rPr>
          <w:lang w:val="fr-FR"/>
        </w:rPr>
        <w:t>exposition pertinentes n</w:t>
      </w:r>
      <w:r w:rsidR="00263978" w:rsidRPr="00C36B84">
        <w:rPr>
          <w:lang w:val="fr-FR"/>
        </w:rPr>
        <w:t>’</w:t>
      </w:r>
      <w:r w:rsidRPr="00C36B84">
        <w:rPr>
          <w:lang w:val="fr-FR"/>
        </w:rPr>
        <w:t>a pas pu être achevée, sur la base des informations communiquées dans le dossier</w:t>
      </w:r>
      <w:r w:rsidRPr="00C36B84">
        <w:rPr>
          <w:rStyle w:val="Appelnotedebasdep"/>
          <w:rFonts w:eastAsia="MS Mincho"/>
          <w:iCs/>
          <w:sz w:val="20"/>
          <w:szCs w:val="20"/>
          <w:lang w:val="fr-FR" w:bidi="en-US"/>
        </w:rPr>
        <w:footnoteReference w:id="3"/>
      </w:r>
      <w:r w:rsidRPr="00C36B84">
        <w:rPr>
          <w:lang w:val="fr-FR"/>
        </w:rPr>
        <w:t>.</w:t>
      </w:r>
    </w:p>
    <w:p w14:paraId="0886AE18" w14:textId="63F07BE0" w:rsidR="0070418B" w:rsidRPr="00C36B84" w:rsidRDefault="0070418B" w:rsidP="00AD11DC">
      <w:pPr>
        <w:pStyle w:val="Normalnumber"/>
        <w:numPr>
          <w:ilvl w:val="0"/>
          <w:numId w:val="7"/>
        </w:numPr>
        <w:rPr>
          <w:lang w:val="fr-FR"/>
        </w:rPr>
      </w:pPr>
      <w:bookmarkStart w:id="9" w:name="_Hlk82544594"/>
      <w:r w:rsidRPr="00C36B84">
        <w:rPr>
          <w:lang w:val="fr-FR"/>
        </w:rPr>
        <w:t>En conséquence, le Comité confirme que le critère énoncé au paragraphe a) de l</w:t>
      </w:r>
      <w:r w:rsidR="00263978" w:rsidRPr="00C36B84">
        <w:rPr>
          <w:lang w:val="fr-FR"/>
        </w:rPr>
        <w:t>’</w:t>
      </w:r>
      <w:r w:rsidRPr="00C36B84">
        <w:rPr>
          <w:lang w:val="fr-FR"/>
        </w:rPr>
        <w:t>Annexe II est</w:t>
      </w:r>
      <w:r w:rsidR="0065024D" w:rsidRPr="00C36B84">
        <w:rPr>
          <w:lang w:val="fr-FR"/>
        </w:rPr>
        <w:t> </w:t>
      </w:r>
      <w:r w:rsidRPr="00C36B84">
        <w:rPr>
          <w:lang w:val="fr-FR"/>
        </w:rPr>
        <w:t>rempli.</w:t>
      </w:r>
      <w:bookmarkEnd w:id="9"/>
    </w:p>
    <w:p w14:paraId="05C5DB04" w14:textId="5A5CC321" w:rsidR="00F23195" w:rsidRPr="00C36B84" w:rsidRDefault="0070418B" w:rsidP="0065024D">
      <w:pPr>
        <w:pStyle w:val="CH3"/>
        <w:rPr>
          <w:snapToGrid w:val="0"/>
        </w:rPr>
      </w:pPr>
      <w:r w:rsidRPr="00C36B84">
        <w:rPr>
          <w:snapToGrid w:val="0"/>
        </w:rPr>
        <w:tab/>
        <w:t>c)</w:t>
      </w:r>
      <w:r w:rsidRPr="00C36B84">
        <w:rPr>
          <w:snapToGrid w:val="0"/>
        </w:rPr>
        <w:tab/>
        <w:t>Critères énoncés au paragraphe b) de l</w:t>
      </w:r>
      <w:r w:rsidR="00263978" w:rsidRPr="00C36B84">
        <w:rPr>
          <w:snapToGrid w:val="0"/>
        </w:rPr>
        <w:t>’</w:t>
      </w:r>
      <w:r w:rsidRPr="00C36B84">
        <w:rPr>
          <w:snapToGrid w:val="0"/>
        </w:rPr>
        <w:t>Annexe II</w:t>
      </w:r>
    </w:p>
    <w:p w14:paraId="4CD5D156" w14:textId="1F9A9312" w:rsidR="0070418B" w:rsidRPr="00C36B84" w:rsidRDefault="0065024D" w:rsidP="0065024D">
      <w:pPr>
        <w:pStyle w:val="NormalNonumber"/>
        <w:rPr>
          <w:i/>
        </w:rPr>
      </w:pPr>
      <w:r w:rsidRPr="00C36B84">
        <w:rPr>
          <w:i/>
        </w:rPr>
        <w:tab/>
      </w:r>
      <w:r w:rsidR="0070418B" w:rsidRPr="00C36B84">
        <w:rPr>
          <w:i/>
        </w:rPr>
        <w:t>b)</w:t>
      </w:r>
      <w:r w:rsidR="0070418B" w:rsidRPr="00C36B84">
        <w:rPr>
          <w:i/>
        </w:rPr>
        <w:tab/>
        <w:t>Vérifie que la mesure de réglementation finale a été prise à la suite d</w:t>
      </w:r>
      <w:r w:rsidR="00263978" w:rsidRPr="00C36B84">
        <w:rPr>
          <w:i/>
        </w:rPr>
        <w:t>’</w:t>
      </w:r>
      <w:r w:rsidR="0070418B" w:rsidRPr="00C36B84">
        <w:rPr>
          <w:i/>
        </w:rPr>
        <w:t xml:space="preserve">une évaluation des risques. Cette évaluation doit reposer sur une étude des données scientifiques effectuée en tenant compte des circonstances propres à la Partie considérée. À cette fin, la documentation fournie </w:t>
      </w:r>
      <w:r w:rsidR="00646B54" w:rsidRPr="00C36B84">
        <w:rPr>
          <w:i/>
        </w:rPr>
        <w:t>doit démontrer</w:t>
      </w:r>
      <w:r w:rsidR="0070418B" w:rsidRPr="00C36B84">
        <w:rPr>
          <w:i/>
        </w:rPr>
        <w:t xml:space="preserve"> ce qui suit :</w:t>
      </w:r>
    </w:p>
    <w:p w14:paraId="41CCB279" w14:textId="0808E718" w:rsidR="0070418B" w:rsidRPr="00C36B84" w:rsidRDefault="0065024D" w:rsidP="0065024D">
      <w:pPr>
        <w:pStyle w:val="NormalNonumber"/>
        <w:rPr>
          <w:i/>
        </w:rPr>
      </w:pPr>
      <w:r w:rsidRPr="00C36B84">
        <w:rPr>
          <w:i/>
        </w:rPr>
        <w:tab/>
      </w:r>
      <w:r w:rsidR="0070418B" w:rsidRPr="00C36B84">
        <w:rPr>
          <w:i/>
        </w:rPr>
        <w:t>i)</w:t>
      </w:r>
      <w:r w:rsidR="0070418B" w:rsidRPr="00C36B84">
        <w:rPr>
          <w:i/>
        </w:rPr>
        <w:tab/>
        <w:t>Les données étudiées ont été obtenues par des méthodes scientifiquement reconnues ;</w:t>
      </w:r>
    </w:p>
    <w:p w14:paraId="64E7AAD0" w14:textId="69BE47C0" w:rsidR="0070418B" w:rsidRPr="00C36B84" w:rsidRDefault="0065024D" w:rsidP="0065024D">
      <w:pPr>
        <w:pStyle w:val="NormalNonumber"/>
        <w:ind w:left="2381" w:hanging="1134"/>
        <w:rPr>
          <w:i/>
        </w:rPr>
      </w:pPr>
      <w:r w:rsidRPr="00C36B84">
        <w:rPr>
          <w:i/>
        </w:rPr>
        <w:tab/>
      </w:r>
      <w:r w:rsidR="0070418B" w:rsidRPr="00C36B84">
        <w:rPr>
          <w:i/>
        </w:rPr>
        <w:t>ii)</w:t>
      </w:r>
      <w:r w:rsidR="0070418B" w:rsidRPr="00C36B84">
        <w:rPr>
          <w:i/>
        </w:rPr>
        <w:tab/>
        <w:t>Ces données ont été analysées et corroborées selon des principes et des procédures scientifiques largement reconnus ;</w:t>
      </w:r>
    </w:p>
    <w:p w14:paraId="2690EC1E" w14:textId="3E3C465B" w:rsidR="0070418B" w:rsidRPr="00C36B84" w:rsidRDefault="0070418B" w:rsidP="00AD11DC">
      <w:pPr>
        <w:pStyle w:val="Normalnumber"/>
        <w:numPr>
          <w:ilvl w:val="0"/>
          <w:numId w:val="7"/>
        </w:numPr>
        <w:rPr>
          <w:lang w:val="fr-FR"/>
        </w:rPr>
      </w:pPr>
      <w:r w:rsidRPr="00C36B84">
        <w:rPr>
          <w:lang w:val="fr-FR"/>
        </w:rPr>
        <w:t xml:space="preserve">La notification fait référence à une évaluation des dangers et </w:t>
      </w:r>
      <w:proofErr w:type="gramStart"/>
      <w:r w:rsidRPr="00C36B84">
        <w:rPr>
          <w:lang w:val="fr-FR"/>
        </w:rPr>
        <w:t>des risques fondée</w:t>
      </w:r>
      <w:proofErr w:type="gramEnd"/>
      <w:r w:rsidRPr="00C36B84">
        <w:rPr>
          <w:lang w:val="fr-FR"/>
        </w:rPr>
        <w:t xml:space="preserve"> sur les</w:t>
      </w:r>
      <w:r w:rsidR="0065024D" w:rsidRPr="00C36B84">
        <w:rPr>
          <w:lang w:val="fr-FR"/>
        </w:rPr>
        <w:t> </w:t>
      </w:r>
      <w:r w:rsidRPr="00C36B84">
        <w:rPr>
          <w:lang w:val="fr-FR"/>
        </w:rPr>
        <w:t>informations communiquées par le demandeur d</w:t>
      </w:r>
      <w:r w:rsidR="00263978" w:rsidRPr="00C36B84">
        <w:rPr>
          <w:lang w:val="fr-FR"/>
        </w:rPr>
        <w:t>’</w:t>
      </w:r>
      <w:r w:rsidRPr="00C36B84">
        <w:rPr>
          <w:lang w:val="fr-FR"/>
        </w:rPr>
        <w:t>homologation du pesticide. Le rapport d</w:t>
      </w:r>
      <w:r w:rsidR="00263978" w:rsidRPr="00C36B84">
        <w:rPr>
          <w:lang w:val="fr-FR"/>
        </w:rPr>
        <w:t>’</w:t>
      </w:r>
      <w:r w:rsidRPr="00C36B84">
        <w:rPr>
          <w:lang w:val="fr-FR"/>
        </w:rPr>
        <w:t>évaluation a fait l</w:t>
      </w:r>
      <w:r w:rsidR="00263978" w:rsidRPr="00C36B84">
        <w:rPr>
          <w:lang w:val="fr-FR"/>
        </w:rPr>
        <w:t>’</w:t>
      </w:r>
      <w:r w:rsidRPr="00C36B84">
        <w:rPr>
          <w:lang w:val="fr-FR"/>
        </w:rPr>
        <w:t>objet d</w:t>
      </w:r>
      <w:r w:rsidR="00263978" w:rsidRPr="00C36B84">
        <w:rPr>
          <w:lang w:val="fr-FR"/>
        </w:rPr>
        <w:t>’</w:t>
      </w:r>
      <w:r w:rsidRPr="00C36B84">
        <w:rPr>
          <w:lang w:val="fr-FR"/>
        </w:rPr>
        <w:t>un examen par les pairs et d</w:t>
      </w:r>
      <w:r w:rsidR="00263978" w:rsidRPr="00C36B84">
        <w:rPr>
          <w:lang w:val="fr-FR"/>
        </w:rPr>
        <w:t>’</w:t>
      </w:r>
      <w:r w:rsidRPr="00C36B84">
        <w:rPr>
          <w:lang w:val="fr-FR"/>
        </w:rPr>
        <w:t>une consultation entre l</w:t>
      </w:r>
      <w:r w:rsidR="00263978" w:rsidRPr="00C36B84">
        <w:rPr>
          <w:lang w:val="fr-FR"/>
        </w:rPr>
        <w:t>’</w:t>
      </w:r>
      <w:r w:rsidRPr="00C36B84">
        <w:rPr>
          <w:lang w:val="fr-FR"/>
        </w:rPr>
        <w:t>EFSA, les experts des</w:t>
      </w:r>
      <w:r w:rsidR="0065024D" w:rsidRPr="00C36B84">
        <w:rPr>
          <w:lang w:val="fr-FR"/>
        </w:rPr>
        <w:t> </w:t>
      </w:r>
      <w:r w:rsidRPr="00C36B84">
        <w:rPr>
          <w:lang w:val="fr-FR"/>
        </w:rPr>
        <w:t>États membres de l</w:t>
      </w:r>
      <w:r w:rsidR="00263978" w:rsidRPr="00C36B84">
        <w:rPr>
          <w:lang w:val="fr-FR"/>
        </w:rPr>
        <w:t>’</w:t>
      </w:r>
      <w:r w:rsidRPr="00C36B84">
        <w:rPr>
          <w:lang w:val="fr-FR"/>
        </w:rPr>
        <w:t>Union européenne et le demandeur (UNEP/FAO/RC/CRC.17/5, section</w:t>
      </w:r>
      <w:r w:rsidR="0065024D" w:rsidRPr="00C36B84">
        <w:rPr>
          <w:lang w:val="fr-FR"/>
        </w:rPr>
        <w:t> </w:t>
      </w:r>
      <w:r w:rsidRPr="00C36B84">
        <w:rPr>
          <w:lang w:val="fr-FR"/>
        </w:rPr>
        <w:t xml:space="preserve">2.4.1 de la </w:t>
      </w:r>
      <w:r w:rsidR="009A49D0" w:rsidRPr="00C36B84">
        <w:rPr>
          <w:lang w:val="fr-FR"/>
        </w:rPr>
        <w:t>notification reçue d</w:t>
      </w:r>
      <w:r w:rsidRPr="00C36B84">
        <w:rPr>
          <w:lang w:val="fr-FR"/>
        </w:rPr>
        <w:t>e l</w:t>
      </w:r>
      <w:r w:rsidR="00263978" w:rsidRPr="00C36B84">
        <w:rPr>
          <w:lang w:val="fr-FR"/>
        </w:rPr>
        <w:t>’</w:t>
      </w:r>
      <w:r w:rsidRPr="00C36B84">
        <w:rPr>
          <w:lang w:val="fr-FR"/>
        </w:rPr>
        <w:t>Union européenne).</w:t>
      </w:r>
    </w:p>
    <w:p w14:paraId="20BF0CB9" w14:textId="55F5D6B2" w:rsidR="0070418B" w:rsidRPr="00C36B84" w:rsidRDefault="0070418B" w:rsidP="00AD11DC">
      <w:pPr>
        <w:pStyle w:val="Normalnumber"/>
        <w:numPr>
          <w:ilvl w:val="0"/>
          <w:numId w:val="7"/>
        </w:numPr>
        <w:rPr>
          <w:lang w:val="fr-FR"/>
        </w:rPr>
      </w:pPr>
      <w:r w:rsidRPr="00C36B84">
        <w:rPr>
          <w:lang w:val="fr-FR"/>
        </w:rPr>
        <w:t>La procédure pour le renouvellement de l</w:t>
      </w:r>
      <w:r w:rsidR="00263978" w:rsidRPr="00C36B84">
        <w:rPr>
          <w:lang w:val="fr-FR"/>
        </w:rPr>
        <w:t>’</w:t>
      </w:r>
      <w:r w:rsidRPr="00C36B84">
        <w:rPr>
          <w:lang w:val="fr-FR"/>
        </w:rPr>
        <w:t>approbation des substances actives figure dans le</w:t>
      </w:r>
      <w:r w:rsidR="0065024D" w:rsidRPr="00C36B84">
        <w:rPr>
          <w:lang w:val="fr-FR"/>
        </w:rPr>
        <w:t> </w:t>
      </w:r>
      <w:r w:rsidRPr="00C36B84">
        <w:rPr>
          <w:lang w:val="fr-FR"/>
        </w:rPr>
        <w:t>règlement d</w:t>
      </w:r>
      <w:r w:rsidR="00263978" w:rsidRPr="00C36B84">
        <w:rPr>
          <w:lang w:val="fr-FR"/>
        </w:rPr>
        <w:t>’</w:t>
      </w:r>
      <w:r w:rsidRPr="00C36B84">
        <w:rPr>
          <w:lang w:val="fr-FR"/>
        </w:rPr>
        <w:t>exécution (UE) nº 844/2012 de la Commission</w:t>
      </w:r>
      <w:r w:rsidRPr="00C36B84">
        <w:rPr>
          <w:rStyle w:val="Appelnotedebasdep"/>
          <w:rFonts w:eastAsia="MS Mincho"/>
          <w:bCs/>
          <w:sz w:val="20"/>
          <w:szCs w:val="20"/>
          <w:lang w:val="fr-FR" w:bidi="en-US"/>
        </w:rPr>
        <w:footnoteReference w:id="4"/>
      </w:r>
      <w:r w:rsidRPr="00C36B84">
        <w:rPr>
          <w:lang w:val="fr-FR"/>
        </w:rPr>
        <w:t>. L</w:t>
      </w:r>
      <w:r w:rsidR="00263978" w:rsidRPr="00C36B84">
        <w:rPr>
          <w:lang w:val="fr-FR"/>
        </w:rPr>
        <w:t>’</w:t>
      </w:r>
      <w:r w:rsidRPr="00C36B84">
        <w:rPr>
          <w:lang w:val="fr-FR"/>
        </w:rPr>
        <w:t xml:space="preserve">évaluation est décrite au chapitre 2 dudit règlement : </w:t>
      </w:r>
      <w:r w:rsidR="000119B0" w:rsidRPr="00C36B84">
        <w:rPr>
          <w:lang w:val="fr-FR"/>
        </w:rPr>
        <w:t>« </w:t>
      </w:r>
      <w:r w:rsidRPr="00C36B84">
        <w:rPr>
          <w:lang w:val="fr-FR"/>
        </w:rPr>
        <w:t>L</w:t>
      </w:r>
      <w:r w:rsidR="00263978" w:rsidRPr="00C36B84">
        <w:rPr>
          <w:lang w:val="fr-FR"/>
        </w:rPr>
        <w:t>’</w:t>
      </w:r>
      <w:r w:rsidRPr="00C36B84">
        <w:rPr>
          <w:lang w:val="fr-FR"/>
        </w:rPr>
        <w:t>État membre rapporteur procède à une évaluation indépendante, objective et transparente, à la lumière des connaissances scientifiques et techniques actuelles. Il tient compte des</w:t>
      </w:r>
      <w:r w:rsidR="000119B0" w:rsidRPr="00C36B84">
        <w:rPr>
          <w:lang w:val="fr-FR"/>
        </w:rPr>
        <w:t> </w:t>
      </w:r>
      <w:r w:rsidRPr="00C36B84">
        <w:rPr>
          <w:lang w:val="fr-FR"/>
        </w:rPr>
        <w:t>dossiers complémentaires, et, le cas échéant, des dossiers soumis pour l</w:t>
      </w:r>
      <w:r w:rsidR="00263978" w:rsidRPr="00C36B84">
        <w:rPr>
          <w:lang w:val="fr-FR"/>
        </w:rPr>
        <w:t>’</w:t>
      </w:r>
      <w:r w:rsidRPr="00C36B84">
        <w:rPr>
          <w:lang w:val="fr-FR"/>
        </w:rPr>
        <w:t>approbation et les</w:t>
      </w:r>
      <w:r w:rsidR="000119B0" w:rsidRPr="00C36B84">
        <w:rPr>
          <w:lang w:val="fr-FR"/>
        </w:rPr>
        <w:t> </w:t>
      </w:r>
      <w:r w:rsidRPr="00C36B84">
        <w:rPr>
          <w:lang w:val="fr-FR"/>
        </w:rPr>
        <w:t>renouvellements ultérieurs.</w:t>
      </w:r>
      <w:r w:rsidR="000119B0" w:rsidRPr="00C36B84">
        <w:rPr>
          <w:lang w:val="fr-FR"/>
        </w:rPr>
        <w:t> »</w:t>
      </w:r>
    </w:p>
    <w:p w14:paraId="5C57D62B" w14:textId="5B6410A7" w:rsidR="0070418B" w:rsidRPr="00C36B84" w:rsidRDefault="0070418B" w:rsidP="00AD11DC">
      <w:pPr>
        <w:pStyle w:val="Normalnumber"/>
        <w:numPr>
          <w:ilvl w:val="0"/>
          <w:numId w:val="7"/>
        </w:numPr>
        <w:rPr>
          <w:lang w:val="fr-FR"/>
        </w:rPr>
      </w:pPr>
      <w:r w:rsidRPr="00C36B84">
        <w:rPr>
          <w:lang w:val="fr-FR"/>
        </w:rPr>
        <w:t>La documentation à l</w:t>
      </w:r>
      <w:r w:rsidR="00263978" w:rsidRPr="00C36B84">
        <w:rPr>
          <w:lang w:val="fr-FR"/>
        </w:rPr>
        <w:t>’</w:t>
      </w:r>
      <w:r w:rsidRPr="00C36B84">
        <w:rPr>
          <w:lang w:val="fr-FR"/>
        </w:rPr>
        <w:t>appui comprend les rapports suivants :</w:t>
      </w:r>
    </w:p>
    <w:p w14:paraId="30C01BF8" w14:textId="0E53F468" w:rsidR="0070418B" w:rsidRPr="00C36B84" w:rsidRDefault="00B478B1" w:rsidP="00AD11DC">
      <w:pPr>
        <w:pStyle w:val="Normalnumber"/>
        <w:numPr>
          <w:ilvl w:val="1"/>
          <w:numId w:val="7"/>
        </w:numPr>
        <w:rPr>
          <w:lang w:val="fr-FR"/>
        </w:rPr>
      </w:pPr>
      <w:r w:rsidRPr="00C36B84">
        <w:rPr>
          <w:lang w:val="fr-FR"/>
        </w:rPr>
        <w:t xml:space="preserve">Commission européenne, Direction Générale de la santé et de la sécurité alimentaire, </w:t>
      </w:r>
      <w:r w:rsidR="00037209" w:rsidRPr="00C36B84">
        <w:rPr>
          <w:lang w:val="fr-FR"/>
        </w:rPr>
        <w:t xml:space="preserve">« Final </w:t>
      </w:r>
      <w:proofErr w:type="spellStart"/>
      <w:r w:rsidR="00037209" w:rsidRPr="00C36B84">
        <w:rPr>
          <w:lang w:val="fr-FR"/>
        </w:rPr>
        <w:t>renewal</w:t>
      </w:r>
      <w:proofErr w:type="spellEnd"/>
      <w:r w:rsidR="00037209" w:rsidRPr="00C36B84">
        <w:rPr>
          <w:lang w:val="fr-FR"/>
        </w:rPr>
        <w:t xml:space="preserve"> report for the active substance iprodione »</w:t>
      </w:r>
      <w:r w:rsidR="000119B0" w:rsidRPr="00C36B84">
        <w:rPr>
          <w:lang w:val="fr-FR"/>
        </w:rPr>
        <w:t>,</w:t>
      </w:r>
      <w:r w:rsidR="00037209" w:rsidRPr="00C36B84">
        <w:rPr>
          <w:lang w:val="fr-FR"/>
        </w:rPr>
        <w:t xml:space="preserve"> SANTE/10627/2017 </w:t>
      </w:r>
      <w:proofErr w:type="spellStart"/>
      <w:r w:rsidR="00037209" w:rsidRPr="00C36B84">
        <w:rPr>
          <w:lang w:val="fr-FR"/>
        </w:rPr>
        <w:t>rev</w:t>
      </w:r>
      <w:proofErr w:type="spellEnd"/>
      <w:r w:rsidR="00037209" w:rsidRPr="00C36B84">
        <w:rPr>
          <w:lang w:val="fr-FR"/>
        </w:rPr>
        <w:t> 2</w:t>
      </w:r>
      <w:r w:rsidR="000119B0" w:rsidRPr="00C36B84">
        <w:rPr>
          <w:lang w:val="fr-FR"/>
        </w:rPr>
        <w:t>1</w:t>
      </w:r>
      <w:r w:rsidR="00037209" w:rsidRPr="00C36B84">
        <w:rPr>
          <w:lang w:val="fr-FR"/>
        </w:rPr>
        <w:t xml:space="preserve"> </w:t>
      </w:r>
      <w:r w:rsidRPr="00C36B84">
        <w:rPr>
          <w:lang w:val="fr-FR"/>
        </w:rPr>
        <w:t>(</w:t>
      </w:r>
      <w:r w:rsidR="00037209" w:rsidRPr="00C36B84">
        <w:rPr>
          <w:lang w:val="fr-FR"/>
        </w:rPr>
        <w:t>6 octobre 2017) ;</w:t>
      </w:r>
    </w:p>
    <w:p w14:paraId="54FDC598" w14:textId="2C3D91F7" w:rsidR="0070418B" w:rsidRPr="00C36B84" w:rsidRDefault="0070418B" w:rsidP="00AD11DC">
      <w:pPr>
        <w:pStyle w:val="Normalnumber"/>
        <w:numPr>
          <w:ilvl w:val="1"/>
          <w:numId w:val="7"/>
        </w:numPr>
        <w:rPr>
          <w:lang w:val="fr-FR"/>
        </w:rPr>
      </w:pPr>
      <w:r w:rsidRPr="002F581B">
        <w:rPr>
          <w:lang w:val="en-US"/>
        </w:rPr>
        <w:t xml:space="preserve">EFSA, « Conclusion on the peer review of the pesticide risk assessment of the active substance iprodione », </w:t>
      </w:r>
      <w:r w:rsidRPr="002F581B">
        <w:rPr>
          <w:i/>
          <w:lang w:val="en-US"/>
        </w:rPr>
        <w:t>EFSA Journal</w:t>
      </w:r>
      <w:r w:rsidRPr="002F581B">
        <w:rPr>
          <w:lang w:val="en-US"/>
        </w:rPr>
        <w:t xml:space="preserve">, </w:t>
      </w:r>
      <w:proofErr w:type="gramStart"/>
      <w:r w:rsidRPr="002F581B">
        <w:rPr>
          <w:lang w:val="en-US"/>
        </w:rPr>
        <w:t>2016 ;</w:t>
      </w:r>
      <w:proofErr w:type="gramEnd"/>
      <w:r w:rsidRPr="002F581B">
        <w:rPr>
          <w:lang w:val="en-US"/>
        </w:rPr>
        <w:t xml:space="preserve"> vol. 14, nº 11, e04609</w:t>
      </w:r>
      <w:r w:rsidR="00B478B1" w:rsidRPr="002F581B">
        <w:rPr>
          <w:lang w:val="en-US"/>
        </w:rPr>
        <w:t xml:space="preserve"> (2016a). </w:t>
      </w:r>
      <w:r w:rsidR="00B478B1" w:rsidRPr="00C36B84">
        <w:rPr>
          <w:lang w:val="fr-FR"/>
        </w:rPr>
        <w:t>Disponible à l</w:t>
      </w:r>
      <w:r w:rsidR="00263978" w:rsidRPr="00C36B84">
        <w:rPr>
          <w:lang w:val="fr-FR"/>
        </w:rPr>
        <w:t>’</w:t>
      </w:r>
      <w:r w:rsidR="00B478B1" w:rsidRPr="00C36B84">
        <w:rPr>
          <w:lang w:val="fr-FR"/>
        </w:rPr>
        <w:t>adresse</w:t>
      </w:r>
      <w:r w:rsidRPr="00C36B84">
        <w:rPr>
          <w:lang w:val="fr-FR"/>
        </w:rPr>
        <w:t xml:space="preserve"> </w:t>
      </w:r>
      <w:hyperlink r:id="rId11" w:history="1">
        <w:r w:rsidRPr="00C36B84">
          <w:rPr>
            <w:lang w:val="fr-FR"/>
          </w:rPr>
          <w:t>https://doi.org/10.2903/j.efsa.2016.4609</w:t>
        </w:r>
      </w:hyperlink>
      <w:r w:rsidRPr="00C36B84">
        <w:rPr>
          <w:lang w:val="fr-FR"/>
        </w:rPr>
        <w:t> ;</w:t>
      </w:r>
    </w:p>
    <w:p w14:paraId="26924385" w14:textId="59AEDF52" w:rsidR="0070418B" w:rsidRPr="00C36B84" w:rsidRDefault="0070418B" w:rsidP="00AD11DC">
      <w:pPr>
        <w:pStyle w:val="Normalnumber"/>
        <w:numPr>
          <w:ilvl w:val="1"/>
          <w:numId w:val="7"/>
        </w:numPr>
        <w:rPr>
          <w:lang w:val="fr-FR"/>
        </w:rPr>
      </w:pPr>
      <w:r w:rsidRPr="002F581B">
        <w:rPr>
          <w:lang w:val="en-US"/>
        </w:rPr>
        <w:t>EFSA</w:t>
      </w:r>
      <w:r w:rsidR="00B478B1" w:rsidRPr="002F581B">
        <w:rPr>
          <w:lang w:val="en-US"/>
        </w:rPr>
        <w:t>,</w:t>
      </w:r>
      <w:r w:rsidRPr="002F581B">
        <w:rPr>
          <w:lang w:val="en-US"/>
        </w:rPr>
        <w:t xml:space="preserve"> « Conclusion on the peer review of the pesticide risk assessment of the active substance iprodione », </w:t>
      </w:r>
      <w:r w:rsidRPr="002F581B">
        <w:rPr>
          <w:i/>
          <w:lang w:val="en-US"/>
        </w:rPr>
        <w:t>EFSA Journal</w:t>
      </w:r>
      <w:r w:rsidRPr="002F581B">
        <w:rPr>
          <w:lang w:val="en-US"/>
        </w:rPr>
        <w:t xml:space="preserve">, </w:t>
      </w:r>
      <w:proofErr w:type="gramStart"/>
      <w:r w:rsidRPr="002F581B">
        <w:rPr>
          <w:lang w:val="en-US"/>
        </w:rPr>
        <w:t>2016 ;</w:t>
      </w:r>
      <w:proofErr w:type="gramEnd"/>
      <w:r w:rsidRPr="002F581B">
        <w:rPr>
          <w:lang w:val="en-US"/>
        </w:rPr>
        <w:t xml:space="preserve"> vol. 14, nº 11, e04609</w:t>
      </w:r>
      <w:r w:rsidR="00B478B1" w:rsidRPr="002F581B">
        <w:rPr>
          <w:lang w:val="en-US"/>
        </w:rPr>
        <w:t xml:space="preserve"> (2016b). </w:t>
      </w:r>
      <w:r w:rsidR="00B478B1" w:rsidRPr="00C36B84">
        <w:rPr>
          <w:lang w:val="fr-FR"/>
        </w:rPr>
        <w:t>Disponible à l</w:t>
      </w:r>
      <w:r w:rsidR="00263978" w:rsidRPr="00C36B84">
        <w:rPr>
          <w:lang w:val="fr-FR"/>
        </w:rPr>
        <w:t>’</w:t>
      </w:r>
      <w:r w:rsidR="00B478B1" w:rsidRPr="00C36B84">
        <w:rPr>
          <w:lang w:val="fr-FR"/>
        </w:rPr>
        <w:t>adresse</w:t>
      </w:r>
      <w:r w:rsidRPr="00C36B84">
        <w:rPr>
          <w:lang w:val="fr-FR"/>
        </w:rPr>
        <w:t xml:space="preserve"> </w:t>
      </w:r>
      <w:hyperlink r:id="rId12" w:history="1">
        <w:r w:rsidRPr="00C36B84">
          <w:rPr>
            <w:lang w:val="fr-FR"/>
          </w:rPr>
          <w:t>https://doi.org/10.2903/j.efsa.2016.4609</w:t>
        </w:r>
      </w:hyperlink>
      <w:r w:rsidR="000119B0" w:rsidRPr="00C36B84">
        <w:rPr>
          <w:lang w:val="fr-FR"/>
        </w:rPr>
        <w:t>.</w:t>
      </w:r>
    </w:p>
    <w:p w14:paraId="659A8A8F" w14:textId="32D9D0F2" w:rsidR="00F23195" w:rsidRPr="00C36B84" w:rsidRDefault="0070418B" w:rsidP="00AD11DC">
      <w:pPr>
        <w:pStyle w:val="Normalnumber"/>
        <w:numPr>
          <w:ilvl w:val="0"/>
          <w:numId w:val="7"/>
        </w:numPr>
        <w:rPr>
          <w:lang w:val="fr-FR"/>
        </w:rPr>
      </w:pPr>
      <w:r w:rsidRPr="00C36B84">
        <w:rPr>
          <w:lang w:val="fr-FR"/>
        </w:rPr>
        <w:t>Dans la documentation à l</w:t>
      </w:r>
      <w:r w:rsidR="00263978" w:rsidRPr="00C36B84">
        <w:rPr>
          <w:lang w:val="fr-FR"/>
        </w:rPr>
        <w:t>’</w:t>
      </w:r>
      <w:r w:rsidRPr="00C36B84">
        <w:rPr>
          <w:lang w:val="fr-FR"/>
        </w:rPr>
        <w:t>appui (EFSA, 2016</w:t>
      </w:r>
      <w:r w:rsidR="00B478B1" w:rsidRPr="00C36B84">
        <w:rPr>
          <w:lang w:val="fr-FR"/>
        </w:rPr>
        <w:t>a</w:t>
      </w:r>
      <w:r w:rsidRPr="00C36B84">
        <w:rPr>
          <w:lang w:val="fr-FR"/>
        </w:rPr>
        <w:t>), il est indiqué que l</w:t>
      </w:r>
      <w:r w:rsidR="00263978" w:rsidRPr="00C36B84">
        <w:rPr>
          <w:lang w:val="fr-FR"/>
        </w:rPr>
        <w:t>’</w:t>
      </w:r>
      <w:r w:rsidRPr="00C36B84">
        <w:rPr>
          <w:lang w:val="fr-FR"/>
        </w:rPr>
        <w:t>EFSA a organisé une</w:t>
      </w:r>
      <w:r w:rsidR="000119B0" w:rsidRPr="00C36B84">
        <w:rPr>
          <w:lang w:val="fr-FR"/>
        </w:rPr>
        <w:t> </w:t>
      </w:r>
      <w:r w:rsidRPr="00C36B84">
        <w:rPr>
          <w:lang w:val="fr-FR"/>
        </w:rPr>
        <w:t>consultation d</w:t>
      </w:r>
      <w:r w:rsidR="00263978" w:rsidRPr="00C36B84">
        <w:rPr>
          <w:lang w:val="fr-FR"/>
        </w:rPr>
        <w:t>’</w:t>
      </w:r>
      <w:r w:rsidRPr="00C36B84">
        <w:rPr>
          <w:lang w:val="fr-FR"/>
        </w:rPr>
        <w:t>experts techniques des États membres de l</w:t>
      </w:r>
      <w:r w:rsidR="00263978" w:rsidRPr="00C36B84">
        <w:rPr>
          <w:lang w:val="fr-FR"/>
        </w:rPr>
        <w:t>’</w:t>
      </w:r>
      <w:r w:rsidRPr="00C36B84">
        <w:rPr>
          <w:lang w:val="fr-FR"/>
        </w:rPr>
        <w:t>Union européenne, afin d</w:t>
      </w:r>
      <w:r w:rsidR="00263978" w:rsidRPr="00C36B84">
        <w:rPr>
          <w:lang w:val="fr-FR"/>
        </w:rPr>
        <w:t>’</w:t>
      </w:r>
      <w:r w:rsidRPr="00C36B84">
        <w:rPr>
          <w:lang w:val="fr-FR"/>
        </w:rPr>
        <w:t>examiner le</w:t>
      </w:r>
      <w:r w:rsidR="000119B0" w:rsidRPr="00C36B84">
        <w:rPr>
          <w:lang w:val="fr-FR"/>
        </w:rPr>
        <w:t> </w:t>
      </w:r>
      <w:r w:rsidRPr="00C36B84">
        <w:rPr>
          <w:lang w:val="fr-FR"/>
        </w:rPr>
        <w:t>rapport d</w:t>
      </w:r>
      <w:r w:rsidR="00263978" w:rsidRPr="00C36B84">
        <w:rPr>
          <w:lang w:val="fr-FR"/>
        </w:rPr>
        <w:t>’</w:t>
      </w:r>
      <w:r w:rsidRPr="00C36B84">
        <w:rPr>
          <w:lang w:val="fr-FR"/>
        </w:rPr>
        <w:t>évaluation concernant le renouvellement élaboré par un État membre et les observations reçues à ce sujet (examen par les pairs).</w:t>
      </w:r>
    </w:p>
    <w:p w14:paraId="0FDA4E2E" w14:textId="5CCF81FA" w:rsidR="0070418B" w:rsidRPr="00C36B84" w:rsidRDefault="0070418B" w:rsidP="00AD11DC">
      <w:pPr>
        <w:pStyle w:val="Normalnumber"/>
        <w:numPr>
          <w:ilvl w:val="0"/>
          <w:numId w:val="7"/>
        </w:numPr>
        <w:rPr>
          <w:lang w:val="fr-FR"/>
        </w:rPr>
      </w:pPr>
      <w:r w:rsidRPr="00C36B84">
        <w:rPr>
          <w:lang w:val="fr-FR"/>
        </w:rPr>
        <w:t>Si les conclusions ont été publiées (EFSA, 2016</w:t>
      </w:r>
      <w:r w:rsidR="00B478B1" w:rsidRPr="00C36B84">
        <w:rPr>
          <w:lang w:val="fr-FR"/>
        </w:rPr>
        <w:t>b, annexe</w:t>
      </w:r>
      <w:r w:rsidR="0091335E">
        <w:rPr>
          <w:lang w:val="fr-FR"/>
        </w:rPr>
        <w:t> </w:t>
      </w:r>
      <w:r w:rsidR="00B478B1" w:rsidRPr="00C36B84">
        <w:rPr>
          <w:lang w:val="fr-FR"/>
        </w:rPr>
        <w:t>A</w:t>
      </w:r>
      <w:r w:rsidRPr="00C36B84">
        <w:rPr>
          <w:lang w:val="fr-FR"/>
        </w:rPr>
        <w:t>), les informations contenues dans le rapport concernant le renouvellement sont, au moins en partie, fondées sur des informations confidentielles et/ou protégées en vertu des dispositions du règlement (CE) nº 1107/2009 et ne peuvent être vérifiées dans le cadre des travaux du groupe de travail. Néanmoins, compte tenu du processus décrit dans le règlement, des consultations et de l</w:t>
      </w:r>
      <w:r w:rsidR="00263978" w:rsidRPr="00C36B84">
        <w:rPr>
          <w:lang w:val="fr-FR"/>
        </w:rPr>
        <w:t>’</w:t>
      </w:r>
      <w:r w:rsidRPr="00C36B84">
        <w:rPr>
          <w:lang w:val="fr-FR"/>
        </w:rPr>
        <w:t>examen par les pairs, il peut être considéré que les</w:t>
      </w:r>
      <w:r w:rsidR="000119B0" w:rsidRPr="00C36B84">
        <w:rPr>
          <w:lang w:val="fr-FR"/>
        </w:rPr>
        <w:t> </w:t>
      </w:r>
      <w:r w:rsidRPr="00C36B84">
        <w:rPr>
          <w:lang w:val="fr-FR"/>
        </w:rPr>
        <w:t>données avaient été obtenues par des méthodes scientifiquement reconnues et qu</w:t>
      </w:r>
      <w:r w:rsidR="00263978" w:rsidRPr="00C36B84">
        <w:rPr>
          <w:lang w:val="fr-FR"/>
        </w:rPr>
        <w:t>’</w:t>
      </w:r>
      <w:r w:rsidRPr="00C36B84">
        <w:rPr>
          <w:lang w:val="fr-FR"/>
        </w:rPr>
        <w:t>elles ont été analysées et corroborées selon des principes et des procédures scientifiques largement reconnus.</w:t>
      </w:r>
    </w:p>
    <w:p w14:paraId="44F5ED23" w14:textId="43DE7D6C" w:rsidR="0070418B" w:rsidRPr="00C36B84" w:rsidRDefault="0070418B" w:rsidP="00AD11DC">
      <w:pPr>
        <w:pStyle w:val="Normalnumber"/>
        <w:numPr>
          <w:ilvl w:val="0"/>
          <w:numId w:val="7"/>
        </w:numPr>
        <w:rPr>
          <w:lang w:val="fr-FR"/>
        </w:rPr>
      </w:pPr>
      <w:r w:rsidRPr="00C36B84">
        <w:rPr>
          <w:lang w:val="fr-FR"/>
        </w:rPr>
        <w:t xml:space="preserve">Le Comité confirme </w:t>
      </w:r>
      <w:r w:rsidR="00B478B1" w:rsidRPr="00C36B84">
        <w:rPr>
          <w:lang w:val="fr-FR"/>
        </w:rPr>
        <w:t xml:space="preserve">donc </w:t>
      </w:r>
      <w:r w:rsidRPr="00C36B84">
        <w:rPr>
          <w:lang w:val="fr-FR"/>
        </w:rPr>
        <w:t>que les critères énoncés au paragraphe b), alinéas i) et ii), de</w:t>
      </w:r>
      <w:r w:rsidR="000119B0" w:rsidRPr="00C36B84">
        <w:rPr>
          <w:lang w:val="fr-FR"/>
        </w:rPr>
        <w:t> </w:t>
      </w:r>
      <w:r w:rsidRPr="00C36B84">
        <w:rPr>
          <w:lang w:val="fr-FR"/>
        </w:rPr>
        <w:t>l</w:t>
      </w:r>
      <w:r w:rsidR="00263978" w:rsidRPr="00C36B84">
        <w:rPr>
          <w:lang w:val="fr-FR"/>
        </w:rPr>
        <w:t>’</w:t>
      </w:r>
      <w:r w:rsidRPr="00C36B84">
        <w:rPr>
          <w:lang w:val="fr-FR"/>
        </w:rPr>
        <w:t>Annexe II sont remplis.</w:t>
      </w:r>
    </w:p>
    <w:p w14:paraId="29973AEC" w14:textId="3B38A23E" w:rsidR="0070418B" w:rsidRPr="00C36B84" w:rsidRDefault="000119B0" w:rsidP="000119B0">
      <w:pPr>
        <w:pStyle w:val="NormalNonumber"/>
        <w:ind w:left="2381" w:hanging="1134"/>
        <w:rPr>
          <w:i/>
        </w:rPr>
      </w:pPr>
      <w:r w:rsidRPr="00C36B84">
        <w:rPr>
          <w:i/>
        </w:rPr>
        <w:lastRenderedPageBreak/>
        <w:tab/>
      </w:r>
      <w:r w:rsidR="0070418B" w:rsidRPr="00C36B84">
        <w:rPr>
          <w:i/>
        </w:rPr>
        <w:t>iii)</w:t>
      </w:r>
      <w:r w:rsidR="0070418B" w:rsidRPr="00C36B84">
        <w:rPr>
          <w:i/>
        </w:rPr>
        <w:tab/>
        <w:t>La mesure de réglementation finale est fondée sur une évaluation des risques qui tient compte des circonstances propres à la Partie qui a pris la mesure ;</w:t>
      </w:r>
    </w:p>
    <w:p w14:paraId="29BC3618" w14:textId="6834DBBB" w:rsidR="0070418B" w:rsidRPr="00C36B84" w:rsidRDefault="0070418B" w:rsidP="00AD11DC">
      <w:pPr>
        <w:pStyle w:val="Normalnumber"/>
        <w:numPr>
          <w:ilvl w:val="0"/>
          <w:numId w:val="7"/>
        </w:numPr>
        <w:rPr>
          <w:lang w:val="fr-FR"/>
        </w:rPr>
      </w:pPr>
      <w:r w:rsidRPr="00C36B84">
        <w:rPr>
          <w:lang w:val="fr-FR"/>
        </w:rPr>
        <w:t>Les données utilisées dans l</w:t>
      </w:r>
      <w:r w:rsidR="00263978" w:rsidRPr="00C36B84">
        <w:rPr>
          <w:lang w:val="fr-FR"/>
        </w:rPr>
        <w:t>’</w:t>
      </w:r>
      <w:r w:rsidRPr="00C36B84">
        <w:rPr>
          <w:lang w:val="fr-FR"/>
        </w:rPr>
        <w:t>évaluation des risques sont considérées comme pertinentes. D</w:t>
      </w:r>
      <w:r w:rsidR="00263978" w:rsidRPr="00C36B84">
        <w:rPr>
          <w:lang w:val="fr-FR"/>
        </w:rPr>
        <w:t>’</w:t>
      </w:r>
      <w:r w:rsidRPr="00C36B84">
        <w:rPr>
          <w:lang w:val="fr-FR"/>
        </w:rPr>
        <w:t>après l</w:t>
      </w:r>
      <w:r w:rsidR="00263978" w:rsidRPr="00C36B84">
        <w:rPr>
          <w:lang w:val="fr-FR"/>
        </w:rPr>
        <w:t>’</w:t>
      </w:r>
      <w:r w:rsidRPr="00C36B84">
        <w:rPr>
          <w:lang w:val="fr-FR"/>
        </w:rPr>
        <w:t>évaluation relative à la santé humaine, les informations suivantes ont été mises en lumière :</w:t>
      </w:r>
    </w:p>
    <w:p w14:paraId="3473FFB3" w14:textId="22C99256" w:rsidR="0070418B" w:rsidRPr="00C36B84" w:rsidRDefault="0070418B" w:rsidP="00AD11DC">
      <w:pPr>
        <w:pStyle w:val="Normalnumber"/>
        <w:numPr>
          <w:ilvl w:val="1"/>
          <w:numId w:val="7"/>
        </w:numPr>
        <w:rPr>
          <w:lang w:val="fr-FR"/>
        </w:rPr>
      </w:pPr>
      <w:r w:rsidRPr="00C36B84">
        <w:rPr>
          <w:lang w:val="fr-FR"/>
        </w:rPr>
        <w:t>L</w:t>
      </w:r>
      <w:r w:rsidR="00263978" w:rsidRPr="00C36B84">
        <w:rPr>
          <w:lang w:val="fr-FR"/>
        </w:rPr>
        <w:t>’</w:t>
      </w:r>
      <w:r w:rsidRPr="00C36B84">
        <w:rPr>
          <w:lang w:val="fr-FR"/>
        </w:rPr>
        <w:t xml:space="preserve">iprodione est actuellement classé </w:t>
      </w:r>
      <w:r w:rsidR="00B478B1" w:rsidRPr="00C36B84">
        <w:rPr>
          <w:lang w:val="fr-FR"/>
        </w:rPr>
        <w:t xml:space="preserve">comme </w:t>
      </w:r>
      <w:r w:rsidRPr="00C36B84">
        <w:rPr>
          <w:lang w:val="fr-FR"/>
        </w:rPr>
        <w:t>cancérogène de la catégorie 2 d</w:t>
      </w:r>
      <w:r w:rsidR="00B478B1" w:rsidRPr="00C36B84">
        <w:rPr>
          <w:lang w:val="fr-FR"/>
        </w:rPr>
        <w:t>ans le</w:t>
      </w:r>
      <w:r w:rsidRPr="00C36B84">
        <w:rPr>
          <w:lang w:val="fr-FR"/>
        </w:rPr>
        <w:t xml:space="preserve"> Système général harmonisé de classification et d</w:t>
      </w:r>
      <w:r w:rsidR="00263978" w:rsidRPr="00C36B84">
        <w:rPr>
          <w:lang w:val="fr-FR"/>
        </w:rPr>
        <w:t>’</w:t>
      </w:r>
      <w:r w:rsidRPr="00C36B84">
        <w:rPr>
          <w:lang w:val="fr-FR"/>
        </w:rPr>
        <w:t>étiquetage des produits chimiques (SGH), conformément au règlement (CE) nº 1272/2008 du Parlement européen et du Conseil.</w:t>
      </w:r>
    </w:p>
    <w:p w14:paraId="61254CB8" w14:textId="737D1444" w:rsidR="0070418B" w:rsidRPr="00C36B84" w:rsidRDefault="0070418B" w:rsidP="00AD11DC">
      <w:pPr>
        <w:pStyle w:val="Normalnumber"/>
        <w:numPr>
          <w:ilvl w:val="1"/>
          <w:numId w:val="7"/>
        </w:numPr>
        <w:rPr>
          <w:lang w:val="fr-FR"/>
        </w:rPr>
      </w:pPr>
      <w:r w:rsidRPr="00C36B84">
        <w:rPr>
          <w:lang w:val="fr-FR"/>
        </w:rPr>
        <w:t xml:space="preserve">Compte tenu de la classification du SGH et des utilisations représentatives considérées, </w:t>
      </w:r>
      <w:r w:rsidR="00097488" w:rsidRPr="00C36B84">
        <w:rPr>
          <w:lang w:val="fr-FR"/>
        </w:rPr>
        <w:t xml:space="preserve">les taux de résidus dépassent la valeur par défaut des teneurs maximales en résidus de pesticides admissibles </w:t>
      </w:r>
      <w:r w:rsidRPr="00C36B84">
        <w:rPr>
          <w:lang w:val="fr-FR"/>
        </w:rPr>
        <w:t>dans ou sur les denrées alimentaires et les aliments pour animaux d</w:t>
      </w:r>
      <w:r w:rsidR="00263978" w:rsidRPr="00C36B84">
        <w:rPr>
          <w:lang w:val="fr-FR"/>
        </w:rPr>
        <w:t>’</w:t>
      </w:r>
      <w:r w:rsidRPr="00C36B84">
        <w:rPr>
          <w:lang w:val="fr-FR"/>
        </w:rPr>
        <w:t>origine végétale et</w:t>
      </w:r>
      <w:r w:rsidR="00C36B84" w:rsidRPr="00C36B84">
        <w:rPr>
          <w:lang w:val="fr-FR"/>
        </w:rPr>
        <w:t> </w:t>
      </w:r>
      <w:r w:rsidRPr="00C36B84">
        <w:rPr>
          <w:lang w:val="fr-FR"/>
        </w:rPr>
        <w:t>animale ;</w:t>
      </w:r>
    </w:p>
    <w:p w14:paraId="6EFD0EC0" w14:textId="50BAE4ED" w:rsidR="0070418B" w:rsidRPr="00C36B84" w:rsidRDefault="00097488" w:rsidP="00AD11DC">
      <w:pPr>
        <w:pStyle w:val="Normalnumber"/>
        <w:numPr>
          <w:ilvl w:val="1"/>
          <w:numId w:val="7"/>
        </w:numPr>
        <w:rPr>
          <w:lang w:val="fr-FR"/>
        </w:rPr>
      </w:pPr>
      <w:r w:rsidRPr="00C36B84">
        <w:rPr>
          <w:lang w:val="fr-FR"/>
        </w:rPr>
        <w:t>Il existe d</w:t>
      </w:r>
      <w:r w:rsidR="0070418B" w:rsidRPr="00C36B84">
        <w:rPr>
          <w:lang w:val="fr-FR"/>
        </w:rPr>
        <w:t>es risques aigus pour les consommateurs qui ne peuvent être exclus</w:t>
      </w:r>
      <w:r w:rsidRPr="00C36B84">
        <w:rPr>
          <w:lang w:val="fr-FR"/>
        </w:rPr>
        <w:t>,</w:t>
      </w:r>
      <w:r w:rsidR="0070418B" w:rsidRPr="00C36B84">
        <w:rPr>
          <w:lang w:val="fr-FR"/>
        </w:rPr>
        <w:t xml:space="preserve"> </w:t>
      </w:r>
      <w:r w:rsidRPr="00C36B84">
        <w:rPr>
          <w:lang w:val="fr-FR"/>
        </w:rPr>
        <w:t xml:space="preserve">selon </w:t>
      </w:r>
      <w:r w:rsidR="0070418B" w:rsidRPr="00C36B84">
        <w:rPr>
          <w:lang w:val="fr-FR"/>
        </w:rPr>
        <w:t>une évaluation préliminaire des risques.</w:t>
      </w:r>
    </w:p>
    <w:p w14:paraId="7D2BC8C4" w14:textId="534A8A52" w:rsidR="0070418B" w:rsidRPr="00C36B84" w:rsidRDefault="0070418B" w:rsidP="00AD11DC">
      <w:pPr>
        <w:pStyle w:val="Normalnumber"/>
        <w:numPr>
          <w:ilvl w:val="0"/>
          <w:numId w:val="7"/>
        </w:numPr>
        <w:rPr>
          <w:lang w:val="fr-FR"/>
        </w:rPr>
      </w:pPr>
      <w:r w:rsidRPr="00C36B84">
        <w:rPr>
          <w:lang w:val="fr-FR"/>
        </w:rPr>
        <w:t>D</w:t>
      </w:r>
      <w:r w:rsidR="00263978" w:rsidRPr="00C36B84">
        <w:rPr>
          <w:lang w:val="fr-FR"/>
        </w:rPr>
        <w:t>’</w:t>
      </w:r>
      <w:r w:rsidRPr="00C36B84">
        <w:rPr>
          <w:lang w:val="fr-FR"/>
        </w:rPr>
        <w:t>après l</w:t>
      </w:r>
      <w:r w:rsidR="00263978" w:rsidRPr="00C36B84">
        <w:rPr>
          <w:lang w:val="fr-FR"/>
        </w:rPr>
        <w:t>’</w:t>
      </w:r>
      <w:r w:rsidRPr="00C36B84">
        <w:rPr>
          <w:lang w:val="fr-FR"/>
        </w:rPr>
        <w:t>évaluation relative à l</w:t>
      </w:r>
      <w:r w:rsidR="00263978" w:rsidRPr="00C36B84">
        <w:rPr>
          <w:lang w:val="fr-FR"/>
        </w:rPr>
        <w:t>’</w:t>
      </w:r>
      <w:r w:rsidRPr="00C36B84">
        <w:rPr>
          <w:lang w:val="fr-FR"/>
        </w:rPr>
        <w:t>environnement, les informations suivantes ont été mises en</w:t>
      </w:r>
      <w:r w:rsidR="00C36B84" w:rsidRPr="00C36B84">
        <w:rPr>
          <w:lang w:val="fr-FR"/>
        </w:rPr>
        <w:t> </w:t>
      </w:r>
      <w:r w:rsidRPr="00C36B84">
        <w:rPr>
          <w:lang w:val="fr-FR"/>
        </w:rPr>
        <w:t xml:space="preserve">lumière : </w:t>
      </w:r>
      <w:r w:rsidR="009E7747" w:rsidRPr="00C36B84">
        <w:rPr>
          <w:lang w:val="fr-FR"/>
        </w:rPr>
        <w:t>l</w:t>
      </w:r>
      <w:r w:rsidR="00263978" w:rsidRPr="00C36B84">
        <w:rPr>
          <w:lang w:val="fr-FR"/>
        </w:rPr>
        <w:t>’</w:t>
      </w:r>
      <w:r w:rsidR="009E7747" w:rsidRPr="00C36B84">
        <w:rPr>
          <w:lang w:val="fr-FR"/>
        </w:rPr>
        <w:t>iprodione présente d</w:t>
      </w:r>
      <w:r w:rsidRPr="00C36B84">
        <w:rPr>
          <w:lang w:val="fr-FR"/>
        </w:rPr>
        <w:t>es risques élevés à long terme pour les organismes aquatiques.</w:t>
      </w:r>
    </w:p>
    <w:p w14:paraId="13C2127F" w14:textId="2DA0A3C3" w:rsidR="0070418B" w:rsidRPr="00C36B84" w:rsidRDefault="0070418B" w:rsidP="00AD11DC">
      <w:pPr>
        <w:pStyle w:val="Normalnumber"/>
        <w:numPr>
          <w:ilvl w:val="0"/>
          <w:numId w:val="7"/>
        </w:numPr>
        <w:rPr>
          <w:lang w:val="fr-FR"/>
        </w:rPr>
      </w:pPr>
      <w:r w:rsidRPr="00C36B84">
        <w:rPr>
          <w:lang w:val="fr-FR"/>
        </w:rPr>
        <w:t>En conséquence, le Comité confirme que le critère énoncé au paragraphe b), alinéa iii), de l</w:t>
      </w:r>
      <w:r w:rsidR="00263978" w:rsidRPr="00C36B84">
        <w:rPr>
          <w:lang w:val="fr-FR"/>
        </w:rPr>
        <w:t>’</w:t>
      </w:r>
      <w:r w:rsidRPr="00C36B84">
        <w:rPr>
          <w:lang w:val="fr-FR"/>
        </w:rPr>
        <w:t>Annexe II est rempli.</w:t>
      </w:r>
    </w:p>
    <w:p w14:paraId="174C5F64" w14:textId="3D4B0FA5" w:rsidR="0070418B" w:rsidRPr="00C36B84" w:rsidRDefault="0070418B" w:rsidP="00AD11DC">
      <w:pPr>
        <w:pStyle w:val="Normalnumber"/>
        <w:numPr>
          <w:ilvl w:val="0"/>
          <w:numId w:val="7"/>
        </w:numPr>
        <w:rPr>
          <w:lang w:val="fr-FR"/>
        </w:rPr>
      </w:pPr>
      <w:r w:rsidRPr="00C36B84">
        <w:rPr>
          <w:lang w:val="fr-FR"/>
        </w:rPr>
        <w:t>Le Comité confirme que les critères énoncés au paragraphe b) de l</w:t>
      </w:r>
      <w:r w:rsidR="00263978" w:rsidRPr="00C36B84">
        <w:rPr>
          <w:lang w:val="fr-FR"/>
        </w:rPr>
        <w:t>’</w:t>
      </w:r>
      <w:r w:rsidRPr="00C36B84">
        <w:rPr>
          <w:lang w:val="fr-FR"/>
        </w:rPr>
        <w:t>Annexe II sont remplis.</w:t>
      </w:r>
    </w:p>
    <w:p w14:paraId="67F43D37" w14:textId="48B020CA" w:rsidR="0070418B" w:rsidRPr="00C36B84" w:rsidRDefault="0070418B" w:rsidP="00955908">
      <w:pPr>
        <w:pStyle w:val="CH3"/>
        <w:snapToGrid w:val="0"/>
        <w:rPr>
          <w:snapToGrid w:val="0"/>
        </w:rPr>
      </w:pPr>
      <w:r w:rsidRPr="00C36B84">
        <w:rPr>
          <w:snapToGrid w:val="0"/>
        </w:rPr>
        <w:tab/>
        <w:t>d)</w:t>
      </w:r>
      <w:r w:rsidRPr="00C36B84">
        <w:rPr>
          <w:snapToGrid w:val="0"/>
        </w:rPr>
        <w:tab/>
        <w:t>Critères énoncés au paragraphe c) de l</w:t>
      </w:r>
      <w:r w:rsidR="00263978" w:rsidRPr="00C36B84">
        <w:rPr>
          <w:snapToGrid w:val="0"/>
        </w:rPr>
        <w:t>’</w:t>
      </w:r>
      <w:r w:rsidRPr="00C36B84">
        <w:rPr>
          <w:snapToGrid w:val="0"/>
        </w:rPr>
        <w:t>Annexe II</w:t>
      </w:r>
    </w:p>
    <w:p w14:paraId="1FDD6889" w14:textId="06B4FBAB" w:rsidR="0070418B" w:rsidRPr="00C36B84" w:rsidRDefault="000119B0" w:rsidP="000119B0">
      <w:pPr>
        <w:pStyle w:val="NormalNonumber"/>
        <w:rPr>
          <w:i/>
        </w:rPr>
      </w:pPr>
      <w:r w:rsidRPr="00C36B84">
        <w:rPr>
          <w:i/>
        </w:rPr>
        <w:tab/>
      </w:r>
      <w:r w:rsidR="0070418B" w:rsidRPr="00C36B84">
        <w:rPr>
          <w:i/>
        </w:rPr>
        <w:t>c)</w:t>
      </w:r>
      <w:r w:rsidR="0070418B" w:rsidRPr="00C36B84">
        <w:rPr>
          <w:i/>
        </w:rPr>
        <w:tab/>
        <w:t>Détermine si la mesure de réglementation finale fournit une base suffisante pour justifier l</w:t>
      </w:r>
      <w:r w:rsidR="00263978" w:rsidRPr="00C36B84">
        <w:rPr>
          <w:i/>
        </w:rPr>
        <w:t>’</w:t>
      </w:r>
      <w:r w:rsidR="0070418B" w:rsidRPr="00C36B84">
        <w:rPr>
          <w:i/>
        </w:rPr>
        <w:t>inscription du produit chimique considéré à l</w:t>
      </w:r>
      <w:r w:rsidR="00263978" w:rsidRPr="00C36B84">
        <w:rPr>
          <w:i/>
        </w:rPr>
        <w:t>’</w:t>
      </w:r>
      <w:r w:rsidR="0070418B" w:rsidRPr="00C36B84">
        <w:rPr>
          <w:i/>
        </w:rPr>
        <w:t>Annexe III</w:t>
      </w:r>
      <w:r w:rsidR="004C5942" w:rsidRPr="00C36B84">
        <w:rPr>
          <w:i/>
        </w:rPr>
        <w:t>, compte tenu</w:t>
      </w:r>
      <w:r w:rsidR="0070418B" w:rsidRPr="00C36B84">
        <w:rPr>
          <w:i/>
        </w:rPr>
        <w:t xml:space="preserve"> des éléments suivants :</w:t>
      </w:r>
    </w:p>
    <w:p w14:paraId="0C00056C" w14:textId="495BFEF9" w:rsidR="0070418B" w:rsidRPr="00C36B84" w:rsidRDefault="000119B0" w:rsidP="000119B0">
      <w:pPr>
        <w:pStyle w:val="NormalNonumber"/>
        <w:ind w:left="2381" w:hanging="1134"/>
        <w:rPr>
          <w:i/>
        </w:rPr>
      </w:pPr>
      <w:r w:rsidRPr="00C36B84">
        <w:rPr>
          <w:i/>
        </w:rPr>
        <w:tab/>
      </w:r>
      <w:r w:rsidR="0070418B" w:rsidRPr="00C36B84">
        <w:rPr>
          <w:i/>
        </w:rPr>
        <w:t>i)</w:t>
      </w:r>
      <w:r w:rsidR="0070418B" w:rsidRPr="00C36B84">
        <w:rPr>
          <w:i/>
        </w:rPr>
        <w:tab/>
        <w:t>La mesure de réglementation finale a-t-elle entraîné, ou devrait-elle entraîner, une</w:t>
      </w:r>
      <w:r w:rsidRPr="00C36B84">
        <w:rPr>
          <w:i/>
        </w:rPr>
        <w:t> </w:t>
      </w:r>
      <w:r w:rsidR="0070418B" w:rsidRPr="00C36B84">
        <w:rPr>
          <w:i/>
        </w:rPr>
        <w:t>diminution sensible de la consommation du produit chimique ou du nombre de ses</w:t>
      </w:r>
      <w:r w:rsidRPr="00C36B84">
        <w:rPr>
          <w:i/>
        </w:rPr>
        <w:t> </w:t>
      </w:r>
      <w:r w:rsidR="0070418B" w:rsidRPr="00C36B84">
        <w:rPr>
          <w:i/>
        </w:rPr>
        <w:t>emplois ?</w:t>
      </w:r>
    </w:p>
    <w:p w14:paraId="77DCB5CE" w14:textId="4905898F" w:rsidR="0070418B" w:rsidRPr="00C36B84" w:rsidRDefault="0070418B" w:rsidP="00AD11DC">
      <w:pPr>
        <w:pStyle w:val="Normalnumber"/>
        <w:numPr>
          <w:ilvl w:val="0"/>
          <w:numId w:val="7"/>
        </w:numPr>
        <w:rPr>
          <w:lang w:val="fr-FR"/>
        </w:rPr>
      </w:pPr>
      <w:r w:rsidRPr="00C36B84">
        <w:rPr>
          <w:lang w:val="fr-FR"/>
        </w:rPr>
        <w:t>Avant l</w:t>
      </w:r>
      <w:r w:rsidR="00263978" w:rsidRPr="00C36B84">
        <w:rPr>
          <w:lang w:val="fr-FR"/>
        </w:rPr>
        <w:t>’</w:t>
      </w:r>
      <w:r w:rsidRPr="00C36B84">
        <w:rPr>
          <w:lang w:val="fr-FR"/>
        </w:rPr>
        <w:t>entrée en vigueur de la mesure de réglementation finale, l</w:t>
      </w:r>
      <w:r w:rsidR="00263978" w:rsidRPr="00C36B84">
        <w:rPr>
          <w:lang w:val="fr-FR"/>
        </w:rPr>
        <w:t>’</w:t>
      </w:r>
      <w:r w:rsidRPr="00C36B84">
        <w:rPr>
          <w:lang w:val="fr-FR"/>
        </w:rPr>
        <w:t>iprodione était homologué en tant que fongicide (UNEP/FAO/RC/CRC.17/5, section</w:t>
      </w:r>
      <w:r w:rsidR="0091335E">
        <w:rPr>
          <w:lang w:val="fr-FR"/>
        </w:rPr>
        <w:t> </w:t>
      </w:r>
      <w:r w:rsidRPr="00C36B84">
        <w:rPr>
          <w:lang w:val="fr-FR"/>
        </w:rPr>
        <w:t xml:space="preserve">2.3.1 de la </w:t>
      </w:r>
      <w:r w:rsidR="009A49D0" w:rsidRPr="00C36B84">
        <w:rPr>
          <w:lang w:val="fr-FR"/>
        </w:rPr>
        <w:t>notification reçue d</w:t>
      </w:r>
      <w:r w:rsidRPr="00C36B84">
        <w:rPr>
          <w:lang w:val="fr-FR"/>
        </w:rPr>
        <w:t>e l</w:t>
      </w:r>
      <w:r w:rsidR="00263978" w:rsidRPr="00C36B84">
        <w:rPr>
          <w:lang w:val="fr-FR"/>
        </w:rPr>
        <w:t>’</w:t>
      </w:r>
      <w:r w:rsidRPr="00C36B84">
        <w:rPr>
          <w:lang w:val="fr-FR"/>
        </w:rPr>
        <w:t>Union européenne). Selon la documentation à l</w:t>
      </w:r>
      <w:r w:rsidR="00263978" w:rsidRPr="00C36B84">
        <w:rPr>
          <w:lang w:val="fr-FR"/>
        </w:rPr>
        <w:t>’</w:t>
      </w:r>
      <w:r w:rsidRPr="00C36B84">
        <w:rPr>
          <w:lang w:val="fr-FR"/>
        </w:rPr>
        <w:t>appui, en 2003, en vertu de la directive 2003/31/CE de la</w:t>
      </w:r>
      <w:r w:rsidR="000119B0" w:rsidRPr="00C36B84">
        <w:rPr>
          <w:lang w:val="fr-FR"/>
        </w:rPr>
        <w:t> </w:t>
      </w:r>
      <w:r w:rsidRPr="00C36B84">
        <w:rPr>
          <w:lang w:val="fr-FR"/>
        </w:rPr>
        <w:t xml:space="preserve">Commission, </w:t>
      </w:r>
      <w:r w:rsidR="009E7747" w:rsidRPr="00C36B84">
        <w:rPr>
          <w:lang w:val="fr-FR"/>
        </w:rPr>
        <w:t>il</w:t>
      </w:r>
      <w:r w:rsidRPr="00C36B84">
        <w:rPr>
          <w:lang w:val="fr-FR"/>
        </w:rPr>
        <w:t xml:space="preserve"> a été inscrit à l</w:t>
      </w:r>
      <w:r w:rsidR="00263978" w:rsidRPr="00C36B84">
        <w:rPr>
          <w:lang w:val="fr-FR"/>
        </w:rPr>
        <w:t>’</w:t>
      </w:r>
      <w:r w:rsidRPr="00C36B84">
        <w:rPr>
          <w:lang w:val="fr-FR"/>
        </w:rPr>
        <w:t>annexe I de la directive 91/414/CEE du Conseil concernant la mise sur le marché des produits phytopharmaceutiques. Cette approbation a expiré en décembre 2013. Une</w:t>
      </w:r>
      <w:r w:rsidR="000119B0" w:rsidRPr="00C36B84">
        <w:rPr>
          <w:lang w:val="fr-FR"/>
        </w:rPr>
        <w:t> </w:t>
      </w:r>
      <w:r w:rsidR="003401DB" w:rsidRPr="00C36B84">
        <w:rPr>
          <w:lang w:val="fr-FR"/>
        </w:rPr>
        <w:t>prépar</w:t>
      </w:r>
      <w:r w:rsidRPr="00C36B84">
        <w:rPr>
          <w:lang w:val="fr-FR"/>
        </w:rPr>
        <w:t>ation pesticide était homologuée dans l</w:t>
      </w:r>
      <w:r w:rsidR="00263978" w:rsidRPr="00C36B84">
        <w:rPr>
          <w:lang w:val="fr-FR"/>
        </w:rPr>
        <w:t>’</w:t>
      </w:r>
      <w:r w:rsidRPr="00C36B84">
        <w:rPr>
          <w:lang w:val="fr-FR"/>
        </w:rPr>
        <w:t xml:space="preserve">Union européenne, à savoir </w:t>
      </w:r>
      <w:proofErr w:type="spellStart"/>
      <w:r w:rsidRPr="00C36B84">
        <w:rPr>
          <w:lang w:val="fr-FR"/>
        </w:rPr>
        <w:t>Rovral</w:t>
      </w:r>
      <w:proofErr w:type="spellEnd"/>
      <w:r w:rsidRPr="00C36B84">
        <w:rPr>
          <w:lang w:val="fr-FR"/>
        </w:rPr>
        <w:t xml:space="preserve"> WG (BAS 610 06 F) (UNEP/FAO/RC/CRC.17/5, sections</w:t>
      </w:r>
      <w:r w:rsidR="000119B0" w:rsidRPr="00C36B84">
        <w:rPr>
          <w:lang w:val="fr-FR"/>
        </w:rPr>
        <w:t> </w:t>
      </w:r>
      <w:r w:rsidRPr="00C36B84">
        <w:rPr>
          <w:lang w:val="fr-FR"/>
        </w:rPr>
        <w:t xml:space="preserve">1.3 et 2.4.2.1 de la </w:t>
      </w:r>
      <w:r w:rsidR="009A49D0" w:rsidRPr="00C36B84">
        <w:rPr>
          <w:lang w:val="fr-FR"/>
        </w:rPr>
        <w:t>notification reçue d</w:t>
      </w:r>
      <w:r w:rsidRPr="00C36B84">
        <w:rPr>
          <w:lang w:val="fr-FR"/>
        </w:rPr>
        <w:t>e l</w:t>
      </w:r>
      <w:r w:rsidR="00263978" w:rsidRPr="00C36B84">
        <w:rPr>
          <w:lang w:val="fr-FR"/>
        </w:rPr>
        <w:t>’</w:t>
      </w:r>
      <w:r w:rsidRPr="00C36B84">
        <w:rPr>
          <w:lang w:val="fr-FR"/>
        </w:rPr>
        <w:t>Union</w:t>
      </w:r>
      <w:r w:rsidR="000119B0" w:rsidRPr="00C36B84">
        <w:rPr>
          <w:lang w:val="fr-FR"/>
        </w:rPr>
        <w:t> </w:t>
      </w:r>
      <w:r w:rsidRPr="00C36B84">
        <w:rPr>
          <w:lang w:val="fr-FR"/>
        </w:rPr>
        <w:t>européenne).</w:t>
      </w:r>
    </w:p>
    <w:p w14:paraId="69379B2A" w14:textId="7513E2E7" w:rsidR="0070418B" w:rsidRPr="00C36B84" w:rsidRDefault="0070418B" w:rsidP="00AD11DC">
      <w:pPr>
        <w:pStyle w:val="Normalnumber"/>
        <w:numPr>
          <w:ilvl w:val="0"/>
          <w:numId w:val="7"/>
        </w:numPr>
        <w:rPr>
          <w:lang w:val="fr-FR"/>
        </w:rPr>
      </w:pPr>
      <w:r w:rsidRPr="00C36B84">
        <w:rPr>
          <w:lang w:val="fr-FR"/>
        </w:rPr>
        <w:t>La mesure de réglementation finale interdit toutes les utilisations de l</w:t>
      </w:r>
      <w:r w:rsidR="00263978" w:rsidRPr="00C36B84">
        <w:rPr>
          <w:lang w:val="fr-FR"/>
        </w:rPr>
        <w:t>’</w:t>
      </w:r>
      <w:r w:rsidRPr="00C36B84">
        <w:rPr>
          <w:lang w:val="fr-FR"/>
        </w:rPr>
        <w:t>iprodione en tant que produit phytosanitaire dans l</w:t>
      </w:r>
      <w:r w:rsidR="00263978" w:rsidRPr="00C36B84">
        <w:rPr>
          <w:lang w:val="fr-FR"/>
        </w:rPr>
        <w:t>’</w:t>
      </w:r>
      <w:r w:rsidRPr="00C36B84">
        <w:rPr>
          <w:lang w:val="fr-FR"/>
        </w:rPr>
        <w:t>Union européenne.</w:t>
      </w:r>
    </w:p>
    <w:p w14:paraId="61E855F9" w14:textId="41E09874" w:rsidR="00F23195"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 est</w:t>
      </w:r>
      <w:r w:rsidR="000119B0" w:rsidRPr="00C36B84">
        <w:rPr>
          <w:lang w:val="fr-FR"/>
        </w:rPr>
        <w:t> </w:t>
      </w:r>
      <w:r w:rsidRPr="00C36B84">
        <w:rPr>
          <w:lang w:val="fr-FR"/>
        </w:rPr>
        <w:t>rempli.</w:t>
      </w:r>
    </w:p>
    <w:p w14:paraId="1D437393" w14:textId="48F5FE23" w:rsidR="0070418B" w:rsidRPr="00C36B84" w:rsidRDefault="00C0139F" w:rsidP="00C0139F">
      <w:pPr>
        <w:pStyle w:val="NormalNonumber"/>
        <w:ind w:left="2381" w:hanging="1134"/>
        <w:rPr>
          <w:i/>
        </w:rPr>
      </w:pPr>
      <w:r w:rsidRPr="00C36B84">
        <w:rPr>
          <w:i/>
        </w:rPr>
        <w:tab/>
      </w:r>
      <w:r w:rsidR="0070418B" w:rsidRPr="00C36B84">
        <w:rPr>
          <w:i/>
        </w:rPr>
        <w:t>ii)</w:t>
      </w:r>
      <w:r w:rsidR="0070418B" w:rsidRPr="00C36B84">
        <w:rPr>
          <w:i/>
        </w:rPr>
        <w:tab/>
        <w:t>La mesure de réglementation finale s</w:t>
      </w:r>
      <w:r w:rsidR="00263978" w:rsidRPr="00C36B84">
        <w:rPr>
          <w:i/>
        </w:rPr>
        <w:t>’</w:t>
      </w:r>
      <w:r w:rsidR="0070418B" w:rsidRPr="00C36B84">
        <w:rPr>
          <w:i/>
        </w:rPr>
        <w:t>est-elle effectivement traduite par une diminution des risques, ou devrait-elle entraîner une diminution importante des risques, pour la</w:t>
      </w:r>
      <w:r w:rsidRPr="00C36B84">
        <w:rPr>
          <w:i/>
        </w:rPr>
        <w:t> </w:t>
      </w:r>
      <w:r w:rsidR="0070418B" w:rsidRPr="00C36B84">
        <w:rPr>
          <w:i/>
        </w:rPr>
        <w:t>santé des personnes ou l</w:t>
      </w:r>
      <w:r w:rsidR="00263978" w:rsidRPr="00C36B84">
        <w:rPr>
          <w:i/>
        </w:rPr>
        <w:t>’</w:t>
      </w:r>
      <w:r w:rsidR="0070418B" w:rsidRPr="00C36B84">
        <w:rPr>
          <w:i/>
        </w:rPr>
        <w:t>environnement dans la Partie qui a soumis la notification ?</w:t>
      </w:r>
    </w:p>
    <w:p w14:paraId="4522B5F2" w14:textId="2BE5E55F" w:rsidR="00F23195" w:rsidRPr="00C36B84" w:rsidRDefault="0070418B" w:rsidP="00AD11DC">
      <w:pPr>
        <w:pStyle w:val="Normalnumber"/>
        <w:numPr>
          <w:ilvl w:val="0"/>
          <w:numId w:val="7"/>
        </w:numPr>
        <w:rPr>
          <w:lang w:val="fr-FR"/>
        </w:rPr>
      </w:pPr>
      <w:r w:rsidRPr="00C36B84">
        <w:rPr>
          <w:lang w:val="fr-FR"/>
        </w:rPr>
        <w:t>Selon la notification, le résultat attendu de la mesure de réglementation finale est la réduction des risques pour la santé humaine et pour l</w:t>
      </w:r>
      <w:r w:rsidR="00263978" w:rsidRPr="00C36B84">
        <w:rPr>
          <w:lang w:val="fr-FR"/>
        </w:rPr>
        <w:t>’</w:t>
      </w:r>
      <w:r w:rsidRPr="00C36B84">
        <w:rPr>
          <w:lang w:val="fr-FR"/>
        </w:rPr>
        <w:t>environnement liés à l</w:t>
      </w:r>
      <w:r w:rsidR="00263978" w:rsidRPr="00C36B84">
        <w:rPr>
          <w:lang w:val="fr-FR"/>
        </w:rPr>
        <w:t>’</w:t>
      </w:r>
      <w:r w:rsidRPr="00C36B84">
        <w:rPr>
          <w:lang w:val="fr-FR"/>
        </w:rPr>
        <w:t>utilisation de produits phytosanitaires contenant de l</w:t>
      </w:r>
      <w:r w:rsidR="00263978" w:rsidRPr="00C36B84">
        <w:rPr>
          <w:lang w:val="fr-FR"/>
        </w:rPr>
        <w:t>’</w:t>
      </w:r>
      <w:r w:rsidRPr="00C36B84">
        <w:rPr>
          <w:lang w:val="fr-FR"/>
        </w:rPr>
        <w:t>iprodione (UNEP/FAO/RC/CRC.17/5, sections</w:t>
      </w:r>
      <w:r w:rsidR="00C0139F" w:rsidRPr="00C36B84">
        <w:rPr>
          <w:lang w:val="fr-FR"/>
        </w:rPr>
        <w:t> </w:t>
      </w:r>
      <w:r w:rsidRPr="00C36B84">
        <w:rPr>
          <w:lang w:val="fr-FR"/>
        </w:rPr>
        <w:t>2.4.2.1 et 2.4.2.2 de la</w:t>
      </w:r>
      <w:r w:rsidR="00C0139F" w:rsidRPr="00C36B84">
        <w:rPr>
          <w:lang w:val="fr-FR"/>
        </w:rPr>
        <w:t> </w:t>
      </w:r>
      <w:r w:rsidR="009A49D0" w:rsidRPr="00C36B84">
        <w:rPr>
          <w:lang w:val="fr-FR"/>
        </w:rPr>
        <w:t>notification reçue d</w:t>
      </w:r>
      <w:r w:rsidRPr="00C36B84">
        <w:rPr>
          <w:lang w:val="fr-FR"/>
        </w:rPr>
        <w:t>e l</w:t>
      </w:r>
      <w:r w:rsidR="00263978" w:rsidRPr="00C36B84">
        <w:rPr>
          <w:lang w:val="fr-FR"/>
        </w:rPr>
        <w:t>’</w:t>
      </w:r>
      <w:r w:rsidRPr="00C36B84">
        <w:rPr>
          <w:lang w:val="fr-FR"/>
        </w:rPr>
        <w:t>Union européenne).</w:t>
      </w:r>
    </w:p>
    <w:p w14:paraId="3623EE49" w14:textId="01C4E78A" w:rsidR="0070418B" w:rsidRPr="00C36B84" w:rsidRDefault="0070418B" w:rsidP="00AD11DC">
      <w:pPr>
        <w:pStyle w:val="Normalnumber"/>
        <w:numPr>
          <w:ilvl w:val="0"/>
          <w:numId w:val="7"/>
        </w:numPr>
        <w:rPr>
          <w:lang w:val="fr-FR"/>
        </w:rPr>
      </w:pPr>
      <w:r w:rsidRPr="00C36B84">
        <w:rPr>
          <w:lang w:val="fr-FR"/>
        </w:rPr>
        <w:t>Les préoccupations relatives à l</w:t>
      </w:r>
      <w:r w:rsidR="00263978" w:rsidRPr="00C36B84">
        <w:rPr>
          <w:lang w:val="fr-FR"/>
        </w:rPr>
        <w:t>’</w:t>
      </w:r>
      <w:r w:rsidRPr="00C36B84">
        <w:rPr>
          <w:lang w:val="fr-FR"/>
        </w:rPr>
        <w:t>utilisation de l</w:t>
      </w:r>
      <w:r w:rsidR="00263978" w:rsidRPr="00C36B84">
        <w:rPr>
          <w:lang w:val="fr-FR"/>
        </w:rPr>
        <w:t>’</w:t>
      </w:r>
      <w:r w:rsidRPr="00C36B84">
        <w:rPr>
          <w:lang w:val="fr-FR"/>
        </w:rPr>
        <w:t>iprodione, mises en lumière dans l</w:t>
      </w:r>
      <w:r w:rsidR="00263978" w:rsidRPr="00C36B84">
        <w:rPr>
          <w:lang w:val="fr-FR"/>
        </w:rPr>
        <w:t>’</w:t>
      </w:r>
      <w:r w:rsidRPr="00C36B84">
        <w:rPr>
          <w:lang w:val="fr-FR"/>
        </w:rPr>
        <w:t>évaluation (UNEP/FAO/RC/CRC.17/5, sections</w:t>
      </w:r>
      <w:r w:rsidR="00C0139F" w:rsidRPr="00C36B84">
        <w:rPr>
          <w:lang w:val="fr-FR"/>
        </w:rPr>
        <w:t> </w:t>
      </w:r>
      <w:r w:rsidRPr="00C36B84">
        <w:rPr>
          <w:lang w:val="fr-FR"/>
        </w:rPr>
        <w:t xml:space="preserve">2.4.2.1 et 2.4.2.2 de la </w:t>
      </w:r>
      <w:r w:rsidR="009A49D0" w:rsidRPr="00C36B84">
        <w:rPr>
          <w:lang w:val="fr-FR"/>
        </w:rPr>
        <w:t>notification reçue d</w:t>
      </w:r>
      <w:r w:rsidRPr="00C36B84">
        <w:rPr>
          <w:lang w:val="fr-FR"/>
        </w:rPr>
        <w:t>e l</w:t>
      </w:r>
      <w:r w:rsidR="00263978" w:rsidRPr="00C36B84">
        <w:rPr>
          <w:lang w:val="fr-FR"/>
        </w:rPr>
        <w:t>’</w:t>
      </w:r>
      <w:r w:rsidRPr="00C36B84">
        <w:rPr>
          <w:lang w:val="fr-FR"/>
        </w:rPr>
        <w:t>Union européenne), ont été jugées inacceptables pour permettre son approbation en tant que pesticide conformément au règlement (CE) nº 1107/2009.</w:t>
      </w:r>
    </w:p>
    <w:p w14:paraId="1B792816" w14:textId="5BAED7B1" w:rsidR="0070418B" w:rsidRPr="00C36B84" w:rsidRDefault="0070418B" w:rsidP="00AD11DC">
      <w:pPr>
        <w:pStyle w:val="Normalnumber"/>
        <w:numPr>
          <w:ilvl w:val="0"/>
          <w:numId w:val="7"/>
        </w:numPr>
        <w:rPr>
          <w:lang w:val="fr-FR"/>
        </w:rPr>
      </w:pPr>
      <w:r w:rsidRPr="00C36B84">
        <w:rPr>
          <w:lang w:val="fr-FR"/>
        </w:rPr>
        <w:t>Il peut donc être considéré que l</w:t>
      </w:r>
      <w:r w:rsidR="00263978" w:rsidRPr="00C36B84">
        <w:rPr>
          <w:lang w:val="fr-FR"/>
        </w:rPr>
        <w:t>’</w:t>
      </w:r>
      <w:r w:rsidRPr="00C36B84">
        <w:rPr>
          <w:lang w:val="fr-FR"/>
        </w:rPr>
        <w:t>interdiction de toutes les formulations de l</w:t>
      </w:r>
      <w:r w:rsidR="00263978" w:rsidRPr="00C36B84">
        <w:rPr>
          <w:lang w:val="fr-FR"/>
        </w:rPr>
        <w:t>’</w:t>
      </w:r>
      <w:r w:rsidRPr="00C36B84">
        <w:rPr>
          <w:lang w:val="fr-FR"/>
        </w:rPr>
        <w:t>iprodione dans l</w:t>
      </w:r>
      <w:r w:rsidR="00263978" w:rsidRPr="00C36B84">
        <w:rPr>
          <w:lang w:val="fr-FR"/>
        </w:rPr>
        <w:t>’</w:t>
      </w:r>
      <w:r w:rsidRPr="00C36B84">
        <w:rPr>
          <w:lang w:val="fr-FR"/>
        </w:rPr>
        <w:t>Union européenne entraîne une réduction importante des risques pour la santé humaine et pour l</w:t>
      </w:r>
      <w:r w:rsidR="00263978" w:rsidRPr="00C36B84">
        <w:rPr>
          <w:lang w:val="fr-FR"/>
        </w:rPr>
        <w:t>’</w:t>
      </w:r>
      <w:r w:rsidRPr="00C36B84">
        <w:rPr>
          <w:lang w:val="fr-FR"/>
        </w:rPr>
        <w:t>environnement.</w:t>
      </w:r>
    </w:p>
    <w:p w14:paraId="3A66D5D2" w14:textId="77777777" w:rsidR="00F23195" w:rsidRPr="00C36B84" w:rsidRDefault="0070418B" w:rsidP="00AD11DC">
      <w:pPr>
        <w:pStyle w:val="Normalnumber"/>
        <w:numPr>
          <w:ilvl w:val="0"/>
          <w:numId w:val="7"/>
        </w:numPr>
        <w:rPr>
          <w:lang w:val="fr-FR"/>
        </w:rPr>
      </w:pPr>
      <w:r w:rsidRPr="00C36B84">
        <w:rPr>
          <w:lang w:val="fr-FR"/>
        </w:rPr>
        <w:t>Le Comité confirme que le critère énoncé au paragraphe c), alinéa ii), est rempli.</w:t>
      </w:r>
    </w:p>
    <w:p w14:paraId="2C11FC89" w14:textId="6F648571" w:rsidR="0070418B" w:rsidRPr="00C36B84" w:rsidRDefault="00C0139F" w:rsidP="00C0139F">
      <w:pPr>
        <w:pStyle w:val="NormalNonumber"/>
        <w:ind w:left="2381" w:hanging="1134"/>
        <w:rPr>
          <w:i/>
        </w:rPr>
      </w:pPr>
      <w:r w:rsidRPr="00C36B84">
        <w:rPr>
          <w:i/>
        </w:rPr>
        <w:lastRenderedPageBreak/>
        <w:tab/>
      </w:r>
      <w:r w:rsidR="0070418B" w:rsidRPr="00C36B84">
        <w:rPr>
          <w:i/>
        </w:rPr>
        <w:t>iii)</w:t>
      </w:r>
      <w:r w:rsidR="0070418B" w:rsidRPr="00C36B84">
        <w:rPr>
          <w:i/>
        </w:rPr>
        <w:tab/>
        <w:t>Les considérations qui ont mené à la mesure de réglementation finale sont-elles valables uniquement dans une zone géographique restreinte ou dans d</w:t>
      </w:r>
      <w:r w:rsidR="00263978" w:rsidRPr="00C36B84">
        <w:rPr>
          <w:i/>
        </w:rPr>
        <w:t>’</w:t>
      </w:r>
      <w:r w:rsidR="0070418B" w:rsidRPr="00C36B84">
        <w:rPr>
          <w:i/>
        </w:rPr>
        <w:t>autres circonstances particulières ?</w:t>
      </w:r>
    </w:p>
    <w:p w14:paraId="3BCF3345" w14:textId="53CE0E64" w:rsidR="00F23195" w:rsidRPr="00C36B84" w:rsidRDefault="0070418B" w:rsidP="00AD11DC">
      <w:pPr>
        <w:pStyle w:val="Normalnumber"/>
        <w:numPr>
          <w:ilvl w:val="0"/>
          <w:numId w:val="7"/>
        </w:numPr>
        <w:rPr>
          <w:lang w:val="fr-FR"/>
        </w:rPr>
      </w:pPr>
      <w:r w:rsidRPr="00C36B84">
        <w:rPr>
          <w:lang w:val="fr-FR"/>
        </w:rPr>
        <w:t>Les dangers pour la santé humaine et pour l</w:t>
      </w:r>
      <w:r w:rsidR="00263978" w:rsidRPr="00C36B84">
        <w:rPr>
          <w:lang w:val="fr-FR"/>
        </w:rPr>
        <w:t>’</w:t>
      </w:r>
      <w:r w:rsidRPr="00C36B84">
        <w:rPr>
          <w:lang w:val="fr-FR"/>
        </w:rPr>
        <w:t>environnement recensés dans l</w:t>
      </w:r>
      <w:r w:rsidR="00263978" w:rsidRPr="00C36B84">
        <w:rPr>
          <w:lang w:val="fr-FR"/>
        </w:rPr>
        <w:t>’</w:t>
      </w:r>
      <w:r w:rsidRPr="00C36B84">
        <w:rPr>
          <w:lang w:val="fr-FR"/>
        </w:rPr>
        <w:t>évaluation concernent également des régions situées en dehors de l</w:t>
      </w:r>
      <w:r w:rsidR="00263978" w:rsidRPr="00C36B84">
        <w:rPr>
          <w:lang w:val="fr-FR"/>
        </w:rPr>
        <w:t>’</w:t>
      </w:r>
      <w:r w:rsidRPr="00C36B84">
        <w:rPr>
          <w:lang w:val="fr-FR"/>
        </w:rPr>
        <w:t>Union européenne. L</w:t>
      </w:r>
      <w:r w:rsidR="00263978" w:rsidRPr="00C36B84">
        <w:rPr>
          <w:lang w:val="fr-FR"/>
        </w:rPr>
        <w:t>’</w:t>
      </w:r>
      <w:r w:rsidRPr="00C36B84">
        <w:rPr>
          <w:lang w:val="fr-FR"/>
        </w:rPr>
        <w:t>évaluation de l</w:t>
      </w:r>
      <w:r w:rsidR="00263978" w:rsidRPr="00C36B84">
        <w:rPr>
          <w:lang w:val="fr-FR"/>
        </w:rPr>
        <w:t>’</w:t>
      </w:r>
      <w:r w:rsidRPr="00C36B84">
        <w:rPr>
          <w:lang w:val="fr-FR"/>
        </w:rPr>
        <w:t>exposition se fondait sur une modélisation par simulation à l</w:t>
      </w:r>
      <w:r w:rsidR="00263978" w:rsidRPr="00C36B84">
        <w:rPr>
          <w:lang w:val="fr-FR"/>
        </w:rPr>
        <w:t>’</w:t>
      </w:r>
      <w:r w:rsidRPr="00C36B84">
        <w:rPr>
          <w:lang w:val="fr-FR"/>
        </w:rPr>
        <w:t>aide de modèles et de scénarios élaborés pour les situations européennes et représentatifs de celles-ci. Or, des situations similaires peuvent également se présenter en dehors de l</w:t>
      </w:r>
      <w:r w:rsidR="00263978" w:rsidRPr="00C36B84">
        <w:rPr>
          <w:lang w:val="fr-FR"/>
        </w:rPr>
        <w:t>’</w:t>
      </w:r>
      <w:r w:rsidRPr="00C36B84">
        <w:rPr>
          <w:lang w:val="fr-FR"/>
        </w:rPr>
        <w:t>Union européenne.</w:t>
      </w:r>
    </w:p>
    <w:p w14:paraId="5D742393" w14:textId="513725A5" w:rsidR="00F23195"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iii), est</w:t>
      </w:r>
      <w:r w:rsidR="00C0139F" w:rsidRPr="00C36B84">
        <w:rPr>
          <w:lang w:val="fr-FR"/>
        </w:rPr>
        <w:t> </w:t>
      </w:r>
      <w:r w:rsidRPr="00C36B84">
        <w:rPr>
          <w:lang w:val="fr-FR"/>
        </w:rPr>
        <w:t>rempli.</w:t>
      </w:r>
    </w:p>
    <w:p w14:paraId="50FB6C7D" w14:textId="7E604605" w:rsidR="0070418B" w:rsidRPr="00C36B84" w:rsidRDefault="00C0139F" w:rsidP="00C0139F">
      <w:pPr>
        <w:pStyle w:val="NormalNonumber"/>
        <w:ind w:left="2381" w:hanging="1134"/>
        <w:rPr>
          <w:i/>
        </w:rPr>
      </w:pPr>
      <w:r w:rsidRPr="00C36B84">
        <w:rPr>
          <w:i/>
        </w:rPr>
        <w:tab/>
      </w:r>
      <w:r w:rsidR="0070418B" w:rsidRPr="00C36B84">
        <w:rPr>
          <w:i/>
        </w:rPr>
        <w:t>iv)</w:t>
      </w:r>
      <w:r w:rsidR="0070418B" w:rsidRPr="00C36B84">
        <w:rPr>
          <w:i/>
        </w:rPr>
        <w:tab/>
        <w:t>Apparaît-il que le produit chimique considéré fait l</w:t>
      </w:r>
      <w:r w:rsidR="00263978" w:rsidRPr="00C36B84">
        <w:rPr>
          <w:i/>
        </w:rPr>
        <w:t>’</w:t>
      </w:r>
      <w:r w:rsidR="0070418B" w:rsidRPr="00C36B84">
        <w:rPr>
          <w:i/>
        </w:rPr>
        <w:t>objet d</w:t>
      </w:r>
      <w:r w:rsidR="00263978" w:rsidRPr="00C36B84">
        <w:rPr>
          <w:i/>
        </w:rPr>
        <w:t>’</w:t>
      </w:r>
      <w:r w:rsidR="0070418B" w:rsidRPr="00C36B84">
        <w:rPr>
          <w:i/>
        </w:rPr>
        <w:t>échanges commerciaux internationaux ?</w:t>
      </w:r>
    </w:p>
    <w:p w14:paraId="61CEF5EE" w14:textId="0F8FA9E7" w:rsidR="00F23195" w:rsidRPr="00C36B84" w:rsidRDefault="0070418B" w:rsidP="00AD11DC">
      <w:pPr>
        <w:pStyle w:val="Normalnumber"/>
        <w:numPr>
          <w:ilvl w:val="0"/>
          <w:numId w:val="7"/>
        </w:numPr>
        <w:rPr>
          <w:lang w:val="fr-FR"/>
        </w:rPr>
      </w:pPr>
      <w:r w:rsidRPr="00C36B84">
        <w:rPr>
          <w:lang w:val="fr-FR"/>
        </w:rPr>
        <w:t>De récentes communications adressées par l</w:t>
      </w:r>
      <w:r w:rsidR="00263978" w:rsidRPr="00C36B84">
        <w:rPr>
          <w:lang w:val="fr-FR"/>
        </w:rPr>
        <w:t>’</w:t>
      </w:r>
      <w:r w:rsidRPr="00C36B84">
        <w:rPr>
          <w:lang w:val="fr-FR"/>
        </w:rPr>
        <w:t>Union européenne et par l</w:t>
      </w:r>
      <w:r w:rsidR="00263978" w:rsidRPr="00C36B84">
        <w:rPr>
          <w:lang w:val="fr-FR"/>
        </w:rPr>
        <w:t>’</w:t>
      </w:r>
      <w:r w:rsidRPr="00C36B84">
        <w:rPr>
          <w:lang w:val="fr-FR"/>
        </w:rPr>
        <w:t xml:space="preserve">organisation </w:t>
      </w:r>
      <w:proofErr w:type="spellStart"/>
      <w:r w:rsidRPr="00C36B84">
        <w:rPr>
          <w:lang w:val="fr-FR"/>
        </w:rPr>
        <w:t>CropLife</w:t>
      </w:r>
      <w:proofErr w:type="spellEnd"/>
      <w:r w:rsidR="00C0139F" w:rsidRPr="00C36B84">
        <w:rPr>
          <w:lang w:val="fr-FR"/>
        </w:rPr>
        <w:t> </w:t>
      </w:r>
      <w:r w:rsidRPr="00C36B84">
        <w:rPr>
          <w:lang w:val="fr-FR"/>
        </w:rPr>
        <w:t>International au Secrétariat confirment la poursuite du commerce de l</w:t>
      </w:r>
      <w:r w:rsidR="00263978" w:rsidRPr="00C36B84">
        <w:rPr>
          <w:lang w:val="fr-FR"/>
        </w:rPr>
        <w:t>’</w:t>
      </w:r>
      <w:r w:rsidRPr="00C36B84">
        <w:rPr>
          <w:lang w:val="fr-FR"/>
        </w:rPr>
        <w:t>iprodione (UNEP/FAO/RC/CRC.17/INF/5).</w:t>
      </w:r>
    </w:p>
    <w:p w14:paraId="6FE7FDDD" w14:textId="24DB4F6D" w:rsidR="0070418B" w:rsidRPr="00C36B84" w:rsidRDefault="0070418B" w:rsidP="00AD11DC">
      <w:pPr>
        <w:pStyle w:val="Normalnumber"/>
        <w:numPr>
          <w:ilvl w:val="0"/>
          <w:numId w:val="7"/>
        </w:numPr>
        <w:rPr>
          <w:lang w:val="fr-FR"/>
        </w:rPr>
      </w:pPr>
      <w:r w:rsidRPr="00C36B84">
        <w:rPr>
          <w:lang w:val="fr-FR"/>
        </w:rPr>
        <w:t>En conséquence, le Comité confirme que le critère énoncé au paragraphe c), alinéa iv), est</w:t>
      </w:r>
      <w:r w:rsidR="00C0139F" w:rsidRPr="00C36B84">
        <w:rPr>
          <w:lang w:val="fr-FR"/>
        </w:rPr>
        <w:t> </w:t>
      </w:r>
      <w:r w:rsidRPr="00C36B84">
        <w:rPr>
          <w:lang w:val="fr-FR"/>
        </w:rPr>
        <w:t>rempli.</w:t>
      </w:r>
    </w:p>
    <w:p w14:paraId="320307CA" w14:textId="752537EB" w:rsidR="0070418B" w:rsidRPr="00C36B84" w:rsidRDefault="0070418B" w:rsidP="00AD11DC">
      <w:pPr>
        <w:pStyle w:val="Normalnumber"/>
        <w:numPr>
          <w:ilvl w:val="0"/>
          <w:numId w:val="7"/>
        </w:numPr>
        <w:rPr>
          <w:lang w:val="fr-FR"/>
        </w:rPr>
      </w:pPr>
      <w:r w:rsidRPr="00C36B84">
        <w:rPr>
          <w:lang w:val="fr-FR"/>
        </w:rPr>
        <w:t>Le Comité confirme que les critères énoncés au paragraphe c) de l</w:t>
      </w:r>
      <w:r w:rsidR="00263978" w:rsidRPr="00C36B84">
        <w:rPr>
          <w:lang w:val="fr-FR"/>
        </w:rPr>
        <w:t>’</w:t>
      </w:r>
      <w:r w:rsidRPr="00C36B84">
        <w:rPr>
          <w:lang w:val="fr-FR"/>
        </w:rPr>
        <w:t>Annexe II sont remplis.</w:t>
      </w:r>
    </w:p>
    <w:p w14:paraId="394E97A4" w14:textId="1C9EF173" w:rsidR="0070418B" w:rsidRPr="00C36B84" w:rsidRDefault="0070418B" w:rsidP="00955908">
      <w:pPr>
        <w:pStyle w:val="CH3"/>
        <w:snapToGrid w:val="0"/>
        <w:rPr>
          <w:snapToGrid w:val="0"/>
        </w:rPr>
      </w:pPr>
      <w:r w:rsidRPr="00C36B84">
        <w:rPr>
          <w:snapToGrid w:val="0"/>
        </w:rPr>
        <w:tab/>
        <w:t>e)</w:t>
      </w:r>
      <w:r w:rsidRPr="00C36B84">
        <w:rPr>
          <w:snapToGrid w:val="0"/>
        </w:rPr>
        <w:tab/>
        <w:t>Critère énoncé au paragraphe d) de l</w:t>
      </w:r>
      <w:r w:rsidR="00263978" w:rsidRPr="00C36B84">
        <w:rPr>
          <w:snapToGrid w:val="0"/>
        </w:rPr>
        <w:t>’</w:t>
      </w:r>
      <w:r w:rsidRPr="00C36B84">
        <w:rPr>
          <w:snapToGrid w:val="0"/>
        </w:rPr>
        <w:t>Annexe II</w:t>
      </w:r>
    </w:p>
    <w:p w14:paraId="171C3E74" w14:textId="4E6B2554" w:rsidR="0070418B" w:rsidRPr="00C36B84" w:rsidRDefault="00C0139F" w:rsidP="00C0139F">
      <w:pPr>
        <w:pStyle w:val="NormalNonumber"/>
        <w:rPr>
          <w:i/>
        </w:rPr>
      </w:pPr>
      <w:r w:rsidRPr="00C36B84">
        <w:rPr>
          <w:i/>
        </w:rPr>
        <w:tab/>
      </w:r>
      <w:r w:rsidR="0070418B" w:rsidRPr="00C36B84">
        <w:rPr>
          <w:i/>
        </w:rPr>
        <w:t>d)</w:t>
      </w:r>
      <w:r w:rsidR="0070418B" w:rsidRPr="00C36B84">
        <w:rPr>
          <w:i/>
        </w:rPr>
        <w:tab/>
        <w:t>Tient compte du fait qu</w:t>
      </w:r>
      <w:r w:rsidR="00263978" w:rsidRPr="00C36B84">
        <w:rPr>
          <w:i/>
        </w:rPr>
        <w:t>’</w:t>
      </w:r>
      <w:r w:rsidR="0070418B" w:rsidRPr="00C36B84">
        <w:rPr>
          <w:i/>
        </w:rPr>
        <w:t>un abus intentionnel ne constitue pas en soi une raison suffisante pour inscrire un produit chimique à l</w:t>
      </w:r>
      <w:r w:rsidR="00263978" w:rsidRPr="00C36B84">
        <w:rPr>
          <w:i/>
        </w:rPr>
        <w:t>’</w:t>
      </w:r>
      <w:r w:rsidR="0070418B" w:rsidRPr="00C36B84">
        <w:rPr>
          <w:i/>
        </w:rPr>
        <w:t>Annexe III.</w:t>
      </w:r>
    </w:p>
    <w:p w14:paraId="3194B3BF" w14:textId="628973D7" w:rsidR="0070418B" w:rsidRPr="00C36B84" w:rsidRDefault="0070418B" w:rsidP="00AD11DC">
      <w:pPr>
        <w:pStyle w:val="Normalnumber"/>
        <w:numPr>
          <w:ilvl w:val="0"/>
          <w:numId w:val="7"/>
        </w:numPr>
        <w:rPr>
          <w:lang w:val="fr-FR"/>
        </w:rPr>
      </w:pPr>
      <w:r w:rsidRPr="00C36B84">
        <w:rPr>
          <w:lang w:val="fr-FR"/>
        </w:rPr>
        <w:t>Aucun élément de la notification n</w:t>
      </w:r>
      <w:r w:rsidR="00263978" w:rsidRPr="00C36B84">
        <w:rPr>
          <w:lang w:val="fr-FR"/>
        </w:rPr>
        <w:t>’</w:t>
      </w:r>
      <w:r w:rsidRPr="00C36B84">
        <w:rPr>
          <w:lang w:val="fr-FR"/>
        </w:rPr>
        <w:t>indique que la mesure de réglementation a été motivée par</w:t>
      </w:r>
      <w:r w:rsidR="00C0139F" w:rsidRPr="00C36B84">
        <w:rPr>
          <w:lang w:val="fr-FR"/>
        </w:rPr>
        <w:t> </w:t>
      </w:r>
      <w:r w:rsidRPr="00C36B84">
        <w:rPr>
          <w:lang w:val="fr-FR"/>
        </w:rPr>
        <w:t>des préoccupations concernant un abus intentionnel.</w:t>
      </w:r>
    </w:p>
    <w:p w14:paraId="1594F443" w14:textId="5391A36D" w:rsidR="00F23195" w:rsidRPr="00C36B84" w:rsidRDefault="0070418B" w:rsidP="00AD11DC">
      <w:pPr>
        <w:pStyle w:val="Normalnumber"/>
        <w:numPr>
          <w:ilvl w:val="0"/>
          <w:numId w:val="7"/>
        </w:numPr>
        <w:rPr>
          <w:lang w:val="fr-FR"/>
        </w:rPr>
      </w:pPr>
      <w:r w:rsidRPr="00C36B84">
        <w:rPr>
          <w:lang w:val="fr-FR"/>
        </w:rPr>
        <w:t xml:space="preserve">Compte tenu des considérations </w:t>
      </w:r>
      <w:r w:rsidR="006F6FB2" w:rsidRPr="00C36B84">
        <w:rPr>
          <w:lang w:val="fr-FR"/>
        </w:rPr>
        <w:t>précédentes</w:t>
      </w:r>
      <w:r w:rsidRPr="00C36B84">
        <w:rPr>
          <w:lang w:val="fr-FR"/>
        </w:rPr>
        <w:t>, le Comité confirme que le critère énoncé au</w:t>
      </w:r>
      <w:r w:rsidR="00C0139F" w:rsidRPr="00C36B84">
        <w:rPr>
          <w:lang w:val="fr-FR"/>
        </w:rPr>
        <w:t> </w:t>
      </w:r>
      <w:r w:rsidRPr="00C36B84">
        <w:rPr>
          <w:lang w:val="fr-FR"/>
        </w:rPr>
        <w:t>paragraphe d) de l</w:t>
      </w:r>
      <w:r w:rsidR="00263978" w:rsidRPr="00C36B84">
        <w:rPr>
          <w:lang w:val="fr-FR"/>
        </w:rPr>
        <w:t>’</w:t>
      </w:r>
      <w:r w:rsidRPr="00C36B84">
        <w:rPr>
          <w:lang w:val="fr-FR"/>
        </w:rPr>
        <w:t>Annexe II est rempli.</w:t>
      </w:r>
    </w:p>
    <w:p w14:paraId="5FD992B8" w14:textId="5BBDA5F8" w:rsidR="0070418B" w:rsidRPr="00C36B84" w:rsidRDefault="0070418B" w:rsidP="00955908">
      <w:pPr>
        <w:pStyle w:val="CH3"/>
        <w:snapToGrid w:val="0"/>
        <w:rPr>
          <w:snapToGrid w:val="0"/>
        </w:rPr>
      </w:pPr>
      <w:r w:rsidRPr="00C36B84">
        <w:rPr>
          <w:snapToGrid w:val="0"/>
        </w:rPr>
        <w:tab/>
        <w:t>f)</w:t>
      </w:r>
      <w:r w:rsidRPr="00C36B84">
        <w:rPr>
          <w:snapToGrid w:val="0"/>
        </w:rPr>
        <w:tab/>
        <w:t>Conclusions</w:t>
      </w:r>
    </w:p>
    <w:p w14:paraId="49749683" w14:textId="0933AA6F" w:rsidR="00F23195" w:rsidRPr="00C36B84" w:rsidRDefault="0070418B" w:rsidP="00AD11DC">
      <w:pPr>
        <w:pStyle w:val="Normalnumber"/>
        <w:numPr>
          <w:ilvl w:val="0"/>
          <w:numId w:val="7"/>
        </w:numPr>
        <w:rPr>
          <w:lang w:val="fr-FR"/>
        </w:rPr>
      </w:pPr>
      <w:r w:rsidRPr="00C36B84">
        <w:rPr>
          <w:lang w:val="fr-FR"/>
        </w:rPr>
        <w:t xml:space="preserve">Le Comité conclut que la notification de mesure de réglementation finale </w:t>
      </w:r>
      <w:r w:rsidR="00326E4C" w:rsidRPr="00C36B84">
        <w:rPr>
          <w:lang w:val="fr-FR"/>
        </w:rPr>
        <w:t>présentée par</w:t>
      </w:r>
      <w:r w:rsidRPr="00C36B84">
        <w:rPr>
          <w:lang w:val="fr-FR"/>
        </w:rPr>
        <w:t xml:space="preserve"> l</w:t>
      </w:r>
      <w:r w:rsidR="00263978" w:rsidRPr="00C36B84">
        <w:rPr>
          <w:lang w:val="fr-FR"/>
        </w:rPr>
        <w:t>’</w:t>
      </w:r>
      <w:r w:rsidRPr="00C36B84">
        <w:rPr>
          <w:lang w:val="fr-FR"/>
        </w:rPr>
        <w:t>Union</w:t>
      </w:r>
      <w:r w:rsidR="00C0139F" w:rsidRPr="00C36B84">
        <w:rPr>
          <w:lang w:val="fr-FR"/>
        </w:rPr>
        <w:t> </w:t>
      </w:r>
      <w:r w:rsidRPr="00C36B84">
        <w:rPr>
          <w:lang w:val="fr-FR"/>
        </w:rPr>
        <w:t>européenne satisfait aux critères énoncés dans l</w:t>
      </w:r>
      <w:r w:rsidR="00263978" w:rsidRPr="00C36B84">
        <w:rPr>
          <w:lang w:val="fr-FR"/>
        </w:rPr>
        <w:t>’</w:t>
      </w:r>
      <w:r w:rsidRPr="00C36B84">
        <w:rPr>
          <w:lang w:val="fr-FR"/>
        </w:rPr>
        <w:t>Annexe II de la Convention.</w:t>
      </w:r>
    </w:p>
    <w:p w14:paraId="4E52D182" w14:textId="0E6B67AA" w:rsidR="0070418B" w:rsidRPr="00C36B84" w:rsidRDefault="0070418B" w:rsidP="00955908">
      <w:pPr>
        <w:pStyle w:val="CH1"/>
      </w:pPr>
      <w:r w:rsidRPr="00C36B84">
        <w:tab/>
        <w:t>III.</w:t>
      </w:r>
      <w:r w:rsidRPr="00C36B84">
        <w:tab/>
        <w:t>Conclusions</w:t>
      </w:r>
    </w:p>
    <w:p w14:paraId="6F34DC7F" w14:textId="3A9BDC31" w:rsidR="00F23195" w:rsidRPr="00C36B84" w:rsidRDefault="0070418B" w:rsidP="00AD11DC">
      <w:pPr>
        <w:pStyle w:val="Normalnumber"/>
        <w:numPr>
          <w:ilvl w:val="0"/>
          <w:numId w:val="7"/>
        </w:numPr>
        <w:rPr>
          <w:lang w:val="fr-FR"/>
        </w:rPr>
      </w:pPr>
      <w:r w:rsidRPr="00C36B84">
        <w:rPr>
          <w:lang w:val="fr-FR"/>
        </w:rPr>
        <w:t>Le Comité conclut que les notifications de mesure de réglementation finale soumises par le</w:t>
      </w:r>
      <w:r w:rsidR="00C0139F" w:rsidRPr="00C36B84">
        <w:rPr>
          <w:lang w:val="fr-FR"/>
        </w:rPr>
        <w:t> </w:t>
      </w:r>
      <w:r w:rsidRPr="00C36B84">
        <w:rPr>
          <w:lang w:val="fr-FR"/>
        </w:rPr>
        <w:t>Mozambique et par l</w:t>
      </w:r>
      <w:r w:rsidR="00263978" w:rsidRPr="00C36B84">
        <w:rPr>
          <w:lang w:val="fr-FR"/>
        </w:rPr>
        <w:t>’</w:t>
      </w:r>
      <w:r w:rsidRPr="00C36B84">
        <w:rPr>
          <w:lang w:val="fr-FR"/>
        </w:rPr>
        <w:t>Union européenne satisfont à tous les critères énoncés dans l</w:t>
      </w:r>
      <w:r w:rsidR="00263978" w:rsidRPr="00C36B84">
        <w:rPr>
          <w:lang w:val="fr-FR"/>
        </w:rPr>
        <w:t>’</w:t>
      </w:r>
      <w:r w:rsidRPr="00C36B84">
        <w:rPr>
          <w:lang w:val="fr-FR"/>
        </w:rPr>
        <w:t>Annexe II de</w:t>
      </w:r>
      <w:r w:rsidR="00C0139F" w:rsidRPr="00C36B84">
        <w:rPr>
          <w:lang w:val="fr-FR"/>
        </w:rPr>
        <w:t> </w:t>
      </w:r>
      <w:r w:rsidRPr="00C36B84">
        <w:rPr>
          <w:lang w:val="fr-FR"/>
        </w:rPr>
        <w:t>la Convention.</w:t>
      </w:r>
    </w:p>
    <w:p w14:paraId="722B2386" w14:textId="6A973C0D" w:rsidR="0070418B" w:rsidRPr="005826F2" w:rsidRDefault="0070418B" w:rsidP="00955908">
      <w:pPr>
        <w:pStyle w:val="Normalnumber"/>
        <w:numPr>
          <w:ilvl w:val="0"/>
          <w:numId w:val="7"/>
        </w:numPr>
        <w:rPr>
          <w:rFonts w:eastAsia="MS Mincho"/>
          <w:iCs/>
          <w:lang w:val="fr-FR"/>
        </w:rPr>
      </w:pPr>
      <w:r w:rsidRPr="00C36B84">
        <w:rPr>
          <w:lang w:val="fr-FR"/>
        </w:rPr>
        <w:t>Le Comité conclut également que les mesures de réglementation finale prises par le</w:t>
      </w:r>
      <w:r w:rsidR="00C0139F" w:rsidRPr="00C36B84">
        <w:rPr>
          <w:lang w:val="fr-FR"/>
        </w:rPr>
        <w:t> </w:t>
      </w:r>
      <w:r w:rsidRPr="00C36B84">
        <w:rPr>
          <w:lang w:val="fr-FR"/>
        </w:rPr>
        <w:t>Mozambique et par l</w:t>
      </w:r>
      <w:r w:rsidR="00263978" w:rsidRPr="00C36B84">
        <w:rPr>
          <w:lang w:val="fr-FR"/>
        </w:rPr>
        <w:t>’</w:t>
      </w:r>
      <w:r w:rsidRPr="00C36B84">
        <w:rPr>
          <w:lang w:val="fr-FR"/>
        </w:rPr>
        <w:t>Union européenne fournissent des preuves suffisantes pour justifier l</w:t>
      </w:r>
      <w:r w:rsidR="00263978" w:rsidRPr="00C36B84">
        <w:rPr>
          <w:lang w:val="fr-FR"/>
        </w:rPr>
        <w:t>’</w:t>
      </w:r>
      <w:r w:rsidRPr="00C36B84">
        <w:rPr>
          <w:lang w:val="fr-FR"/>
        </w:rPr>
        <w:t>inscription de l</w:t>
      </w:r>
      <w:r w:rsidR="00263978" w:rsidRPr="00C36B84">
        <w:rPr>
          <w:lang w:val="fr-FR"/>
        </w:rPr>
        <w:t>’</w:t>
      </w:r>
      <w:r w:rsidRPr="00C36B84">
        <w:rPr>
          <w:lang w:val="fr-FR"/>
        </w:rPr>
        <w:t>iprodione à l</w:t>
      </w:r>
      <w:r w:rsidR="00263978" w:rsidRPr="00C36B84">
        <w:rPr>
          <w:lang w:val="fr-FR"/>
        </w:rPr>
        <w:t>’</w:t>
      </w:r>
      <w:r w:rsidRPr="00C36B84">
        <w:rPr>
          <w:lang w:val="fr-FR"/>
        </w:rPr>
        <w:t>Annexe III de la Convention</w:t>
      </w:r>
      <w:r w:rsidR="00CF6937" w:rsidRPr="00C36B84">
        <w:rPr>
          <w:lang w:val="fr-FR"/>
        </w:rPr>
        <w:t xml:space="preserve"> dans la catégorie des pesticides</w:t>
      </w:r>
      <w:r w:rsidRPr="00C36B84">
        <w:rPr>
          <w:lang w:val="fr-FR"/>
        </w:rPr>
        <w:t xml:space="preserve"> et l</w:t>
      </w:r>
      <w:r w:rsidR="00263978" w:rsidRPr="00C36B84">
        <w:rPr>
          <w:lang w:val="fr-FR"/>
        </w:rPr>
        <w:t>’</w:t>
      </w:r>
      <w:r w:rsidRPr="00C36B84">
        <w:rPr>
          <w:lang w:val="fr-FR"/>
        </w:rPr>
        <w:t>adoption d</w:t>
      </w:r>
      <w:r w:rsidR="00263978" w:rsidRPr="00C36B84">
        <w:rPr>
          <w:lang w:val="fr-FR"/>
        </w:rPr>
        <w:t>’</w:t>
      </w:r>
      <w:r w:rsidRPr="00C36B84">
        <w:rPr>
          <w:lang w:val="fr-FR"/>
        </w:rPr>
        <w:t>une décision demandant l</w:t>
      </w:r>
      <w:r w:rsidR="00263978" w:rsidRPr="00C36B84">
        <w:rPr>
          <w:lang w:val="fr-FR"/>
        </w:rPr>
        <w:t>’</w:t>
      </w:r>
      <w:r w:rsidRPr="00C36B84">
        <w:rPr>
          <w:lang w:val="fr-FR"/>
        </w:rPr>
        <w:t>élaboration d</w:t>
      </w:r>
      <w:r w:rsidR="00263978" w:rsidRPr="00C36B84">
        <w:rPr>
          <w:lang w:val="fr-FR"/>
        </w:rPr>
        <w:t>’</w:t>
      </w:r>
      <w:r w:rsidRPr="00C36B84">
        <w:rPr>
          <w:lang w:val="fr-FR"/>
        </w:rPr>
        <w:t>un document d</w:t>
      </w:r>
      <w:r w:rsidR="00263978" w:rsidRPr="00C36B84">
        <w:rPr>
          <w:lang w:val="fr-FR"/>
        </w:rPr>
        <w:t>’</w:t>
      </w:r>
      <w:r w:rsidRPr="00C36B84">
        <w:rPr>
          <w:lang w:val="fr-FR"/>
        </w:rPr>
        <w:t>orientation des décisions sur la</w:t>
      </w:r>
      <w:r w:rsidR="00C0139F" w:rsidRPr="00C36B84">
        <w:rPr>
          <w:lang w:val="fr-FR"/>
        </w:rPr>
        <w:t> </w:t>
      </w:r>
      <w:r w:rsidRPr="00C36B84">
        <w:rPr>
          <w:lang w:val="fr-FR"/>
        </w:rPr>
        <w:t>base de ces notifications.</w:t>
      </w:r>
      <w:bookmarkEnd w:id="0"/>
    </w:p>
    <w:sectPr w:rsidR="0070418B" w:rsidRPr="005826F2" w:rsidSect="00793F76">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EFDC" w14:textId="77777777" w:rsidR="00BA42D4" w:rsidRDefault="00BA42D4">
      <w:r>
        <w:separator/>
      </w:r>
    </w:p>
  </w:endnote>
  <w:endnote w:type="continuationSeparator" w:id="0">
    <w:p w14:paraId="33BD7919" w14:textId="77777777" w:rsidR="00BA42D4" w:rsidRDefault="00BA42D4">
      <w:r>
        <w:continuationSeparator/>
      </w:r>
    </w:p>
  </w:endnote>
  <w:endnote w:type="continuationNotice" w:id="1">
    <w:p w14:paraId="2DDDDF8F" w14:textId="77777777" w:rsidR="00BA42D4" w:rsidRDefault="00BA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169164"/>
      <w:docPartObj>
        <w:docPartGallery w:val="Page Numbers (Bottom of Page)"/>
        <w:docPartUnique/>
      </w:docPartObj>
    </w:sdtPr>
    <w:sdtEndPr>
      <w:rPr>
        <w:noProof/>
      </w:rPr>
    </w:sdtEndPr>
    <w:sdtContent>
      <w:p w14:paraId="152E27CF" w14:textId="2324B4E2" w:rsidR="00C0139F" w:rsidRDefault="00C0139F" w:rsidP="005B6301">
        <w:pPr>
          <w:pStyle w:val="Footer-pool"/>
        </w:pPr>
        <w:r>
          <w:fldChar w:fldCharType="begin"/>
        </w:r>
        <w:r>
          <w:instrText xml:space="preserve"> PAGE   \* MERGEFORMAT </w:instrText>
        </w:r>
        <w:r>
          <w:fldChar w:fldCharType="separate"/>
        </w:r>
        <w:r w:rsidR="007001EA">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75064"/>
      <w:docPartObj>
        <w:docPartGallery w:val="Page Numbers (Bottom of Page)"/>
        <w:docPartUnique/>
      </w:docPartObj>
    </w:sdtPr>
    <w:sdtEndPr>
      <w:rPr>
        <w:noProof/>
      </w:rPr>
    </w:sdtEndPr>
    <w:sdtContent>
      <w:p w14:paraId="4811EAF9" w14:textId="65D24C30" w:rsidR="00C0139F" w:rsidRDefault="00C0139F" w:rsidP="005B6301">
        <w:pPr>
          <w:pStyle w:val="Footer-pool"/>
          <w:jc w:val="right"/>
        </w:pPr>
        <w:r>
          <w:fldChar w:fldCharType="begin"/>
        </w:r>
        <w:r>
          <w:instrText xml:space="preserve"> PAGE   \* MERGEFORMAT </w:instrText>
        </w:r>
        <w:r>
          <w:fldChar w:fldCharType="separate"/>
        </w:r>
        <w:r w:rsidR="007001EA">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1272" w14:textId="3AD354F8" w:rsidR="00C0139F" w:rsidRPr="005B6301" w:rsidRDefault="00C0139F" w:rsidP="005B6301">
    <w:r>
      <w:t>K2102760</w:t>
    </w:r>
    <w:r>
      <w:tab/>
    </w:r>
    <w:r w:rsidR="00890328">
      <w:t>20</w:t>
    </w:r>
    <w: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EF91" w14:textId="77777777" w:rsidR="00BA42D4" w:rsidRPr="00531F16" w:rsidRDefault="00BA42D4" w:rsidP="00531F16">
      <w:pPr>
        <w:spacing w:before="60"/>
        <w:ind w:left="624"/>
        <w:rPr>
          <w:sz w:val="18"/>
          <w:szCs w:val="18"/>
        </w:rPr>
      </w:pPr>
      <w:r w:rsidRPr="00531F16">
        <w:rPr>
          <w:sz w:val="18"/>
          <w:szCs w:val="18"/>
        </w:rPr>
        <w:separator/>
      </w:r>
    </w:p>
  </w:footnote>
  <w:footnote w:type="continuationSeparator" w:id="0">
    <w:p w14:paraId="644C1559" w14:textId="77777777" w:rsidR="00BA42D4" w:rsidRDefault="00BA42D4">
      <w:r>
        <w:continuationSeparator/>
      </w:r>
    </w:p>
  </w:footnote>
  <w:footnote w:type="continuationNotice" w:id="1">
    <w:p w14:paraId="6DC06D79" w14:textId="77777777" w:rsidR="00BA42D4" w:rsidRDefault="00BA42D4"/>
  </w:footnote>
  <w:footnote w:id="2">
    <w:p w14:paraId="41CD679D" w14:textId="2F468404" w:rsidR="00C0139F" w:rsidRPr="00317009" w:rsidRDefault="00C0139F" w:rsidP="00C36B84">
      <w:pPr>
        <w:pStyle w:val="Normalpool"/>
        <w:rPr>
          <w:sz w:val="18"/>
          <w:szCs w:val="18"/>
          <w:lang w:val="fr-FR"/>
        </w:rPr>
      </w:pPr>
      <w:r w:rsidRPr="00317009">
        <w:rPr>
          <w:rStyle w:val="Appelnotedebasdep"/>
        </w:rPr>
        <w:footnoteRef/>
      </w:r>
      <w:r w:rsidRPr="00317009">
        <w:rPr>
          <w:sz w:val="18"/>
          <w:szCs w:val="18"/>
          <w:lang w:val="fr-FR"/>
        </w:rPr>
        <w:t xml:space="preserve"> Règlement (CE) nº 1107/2009 du Parlement européen et du Conseil du 21 octobre 2009 concernant la mise sur le marché des produits phytopharmaceutiques et abrogeant les directives 79/117/CEE et 91/414/CEE du Conseil, disponible à l’adresse </w:t>
      </w:r>
      <w:hyperlink r:id="rId1" w:history="1">
        <w:r w:rsidRPr="00317009">
          <w:rPr>
            <w:sz w:val="18"/>
            <w:szCs w:val="18"/>
            <w:lang w:val="fr-FR"/>
          </w:rPr>
          <w:t>https://eur-lex.europa.eu/legal-content/fr/TXT/?uri=CELEX%3A32009R1107</w:t>
        </w:r>
      </w:hyperlink>
      <w:r w:rsidRPr="00317009">
        <w:rPr>
          <w:sz w:val="18"/>
          <w:szCs w:val="18"/>
          <w:lang w:val="fr-FR"/>
        </w:rPr>
        <w:t>.</w:t>
      </w:r>
    </w:p>
  </w:footnote>
  <w:footnote w:id="3">
    <w:p w14:paraId="000CCAE8" w14:textId="2B219DEC" w:rsidR="00C0139F" w:rsidRPr="003F19DB" w:rsidRDefault="00C0139F" w:rsidP="00C36B84">
      <w:pPr>
        <w:pStyle w:val="Normalpool"/>
        <w:rPr>
          <w:sz w:val="18"/>
          <w:szCs w:val="18"/>
          <w:lang w:val="fr-FR"/>
        </w:rPr>
      </w:pPr>
      <w:r w:rsidRPr="003F19DB">
        <w:rPr>
          <w:rStyle w:val="Appelnotedebasdep"/>
        </w:rPr>
        <w:footnoteRef/>
      </w:r>
      <w:r w:rsidR="00C36B84" w:rsidRPr="003F19DB">
        <w:rPr>
          <w:sz w:val="18"/>
          <w:szCs w:val="18"/>
          <w:lang w:val="fr-FR"/>
        </w:rPr>
        <w:t xml:space="preserve"> </w:t>
      </w:r>
      <w:bookmarkStart w:id="7" w:name="OLE_LINK1"/>
      <w:bookmarkStart w:id="8" w:name="OLE_LINK2"/>
      <w:r w:rsidRPr="003F19DB">
        <w:rPr>
          <w:sz w:val="18"/>
          <w:szCs w:val="18"/>
          <w:lang w:val="fr-FR"/>
        </w:rPr>
        <w:t xml:space="preserve">Voir </w:t>
      </w:r>
      <w:r w:rsidR="00000000">
        <w:fldChar w:fldCharType="begin"/>
      </w:r>
      <w:r w:rsidR="00000000" w:rsidRPr="005826F2">
        <w:rPr>
          <w:lang w:val="fr-FR"/>
        </w:rPr>
        <w:instrText>HYPERLINK "https://eur-lex.europa.eu/legal-content/FR/TXT/HTML/?uri=CELEX:32017R2091"</w:instrText>
      </w:r>
      <w:r w:rsidR="00000000">
        <w:fldChar w:fldCharType="separate"/>
      </w:r>
      <w:r w:rsidRPr="003F19DB">
        <w:rPr>
          <w:sz w:val="18"/>
          <w:szCs w:val="18"/>
          <w:lang w:val="fr-FR"/>
        </w:rPr>
        <w:t>https://eur-lex.europa.eu/legal-content/FR/TXT/HTML/?uri=CELEX:32017R2091</w:t>
      </w:r>
      <w:r w:rsidR="00000000">
        <w:rPr>
          <w:sz w:val="18"/>
          <w:szCs w:val="18"/>
          <w:lang w:val="fr-FR"/>
        </w:rPr>
        <w:fldChar w:fldCharType="end"/>
      </w:r>
      <w:r w:rsidRPr="003F19DB">
        <w:rPr>
          <w:sz w:val="18"/>
          <w:szCs w:val="18"/>
          <w:lang w:val="fr-FR"/>
        </w:rPr>
        <w:br/>
        <w:t>&amp;qid=1619436102485&amp;from=EN#ntr6-L_2017297EN.01002501-E0006</w:t>
      </w:r>
      <w:bookmarkEnd w:id="7"/>
      <w:bookmarkEnd w:id="8"/>
      <w:r w:rsidRPr="003F19DB">
        <w:rPr>
          <w:sz w:val="18"/>
          <w:szCs w:val="18"/>
          <w:lang w:val="fr-FR"/>
        </w:rPr>
        <w:t>.</w:t>
      </w:r>
    </w:p>
  </w:footnote>
  <w:footnote w:id="4">
    <w:p w14:paraId="05D0C3BB" w14:textId="28142F0C" w:rsidR="00C0139F" w:rsidRPr="003F19DB" w:rsidRDefault="00C0139F" w:rsidP="00C36B84">
      <w:pPr>
        <w:pStyle w:val="Normalpool"/>
        <w:rPr>
          <w:sz w:val="18"/>
          <w:szCs w:val="18"/>
          <w:lang w:val="fr-FR"/>
        </w:rPr>
      </w:pPr>
      <w:r w:rsidRPr="003F19DB">
        <w:rPr>
          <w:rStyle w:val="Appelnotedebasdep"/>
        </w:rPr>
        <w:footnoteRef/>
      </w:r>
      <w:r w:rsidRPr="003F19DB">
        <w:rPr>
          <w:sz w:val="18"/>
          <w:szCs w:val="18"/>
          <w:lang w:val="fr-FR"/>
        </w:rPr>
        <w:t xml:space="preserve"> Règlement d’exécution (UE) nº 844/2012 de la Commission du 18 septembre 2012 établissant les dispositions nécessaires à la mise en œuvre de la procédure de renouvellement des substances actives, conformément au règlement (CE) nº 1107/2009 du Parlement européen et du Conseil concernant la mise sur le marché des produits phytopharmaceutiques.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6DAD" w14:textId="66B79F08" w:rsidR="00C0139F" w:rsidRPr="00A33AC9" w:rsidRDefault="00C0139F" w:rsidP="008D38D0">
    <w:pPr>
      <w:pStyle w:val="Header-pool"/>
    </w:pPr>
    <w:r>
      <w:t>UNEP/FAO/RC/CRC.17/10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1608" w14:textId="744DC626" w:rsidR="00C0139F" w:rsidRPr="00A33AC9" w:rsidRDefault="00C0139F" w:rsidP="008D38D0">
    <w:pPr>
      <w:pStyle w:val="Header-pool"/>
      <w:jc w:val="right"/>
    </w:pPr>
    <w:r>
      <w:t>UNEP/FAO/RC/CRC.17/10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1361" w14:textId="2D5CE03B" w:rsidR="00C0139F" w:rsidRPr="00267BA3" w:rsidRDefault="00C0139F" w:rsidP="00267BA3">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2F61"/>
    <w:multiLevelType w:val="multilevel"/>
    <w:tmpl w:val="9684C7FA"/>
    <w:styleLink w:val="CurrentList1"/>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2D890CB9"/>
    <w:multiLevelType w:val="multilevel"/>
    <w:tmpl w:val="9684C7FA"/>
    <w:styleLink w:val="CurrentList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abstractNum w:abstractNumId="4" w15:restartNumberingAfterBreak="0">
    <w:nsid w:val="7AB240C7"/>
    <w:multiLevelType w:val="multilevel"/>
    <w:tmpl w:val="9684C7FA"/>
    <w:styleLink w:val="Current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D6A1893"/>
    <w:multiLevelType w:val="multilevel"/>
    <w:tmpl w:val="9684C7FA"/>
    <w:styleLink w:val="CurrentList3"/>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16cid:durableId="497573681">
    <w:abstractNumId w:val="0"/>
  </w:num>
  <w:num w:numId="2" w16cid:durableId="557671165">
    <w:abstractNumId w:val="1"/>
  </w:num>
  <w:num w:numId="3" w16cid:durableId="323508696">
    <w:abstractNumId w:val="5"/>
  </w:num>
  <w:num w:numId="4" w16cid:durableId="172115573">
    <w:abstractNumId w:val="4"/>
  </w:num>
  <w:num w:numId="5" w16cid:durableId="376008883">
    <w:abstractNumId w:val="2"/>
  </w:num>
  <w:num w:numId="6" w16cid:durableId="234126678">
    <w:abstractNumId w:val="3"/>
  </w:num>
  <w:num w:numId="7" w16cid:durableId="677774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416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845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it-IT" w:vendorID="64" w:dllVersion="0" w:nlCheck="1" w:checkStyle="0"/>
  <w:activeWritingStyle w:appName="MSWord" w:lang="de-AT" w:vendorID="64" w:dllVersion="0" w:nlCheck="1" w:checkStyle="0"/>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CO" w:vendorID="64" w:dllVersion="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03D8C"/>
    <w:rsid w:val="00007FEA"/>
    <w:rsid w:val="00010072"/>
    <w:rsid w:val="000119B0"/>
    <w:rsid w:val="00011F1B"/>
    <w:rsid w:val="000149E6"/>
    <w:rsid w:val="00015D15"/>
    <w:rsid w:val="00017A45"/>
    <w:rsid w:val="00022D79"/>
    <w:rsid w:val="000247B0"/>
    <w:rsid w:val="00026997"/>
    <w:rsid w:val="00030946"/>
    <w:rsid w:val="0003334F"/>
    <w:rsid w:val="00033E0B"/>
    <w:rsid w:val="00035EDE"/>
    <w:rsid w:val="00037209"/>
    <w:rsid w:val="00040EBB"/>
    <w:rsid w:val="0004420D"/>
    <w:rsid w:val="00047117"/>
    <w:rsid w:val="00047935"/>
    <w:rsid w:val="000509B4"/>
    <w:rsid w:val="000510AD"/>
    <w:rsid w:val="0005115E"/>
    <w:rsid w:val="00054D36"/>
    <w:rsid w:val="00055407"/>
    <w:rsid w:val="0005598D"/>
    <w:rsid w:val="000561E2"/>
    <w:rsid w:val="00056415"/>
    <w:rsid w:val="0005696B"/>
    <w:rsid w:val="0006035B"/>
    <w:rsid w:val="00060610"/>
    <w:rsid w:val="00061BEF"/>
    <w:rsid w:val="0006350F"/>
    <w:rsid w:val="00071886"/>
    <w:rsid w:val="000722C5"/>
    <w:rsid w:val="00073984"/>
    <w:rsid w:val="000742BC"/>
    <w:rsid w:val="00074C80"/>
    <w:rsid w:val="0008231F"/>
    <w:rsid w:val="00082A0C"/>
    <w:rsid w:val="00083504"/>
    <w:rsid w:val="00084E62"/>
    <w:rsid w:val="0008788D"/>
    <w:rsid w:val="00087CF9"/>
    <w:rsid w:val="00091AC5"/>
    <w:rsid w:val="00092604"/>
    <w:rsid w:val="0009640C"/>
    <w:rsid w:val="00097488"/>
    <w:rsid w:val="000A58AF"/>
    <w:rsid w:val="000A5A9E"/>
    <w:rsid w:val="000B0AC3"/>
    <w:rsid w:val="000B22A2"/>
    <w:rsid w:val="000B5ED4"/>
    <w:rsid w:val="000C00E4"/>
    <w:rsid w:val="000C0A84"/>
    <w:rsid w:val="000C126C"/>
    <w:rsid w:val="000C2A52"/>
    <w:rsid w:val="000C2ADA"/>
    <w:rsid w:val="000C2CAC"/>
    <w:rsid w:val="000C500C"/>
    <w:rsid w:val="000D2770"/>
    <w:rsid w:val="000D33C0"/>
    <w:rsid w:val="000D4595"/>
    <w:rsid w:val="000D53E3"/>
    <w:rsid w:val="000D5CD0"/>
    <w:rsid w:val="000D6941"/>
    <w:rsid w:val="000D723B"/>
    <w:rsid w:val="000E1DA0"/>
    <w:rsid w:val="000E33AA"/>
    <w:rsid w:val="000E3F8E"/>
    <w:rsid w:val="000E6566"/>
    <w:rsid w:val="000F4360"/>
    <w:rsid w:val="00103B7E"/>
    <w:rsid w:val="00104DF9"/>
    <w:rsid w:val="001075A9"/>
    <w:rsid w:val="0011290C"/>
    <w:rsid w:val="001142C4"/>
    <w:rsid w:val="001202E3"/>
    <w:rsid w:val="00121F2B"/>
    <w:rsid w:val="00122590"/>
    <w:rsid w:val="00123699"/>
    <w:rsid w:val="00123795"/>
    <w:rsid w:val="00126037"/>
    <w:rsid w:val="0013059D"/>
    <w:rsid w:val="00132DC0"/>
    <w:rsid w:val="00141774"/>
    <w:rsid w:val="00141A55"/>
    <w:rsid w:val="001446A3"/>
    <w:rsid w:val="0015043D"/>
    <w:rsid w:val="00154393"/>
    <w:rsid w:val="00155395"/>
    <w:rsid w:val="00160D74"/>
    <w:rsid w:val="0016656F"/>
    <w:rsid w:val="00167D02"/>
    <w:rsid w:val="00172595"/>
    <w:rsid w:val="00173456"/>
    <w:rsid w:val="00174418"/>
    <w:rsid w:val="00180CBB"/>
    <w:rsid w:val="00181EC8"/>
    <w:rsid w:val="00182ED7"/>
    <w:rsid w:val="00184349"/>
    <w:rsid w:val="00186830"/>
    <w:rsid w:val="00195F33"/>
    <w:rsid w:val="001A269A"/>
    <w:rsid w:val="001A61CB"/>
    <w:rsid w:val="001B1617"/>
    <w:rsid w:val="001B3D3E"/>
    <w:rsid w:val="001B4602"/>
    <w:rsid w:val="001B504B"/>
    <w:rsid w:val="001B60ED"/>
    <w:rsid w:val="001B6DC6"/>
    <w:rsid w:val="001C5D46"/>
    <w:rsid w:val="001D00EC"/>
    <w:rsid w:val="001D3874"/>
    <w:rsid w:val="001D70C9"/>
    <w:rsid w:val="001D7542"/>
    <w:rsid w:val="001D7E75"/>
    <w:rsid w:val="001E56D2"/>
    <w:rsid w:val="001E749A"/>
    <w:rsid w:val="001E7D56"/>
    <w:rsid w:val="001F1BC3"/>
    <w:rsid w:val="001F37E4"/>
    <w:rsid w:val="001F5E35"/>
    <w:rsid w:val="001F5E66"/>
    <w:rsid w:val="001F741E"/>
    <w:rsid w:val="001F75DE"/>
    <w:rsid w:val="00200D58"/>
    <w:rsid w:val="002013BE"/>
    <w:rsid w:val="00204DD5"/>
    <w:rsid w:val="002063A4"/>
    <w:rsid w:val="00210F55"/>
    <w:rsid w:val="0021145B"/>
    <w:rsid w:val="002147FC"/>
    <w:rsid w:val="00214D4A"/>
    <w:rsid w:val="00216305"/>
    <w:rsid w:val="00217114"/>
    <w:rsid w:val="00217C28"/>
    <w:rsid w:val="00220BFF"/>
    <w:rsid w:val="00223E23"/>
    <w:rsid w:val="00231647"/>
    <w:rsid w:val="00232CE3"/>
    <w:rsid w:val="00233C19"/>
    <w:rsid w:val="00237C90"/>
    <w:rsid w:val="00243D36"/>
    <w:rsid w:val="00247707"/>
    <w:rsid w:val="00250826"/>
    <w:rsid w:val="00253F5F"/>
    <w:rsid w:val="0026018E"/>
    <w:rsid w:val="00263978"/>
    <w:rsid w:val="002646B8"/>
    <w:rsid w:val="002677BA"/>
    <w:rsid w:val="00267BA3"/>
    <w:rsid w:val="002711A9"/>
    <w:rsid w:val="002752C5"/>
    <w:rsid w:val="00282C8A"/>
    <w:rsid w:val="00282D36"/>
    <w:rsid w:val="00285F9B"/>
    <w:rsid w:val="00286740"/>
    <w:rsid w:val="002929D8"/>
    <w:rsid w:val="00293CD8"/>
    <w:rsid w:val="00294925"/>
    <w:rsid w:val="00295D5A"/>
    <w:rsid w:val="002A21C2"/>
    <w:rsid w:val="002A237D"/>
    <w:rsid w:val="002A3CCE"/>
    <w:rsid w:val="002A4C53"/>
    <w:rsid w:val="002A7F79"/>
    <w:rsid w:val="002B0672"/>
    <w:rsid w:val="002B247F"/>
    <w:rsid w:val="002B3DC0"/>
    <w:rsid w:val="002B6A61"/>
    <w:rsid w:val="002B7BDD"/>
    <w:rsid w:val="002C145D"/>
    <w:rsid w:val="002C1B2E"/>
    <w:rsid w:val="002C2C3E"/>
    <w:rsid w:val="002C4D6F"/>
    <w:rsid w:val="002C4E38"/>
    <w:rsid w:val="002C51AE"/>
    <w:rsid w:val="002C533E"/>
    <w:rsid w:val="002D027F"/>
    <w:rsid w:val="002D333C"/>
    <w:rsid w:val="002D6168"/>
    <w:rsid w:val="002D6392"/>
    <w:rsid w:val="002D7A85"/>
    <w:rsid w:val="002D7B60"/>
    <w:rsid w:val="002E04FD"/>
    <w:rsid w:val="002F4761"/>
    <w:rsid w:val="002F52E9"/>
    <w:rsid w:val="002F581B"/>
    <w:rsid w:val="002F5C79"/>
    <w:rsid w:val="003019E2"/>
    <w:rsid w:val="0030263F"/>
    <w:rsid w:val="00303364"/>
    <w:rsid w:val="0030698C"/>
    <w:rsid w:val="003135C8"/>
    <w:rsid w:val="0031413F"/>
    <w:rsid w:val="003148BB"/>
    <w:rsid w:val="00317009"/>
    <w:rsid w:val="003178CC"/>
    <w:rsid w:val="00317976"/>
    <w:rsid w:val="003179C9"/>
    <w:rsid w:val="00322A37"/>
    <w:rsid w:val="00326E4C"/>
    <w:rsid w:val="003271CA"/>
    <w:rsid w:val="003275D3"/>
    <w:rsid w:val="003279DF"/>
    <w:rsid w:val="00331313"/>
    <w:rsid w:val="003313E8"/>
    <w:rsid w:val="0033144F"/>
    <w:rsid w:val="003352AE"/>
    <w:rsid w:val="00335FEB"/>
    <w:rsid w:val="00337740"/>
    <w:rsid w:val="003401DB"/>
    <w:rsid w:val="003416A3"/>
    <w:rsid w:val="00341E05"/>
    <w:rsid w:val="00350015"/>
    <w:rsid w:val="00352533"/>
    <w:rsid w:val="00355EA9"/>
    <w:rsid w:val="00356E38"/>
    <w:rsid w:val="003578DE"/>
    <w:rsid w:val="003613D1"/>
    <w:rsid w:val="00361817"/>
    <w:rsid w:val="00362379"/>
    <w:rsid w:val="003628C9"/>
    <w:rsid w:val="003666B5"/>
    <w:rsid w:val="003703FE"/>
    <w:rsid w:val="003709DB"/>
    <w:rsid w:val="00371D8E"/>
    <w:rsid w:val="003773BE"/>
    <w:rsid w:val="003814DA"/>
    <w:rsid w:val="0038250C"/>
    <w:rsid w:val="003874F0"/>
    <w:rsid w:val="0039387F"/>
    <w:rsid w:val="00395575"/>
    <w:rsid w:val="00396257"/>
    <w:rsid w:val="00396E99"/>
    <w:rsid w:val="00397EB8"/>
    <w:rsid w:val="003A1970"/>
    <w:rsid w:val="003A1B42"/>
    <w:rsid w:val="003A4FD0"/>
    <w:rsid w:val="003A69D1"/>
    <w:rsid w:val="003A6B7D"/>
    <w:rsid w:val="003A7705"/>
    <w:rsid w:val="003A77F1"/>
    <w:rsid w:val="003B0AA2"/>
    <w:rsid w:val="003B1545"/>
    <w:rsid w:val="003B49BA"/>
    <w:rsid w:val="003B506F"/>
    <w:rsid w:val="003B645E"/>
    <w:rsid w:val="003C215D"/>
    <w:rsid w:val="003C2F0E"/>
    <w:rsid w:val="003C409D"/>
    <w:rsid w:val="003C5BA6"/>
    <w:rsid w:val="003C630D"/>
    <w:rsid w:val="003D194C"/>
    <w:rsid w:val="003D3455"/>
    <w:rsid w:val="003D3ADB"/>
    <w:rsid w:val="003D643E"/>
    <w:rsid w:val="003D7833"/>
    <w:rsid w:val="003E0989"/>
    <w:rsid w:val="003E09C4"/>
    <w:rsid w:val="003E1E43"/>
    <w:rsid w:val="003E35D3"/>
    <w:rsid w:val="003E49FB"/>
    <w:rsid w:val="003E5393"/>
    <w:rsid w:val="003E72EA"/>
    <w:rsid w:val="003E756C"/>
    <w:rsid w:val="003F0841"/>
    <w:rsid w:val="003F0E85"/>
    <w:rsid w:val="003F16AE"/>
    <w:rsid w:val="003F19DB"/>
    <w:rsid w:val="003F28DC"/>
    <w:rsid w:val="00405830"/>
    <w:rsid w:val="00410C55"/>
    <w:rsid w:val="00416854"/>
    <w:rsid w:val="00417725"/>
    <w:rsid w:val="00423F12"/>
    <w:rsid w:val="00431E2A"/>
    <w:rsid w:val="00432EEE"/>
    <w:rsid w:val="00436DF9"/>
    <w:rsid w:val="004376CA"/>
    <w:rsid w:val="00437F26"/>
    <w:rsid w:val="004425E8"/>
    <w:rsid w:val="00444097"/>
    <w:rsid w:val="00445487"/>
    <w:rsid w:val="00445AFE"/>
    <w:rsid w:val="00450C50"/>
    <w:rsid w:val="0045129C"/>
    <w:rsid w:val="00453A04"/>
    <w:rsid w:val="00454769"/>
    <w:rsid w:val="0045753E"/>
    <w:rsid w:val="004579B0"/>
    <w:rsid w:val="00460B91"/>
    <w:rsid w:val="00460F91"/>
    <w:rsid w:val="00464635"/>
    <w:rsid w:val="00466991"/>
    <w:rsid w:val="00466DEB"/>
    <w:rsid w:val="00470156"/>
    <w:rsid w:val="0047064C"/>
    <w:rsid w:val="0047242A"/>
    <w:rsid w:val="00483245"/>
    <w:rsid w:val="004837CF"/>
    <w:rsid w:val="00483AEB"/>
    <w:rsid w:val="004845BF"/>
    <w:rsid w:val="004910D7"/>
    <w:rsid w:val="00491FDB"/>
    <w:rsid w:val="004926A5"/>
    <w:rsid w:val="004A13B4"/>
    <w:rsid w:val="004A2891"/>
    <w:rsid w:val="004A28FE"/>
    <w:rsid w:val="004A2AE3"/>
    <w:rsid w:val="004A42E1"/>
    <w:rsid w:val="004A739D"/>
    <w:rsid w:val="004A7B5E"/>
    <w:rsid w:val="004B162C"/>
    <w:rsid w:val="004B6F63"/>
    <w:rsid w:val="004B7B83"/>
    <w:rsid w:val="004C0F59"/>
    <w:rsid w:val="004C1BCC"/>
    <w:rsid w:val="004C1C4E"/>
    <w:rsid w:val="004C3DBE"/>
    <w:rsid w:val="004C3E0A"/>
    <w:rsid w:val="004C5942"/>
    <w:rsid w:val="004C5C96"/>
    <w:rsid w:val="004C7D7B"/>
    <w:rsid w:val="004D06A4"/>
    <w:rsid w:val="004D18D4"/>
    <w:rsid w:val="004D1E23"/>
    <w:rsid w:val="004D2C79"/>
    <w:rsid w:val="004D36D4"/>
    <w:rsid w:val="004D465C"/>
    <w:rsid w:val="004E12ED"/>
    <w:rsid w:val="004E19D5"/>
    <w:rsid w:val="004E3C88"/>
    <w:rsid w:val="004F1A81"/>
    <w:rsid w:val="004F20C1"/>
    <w:rsid w:val="004F605D"/>
    <w:rsid w:val="004F74C0"/>
    <w:rsid w:val="004F7DB0"/>
    <w:rsid w:val="00500758"/>
    <w:rsid w:val="005008C9"/>
    <w:rsid w:val="005017D4"/>
    <w:rsid w:val="00501FC8"/>
    <w:rsid w:val="0051159F"/>
    <w:rsid w:val="0051385E"/>
    <w:rsid w:val="00514574"/>
    <w:rsid w:val="00515348"/>
    <w:rsid w:val="00520A30"/>
    <w:rsid w:val="005218D9"/>
    <w:rsid w:val="00524FD1"/>
    <w:rsid w:val="00527043"/>
    <w:rsid w:val="00530323"/>
    <w:rsid w:val="00531064"/>
    <w:rsid w:val="0053162D"/>
    <w:rsid w:val="00531F16"/>
    <w:rsid w:val="00533754"/>
    <w:rsid w:val="00536186"/>
    <w:rsid w:val="005402A3"/>
    <w:rsid w:val="00541F29"/>
    <w:rsid w:val="00542F52"/>
    <w:rsid w:val="00543FBD"/>
    <w:rsid w:val="00544CBB"/>
    <w:rsid w:val="0056029F"/>
    <w:rsid w:val="00560413"/>
    <w:rsid w:val="005650FC"/>
    <w:rsid w:val="005654B9"/>
    <w:rsid w:val="005662D5"/>
    <w:rsid w:val="00566C8A"/>
    <w:rsid w:val="00570A35"/>
    <w:rsid w:val="00571CDC"/>
    <w:rsid w:val="0057315F"/>
    <w:rsid w:val="00576104"/>
    <w:rsid w:val="00580865"/>
    <w:rsid w:val="00581A3C"/>
    <w:rsid w:val="005826F2"/>
    <w:rsid w:val="00583F12"/>
    <w:rsid w:val="005859C7"/>
    <w:rsid w:val="005876EE"/>
    <w:rsid w:val="00591006"/>
    <w:rsid w:val="0059184D"/>
    <w:rsid w:val="0059321A"/>
    <w:rsid w:val="005A3ED2"/>
    <w:rsid w:val="005A7C7E"/>
    <w:rsid w:val="005B20B1"/>
    <w:rsid w:val="005B6301"/>
    <w:rsid w:val="005B6D09"/>
    <w:rsid w:val="005C67C8"/>
    <w:rsid w:val="005C711D"/>
    <w:rsid w:val="005C7AFC"/>
    <w:rsid w:val="005C7C0B"/>
    <w:rsid w:val="005D0249"/>
    <w:rsid w:val="005D1FBE"/>
    <w:rsid w:val="005D3BAE"/>
    <w:rsid w:val="005D5955"/>
    <w:rsid w:val="005D6E8C"/>
    <w:rsid w:val="005D7251"/>
    <w:rsid w:val="005E7984"/>
    <w:rsid w:val="005F100C"/>
    <w:rsid w:val="005F18F4"/>
    <w:rsid w:val="005F1916"/>
    <w:rsid w:val="005F33D5"/>
    <w:rsid w:val="005F68DA"/>
    <w:rsid w:val="00606638"/>
    <w:rsid w:val="0060773B"/>
    <w:rsid w:val="00610796"/>
    <w:rsid w:val="0061180F"/>
    <w:rsid w:val="00614FEE"/>
    <w:rsid w:val="00615018"/>
    <w:rsid w:val="006157B5"/>
    <w:rsid w:val="00624ECD"/>
    <w:rsid w:val="006266DA"/>
    <w:rsid w:val="00626F59"/>
    <w:rsid w:val="00626FC6"/>
    <w:rsid w:val="006303B4"/>
    <w:rsid w:val="00633D3D"/>
    <w:rsid w:val="0064021B"/>
    <w:rsid w:val="00641703"/>
    <w:rsid w:val="00642F73"/>
    <w:rsid w:val="006431A6"/>
    <w:rsid w:val="006459F6"/>
    <w:rsid w:val="00645B35"/>
    <w:rsid w:val="0064608A"/>
    <w:rsid w:val="00646B54"/>
    <w:rsid w:val="006501AD"/>
    <w:rsid w:val="0065024D"/>
    <w:rsid w:val="00650705"/>
    <w:rsid w:val="00651BFA"/>
    <w:rsid w:val="00654475"/>
    <w:rsid w:val="00662DB0"/>
    <w:rsid w:val="0066459F"/>
    <w:rsid w:val="00665A4B"/>
    <w:rsid w:val="006664DA"/>
    <w:rsid w:val="0066730E"/>
    <w:rsid w:val="006677D0"/>
    <w:rsid w:val="00671A56"/>
    <w:rsid w:val="00676F98"/>
    <w:rsid w:val="006811A1"/>
    <w:rsid w:val="006869C4"/>
    <w:rsid w:val="00691889"/>
    <w:rsid w:val="0069219F"/>
    <w:rsid w:val="00692E2A"/>
    <w:rsid w:val="00694A2F"/>
    <w:rsid w:val="0069751A"/>
    <w:rsid w:val="006A3796"/>
    <w:rsid w:val="006A73FF"/>
    <w:rsid w:val="006A76F2"/>
    <w:rsid w:val="006A7A73"/>
    <w:rsid w:val="006B3B2D"/>
    <w:rsid w:val="006B43CD"/>
    <w:rsid w:val="006B6E4B"/>
    <w:rsid w:val="006C16DD"/>
    <w:rsid w:val="006D5400"/>
    <w:rsid w:val="006D5ACE"/>
    <w:rsid w:val="006D7EFB"/>
    <w:rsid w:val="006E0F49"/>
    <w:rsid w:val="006E1E7C"/>
    <w:rsid w:val="006E22E0"/>
    <w:rsid w:val="006E2E48"/>
    <w:rsid w:val="006E37EC"/>
    <w:rsid w:val="006E6672"/>
    <w:rsid w:val="006E6722"/>
    <w:rsid w:val="006F15CB"/>
    <w:rsid w:val="006F1690"/>
    <w:rsid w:val="006F18E0"/>
    <w:rsid w:val="006F3F17"/>
    <w:rsid w:val="006F431C"/>
    <w:rsid w:val="006F43A6"/>
    <w:rsid w:val="006F6FB2"/>
    <w:rsid w:val="007001EA"/>
    <w:rsid w:val="00700AD7"/>
    <w:rsid w:val="007027B9"/>
    <w:rsid w:val="0070418B"/>
    <w:rsid w:val="00704D9A"/>
    <w:rsid w:val="00712F3C"/>
    <w:rsid w:val="00715CC8"/>
    <w:rsid w:val="00715E88"/>
    <w:rsid w:val="00722EF8"/>
    <w:rsid w:val="00723096"/>
    <w:rsid w:val="00725E79"/>
    <w:rsid w:val="0073179C"/>
    <w:rsid w:val="00733067"/>
    <w:rsid w:val="00734CAA"/>
    <w:rsid w:val="00741BDD"/>
    <w:rsid w:val="00742C00"/>
    <w:rsid w:val="0075076C"/>
    <w:rsid w:val="007545E0"/>
    <w:rsid w:val="007548BC"/>
    <w:rsid w:val="0075533C"/>
    <w:rsid w:val="0075536E"/>
    <w:rsid w:val="00757581"/>
    <w:rsid w:val="007611A0"/>
    <w:rsid w:val="00761E3F"/>
    <w:rsid w:val="00761E49"/>
    <w:rsid w:val="007643A3"/>
    <w:rsid w:val="00767AF9"/>
    <w:rsid w:val="007734B2"/>
    <w:rsid w:val="00773642"/>
    <w:rsid w:val="00773FF2"/>
    <w:rsid w:val="007756AB"/>
    <w:rsid w:val="00785F4B"/>
    <w:rsid w:val="0078612A"/>
    <w:rsid w:val="00787251"/>
    <w:rsid w:val="00790111"/>
    <w:rsid w:val="00793F76"/>
    <w:rsid w:val="00796D3F"/>
    <w:rsid w:val="007A0616"/>
    <w:rsid w:val="007A100C"/>
    <w:rsid w:val="007A1683"/>
    <w:rsid w:val="007A40CD"/>
    <w:rsid w:val="007A4721"/>
    <w:rsid w:val="007A4BDA"/>
    <w:rsid w:val="007A5C12"/>
    <w:rsid w:val="007A7CB0"/>
    <w:rsid w:val="007B68A3"/>
    <w:rsid w:val="007B6B88"/>
    <w:rsid w:val="007B72EB"/>
    <w:rsid w:val="007C03E5"/>
    <w:rsid w:val="007C0500"/>
    <w:rsid w:val="007C109E"/>
    <w:rsid w:val="007C2541"/>
    <w:rsid w:val="007D04A4"/>
    <w:rsid w:val="007D1563"/>
    <w:rsid w:val="007D161D"/>
    <w:rsid w:val="007D1E93"/>
    <w:rsid w:val="007D4747"/>
    <w:rsid w:val="007D66A8"/>
    <w:rsid w:val="007E003F"/>
    <w:rsid w:val="007E22E5"/>
    <w:rsid w:val="007E6B6E"/>
    <w:rsid w:val="007E7193"/>
    <w:rsid w:val="007F328E"/>
    <w:rsid w:val="007F3831"/>
    <w:rsid w:val="008013E6"/>
    <w:rsid w:val="00802698"/>
    <w:rsid w:val="0081144D"/>
    <w:rsid w:val="0081226B"/>
    <w:rsid w:val="0081477F"/>
    <w:rsid w:val="008164F2"/>
    <w:rsid w:val="00821395"/>
    <w:rsid w:val="0082178F"/>
    <w:rsid w:val="00826F84"/>
    <w:rsid w:val="00830E26"/>
    <w:rsid w:val="00836286"/>
    <w:rsid w:val="00843576"/>
    <w:rsid w:val="00843B64"/>
    <w:rsid w:val="00845244"/>
    <w:rsid w:val="0084725A"/>
    <w:rsid w:val="008478FC"/>
    <w:rsid w:val="008539AC"/>
    <w:rsid w:val="0085414E"/>
    <w:rsid w:val="00857579"/>
    <w:rsid w:val="0086239E"/>
    <w:rsid w:val="00863178"/>
    <w:rsid w:val="0086348E"/>
    <w:rsid w:val="00863A1C"/>
    <w:rsid w:val="008673BA"/>
    <w:rsid w:val="00867BFF"/>
    <w:rsid w:val="008764E4"/>
    <w:rsid w:val="0087783C"/>
    <w:rsid w:val="008803B1"/>
    <w:rsid w:val="008806EA"/>
    <w:rsid w:val="008807C6"/>
    <w:rsid w:val="00880A35"/>
    <w:rsid w:val="00884639"/>
    <w:rsid w:val="0088480A"/>
    <w:rsid w:val="00884FE4"/>
    <w:rsid w:val="0088757A"/>
    <w:rsid w:val="00890328"/>
    <w:rsid w:val="00890EB1"/>
    <w:rsid w:val="00891506"/>
    <w:rsid w:val="008957DD"/>
    <w:rsid w:val="00896CC9"/>
    <w:rsid w:val="00897D98"/>
    <w:rsid w:val="008A1197"/>
    <w:rsid w:val="008A5F6A"/>
    <w:rsid w:val="008A6DF2"/>
    <w:rsid w:val="008A7807"/>
    <w:rsid w:val="008B1420"/>
    <w:rsid w:val="008B1BFE"/>
    <w:rsid w:val="008B4CC9"/>
    <w:rsid w:val="008C500A"/>
    <w:rsid w:val="008D1BC9"/>
    <w:rsid w:val="008D2C27"/>
    <w:rsid w:val="008D38D0"/>
    <w:rsid w:val="008D3D0B"/>
    <w:rsid w:val="008D4A10"/>
    <w:rsid w:val="008D7C99"/>
    <w:rsid w:val="008E0FCB"/>
    <w:rsid w:val="008E27D8"/>
    <w:rsid w:val="008E3CE7"/>
    <w:rsid w:val="008E3E57"/>
    <w:rsid w:val="008E4553"/>
    <w:rsid w:val="008E471E"/>
    <w:rsid w:val="008E542F"/>
    <w:rsid w:val="008F09C5"/>
    <w:rsid w:val="008F69B3"/>
    <w:rsid w:val="008F76D9"/>
    <w:rsid w:val="00907F2D"/>
    <w:rsid w:val="0091335E"/>
    <w:rsid w:val="0092178C"/>
    <w:rsid w:val="00930B88"/>
    <w:rsid w:val="00931976"/>
    <w:rsid w:val="00933CB0"/>
    <w:rsid w:val="00937A45"/>
    <w:rsid w:val="00940DCC"/>
    <w:rsid w:val="0094179A"/>
    <w:rsid w:val="00942FB8"/>
    <w:rsid w:val="0094353C"/>
    <w:rsid w:val="0094459E"/>
    <w:rsid w:val="00944DBC"/>
    <w:rsid w:val="0094626E"/>
    <w:rsid w:val="00950977"/>
    <w:rsid w:val="00951A7B"/>
    <w:rsid w:val="00952913"/>
    <w:rsid w:val="0095439C"/>
    <w:rsid w:val="00955908"/>
    <w:rsid w:val="009564A6"/>
    <w:rsid w:val="00956CF5"/>
    <w:rsid w:val="00957AB9"/>
    <w:rsid w:val="009620CB"/>
    <w:rsid w:val="00967621"/>
    <w:rsid w:val="00967E6A"/>
    <w:rsid w:val="00970BC0"/>
    <w:rsid w:val="00973919"/>
    <w:rsid w:val="00977BC5"/>
    <w:rsid w:val="00980059"/>
    <w:rsid w:val="00980067"/>
    <w:rsid w:val="00986E00"/>
    <w:rsid w:val="009938AC"/>
    <w:rsid w:val="00994EDF"/>
    <w:rsid w:val="009A05E6"/>
    <w:rsid w:val="009A1A27"/>
    <w:rsid w:val="009A21C5"/>
    <w:rsid w:val="009A26C6"/>
    <w:rsid w:val="009A2740"/>
    <w:rsid w:val="009A3826"/>
    <w:rsid w:val="009A49D0"/>
    <w:rsid w:val="009A759C"/>
    <w:rsid w:val="009B3BB8"/>
    <w:rsid w:val="009B3FEC"/>
    <w:rsid w:val="009B4A0F"/>
    <w:rsid w:val="009B5147"/>
    <w:rsid w:val="009B52F8"/>
    <w:rsid w:val="009B7BAE"/>
    <w:rsid w:val="009C11D2"/>
    <w:rsid w:val="009C2E04"/>
    <w:rsid w:val="009C343A"/>
    <w:rsid w:val="009C6C70"/>
    <w:rsid w:val="009C73B3"/>
    <w:rsid w:val="009D0B63"/>
    <w:rsid w:val="009D2B9A"/>
    <w:rsid w:val="009E307E"/>
    <w:rsid w:val="009E4324"/>
    <w:rsid w:val="009E7747"/>
    <w:rsid w:val="00A04CF7"/>
    <w:rsid w:val="00A05ACE"/>
    <w:rsid w:val="00A07687"/>
    <w:rsid w:val="00A07870"/>
    <w:rsid w:val="00A07F19"/>
    <w:rsid w:val="00A12078"/>
    <w:rsid w:val="00A1348D"/>
    <w:rsid w:val="00A141F7"/>
    <w:rsid w:val="00A16EDF"/>
    <w:rsid w:val="00A17202"/>
    <w:rsid w:val="00A175FE"/>
    <w:rsid w:val="00A21633"/>
    <w:rsid w:val="00A21CB8"/>
    <w:rsid w:val="00A22A0D"/>
    <w:rsid w:val="00A232EE"/>
    <w:rsid w:val="00A24B80"/>
    <w:rsid w:val="00A273FF"/>
    <w:rsid w:val="00A30122"/>
    <w:rsid w:val="00A3139A"/>
    <w:rsid w:val="00A339A9"/>
    <w:rsid w:val="00A33AC9"/>
    <w:rsid w:val="00A34161"/>
    <w:rsid w:val="00A349EB"/>
    <w:rsid w:val="00A4175F"/>
    <w:rsid w:val="00A43D7F"/>
    <w:rsid w:val="00A44411"/>
    <w:rsid w:val="00A44F31"/>
    <w:rsid w:val="00A469FA"/>
    <w:rsid w:val="00A520D2"/>
    <w:rsid w:val="00A521EA"/>
    <w:rsid w:val="00A54604"/>
    <w:rsid w:val="00A55B01"/>
    <w:rsid w:val="00A56B5B"/>
    <w:rsid w:val="00A5745C"/>
    <w:rsid w:val="00A603FF"/>
    <w:rsid w:val="00A61BFB"/>
    <w:rsid w:val="00A61F04"/>
    <w:rsid w:val="00A650F9"/>
    <w:rsid w:val="00A657DD"/>
    <w:rsid w:val="00A65DBB"/>
    <w:rsid w:val="00A666A6"/>
    <w:rsid w:val="00A675FD"/>
    <w:rsid w:val="00A72437"/>
    <w:rsid w:val="00A727CE"/>
    <w:rsid w:val="00A741CF"/>
    <w:rsid w:val="00A74DE2"/>
    <w:rsid w:val="00A80611"/>
    <w:rsid w:val="00A81FEF"/>
    <w:rsid w:val="00A92E89"/>
    <w:rsid w:val="00AA7FA6"/>
    <w:rsid w:val="00AB41F9"/>
    <w:rsid w:val="00AB5340"/>
    <w:rsid w:val="00AB7ECC"/>
    <w:rsid w:val="00AC0A89"/>
    <w:rsid w:val="00AC2BC8"/>
    <w:rsid w:val="00AC3C4D"/>
    <w:rsid w:val="00AC40C3"/>
    <w:rsid w:val="00AC4685"/>
    <w:rsid w:val="00AC6A44"/>
    <w:rsid w:val="00AC7C96"/>
    <w:rsid w:val="00AD11DC"/>
    <w:rsid w:val="00AD1EEB"/>
    <w:rsid w:val="00AD711F"/>
    <w:rsid w:val="00AD7323"/>
    <w:rsid w:val="00AE237D"/>
    <w:rsid w:val="00AE3E33"/>
    <w:rsid w:val="00AE502A"/>
    <w:rsid w:val="00AE67C5"/>
    <w:rsid w:val="00AE69FB"/>
    <w:rsid w:val="00AE6D21"/>
    <w:rsid w:val="00AF35F5"/>
    <w:rsid w:val="00AF7C07"/>
    <w:rsid w:val="00B06280"/>
    <w:rsid w:val="00B11542"/>
    <w:rsid w:val="00B167CD"/>
    <w:rsid w:val="00B16A1C"/>
    <w:rsid w:val="00B22C93"/>
    <w:rsid w:val="00B2305D"/>
    <w:rsid w:val="00B23191"/>
    <w:rsid w:val="00B23201"/>
    <w:rsid w:val="00B23BE8"/>
    <w:rsid w:val="00B24172"/>
    <w:rsid w:val="00B24C6C"/>
    <w:rsid w:val="00B27589"/>
    <w:rsid w:val="00B353F3"/>
    <w:rsid w:val="00B3669D"/>
    <w:rsid w:val="00B405B7"/>
    <w:rsid w:val="00B46BEA"/>
    <w:rsid w:val="00B47562"/>
    <w:rsid w:val="00B478B1"/>
    <w:rsid w:val="00B52222"/>
    <w:rsid w:val="00B52D8F"/>
    <w:rsid w:val="00B54810"/>
    <w:rsid w:val="00B54FE7"/>
    <w:rsid w:val="00B65C7F"/>
    <w:rsid w:val="00B66901"/>
    <w:rsid w:val="00B67119"/>
    <w:rsid w:val="00B674E2"/>
    <w:rsid w:val="00B71E6D"/>
    <w:rsid w:val="00B72070"/>
    <w:rsid w:val="00B73E34"/>
    <w:rsid w:val="00B744FD"/>
    <w:rsid w:val="00B75FA8"/>
    <w:rsid w:val="00B779E1"/>
    <w:rsid w:val="00B77EB6"/>
    <w:rsid w:val="00B90F9F"/>
    <w:rsid w:val="00B91EE1"/>
    <w:rsid w:val="00B950E1"/>
    <w:rsid w:val="00B9791D"/>
    <w:rsid w:val="00BA0000"/>
    <w:rsid w:val="00BA0090"/>
    <w:rsid w:val="00BA1A67"/>
    <w:rsid w:val="00BA42D4"/>
    <w:rsid w:val="00BA4B7E"/>
    <w:rsid w:val="00BA53FF"/>
    <w:rsid w:val="00BA549D"/>
    <w:rsid w:val="00BA6A62"/>
    <w:rsid w:val="00BB2001"/>
    <w:rsid w:val="00BB4E49"/>
    <w:rsid w:val="00BD005F"/>
    <w:rsid w:val="00BD396A"/>
    <w:rsid w:val="00BE5B5F"/>
    <w:rsid w:val="00BF1161"/>
    <w:rsid w:val="00BF1F7B"/>
    <w:rsid w:val="00C0136D"/>
    <w:rsid w:val="00C0139F"/>
    <w:rsid w:val="00C015B2"/>
    <w:rsid w:val="00C024C8"/>
    <w:rsid w:val="00C0719A"/>
    <w:rsid w:val="00C130A3"/>
    <w:rsid w:val="00C1409D"/>
    <w:rsid w:val="00C14CCF"/>
    <w:rsid w:val="00C16327"/>
    <w:rsid w:val="00C163CD"/>
    <w:rsid w:val="00C204A5"/>
    <w:rsid w:val="00C20522"/>
    <w:rsid w:val="00C26F55"/>
    <w:rsid w:val="00C30C63"/>
    <w:rsid w:val="00C326AE"/>
    <w:rsid w:val="00C3279E"/>
    <w:rsid w:val="00C32A6F"/>
    <w:rsid w:val="00C36B84"/>
    <w:rsid w:val="00C36B8B"/>
    <w:rsid w:val="00C415C1"/>
    <w:rsid w:val="00C44C09"/>
    <w:rsid w:val="00C47DBF"/>
    <w:rsid w:val="00C545B3"/>
    <w:rsid w:val="00C545D1"/>
    <w:rsid w:val="00C552FF"/>
    <w:rsid w:val="00C558DA"/>
    <w:rsid w:val="00C55AF3"/>
    <w:rsid w:val="00C60911"/>
    <w:rsid w:val="00C61801"/>
    <w:rsid w:val="00C63C4C"/>
    <w:rsid w:val="00C6471C"/>
    <w:rsid w:val="00C65F1B"/>
    <w:rsid w:val="00C70DA7"/>
    <w:rsid w:val="00C8068B"/>
    <w:rsid w:val="00C83835"/>
    <w:rsid w:val="00C84759"/>
    <w:rsid w:val="00C852EF"/>
    <w:rsid w:val="00C85C50"/>
    <w:rsid w:val="00C9173A"/>
    <w:rsid w:val="00C93749"/>
    <w:rsid w:val="00CA50D5"/>
    <w:rsid w:val="00CA5BC2"/>
    <w:rsid w:val="00CA6C7F"/>
    <w:rsid w:val="00CB31F5"/>
    <w:rsid w:val="00CB441D"/>
    <w:rsid w:val="00CC10A6"/>
    <w:rsid w:val="00CC4076"/>
    <w:rsid w:val="00CD1F81"/>
    <w:rsid w:val="00CD3BEB"/>
    <w:rsid w:val="00CD5EB8"/>
    <w:rsid w:val="00CD7044"/>
    <w:rsid w:val="00CE08B9"/>
    <w:rsid w:val="00CE33AC"/>
    <w:rsid w:val="00CE524C"/>
    <w:rsid w:val="00CE551D"/>
    <w:rsid w:val="00CE6B46"/>
    <w:rsid w:val="00CE6F65"/>
    <w:rsid w:val="00CF141F"/>
    <w:rsid w:val="00CF4777"/>
    <w:rsid w:val="00CF5287"/>
    <w:rsid w:val="00CF63B1"/>
    <w:rsid w:val="00CF6937"/>
    <w:rsid w:val="00CF6D37"/>
    <w:rsid w:val="00D0233D"/>
    <w:rsid w:val="00D03C5D"/>
    <w:rsid w:val="00D067BB"/>
    <w:rsid w:val="00D07E28"/>
    <w:rsid w:val="00D10EE0"/>
    <w:rsid w:val="00D11C79"/>
    <w:rsid w:val="00D1352A"/>
    <w:rsid w:val="00D169AF"/>
    <w:rsid w:val="00D1705D"/>
    <w:rsid w:val="00D231FD"/>
    <w:rsid w:val="00D25249"/>
    <w:rsid w:val="00D30B48"/>
    <w:rsid w:val="00D44172"/>
    <w:rsid w:val="00D4734C"/>
    <w:rsid w:val="00D55346"/>
    <w:rsid w:val="00D63B8C"/>
    <w:rsid w:val="00D65942"/>
    <w:rsid w:val="00D6688D"/>
    <w:rsid w:val="00D67A1A"/>
    <w:rsid w:val="00D739CC"/>
    <w:rsid w:val="00D754A6"/>
    <w:rsid w:val="00D75E50"/>
    <w:rsid w:val="00D7695A"/>
    <w:rsid w:val="00D77110"/>
    <w:rsid w:val="00D8093D"/>
    <w:rsid w:val="00D81032"/>
    <w:rsid w:val="00D8108C"/>
    <w:rsid w:val="00D82C98"/>
    <w:rsid w:val="00D842AE"/>
    <w:rsid w:val="00D845D6"/>
    <w:rsid w:val="00D874D7"/>
    <w:rsid w:val="00D90C60"/>
    <w:rsid w:val="00D9211C"/>
    <w:rsid w:val="00D92DE0"/>
    <w:rsid w:val="00D92FEF"/>
    <w:rsid w:val="00D9375E"/>
    <w:rsid w:val="00D93A0F"/>
    <w:rsid w:val="00D95FFA"/>
    <w:rsid w:val="00D97F75"/>
    <w:rsid w:val="00DA0CEB"/>
    <w:rsid w:val="00DA0D04"/>
    <w:rsid w:val="00DA1BCA"/>
    <w:rsid w:val="00DA4EA8"/>
    <w:rsid w:val="00DB188B"/>
    <w:rsid w:val="00DB6395"/>
    <w:rsid w:val="00DC46FF"/>
    <w:rsid w:val="00DC5254"/>
    <w:rsid w:val="00DC6F0B"/>
    <w:rsid w:val="00DD1A4F"/>
    <w:rsid w:val="00DD1D2A"/>
    <w:rsid w:val="00DD3107"/>
    <w:rsid w:val="00DD3266"/>
    <w:rsid w:val="00DD47A7"/>
    <w:rsid w:val="00DD7C2C"/>
    <w:rsid w:val="00DE06EA"/>
    <w:rsid w:val="00DE30D5"/>
    <w:rsid w:val="00DE61AB"/>
    <w:rsid w:val="00DF46CA"/>
    <w:rsid w:val="00DF48FF"/>
    <w:rsid w:val="00DF6DC7"/>
    <w:rsid w:val="00DF712E"/>
    <w:rsid w:val="00E0144C"/>
    <w:rsid w:val="00E03D3D"/>
    <w:rsid w:val="00E06797"/>
    <w:rsid w:val="00E07236"/>
    <w:rsid w:val="00E11B64"/>
    <w:rsid w:val="00E1265B"/>
    <w:rsid w:val="00E13B48"/>
    <w:rsid w:val="00E1404F"/>
    <w:rsid w:val="00E15DD7"/>
    <w:rsid w:val="00E21540"/>
    <w:rsid w:val="00E21C83"/>
    <w:rsid w:val="00E22FDE"/>
    <w:rsid w:val="00E23AFA"/>
    <w:rsid w:val="00E23D09"/>
    <w:rsid w:val="00E23FA8"/>
    <w:rsid w:val="00E24ADA"/>
    <w:rsid w:val="00E30DB1"/>
    <w:rsid w:val="00E32F59"/>
    <w:rsid w:val="00E3326B"/>
    <w:rsid w:val="00E335C8"/>
    <w:rsid w:val="00E341DB"/>
    <w:rsid w:val="00E344FF"/>
    <w:rsid w:val="00E34A5B"/>
    <w:rsid w:val="00E40D22"/>
    <w:rsid w:val="00E42232"/>
    <w:rsid w:val="00E454F8"/>
    <w:rsid w:val="00E46D9A"/>
    <w:rsid w:val="00E565FF"/>
    <w:rsid w:val="00E61FB9"/>
    <w:rsid w:val="00E631C4"/>
    <w:rsid w:val="00E65388"/>
    <w:rsid w:val="00E65D30"/>
    <w:rsid w:val="00E66211"/>
    <w:rsid w:val="00E66F33"/>
    <w:rsid w:val="00E71D1F"/>
    <w:rsid w:val="00E7572D"/>
    <w:rsid w:val="00E77DD2"/>
    <w:rsid w:val="00E81D8F"/>
    <w:rsid w:val="00E85268"/>
    <w:rsid w:val="00E854BA"/>
    <w:rsid w:val="00E85B7D"/>
    <w:rsid w:val="00E85F54"/>
    <w:rsid w:val="00E87EB7"/>
    <w:rsid w:val="00E9121B"/>
    <w:rsid w:val="00EA0AE2"/>
    <w:rsid w:val="00EA0F59"/>
    <w:rsid w:val="00EA2F3F"/>
    <w:rsid w:val="00EA39E5"/>
    <w:rsid w:val="00EB07A1"/>
    <w:rsid w:val="00EB56D8"/>
    <w:rsid w:val="00EB60E4"/>
    <w:rsid w:val="00EB643C"/>
    <w:rsid w:val="00EC0B3B"/>
    <w:rsid w:val="00EC34AA"/>
    <w:rsid w:val="00EC5A46"/>
    <w:rsid w:val="00EC63E2"/>
    <w:rsid w:val="00ED6116"/>
    <w:rsid w:val="00EE09AE"/>
    <w:rsid w:val="00EE3730"/>
    <w:rsid w:val="00EF1243"/>
    <w:rsid w:val="00EF22B3"/>
    <w:rsid w:val="00EF2957"/>
    <w:rsid w:val="00F03B69"/>
    <w:rsid w:val="00F051DD"/>
    <w:rsid w:val="00F06DE3"/>
    <w:rsid w:val="00F07A50"/>
    <w:rsid w:val="00F10020"/>
    <w:rsid w:val="00F113DA"/>
    <w:rsid w:val="00F12EC0"/>
    <w:rsid w:val="00F14636"/>
    <w:rsid w:val="00F17B58"/>
    <w:rsid w:val="00F20B75"/>
    <w:rsid w:val="00F21EA7"/>
    <w:rsid w:val="00F23195"/>
    <w:rsid w:val="00F270B1"/>
    <w:rsid w:val="00F31055"/>
    <w:rsid w:val="00F318A6"/>
    <w:rsid w:val="00F32AA9"/>
    <w:rsid w:val="00F331D4"/>
    <w:rsid w:val="00F37DC8"/>
    <w:rsid w:val="00F40434"/>
    <w:rsid w:val="00F439B3"/>
    <w:rsid w:val="00F443D5"/>
    <w:rsid w:val="00F4519C"/>
    <w:rsid w:val="00F46532"/>
    <w:rsid w:val="00F5042E"/>
    <w:rsid w:val="00F513E4"/>
    <w:rsid w:val="00F51F99"/>
    <w:rsid w:val="00F5201B"/>
    <w:rsid w:val="00F52A20"/>
    <w:rsid w:val="00F60553"/>
    <w:rsid w:val="00F61150"/>
    <w:rsid w:val="00F6282B"/>
    <w:rsid w:val="00F650C3"/>
    <w:rsid w:val="00F6558C"/>
    <w:rsid w:val="00F65D85"/>
    <w:rsid w:val="00F6704C"/>
    <w:rsid w:val="00F7227C"/>
    <w:rsid w:val="00F75393"/>
    <w:rsid w:val="00F7542F"/>
    <w:rsid w:val="00F75F2B"/>
    <w:rsid w:val="00F7605D"/>
    <w:rsid w:val="00F76472"/>
    <w:rsid w:val="00F8091E"/>
    <w:rsid w:val="00F815DA"/>
    <w:rsid w:val="00F8327F"/>
    <w:rsid w:val="00F834B5"/>
    <w:rsid w:val="00F843CD"/>
    <w:rsid w:val="00F85858"/>
    <w:rsid w:val="00F8615C"/>
    <w:rsid w:val="00F8698B"/>
    <w:rsid w:val="00F86F8E"/>
    <w:rsid w:val="00F902ED"/>
    <w:rsid w:val="00F9173C"/>
    <w:rsid w:val="00F96219"/>
    <w:rsid w:val="00F969E5"/>
    <w:rsid w:val="00FA1492"/>
    <w:rsid w:val="00FA6BB0"/>
    <w:rsid w:val="00FB436A"/>
    <w:rsid w:val="00FB4F20"/>
    <w:rsid w:val="00FC0F0E"/>
    <w:rsid w:val="00FC1C94"/>
    <w:rsid w:val="00FD54AE"/>
    <w:rsid w:val="00FD5860"/>
    <w:rsid w:val="00FE352D"/>
    <w:rsid w:val="00FE40EB"/>
    <w:rsid w:val="00FE4D02"/>
    <w:rsid w:val="00FE6A16"/>
    <w:rsid w:val="00FE6FB5"/>
    <w:rsid w:val="00FE7D62"/>
    <w:rsid w:val="00FF0013"/>
    <w:rsid w:val="00FF32EA"/>
    <w:rsid w:val="00FF3819"/>
    <w:rsid w:val="00FF50E4"/>
    <w:rsid w:val="00FF6A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35CC2"/>
  <w15:chartTrackingRefBased/>
  <w15:docId w15:val="{078843B5-B417-4D26-80AE-FA41F59A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978"/>
    <w:rPr>
      <w:rFonts w:eastAsia="SimSun"/>
      <w:lang w:eastAsia="zh-CN"/>
    </w:rPr>
  </w:style>
  <w:style w:type="paragraph" w:styleId="Titre1">
    <w:name w:val="heading 1"/>
    <w:basedOn w:val="Normal"/>
    <w:next w:val="Normalnumber"/>
    <w:rsid w:val="00263978"/>
    <w:pPr>
      <w:keepNext/>
      <w:spacing w:before="240" w:after="120"/>
      <w:ind w:left="1247" w:hanging="680"/>
      <w:outlineLvl w:val="0"/>
    </w:pPr>
    <w:rPr>
      <w:b/>
      <w:sz w:val="28"/>
    </w:rPr>
  </w:style>
  <w:style w:type="paragraph" w:styleId="Titre2">
    <w:name w:val="heading 2"/>
    <w:basedOn w:val="Normal"/>
    <w:next w:val="Normalnumber"/>
    <w:rsid w:val="00263978"/>
    <w:pPr>
      <w:keepNext/>
      <w:spacing w:before="240" w:after="120"/>
      <w:ind w:left="1247" w:hanging="680"/>
      <w:outlineLvl w:val="1"/>
    </w:pPr>
    <w:rPr>
      <w:b/>
      <w:sz w:val="24"/>
      <w:szCs w:val="24"/>
    </w:rPr>
  </w:style>
  <w:style w:type="paragraph" w:styleId="Titre3">
    <w:name w:val="heading 3"/>
    <w:basedOn w:val="Normal"/>
    <w:next w:val="Normalnumber"/>
    <w:rsid w:val="00263978"/>
    <w:pPr>
      <w:spacing w:after="120"/>
      <w:ind w:left="1247" w:hanging="680"/>
      <w:outlineLvl w:val="2"/>
    </w:pPr>
    <w:rPr>
      <w:b/>
    </w:rPr>
  </w:style>
  <w:style w:type="paragraph" w:styleId="Titre4">
    <w:name w:val="heading 4"/>
    <w:basedOn w:val="Titre3"/>
    <w:next w:val="Normalnumber"/>
    <w:rsid w:val="00263978"/>
    <w:pPr>
      <w:keepNext/>
      <w:outlineLvl w:val="3"/>
    </w:pPr>
  </w:style>
  <w:style w:type="paragraph" w:styleId="Titre5">
    <w:name w:val="heading 5"/>
    <w:basedOn w:val="Normal"/>
    <w:next w:val="Normal"/>
    <w:rsid w:val="00263978"/>
    <w:pPr>
      <w:keepNext/>
      <w:outlineLvl w:val="4"/>
    </w:pPr>
    <w:rPr>
      <w:rFonts w:ascii="Univers" w:hAnsi="Univers"/>
      <w:b/>
      <w:sz w:val="24"/>
    </w:rPr>
  </w:style>
  <w:style w:type="paragraph" w:styleId="Titre6">
    <w:name w:val="heading 6"/>
    <w:basedOn w:val="Normal"/>
    <w:next w:val="Normal"/>
    <w:rsid w:val="00263978"/>
    <w:pPr>
      <w:keepNext/>
      <w:ind w:left="578"/>
      <w:outlineLvl w:val="5"/>
    </w:pPr>
    <w:rPr>
      <w:b/>
      <w:bCs/>
      <w:sz w:val="24"/>
    </w:rPr>
  </w:style>
  <w:style w:type="paragraph" w:styleId="Titre7">
    <w:name w:val="heading 7"/>
    <w:basedOn w:val="Normal"/>
    <w:next w:val="Normal"/>
    <w:rsid w:val="00263978"/>
    <w:pPr>
      <w:keepNext/>
      <w:widowControl w:val="0"/>
      <w:jc w:val="center"/>
      <w:outlineLvl w:val="6"/>
    </w:pPr>
    <w:rPr>
      <w:snapToGrid w:val="0"/>
      <w:u w:val="single"/>
    </w:rPr>
  </w:style>
  <w:style w:type="paragraph" w:styleId="Titre8">
    <w:name w:val="heading 8"/>
    <w:basedOn w:val="Normal"/>
    <w:next w:val="Normal"/>
    <w:rsid w:val="00263978"/>
    <w:pPr>
      <w:keepNext/>
      <w:widowControl w:val="0"/>
      <w:tabs>
        <w:tab w:val="left" w:pos="-1440"/>
        <w:tab w:val="left" w:pos="-720"/>
        <w:tab w:val="num" w:pos="720"/>
      </w:tabs>
      <w:suppressAutoHyphens/>
      <w:ind w:left="720" w:hanging="720"/>
      <w:jc w:val="center"/>
      <w:outlineLvl w:val="7"/>
    </w:pPr>
    <w:rPr>
      <w:snapToGrid w:val="0"/>
      <w:u w:val="single"/>
    </w:rPr>
  </w:style>
  <w:style w:type="paragraph" w:styleId="Titre9">
    <w:name w:val="heading 9"/>
    <w:basedOn w:val="Normal"/>
    <w:next w:val="Normal"/>
    <w:rsid w:val="00263978"/>
    <w:pPr>
      <w:keepNext/>
      <w:widowControl w:val="0"/>
      <w:suppressAutoHyphens/>
      <w:ind w:left="360" w:hanging="360"/>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263978"/>
    <w:rPr>
      <w:rFonts w:ascii="Times New Roman" w:hAnsi="Times New Roman"/>
      <w:b/>
      <w:sz w:val="18"/>
    </w:rPr>
  </w:style>
  <w:style w:type="table" w:customStyle="1" w:styleId="Tabledocright">
    <w:name w:val="Table_doc_right"/>
    <w:basedOn w:val="TableauNormal"/>
    <w:rsid w:val="00263978"/>
    <w:pPr>
      <w:spacing w:before="40" w:after="40"/>
    </w:pPr>
    <w:rPr>
      <w:rFonts w:eastAsia="SimSun"/>
      <w:sz w:val="18"/>
      <w:szCs w:val="18"/>
      <w:lang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semiHidden/>
    <w:rsid w:val="00263978"/>
    <w:pPr>
      <w:ind w:left="1000"/>
    </w:pPr>
    <w:rPr>
      <w:sz w:val="18"/>
      <w:szCs w:val="18"/>
    </w:rPr>
  </w:style>
  <w:style w:type="paragraph" w:styleId="TM7">
    <w:name w:val="toc 7"/>
    <w:basedOn w:val="Normal"/>
    <w:next w:val="Normal"/>
    <w:autoRedefine/>
    <w:semiHidden/>
    <w:rsid w:val="00263978"/>
    <w:pPr>
      <w:ind w:left="1200"/>
    </w:pPr>
    <w:rPr>
      <w:sz w:val="18"/>
      <w:szCs w:val="18"/>
    </w:rPr>
  </w:style>
  <w:style w:type="paragraph" w:styleId="TM8">
    <w:name w:val="toc 8"/>
    <w:basedOn w:val="Normal"/>
    <w:next w:val="Normal"/>
    <w:autoRedefine/>
    <w:semiHidden/>
    <w:rsid w:val="00263978"/>
    <w:pPr>
      <w:ind w:left="1400"/>
    </w:pPr>
    <w:rPr>
      <w:sz w:val="18"/>
      <w:szCs w:val="18"/>
    </w:rPr>
  </w:style>
  <w:style w:type="paragraph" w:styleId="TM9">
    <w:name w:val="toc 9"/>
    <w:basedOn w:val="Normal"/>
    <w:next w:val="Normal"/>
    <w:autoRedefine/>
    <w:semiHidden/>
    <w:rsid w:val="00263978"/>
    <w:pPr>
      <w:ind w:left="1600"/>
    </w:pPr>
    <w:rPr>
      <w:sz w:val="18"/>
      <w:szCs w:val="18"/>
    </w:rPr>
  </w:style>
  <w:style w:type="paragraph" w:customStyle="1" w:styleId="Titlefigure">
    <w:name w:val="Title_figure"/>
    <w:basedOn w:val="Titletable"/>
    <w:next w:val="NormalNonumber"/>
    <w:rsid w:val="00263978"/>
    <w:rPr>
      <w:bCs w:val="0"/>
    </w:rPr>
  </w:style>
  <w:style w:type="paragraph" w:styleId="Tabledesillustrations">
    <w:name w:val="table of figures"/>
    <w:basedOn w:val="Normal"/>
    <w:next w:val="Normal"/>
    <w:autoRedefine/>
    <w:semiHidden/>
    <w:rsid w:val="00263978"/>
    <w:pPr>
      <w:ind w:left="1814" w:hanging="567"/>
    </w:pPr>
  </w:style>
  <w:style w:type="paragraph" w:customStyle="1" w:styleId="CH1">
    <w:name w:val="CH1"/>
    <w:basedOn w:val="Normal-pool"/>
    <w:next w:val="CH2"/>
    <w:qFormat/>
    <w:rsid w:val="0026397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63978"/>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63978"/>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263978"/>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263978"/>
    <w:rPr>
      <w:rFonts w:ascii="Arial" w:eastAsia="SimSun" w:hAnsi="Arial"/>
      <w:sz w:val="16"/>
      <w:lang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263978"/>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C36B84"/>
    <w:pPr>
      <w:tabs>
        <w:tab w:val="left" w:pos="1247"/>
        <w:tab w:val="left" w:pos="1814"/>
        <w:tab w:val="left" w:pos="2381"/>
        <w:tab w:val="left" w:pos="2948"/>
        <w:tab w:val="left" w:pos="3515"/>
        <w:tab w:val="left" w:pos="4082"/>
      </w:tabs>
      <w:spacing w:before="20" w:after="40"/>
      <w:ind w:left="1247"/>
    </w:pPr>
    <w:rPr>
      <w:rFonts w:eastAsia="SimSun"/>
      <w:lang w:val="en-GB" w:eastAsia="en-US"/>
    </w:rPr>
  </w:style>
  <w:style w:type="paragraph" w:customStyle="1" w:styleId="Footer-pool">
    <w:name w:val="Footer-pool"/>
    <w:basedOn w:val="Normal-pool"/>
    <w:next w:val="Normal-pool"/>
    <w:rsid w:val="00263978"/>
    <w:pPr>
      <w:tabs>
        <w:tab w:val="left" w:pos="4321"/>
        <w:tab w:val="right" w:pos="8641"/>
      </w:tabs>
      <w:spacing w:before="60" w:after="120"/>
    </w:pPr>
    <w:rPr>
      <w:b/>
      <w:sz w:val="18"/>
    </w:rPr>
  </w:style>
  <w:style w:type="paragraph" w:customStyle="1" w:styleId="Header-pool">
    <w:name w:val="Header-pool"/>
    <w:basedOn w:val="Normal-pool"/>
    <w:next w:val="Normal-pool"/>
    <w:rsid w:val="0026397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ppelnotedebasdep">
    <w:name w:val="footnote reference"/>
    <w:rsid w:val="00263978"/>
    <w:rPr>
      <w:rFonts w:ascii="Times New Roman" w:hAnsi="Times New Roman"/>
      <w:color w:val="auto"/>
      <w:sz w:val="18"/>
      <w:szCs w:val="18"/>
      <w:vertAlign w:val="superscript"/>
    </w:rPr>
  </w:style>
  <w:style w:type="paragraph" w:styleId="Notedebasdepage">
    <w:name w:val="footnote text"/>
    <w:basedOn w:val="Normal"/>
    <w:link w:val="NotedebasdepageCar"/>
    <w:rsid w:val="00263978"/>
    <w:pPr>
      <w:tabs>
        <w:tab w:val="left" w:pos="1247"/>
        <w:tab w:val="left" w:pos="1814"/>
        <w:tab w:val="left" w:pos="2381"/>
        <w:tab w:val="left" w:pos="2948"/>
        <w:tab w:val="left" w:pos="3515"/>
        <w:tab w:val="left" w:pos="4082"/>
      </w:tabs>
      <w:spacing w:before="20" w:after="40"/>
      <w:ind w:left="1247"/>
    </w:pPr>
    <w:rPr>
      <w:sz w:val="18"/>
      <w:lang w:val="fr-CA" w:eastAsia="en-US"/>
    </w:rPr>
  </w:style>
  <w:style w:type="paragraph" w:styleId="Textedebulles">
    <w:name w:val="Balloon Text"/>
    <w:basedOn w:val="Normal"/>
    <w:link w:val="TextedebullesCar"/>
    <w:uiPriority w:val="99"/>
    <w:rsid w:val="00A54604"/>
    <w:rPr>
      <w:rFonts w:ascii="Segoe UI" w:hAnsi="Segoe UI" w:cs="Segoe UI"/>
      <w:sz w:val="18"/>
      <w:szCs w:val="18"/>
    </w:rPr>
  </w:style>
  <w:style w:type="character" w:customStyle="1" w:styleId="TextedebullesCar">
    <w:name w:val="Texte de bulles Car"/>
    <w:basedOn w:val="Policepardfaut"/>
    <w:link w:val="Textedebulles"/>
    <w:uiPriority w:val="99"/>
    <w:rsid w:val="00A54604"/>
    <w:rPr>
      <w:rFonts w:ascii="Segoe UI" w:hAnsi="Segoe UI" w:cs="Segoe UI"/>
      <w:sz w:val="18"/>
      <w:szCs w:val="18"/>
      <w:lang w:val="fr-FR" w:eastAsia="en-US"/>
    </w:rPr>
  </w:style>
  <w:style w:type="table" w:styleId="Grilledutableau">
    <w:name w:val="Table Grid"/>
    <w:basedOn w:val="TableauNormal"/>
    <w:rsid w:val="00A54604"/>
    <w:pPr>
      <w:spacing w:after="120" w:line="264" w:lineRule="auto"/>
    </w:pPr>
    <w:rPr>
      <w:rFonts w:ascii="Calibri" w:eastAsia="DengXian" w:hAnsi="Calibri"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auNormal"/>
    <w:semiHidden/>
    <w:rsid w:val="00263978"/>
    <w:rPr>
      <w:rFonts w:eastAsia="SimSun"/>
      <w:lang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63978"/>
    <w:pPr>
      <w:keepNext/>
      <w:keepLines/>
      <w:suppressAutoHyphens/>
      <w:ind w:right="5103"/>
    </w:pPr>
    <w:rPr>
      <w:b/>
    </w:rPr>
  </w:style>
  <w:style w:type="paragraph" w:customStyle="1" w:styleId="AATitle2">
    <w:name w:val="AA_Title2"/>
    <w:basedOn w:val="AATitle"/>
    <w:qFormat/>
    <w:rsid w:val="00263978"/>
    <w:pPr>
      <w:tabs>
        <w:tab w:val="clear" w:pos="4082"/>
      </w:tabs>
      <w:spacing w:before="120" w:after="120"/>
      <w:ind w:right="4536"/>
    </w:pPr>
  </w:style>
  <w:style w:type="paragraph" w:customStyle="1" w:styleId="BBTitle">
    <w:name w:val="BB_Title"/>
    <w:basedOn w:val="Normal-pool"/>
    <w:link w:val="BBTitleChar"/>
    <w:qFormat/>
    <w:rsid w:val="00263978"/>
    <w:pPr>
      <w:keepNext/>
      <w:keepLines/>
      <w:suppressAutoHyphens/>
      <w:spacing w:before="320" w:after="240"/>
      <w:ind w:left="1247" w:right="567"/>
    </w:pPr>
    <w:rPr>
      <w:b/>
      <w:sz w:val="28"/>
      <w:szCs w:val="28"/>
    </w:rPr>
  </w:style>
  <w:style w:type="paragraph" w:styleId="Pieddepage">
    <w:name w:val="footer"/>
    <w:basedOn w:val="Normal"/>
    <w:link w:val="PieddepageCar"/>
    <w:rsid w:val="00263978"/>
    <w:pPr>
      <w:tabs>
        <w:tab w:val="center" w:pos="4320"/>
        <w:tab w:val="right" w:pos="8640"/>
      </w:tabs>
      <w:spacing w:before="60" w:after="120"/>
    </w:pPr>
    <w:rPr>
      <w:sz w:val="18"/>
    </w:rPr>
  </w:style>
  <w:style w:type="paragraph" w:styleId="En-tte">
    <w:name w:val="header"/>
    <w:basedOn w:val="Normal"/>
    <w:link w:val="En-tteCar"/>
    <w:rsid w:val="00263978"/>
    <w:pPr>
      <w:pBdr>
        <w:bottom w:val="single" w:sz="4" w:space="1" w:color="auto"/>
      </w:pBdr>
      <w:tabs>
        <w:tab w:val="center" w:pos="4536"/>
        <w:tab w:val="right" w:pos="9072"/>
      </w:tabs>
      <w:spacing w:after="120"/>
    </w:pPr>
    <w:rPr>
      <w:b/>
      <w:sz w:val="18"/>
    </w:rPr>
  </w:style>
  <w:style w:type="character" w:styleId="Lienhypertexte">
    <w:name w:val="Hyperlink"/>
    <w:unhideWhenUsed/>
    <w:rsid w:val="00263978"/>
    <w:rPr>
      <w:rFonts w:ascii="Times New Roman" w:hAnsi="Times New Roman"/>
      <w:color w:val="0000FF"/>
      <w:sz w:val="20"/>
      <w:szCs w:val="20"/>
      <w:u w:val="single"/>
      <w:lang w:val="en-US"/>
    </w:rPr>
  </w:style>
  <w:style w:type="numbering" w:customStyle="1" w:styleId="Normallist">
    <w:name w:val="Normal_list"/>
    <w:basedOn w:val="Aucuneliste"/>
    <w:rsid w:val="00263978"/>
    <w:pPr>
      <w:numPr>
        <w:numId w:val="5"/>
      </w:numPr>
    </w:pPr>
  </w:style>
  <w:style w:type="paragraph" w:customStyle="1" w:styleId="NormalNonumber">
    <w:name w:val="Normal_No_number"/>
    <w:basedOn w:val="Normal-pool"/>
    <w:qFormat/>
    <w:rsid w:val="00263978"/>
    <w:pPr>
      <w:spacing w:after="120"/>
      <w:ind w:left="1247"/>
    </w:pPr>
  </w:style>
  <w:style w:type="paragraph" w:customStyle="1" w:styleId="Normalnumber">
    <w:name w:val="Normal_number"/>
    <w:basedOn w:val="Normalpool"/>
    <w:link w:val="NormalnumberChar"/>
    <w:qFormat/>
    <w:rsid w:val="00263978"/>
    <w:pPr>
      <w:numPr>
        <w:numId w:val="6"/>
      </w:numPr>
      <w:spacing w:after="120"/>
    </w:pPr>
    <w:rPr>
      <w:rFonts w:eastAsia="Times New Roman"/>
    </w:rPr>
  </w:style>
  <w:style w:type="paragraph" w:customStyle="1" w:styleId="Titletable">
    <w:name w:val="Title_table"/>
    <w:basedOn w:val="Normal-pool"/>
    <w:next w:val="NormalNonumber"/>
    <w:rsid w:val="00263978"/>
    <w:pPr>
      <w:keepNext/>
      <w:keepLines/>
      <w:suppressAutoHyphens/>
      <w:spacing w:after="60"/>
      <w:ind w:left="1247"/>
    </w:pPr>
    <w:rPr>
      <w:b/>
      <w:bCs/>
    </w:rPr>
  </w:style>
  <w:style w:type="paragraph" w:styleId="TM1">
    <w:name w:val="toc 1"/>
    <w:basedOn w:val="Normal-pool"/>
    <w:next w:val="Normal-pool"/>
    <w:unhideWhenUsed/>
    <w:rsid w:val="00263978"/>
    <w:pPr>
      <w:tabs>
        <w:tab w:val="right" w:leader="dot" w:pos="9486"/>
      </w:tabs>
      <w:spacing w:before="240"/>
      <w:ind w:left="1814" w:hanging="567"/>
    </w:pPr>
    <w:rPr>
      <w:bCs/>
    </w:rPr>
  </w:style>
  <w:style w:type="paragraph" w:styleId="TM2">
    <w:name w:val="toc 2"/>
    <w:basedOn w:val="Normal-pool"/>
    <w:next w:val="Normal-pool"/>
    <w:unhideWhenUsed/>
    <w:rsid w:val="00263978"/>
    <w:pPr>
      <w:tabs>
        <w:tab w:val="right" w:leader="dot" w:pos="9486"/>
      </w:tabs>
      <w:ind w:left="2381" w:hanging="567"/>
    </w:pPr>
  </w:style>
  <w:style w:type="paragraph" w:styleId="TM3">
    <w:name w:val="toc 3"/>
    <w:basedOn w:val="Normal-pool"/>
    <w:next w:val="Normal-pool"/>
    <w:unhideWhenUsed/>
    <w:rsid w:val="00263978"/>
    <w:pPr>
      <w:tabs>
        <w:tab w:val="right" w:leader="dot" w:pos="9486"/>
      </w:tabs>
      <w:ind w:left="2948" w:hanging="567"/>
    </w:pPr>
    <w:rPr>
      <w:iCs/>
    </w:rPr>
  </w:style>
  <w:style w:type="paragraph" w:styleId="TM4">
    <w:name w:val="toc 4"/>
    <w:basedOn w:val="Normal-pool"/>
    <w:next w:val="Normal-pool"/>
    <w:unhideWhenUsed/>
    <w:rsid w:val="00263978"/>
    <w:pPr>
      <w:tabs>
        <w:tab w:val="left" w:pos="1000"/>
        <w:tab w:val="right" w:leader="dot" w:pos="9486"/>
      </w:tabs>
      <w:ind w:left="3515" w:hanging="567"/>
    </w:pPr>
    <w:rPr>
      <w:szCs w:val="18"/>
    </w:rPr>
  </w:style>
  <w:style w:type="paragraph" w:styleId="TM5">
    <w:name w:val="toc 5"/>
    <w:basedOn w:val="Normal-pool"/>
    <w:next w:val="Normal-pool"/>
    <w:rsid w:val="00263978"/>
    <w:pPr>
      <w:ind w:left="800"/>
    </w:pPr>
    <w:rPr>
      <w:sz w:val="18"/>
      <w:szCs w:val="18"/>
    </w:rPr>
  </w:style>
  <w:style w:type="paragraph" w:customStyle="1" w:styleId="ZZAnxheader">
    <w:name w:val="ZZ_Anx_header"/>
    <w:basedOn w:val="Normal-pool"/>
    <w:rsid w:val="00263978"/>
    <w:rPr>
      <w:b/>
      <w:bCs/>
      <w:sz w:val="28"/>
      <w:szCs w:val="22"/>
    </w:rPr>
  </w:style>
  <w:style w:type="paragraph" w:customStyle="1" w:styleId="ZZAnxtitle">
    <w:name w:val="ZZ_Anx_title"/>
    <w:basedOn w:val="Normal-pool"/>
    <w:link w:val="ZZAnxtitleChar"/>
    <w:rsid w:val="00263978"/>
    <w:pPr>
      <w:spacing w:before="360" w:after="120"/>
      <w:ind w:left="1247"/>
    </w:pPr>
    <w:rPr>
      <w:b/>
      <w:bCs/>
      <w:sz w:val="28"/>
      <w:szCs w:val="26"/>
    </w:rPr>
  </w:style>
  <w:style w:type="character" w:customStyle="1" w:styleId="NotedebasdepageCar">
    <w:name w:val="Note de bas de page Car"/>
    <w:basedOn w:val="Policepardfaut"/>
    <w:link w:val="Notedebasdepage"/>
    <w:rsid w:val="00A273FF"/>
    <w:rPr>
      <w:rFonts w:eastAsia="SimSun"/>
      <w:sz w:val="18"/>
      <w:lang w:val="fr-CA" w:eastAsia="en-US"/>
    </w:rPr>
  </w:style>
  <w:style w:type="character" w:customStyle="1" w:styleId="NormalnumberChar">
    <w:name w:val="Normal_number Char"/>
    <w:link w:val="Normalnumber"/>
    <w:rsid w:val="00BA4B7E"/>
    <w:rPr>
      <w:lang w:val="en-GB" w:eastAsia="en-US"/>
    </w:rPr>
  </w:style>
  <w:style w:type="character" w:customStyle="1" w:styleId="CH2Char">
    <w:name w:val="CH2 Char"/>
    <w:link w:val="CH2"/>
    <w:rsid w:val="00A273FF"/>
    <w:rPr>
      <w:rFonts w:eastAsia="SimSun"/>
      <w:b/>
      <w:sz w:val="24"/>
      <w:szCs w:val="24"/>
      <w:lang w:eastAsia="en-US"/>
    </w:rPr>
  </w:style>
  <w:style w:type="character" w:customStyle="1" w:styleId="PieddepageCar">
    <w:name w:val="Pied de page Car"/>
    <w:basedOn w:val="Policepardfaut"/>
    <w:link w:val="Pieddepage"/>
    <w:rsid w:val="005B6301"/>
    <w:rPr>
      <w:rFonts w:eastAsia="SimSun"/>
      <w:sz w:val="18"/>
      <w:lang w:eastAsia="zh-CN"/>
    </w:rPr>
  </w:style>
  <w:style w:type="character" w:customStyle="1" w:styleId="BBTitleChar">
    <w:name w:val="BB_Title Char"/>
    <w:link w:val="BBTitle"/>
    <w:rsid w:val="00A33AC9"/>
    <w:rPr>
      <w:rFonts w:eastAsia="SimSun"/>
      <w:b/>
      <w:sz w:val="28"/>
      <w:szCs w:val="28"/>
      <w:lang w:eastAsia="en-US"/>
    </w:rPr>
  </w:style>
  <w:style w:type="paragraph" w:styleId="NormalWeb">
    <w:name w:val="Normal (Web)"/>
    <w:basedOn w:val="Normal"/>
    <w:uiPriority w:val="99"/>
    <w:unhideWhenUsed/>
    <w:rsid w:val="006F18E0"/>
    <w:pPr>
      <w:spacing w:before="100" w:beforeAutospacing="1" w:after="100" w:afterAutospacing="1"/>
    </w:pPr>
    <w:rPr>
      <w:sz w:val="24"/>
      <w:szCs w:val="24"/>
      <w:lang w:eastAsia="en-GB"/>
    </w:rPr>
  </w:style>
  <w:style w:type="paragraph" w:styleId="Paragraphedeliste">
    <w:name w:val="List Paragraph"/>
    <w:basedOn w:val="Normal"/>
    <w:link w:val="ParagraphedelisteCar"/>
    <w:uiPriority w:val="34"/>
    <w:qFormat/>
    <w:rsid w:val="000C00E4"/>
    <w:pPr>
      <w:spacing w:after="200" w:line="276" w:lineRule="auto"/>
      <w:ind w:left="720"/>
      <w:contextualSpacing/>
    </w:pPr>
    <w:rPr>
      <w:rFonts w:eastAsia="Calibri"/>
      <w:sz w:val="24"/>
      <w:szCs w:val="22"/>
    </w:rPr>
  </w:style>
  <w:style w:type="character" w:customStyle="1" w:styleId="ParagraphedelisteCar">
    <w:name w:val="Paragraphe de liste Car"/>
    <w:link w:val="Paragraphedeliste"/>
    <w:uiPriority w:val="34"/>
    <w:locked/>
    <w:rsid w:val="000C00E4"/>
    <w:rPr>
      <w:rFonts w:eastAsia="Calibri"/>
      <w:sz w:val="24"/>
      <w:szCs w:val="22"/>
      <w:lang w:eastAsia="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rsid w:val="00056415"/>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rsid w:val="000B0AC3"/>
    <w:rPr>
      <w:b/>
      <w:bCs/>
    </w:rPr>
  </w:style>
  <w:style w:type="character" w:customStyle="1" w:styleId="ObjetducommentaireCar">
    <w:name w:val="Objet du commentaire Car"/>
    <w:basedOn w:val="CommentaireCar"/>
    <w:link w:val="Objetducommentaire"/>
    <w:rsid w:val="000B0AC3"/>
    <w:rPr>
      <w:rFonts w:asciiTheme="minorHAnsi" w:eastAsiaTheme="minorHAnsi" w:hAnsiTheme="minorHAnsi" w:cstheme="minorBidi"/>
      <w:b/>
      <w:bCs/>
      <w:lang w:val="fr-FR" w:eastAsia="en-US"/>
    </w:rPr>
  </w:style>
  <w:style w:type="paragraph" w:styleId="Rvision">
    <w:name w:val="Revision"/>
    <w:hidden/>
    <w:uiPriority w:val="99"/>
    <w:semiHidden/>
    <w:rsid w:val="000B0AC3"/>
    <w:rPr>
      <w:lang w:eastAsia="en-US"/>
    </w:rPr>
  </w:style>
  <w:style w:type="character" w:customStyle="1" w:styleId="UnresolvedMention3">
    <w:name w:val="Unresolved Mention3"/>
    <w:basedOn w:val="Policepardfaut"/>
    <w:uiPriority w:val="99"/>
    <w:semiHidden/>
    <w:unhideWhenUsed/>
    <w:rsid w:val="00352533"/>
    <w:rPr>
      <w:color w:val="808080"/>
      <w:shd w:val="clear" w:color="auto" w:fill="E6E6E6"/>
    </w:rPr>
  </w:style>
  <w:style w:type="numbering" w:customStyle="1" w:styleId="CurrentList1">
    <w:name w:val="Current List1"/>
    <w:uiPriority w:val="99"/>
    <w:rsid w:val="002D333C"/>
    <w:pPr>
      <w:numPr>
        <w:numId w:val="1"/>
      </w:numPr>
    </w:pPr>
  </w:style>
  <w:style w:type="character" w:customStyle="1" w:styleId="CharChar6">
    <w:name w:val="Char Char6"/>
    <w:semiHidden/>
    <w:rsid w:val="0070418B"/>
    <w:rPr>
      <w:sz w:val="18"/>
      <w:lang w:eastAsia="en-US"/>
    </w:rPr>
  </w:style>
  <w:style w:type="character" w:customStyle="1" w:styleId="En-tteCar">
    <w:name w:val="En-tête Car"/>
    <w:link w:val="En-tte"/>
    <w:rsid w:val="0070418B"/>
    <w:rPr>
      <w:rFonts w:eastAsia="SimSun"/>
      <w:b/>
      <w:sz w:val="18"/>
      <w:lang w:eastAsia="zh-CN"/>
    </w:rPr>
  </w:style>
  <w:style w:type="character" w:styleId="Lienhypertextesuivivisit">
    <w:name w:val="FollowedHyperlink"/>
    <w:basedOn w:val="Policepardfaut"/>
    <w:unhideWhenUsed/>
    <w:rsid w:val="0070418B"/>
    <w:rPr>
      <w:color w:val="954F72" w:themeColor="followedHyperlink"/>
      <w:u w:val="single"/>
    </w:rPr>
  </w:style>
  <w:style w:type="character" w:customStyle="1" w:styleId="UnresolvedMention1">
    <w:name w:val="Unresolved Mention1"/>
    <w:basedOn w:val="Policepardfaut"/>
    <w:uiPriority w:val="99"/>
    <w:semiHidden/>
    <w:unhideWhenUsed/>
    <w:rsid w:val="0070418B"/>
    <w:rPr>
      <w:color w:val="605E5C"/>
      <w:shd w:val="clear" w:color="auto" w:fill="E1DFDD"/>
    </w:rPr>
  </w:style>
  <w:style w:type="character" w:customStyle="1" w:styleId="NormalpoolChar">
    <w:name w:val="Normal_pool Char"/>
    <w:link w:val="Normalpool"/>
    <w:locked/>
    <w:rsid w:val="00C36B84"/>
    <w:rPr>
      <w:rFonts w:eastAsia="SimSun"/>
      <w:lang w:val="en-GB" w:eastAsia="en-US"/>
    </w:rPr>
  </w:style>
  <w:style w:type="character" w:customStyle="1" w:styleId="ZZAnxtitleChar">
    <w:name w:val="ZZ_Anx_title Char"/>
    <w:link w:val="ZZAnxtitle"/>
    <w:rsid w:val="0070418B"/>
    <w:rPr>
      <w:rFonts w:eastAsia="SimSun"/>
      <w:b/>
      <w:bCs/>
      <w:sz w:val="28"/>
      <w:szCs w:val="26"/>
      <w:lang w:eastAsia="en-US"/>
    </w:rPr>
  </w:style>
  <w:style w:type="numbering" w:customStyle="1" w:styleId="CurrentList2">
    <w:name w:val="Current List2"/>
    <w:uiPriority w:val="99"/>
    <w:rsid w:val="00CE6F65"/>
    <w:pPr>
      <w:numPr>
        <w:numId w:val="2"/>
      </w:numPr>
    </w:pPr>
  </w:style>
  <w:style w:type="numbering" w:customStyle="1" w:styleId="CurrentList3">
    <w:name w:val="Current List3"/>
    <w:uiPriority w:val="99"/>
    <w:rsid w:val="00CE6F65"/>
    <w:pPr>
      <w:numPr>
        <w:numId w:val="3"/>
      </w:numPr>
    </w:pPr>
  </w:style>
  <w:style w:type="numbering" w:customStyle="1" w:styleId="CurrentList4">
    <w:name w:val="Current List4"/>
    <w:uiPriority w:val="99"/>
    <w:rsid w:val="00CE6F65"/>
    <w:pPr>
      <w:numPr>
        <w:numId w:val="4"/>
      </w:numPr>
    </w:pPr>
  </w:style>
  <w:style w:type="character" w:customStyle="1" w:styleId="UnresolvedMention2">
    <w:name w:val="Unresolved Mention2"/>
    <w:basedOn w:val="Policepardfaut"/>
    <w:uiPriority w:val="99"/>
    <w:semiHidden/>
    <w:unhideWhenUsed/>
    <w:rsid w:val="00F8698B"/>
    <w:rPr>
      <w:color w:val="605E5C"/>
      <w:shd w:val="clear" w:color="auto" w:fill="E1DFDD"/>
    </w:rPr>
  </w:style>
  <w:style w:type="character" w:customStyle="1" w:styleId="Mentionnonrsolue1">
    <w:name w:val="Mention non résolue1"/>
    <w:basedOn w:val="Policepardfaut"/>
    <w:uiPriority w:val="99"/>
    <w:semiHidden/>
    <w:unhideWhenUsed/>
    <w:rsid w:val="00863178"/>
    <w:rPr>
      <w:color w:val="605E5C"/>
      <w:shd w:val="clear" w:color="auto" w:fill="E1DFDD"/>
    </w:rPr>
  </w:style>
  <w:style w:type="paragraph" w:customStyle="1" w:styleId="Normal-pool">
    <w:name w:val="Normal-pool"/>
    <w:link w:val="Normal-poolChar"/>
    <w:qFormat/>
    <w:rsid w:val="00263978"/>
    <w:pPr>
      <w:tabs>
        <w:tab w:val="left" w:pos="1247"/>
        <w:tab w:val="left" w:pos="1814"/>
        <w:tab w:val="left" w:pos="2381"/>
        <w:tab w:val="left" w:pos="2948"/>
        <w:tab w:val="left" w:pos="3515"/>
        <w:tab w:val="left" w:pos="4082"/>
      </w:tabs>
    </w:pPr>
    <w:rPr>
      <w:rFonts w:eastAsia="SimSun"/>
      <w:lang w:eastAsia="en-US"/>
    </w:rPr>
  </w:style>
  <w:style w:type="paragraph" w:customStyle="1" w:styleId="AConvName">
    <w:name w:val="A_ConvName"/>
    <w:basedOn w:val="Normal-pool"/>
    <w:next w:val="Normal-pool"/>
    <w:rsid w:val="00263978"/>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263978"/>
    <w:rPr>
      <w:lang w:val="en-GB"/>
    </w:rPr>
  </w:style>
  <w:style w:type="paragraph" w:customStyle="1" w:styleId="AText">
    <w:name w:val="A_Text"/>
    <w:basedOn w:val="Normal-pool"/>
    <w:rsid w:val="00263978"/>
    <w:pPr>
      <w:spacing w:before="120" w:after="120"/>
    </w:pPr>
  </w:style>
  <w:style w:type="paragraph" w:customStyle="1" w:styleId="ATwoLetters">
    <w:name w:val="A_TwoLetters"/>
    <w:basedOn w:val="Normal-pool"/>
    <w:next w:val="Normal-pool"/>
    <w:rsid w:val="0026397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26397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Footnote-Text">
    <w:name w:val="Footnote-Text"/>
    <w:basedOn w:val="Normal-pool"/>
    <w:rsid w:val="00263978"/>
    <w:pPr>
      <w:spacing w:before="20" w:after="40"/>
      <w:ind w:left="1247"/>
    </w:pPr>
    <w:rPr>
      <w:sz w:val="18"/>
    </w:rPr>
  </w:style>
  <w:style w:type="paragraph" w:customStyle="1" w:styleId="Normal-pool-Table">
    <w:name w:val="Normal-pool-Table"/>
    <w:basedOn w:val="Normal-pool"/>
    <w:rsid w:val="00263978"/>
    <w:pPr>
      <w:spacing w:before="40" w:after="40"/>
    </w:pPr>
    <w:rPr>
      <w:sz w:val="18"/>
      <w:lang w:val="en-GB"/>
    </w:rPr>
  </w:style>
  <w:style w:type="character" w:customStyle="1" w:styleId="Normal-poolChar">
    <w:name w:val="Normal-pool Char"/>
    <w:link w:val="Normal-pool"/>
    <w:locked/>
    <w:rsid w:val="00263978"/>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504">
      <w:bodyDiv w:val="1"/>
      <w:marLeft w:val="0"/>
      <w:marRight w:val="0"/>
      <w:marTop w:val="0"/>
      <w:marBottom w:val="0"/>
      <w:divBdr>
        <w:top w:val="none" w:sz="0" w:space="0" w:color="auto"/>
        <w:left w:val="none" w:sz="0" w:space="0" w:color="auto"/>
        <w:bottom w:val="none" w:sz="0" w:space="0" w:color="auto"/>
        <w:right w:val="none" w:sz="0" w:space="0" w:color="auto"/>
      </w:divBdr>
    </w:div>
    <w:div w:id="163059532">
      <w:bodyDiv w:val="1"/>
      <w:marLeft w:val="0"/>
      <w:marRight w:val="0"/>
      <w:marTop w:val="0"/>
      <w:marBottom w:val="0"/>
      <w:divBdr>
        <w:top w:val="none" w:sz="0" w:space="0" w:color="auto"/>
        <w:left w:val="none" w:sz="0" w:space="0" w:color="auto"/>
        <w:bottom w:val="none" w:sz="0" w:space="0" w:color="auto"/>
        <w:right w:val="none" w:sz="0" w:space="0" w:color="auto"/>
      </w:divBdr>
    </w:div>
    <w:div w:id="39007919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30469269">
      <w:bodyDiv w:val="1"/>
      <w:marLeft w:val="0"/>
      <w:marRight w:val="0"/>
      <w:marTop w:val="0"/>
      <w:marBottom w:val="0"/>
      <w:divBdr>
        <w:top w:val="none" w:sz="0" w:space="0" w:color="auto"/>
        <w:left w:val="none" w:sz="0" w:space="0" w:color="auto"/>
        <w:bottom w:val="none" w:sz="0" w:space="0" w:color="auto"/>
        <w:right w:val="none" w:sz="0" w:space="0" w:color="auto"/>
      </w:divBdr>
      <w:divsChild>
        <w:div w:id="746924429">
          <w:marLeft w:val="0"/>
          <w:marRight w:val="0"/>
          <w:marTop w:val="0"/>
          <w:marBottom w:val="0"/>
          <w:divBdr>
            <w:top w:val="none" w:sz="0" w:space="0" w:color="auto"/>
            <w:left w:val="none" w:sz="0" w:space="0" w:color="auto"/>
            <w:bottom w:val="none" w:sz="0" w:space="0" w:color="auto"/>
            <w:right w:val="none" w:sz="0" w:space="0" w:color="auto"/>
          </w:divBdr>
        </w:div>
      </w:divsChild>
    </w:div>
    <w:div w:id="877425495">
      <w:bodyDiv w:val="1"/>
      <w:marLeft w:val="0"/>
      <w:marRight w:val="0"/>
      <w:marTop w:val="0"/>
      <w:marBottom w:val="0"/>
      <w:divBdr>
        <w:top w:val="none" w:sz="0" w:space="0" w:color="auto"/>
        <w:left w:val="none" w:sz="0" w:space="0" w:color="auto"/>
        <w:bottom w:val="none" w:sz="0" w:space="0" w:color="auto"/>
        <w:right w:val="none" w:sz="0" w:space="0" w:color="auto"/>
      </w:divBdr>
      <w:divsChild>
        <w:div w:id="717776354">
          <w:marLeft w:val="0"/>
          <w:marRight w:val="0"/>
          <w:marTop w:val="0"/>
          <w:marBottom w:val="0"/>
          <w:divBdr>
            <w:top w:val="none" w:sz="0" w:space="0" w:color="auto"/>
            <w:left w:val="none" w:sz="0" w:space="0" w:color="auto"/>
            <w:bottom w:val="none" w:sz="0" w:space="0" w:color="auto"/>
            <w:right w:val="none" w:sz="0" w:space="0" w:color="auto"/>
          </w:divBdr>
          <w:divsChild>
            <w:div w:id="457651041">
              <w:marLeft w:val="0"/>
              <w:marRight w:val="0"/>
              <w:marTop w:val="0"/>
              <w:marBottom w:val="0"/>
              <w:divBdr>
                <w:top w:val="none" w:sz="0" w:space="0" w:color="auto"/>
                <w:left w:val="none" w:sz="0" w:space="0" w:color="auto"/>
                <w:bottom w:val="none" w:sz="0" w:space="0" w:color="auto"/>
                <w:right w:val="none" w:sz="0" w:space="0" w:color="auto"/>
              </w:divBdr>
              <w:divsChild>
                <w:div w:id="2034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147">
      <w:bodyDiv w:val="1"/>
      <w:marLeft w:val="0"/>
      <w:marRight w:val="0"/>
      <w:marTop w:val="0"/>
      <w:marBottom w:val="0"/>
      <w:divBdr>
        <w:top w:val="none" w:sz="0" w:space="0" w:color="auto"/>
        <w:left w:val="none" w:sz="0" w:space="0" w:color="auto"/>
        <w:bottom w:val="none" w:sz="0" w:space="0" w:color="auto"/>
        <w:right w:val="none" w:sz="0" w:space="0" w:color="auto"/>
      </w:divBdr>
      <w:divsChild>
        <w:div w:id="488055348">
          <w:marLeft w:val="0"/>
          <w:marRight w:val="0"/>
          <w:marTop w:val="0"/>
          <w:marBottom w:val="0"/>
          <w:divBdr>
            <w:top w:val="none" w:sz="0" w:space="0" w:color="auto"/>
            <w:left w:val="none" w:sz="0" w:space="0" w:color="auto"/>
            <w:bottom w:val="none" w:sz="0" w:space="0" w:color="auto"/>
            <w:right w:val="none" w:sz="0" w:space="0" w:color="auto"/>
          </w:divBdr>
          <w:divsChild>
            <w:div w:id="229539739">
              <w:marLeft w:val="0"/>
              <w:marRight w:val="0"/>
              <w:marTop w:val="0"/>
              <w:marBottom w:val="0"/>
              <w:divBdr>
                <w:top w:val="none" w:sz="0" w:space="0" w:color="auto"/>
                <w:left w:val="none" w:sz="0" w:space="0" w:color="auto"/>
                <w:bottom w:val="none" w:sz="0" w:space="0" w:color="auto"/>
                <w:right w:val="none" w:sz="0" w:space="0" w:color="auto"/>
              </w:divBdr>
              <w:divsChild>
                <w:div w:id="693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1478">
      <w:bodyDiv w:val="1"/>
      <w:marLeft w:val="0"/>
      <w:marRight w:val="0"/>
      <w:marTop w:val="0"/>
      <w:marBottom w:val="0"/>
      <w:divBdr>
        <w:top w:val="none" w:sz="0" w:space="0" w:color="auto"/>
        <w:left w:val="none" w:sz="0" w:space="0" w:color="auto"/>
        <w:bottom w:val="none" w:sz="0" w:space="0" w:color="auto"/>
        <w:right w:val="none" w:sz="0" w:space="0" w:color="auto"/>
      </w:divBdr>
    </w:div>
    <w:div w:id="1127964339">
      <w:bodyDiv w:val="1"/>
      <w:marLeft w:val="0"/>
      <w:marRight w:val="0"/>
      <w:marTop w:val="0"/>
      <w:marBottom w:val="0"/>
      <w:divBdr>
        <w:top w:val="none" w:sz="0" w:space="0" w:color="auto"/>
        <w:left w:val="none" w:sz="0" w:space="0" w:color="auto"/>
        <w:bottom w:val="none" w:sz="0" w:space="0" w:color="auto"/>
        <w:right w:val="none" w:sz="0" w:space="0" w:color="auto"/>
      </w:divBdr>
      <w:divsChild>
        <w:div w:id="1632663445">
          <w:marLeft w:val="0"/>
          <w:marRight w:val="0"/>
          <w:marTop w:val="0"/>
          <w:marBottom w:val="0"/>
          <w:divBdr>
            <w:top w:val="none" w:sz="0" w:space="0" w:color="auto"/>
            <w:left w:val="none" w:sz="0" w:space="0" w:color="auto"/>
            <w:bottom w:val="none" w:sz="0" w:space="0" w:color="auto"/>
            <w:right w:val="none" w:sz="0" w:space="0" w:color="auto"/>
          </w:divBdr>
        </w:div>
      </w:divsChild>
    </w:div>
    <w:div w:id="11875203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672814">
      <w:bodyDiv w:val="1"/>
      <w:marLeft w:val="0"/>
      <w:marRight w:val="0"/>
      <w:marTop w:val="0"/>
      <w:marBottom w:val="0"/>
      <w:divBdr>
        <w:top w:val="none" w:sz="0" w:space="0" w:color="auto"/>
        <w:left w:val="none" w:sz="0" w:space="0" w:color="auto"/>
        <w:bottom w:val="none" w:sz="0" w:space="0" w:color="auto"/>
        <w:right w:val="none" w:sz="0" w:space="0" w:color="auto"/>
      </w:divBdr>
      <w:divsChild>
        <w:div w:id="658117018">
          <w:marLeft w:val="0"/>
          <w:marRight w:val="0"/>
          <w:marTop w:val="0"/>
          <w:marBottom w:val="0"/>
          <w:divBdr>
            <w:top w:val="none" w:sz="0" w:space="0" w:color="auto"/>
            <w:left w:val="none" w:sz="0" w:space="0" w:color="auto"/>
            <w:bottom w:val="none" w:sz="0" w:space="0" w:color="auto"/>
            <w:right w:val="none" w:sz="0" w:space="0" w:color="auto"/>
          </w:divBdr>
          <w:divsChild>
            <w:div w:id="954558596">
              <w:marLeft w:val="0"/>
              <w:marRight w:val="0"/>
              <w:marTop w:val="0"/>
              <w:marBottom w:val="0"/>
              <w:divBdr>
                <w:top w:val="none" w:sz="0" w:space="0" w:color="auto"/>
                <w:left w:val="none" w:sz="0" w:space="0" w:color="auto"/>
                <w:bottom w:val="none" w:sz="0" w:space="0" w:color="auto"/>
                <w:right w:val="none" w:sz="0" w:space="0" w:color="auto"/>
              </w:divBdr>
              <w:divsChild>
                <w:div w:id="1019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02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9573568">
      <w:bodyDiv w:val="1"/>
      <w:marLeft w:val="0"/>
      <w:marRight w:val="0"/>
      <w:marTop w:val="0"/>
      <w:marBottom w:val="0"/>
      <w:divBdr>
        <w:top w:val="none" w:sz="0" w:space="0" w:color="auto"/>
        <w:left w:val="none" w:sz="0" w:space="0" w:color="auto"/>
        <w:bottom w:val="none" w:sz="0" w:space="0" w:color="auto"/>
        <w:right w:val="none" w:sz="0" w:space="0" w:color="auto"/>
      </w:divBdr>
      <w:divsChild>
        <w:div w:id="584385366">
          <w:marLeft w:val="0"/>
          <w:marRight w:val="0"/>
          <w:marTop w:val="0"/>
          <w:marBottom w:val="0"/>
          <w:divBdr>
            <w:top w:val="none" w:sz="0" w:space="0" w:color="auto"/>
            <w:left w:val="none" w:sz="0" w:space="0" w:color="auto"/>
            <w:bottom w:val="none" w:sz="0" w:space="0" w:color="auto"/>
            <w:right w:val="none" w:sz="0" w:space="0" w:color="auto"/>
          </w:divBdr>
        </w:div>
        <w:div w:id="1891500064">
          <w:marLeft w:val="0"/>
          <w:marRight w:val="0"/>
          <w:marTop w:val="0"/>
          <w:marBottom w:val="0"/>
          <w:divBdr>
            <w:top w:val="none" w:sz="0" w:space="0" w:color="auto"/>
            <w:left w:val="none" w:sz="0" w:space="0" w:color="auto"/>
            <w:bottom w:val="none" w:sz="0" w:space="0" w:color="auto"/>
            <w:right w:val="none" w:sz="0" w:space="0" w:color="auto"/>
          </w:divBdr>
        </w:div>
        <w:div w:id="1906910597">
          <w:marLeft w:val="0"/>
          <w:marRight w:val="0"/>
          <w:marTop w:val="0"/>
          <w:marBottom w:val="0"/>
          <w:divBdr>
            <w:top w:val="none" w:sz="0" w:space="0" w:color="auto"/>
            <w:left w:val="none" w:sz="0" w:space="0" w:color="auto"/>
            <w:bottom w:val="none" w:sz="0" w:space="0" w:color="auto"/>
            <w:right w:val="none" w:sz="0" w:space="0" w:color="auto"/>
          </w:divBdr>
        </w:div>
      </w:divsChild>
    </w:div>
    <w:div w:id="1657101861">
      <w:bodyDiv w:val="1"/>
      <w:marLeft w:val="0"/>
      <w:marRight w:val="0"/>
      <w:marTop w:val="0"/>
      <w:marBottom w:val="0"/>
      <w:divBdr>
        <w:top w:val="none" w:sz="0" w:space="0" w:color="auto"/>
        <w:left w:val="none" w:sz="0" w:space="0" w:color="auto"/>
        <w:bottom w:val="none" w:sz="0" w:space="0" w:color="auto"/>
        <w:right w:val="none" w:sz="0" w:space="0" w:color="auto"/>
      </w:divBdr>
    </w:div>
    <w:div w:id="1845171351">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903/j.efsa.2016.460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903/j.efsa.2016.46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2009R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49DCCFF06D044688251B3E010FA2BB" ma:contentTypeVersion="11" ma:contentTypeDescription="Create a new document." ma:contentTypeScope="" ma:versionID="b6f641573d54f8d8378caecf1fa365de">
  <xsd:schema xmlns:xsd="http://www.w3.org/2001/XMLSchema" xmlns:xs="http://www.w3.org/2001/XMLSchema" xmlns:p="http://schemas.microsoft.com/office/2006/metadata/properties" xmlns:ns2="786100a8-bbaa-48b6-aa10-6d2082f346b4" xmlns:ns3="25a4600d-fc45-4aed-ad1e-9b44b590e5cc" targetNamespace="http://schemas.microsoft.com/office/2006/metadata/properties" ma:root="true" ma:fieldsID="889ed279879ba929ffe081c12af4a8a5" ns2:_="" ns3:_="">
    <xsd:import namespace="786100a8-bbaa-48b6-aa10-6d2082f346b4"/>
    <xsd:import namespace="25a4600d-fc45-4aed-ad1e-9b44b590e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00a8-bbaa-48b6-aa10-6d2082f3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4600d-fc45-4aed-ad1e-9b44b590e5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205CB0CD-3196-4770-876E-340A0ECB6C49}">
  <ds:schemaRefs>
    <ds:schemaRef ds:uri="http://schemas.openxmlformats.org/officeDocument/2006/bibliography"/>
  </ds:schemaRefs>
</ds:datastoreItem>
</file>

<file path=customXml/itemProps3.xml><?xml version="1.0" encoding="utf-8"?>
<ds:datastoreItem xmlns:ds="http://schemas.openxmlformats.org/officeDocument/2006/customXml" ds:itemID="{68CC32AC-720A-4E2C-8363-8D6B32BA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00a8-bbaa-48b6-aa10-6d2082f346b4"/>
    <ds:schemaRef ds:uri="25a4600d-fc45-4aed-ad1e-9b44b59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6416</Words>
  <Characters>35294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Andriamamonjy Fiaferana</dc:creator>
  <cp:keywords/>
  <dc:description>Translated by IDEST – info@idestnet.com</dc:description>
  <cp:lastModifiedBy>Nyamsi, Emmanuel (NSP)</cp:lastModifiedBy>
  <cp:revision>2</cp:revision>
  <cp:lastPrinted>2010-07-07T11:56:00Z</cp:lastPrinted>
  <dcterms:created xsi:type="dcterms:W3CDTF">2023-02-22T14:27:00Z</dcterms:created>
  <dcterms:modified xsi:type="dcterms:W3CDTF">2023-02-22T14:27:00Z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0x0101001C49DCCFF06D044688251B3E010FA2BB</vt:lpwstr>
  </property>
</Properties>
</file>