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7475" w14:textId="77777777" w:rsidR="006A2578" w:rsidRPr="00606638" w:rsidRDefault="006A2578" w:rsidP="006A2578">
      <w:pPr>
        <w:pStyle w:val="CH1"/>
      </w:pPr>
      <w:r w:rsidRPr="00606638">
        <w:tab/>
      </w:r>
      <w:r w:rsidRPr="00606638">
        <w:tab/>
        <w:t>Annex to decision CRC-17/2</w:t>
      </w:r>
    </w:p>
    <w:p w14:paraId="5ADB9F71" w14:textId="77777777" w:rsidR="006A2578" w:rsidRPr="00606638" w:rsidRDefault="006A2578" w:rsidP="006A2578">
      <w:pPr>
        <w:pStyle w:val="CH1"/>
      </w:pPr>
      <w:r w:rsidRPr="00606638">
        <w:tab/>
      </w:r>
      <w:r w:rsidRPr="00606638">
        <w:tab/>
        <w:t xml:space="preserve">Rationale for the conclusion by the Chemical Review Committee that the notifications of final regulatory action submitted by Canada and </w:t>
      </w:r>
      <w:r w:rsidRPr="00606638">
        <w:rPr>
          <w:iCs/>
        </w:rPr>
        <w:t>Mozambique</w:t>
      </w:r>
      <w:r w:rsidRPr="00606638">
        <w:t xml:space="preserve"> in respect of </w:t>
      </w:r>
      <w:proofErr w:type="spellStart"/>
      <w:r w:rsidRPr="00606638">
        <w:rPr>
          <w:iCs/>
        </w:rPr>
        <w:t>terbufos</w:t>
      </w:r>
      <w:proofErr w:type="spellEnd"/>
      <w:r w:rsidRPr="00606638">
        <w:rPr>
          <w:iCs/>
        </w:rPr>
        <w:t xml:space="preserve"> </w:t>
      </w:r>
      <w:r w:rsidRPr="00606638">
        <w:t>in the pesticide category meet the criteria of Annex II to the Rotterdam Convention</w:t>
      </w:r>
    </w:p>
    <w:p w14:paraId="3680A478" w14:textId="77777777" w:rsidR="006A2578" w:rsidRPr="00606638" w:rsidRDefault="006A2578" w:rsidP="006A2578">
      <w:pPr>
        <w:pStyle w:val="Normal-pool"/>
        <w:numPr>
          <w:ilvl w:val="0"/>
          <w:numId w:val="6"/>
        </w:numPr>
        <w:spacing w:after="120"/>
        <w:ind w:left="1247" w:firstLine="0"/>
      </w:pPr>
      <w:r w:rsidRPr="00606638">
        <w:t xml:space="preserve">The notifications on </w:t>
      </w:r>
      <w:proofErr w:type="spellStart"/>
      <w:r w:rsidRPr="00606638">
        <w:rPr>
          <w:rFonts w:eastAsia="MS Mincho"/>
          <w:iCs/>
          <w:snapToGrid w:val="0"/>
          <w:lang w:bidi="en-US"/>
        </w:rPr>
        <w:t>terbufos</w:t>
      </w:r>
      <w:proofErr w:type="spellEnd"/>
      <w:r w:rsidRPr="00606638">
        <w:rPr>
          <w:rFonts w:eastAsia="MS Mincho"/>
          <w:iCs/>
          <w:snapToGrid w:val="0"/>
          <w:lang w:bidi="en-US"/>
        </w:rPr>
        <w:t xml:space="preserve"> </w:t>
      </w:r>
      <w:r w:rsidRPr="00606638">
        <w:t xml:space="preserve">from Canada and Mozambique have been verified by the Secretariat as containing the information required by Annex I to the Rotterdam Convention. These notifications underwent a preliminary review by the Secretariat and the Bureau, which evaluated whether the notifications appeared to meet the requirements of the Convention. </w:t>
      </w:r>
    </w:p>
    <w:p w14:paraId="00325116" w14:textId="77777777" w:rsidR="006A2578" w:rsidRPr="00715D8C" w:rsidRDefault="006A2578" w:rsidP="006A2578">
      <w:pPr>
        <w:pStyle w:val="Normal-pool"/>
        <w:numPr>
          <w:ilvl w:val="0"/>
          <w:numId w:val="6"/>
        </w:numPr>
        <w:spacing w:after="120"/>
        <w:ind w:left="1247" w:firstLine="0"/>
      </w:pPr>
      <w:r w:rsidRPr="00715D8C">
        <w:t xml:space="preserve">The notifications and supporting documentation were made available to the Chemical Review Committee for its consideration (UNEP/FAO/RC/CRC.17/8/Rev.1, UNEP/FAO/RC/CRC.17/INF/18, UNEP/FAO/RC/CRC.17/INF/19/Rev.1). </w:t>
      </w:r>
      <w:bookmarkStart w:id="0" w:name="_Hlk82544181"/>
      <w:r w:rsidRPr="00715D8C">
        <w:rPr>
          <w:rFonts w:eastAsia="Calibri"/>
        </w:rPr>
        <w:t>Information on trade was available in document UNEP/FAO/RC/CRC.17/INF/5</w:t>
      </w:r>
      <w:bookmarkEnd w:id="0"/>
      <w:r w:rsidRPr="00715D8C">
        <w:rPr>
          <w:rFonts w:eastAsia="Calibri"/>
        </w:rPr>
        <w:t>.</w:t>
      </w:r>
    </w:p>
    <w:p w14:paraId="255D6307" w14:textId="77777777" w:rsidR="006A2578" w:rsidRPr="00606638" w:rsidRDefault="006A2578" w:rsidP="006A2578">
      <w:pPr>
        <w:pStyle w:val="CH1"/>
      </w:pPr>
      <w:r w:rsidRPr="00606638">
        <w:tab/>
        <w:t>I.</w:t>
      </w:r>
      <w:r w:rsidRPr="00606638">
        <w:tab/>
        <w:t>Canada</w:t>
      </w:r>
    </w:p>
    <w:p w14:paraId="0AACD991"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tab/>
        <w:t>(a)</w:t>
      </w:r>
      <w:r w:rsidRPr="00606638">
        <w:rPr>
          <w:b/>
          <w:snapToGrid w:val="0"/>
          <w:lang w:val="en-GB"/>
        </w:rPr>
        <w:tab/>
        <w:t>Scope of the regulatory action notified by Canada</w:t>
      </w:r>
    </w:p>
    <w:p w14:paraId="24233F42" w14:textId="77777777" w:rsidR="006A2578" w:rsidRPr="00606638" w:rsidRDefault="006A2578" w:rsidP="006A2578">
      <w:pPr>
        <w:pStyle w:val="Normal-pool"/>
        <w:numPr>
          <w:ilvl w:val="0"/>
          <w:numId w:val="6"/>
        </w:numPr>
        <w:spacing w:after="120"/>
        <w:ind w:left="1247" w:firstLine="0"/>
        <w:rPr>
          <w:iCs/>
          <w:lang w:bidi="en-US"/>
        </w:rPr>
      </w:pPr>
      <w:r w:rsidRPr="00606638">
        <w:t xml:space="preserve">The regulatory action notified by Canada relates to </w:t>
      </w:r>
      <w:proofErr w:type="spellStart"/>
      <w:r w:rsidRPr="00606638">
        <w:t>terbufos</w:t>
      </w:r>
      <w:proofErr w:type="spellEnd"/>
      <w:r w:rsidRPr="00606638">
        <w:t xml:space="preserve"> (CAS No. </w:t>
      </w:r>
      <w:r w:rsidRPr="00606638">
        <w:rPr>
          <w:rFonts w:eastAsia="MS Mincho"/>
          <w:snapToGrid w:val="0"/>
          <w:szCs w:val="22"/>
          <w:lang w:bidi="en-US"/>
        </w:rPr>
        <w:t>13071-79-9</w:t>
      </w:r>
      <w:r w:rsidRPr="00606638">
        <w:rPr>
          <w:rFonts w:eastAsia="Arial Unicode MS"/>
          <w:spacing w:val="16"/>
        </w:rPr>
        <w:t xml:space="preserve">) </w:t>
      </w:r>
      <w:r w:rsidRPr="00606638">
        <w:t xml:space="preserve">as a pesticide. </w:t>
      </w:r>
      <w:r w:rsidRPr="00606638">
        <w:rPr>
          <w:lang w:bidi="en-US"/>
        </w:rPr>
        <w:t xml:space="preserve">Prior to the final regulatory action entering into force, </w:t>
      </w:r>
      <w:proofErr w:type="spellStart"/>
      <w:r w:rsidRPr="00606638">
        <w:rPr>
          <w:lang w:bidi="en-US"/>
        </w:rPr>
        <w:t>terbufos</w:t>
      </w:r>
      <w:proofErr w:type="spellEnd"/>
      <w:r w:rsidRPr="00606638">
        <w:rPr>
          <w:lang w:bidi="en-US"/>
        </w:rPr>
        <w:t xml:space="preserve"> was registered in Canada for use on canola, corn, mustard, </w:t>
      </w:r>
      <w:proofErr w:type="gramStart"/>
      <w:r w:rsidRPr="00606638">
        <w:rPr>
          <w:lang w:bidi="en-US"/>
        </w:rPr>
        <w:t>rutabagas</w:t>
      </w:r>
      <w:proofErr w:type="gramEnd"/>
      <w:r w:rsidRPr="00606638">
        <w:rPr>
          <w:lang w:bidi="en-US"/>
        </w:rPr>
        <w:t xml:space="preserve"> and sugar beets (UNEP/FAO/RC/CRC.17/8/Rev.1, sect. 2.3.1 of the Canada notification). Based on the final regulatory action, no uses of </w:t>
      </w:r>
      <w:proofErr w:type="spellStart"/>
      <w:r w:rsidRPr="00606638">
        <w:rPr>
          <w:lang w:bidi="en-US"/>
        </w:rPr>
        <w:t>terbufos</w:t>
      </w:r>
      <w:proofErr w:type="spellEnd"/>
      <w:r w:rsidRPr="00606638">
        <w:rPr>
          <w:lang w:bidi="en-US"/>
        </w:rPr>
        <w:t xml:space="preserve"> were to be allowed after December </w:t>
      </w:r>
      <w:r w:rsidRPr="00415E51">
        <w:rPr>
          <w:lang w:bidi="en-US"/>
        </w:rPr>
        <w:t xml:space="preserve">2004, except on sugar beets for which the use of </w:t>
      </w:r>
      <w:proofErr w:type="spellStart"/>
      <w:r w:rsidRPr="00415E51">
        <w:rPr>
          <w:lang w:bidi="en-US"/>
        </w:rPr>
        <w:t>terbufos</w:t>
      </w:r>
      <w:proofErr w:type="spellEnd"/>
      <w:r w:rsidRPr="00415E51">
        <w:rPr>
          <w:lang w:bidi="en-US"/>
        </w:rPr>
        <w:t xml:space="preserve"> was no longer</w:t>
      </w:r>
      <w:r w:rsidRPr="00606638">
        <w:rPr>
          <w:lang w:bidi="en-US"/>
        </w:rPr>
        <w:t xml:space="preserve"> allowed after 1 August 2012. The sale of pesticides containing </w:t>
      </w:r>
      <w:proofErr w:type="spellStart"/>
      <w:r w:rsidRPr="00606638">
        <w:rPr>
          <w:lang w:bidi="en-US"/>
        </w:rPr>
        <w:t>terbufos</w:t>
      </w:r>
      <w:proofErr w:type="spellEnd"/>
      <w:r w:rsidRPr="00606638">
        <w:rPr>
          <w:lang w:bidi="en-US"/>
        </w:rPr>
        <w:t xml:space="preserve"> was prohibited in Canada effective 1 May 2012. The use of products containing </w:t>
      </w:r>
      <w:proofErr w:type="spellStart"/>
      <w:r w:rsidRPr="00606638">
        <w:rPr>
          <w:lang w:bidi="en-US"/>
        </w:rPr>
        <w:t>terbufos</w:t>
      </w:r>
      <w:proofErr w:type="spellEnd"/>
      <w:r w:rsidRPr="00606638">
        <w:rPr>
          <w:lang w:bidi="en-US"/>
        </w:rPr>
        <w:t xml:space="preserve"> was prohibited after 1 August 2012. The final regulatory action was taken </w:t>
      </w:r>
      <w:proofErr w:type="gramStart"/>
      <w:r w:rsidRPr="00606638">
        <w:rPr>
          <w:lang w:bidi="en-US"/>
        </w:rPr>
        <w:t>as a result of</w:t>
      </w:r>
      <w:proofErr w:type="gramEnd"/>
      <w:r w:rsidRPr="00606638">
        <w:rPr>
          <w:lang w:bidi="en-US"/>
        </w:rPr>
        <w:t xml:space="preserve"> the unacceptable risk to the environment posed by the registered uses of pesticides containing </w:t>
      </w:r>
      <w:proofErr w:type="spellStart"/>
      <w:r w:rsidRPr="00606638">
        <w:rPr>
          <w:lang w:bidi="en-US"/>
        </w:rPr>
        <w:t>terbufos</w:t>
      </w:r>
      <w:proofErr w:type="spellEnd"/>
      <w:r w:rsidRPr="00606638">
        <w:rPr>
          <w:lang w:bidi="en-US"/>
        </w:rPr>
        <w:t xml:space="preserve"> in Canada (</w:t>
      </w:r>
      <w:r w:rsidRPr="00606638">
        <w:rPr>
          <w:iCs/>
          <w:lang w:bidi="en-US"/>
        </w:rPr>
        <w:t xml:space="preserve">UNEP/FAO/RC/CRC.17/8/Rev.1, </w:t>
      </w:r>
      <w:r w:rsidRPr="00606638">
        <w:rPr>
          <w:lang w:bidi="en-US"/>
        </w:rPr>
        <w:t xml:space="preserve">sects. 2.2.1 and </w:t>
      </w:r>
      <w:r w:rsidRPr="00606638">
        <w:rPr>
          <w:iCs/>
          <w:lang w:bidi="en-US"/>
        </w:rPr>
        <w:t>2.2.3 of the Canada notification).</w:t>
      </w:r>
    </w:p>
    <w:p w14:paraId="773E8790" w14:textId="77777777" w:rsidR="006A2578" w:rsidRPr="00606638" w:rsidRDefault="006A2578" w:rsidP="006A2578">
      <w:pPr>
        <w:pStyle w:val="Normal-pool"/>
        <w:numPr>
          <w:ilvl w:val="0"/>
          <w:numId w:val="6"/>
        </w:numPr>
        <w:spacing w:after="120"/>
        <w:ind w:left="1247" w:firstLine="0"/>
      </w:pPr>
      <w:r w:rsidRPr="00606638">
        <w:rPr>
          <w:snapToGrid w:val="0"/>
        </w:rPr>
        <w:t xml:space="preserve">The </w:t>
      </w:r>
      <w:r w:rsidRPr="004C41EB">
        <w:t>notification</w:t>
      </w:r>
      <w:r w:rsidRPr="00606638">
        <w:rPr>
          <w:snapToGrid w:val="0"/>
        </w:rPr>
        <w:t xml:space="preserve"> was found to meet the information requirements of Annex I.</w:t>
      </w:r>
    </w:p>
    <w:p w14:paraId="34E38F2E"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tab/>
        <w:t>(b)</w:t>
      </w:r>
      <w:r w:rsidRPr="00606638">
        <w:rPr>
          <w:b/>
          <w:snapToGrid w:val="0"/>
          <w:lang w:val="en-GB"/>
        </w:rPr>
        <w:tab/>
        <w:t>Annex II paragraph (a) criterion</w:t>
      </w:r>
    </w:p>
    <w:p w14:paraId="18F8B8E5" w14:textId="77777777" w:rsidR="006A2578" w:rsidRPr="00606638" w:rsidRDefault="006A2578" w:rsidP="006A2578">
      <w:pPr>
        <w:tabs>
          <w:tab w:val="left" w:pos="624"/>
          <w:tab w:val="left" w:pos="2410"/>
        </w:tabs>
        <w:spacing w:after="120"/>
        <w:ind w:left="1247" w:firstLine="624"/>
        <w:rPr>
          <w:i/>
          <w:lang w:val="en-GB" w:eastAsia="ja-JP"/>
        </w:rPr>
      </w:pPr>
      <w:r w:rsidRPr="00606638">
        <w:rPr>
          <w:i/>
          <w:lang w:val="en-GB" w:eastAsia="ja-JP"/>
        </w:rPr>
        <w:t>(a)</w:t>
      </w:r>
      <w:r w:rsidRPr="00606638">
        <w:rPr>
          <w:i/>
          <w:lang w:val="en-GB" w:eastAsia="ja-JP"/>
        </w:rPr>
        <w:tab/>
      </w:r>
      <w:r w:rsidRPr="00606638">
        <w:rPr>
          <w:i/>
          <w:lang w:val="en-GB"/>
        </w:rPr>
        <w:t xml:space="preserve">Confirm that the final regulatory action has been taken in order to protect human health or the </w:t>
      </w:r>
      <w:proofErr w:type="gramStart"/>
      <w:r w:rsidRPr="00606638">
        <w:rPr>
          <w:i/>
          <w:lang w:val="en-GB"/>
        </w:rPr>
        <w:t>en</w:t>
      </w:r>
      <w:r w:rsidRPr="00606638">
        <w:rPr>
          <w:i/>
          <w:lang w:val="en-GB" w:eastAsia="ja-JP"/>
        </w:rPr>
        <w:t>vironment;</w:t>
      </w:r>
      <w:proofErr w:type="gramEnd"/>
    </w:p>
    <w:p w14:paraId="18D9F339" w14:textId="77777777" w:rsidR="006A2578" w:rsidRPr="00606638" w:rsidRDefault="006A2578" w:rsidP="006A2578">
      <w:pPr>
        <w:pStyle w:val="Normal-pool"/>
        <w:numPr>
          <w:ilvl w:val="0"/>
          <w:numId w:val="6"/>
        </w:numPr>
        <w:spacing w:after="120"/>
        <w:ind w:left="1247" w:firstLine="0"/>
      </w:pPr>
      <w:r w:rsidRPr="00606638">
        <w:t xml:space="preserve">The Committee confirms that the regulatory action was taken to </w:t>
      </w:r>
      <w:r w:rsidRPr="00606638">
        <w:rPr>
          <w:rFonts w:eastAsia="MS Mincho"/>
          <w:iCs/>
          <w:lang w:bidi="en-US"/>
        </w:rPr>
        <w:t xml:space="preserve">reduce the risk from </w:t>
      </w:r>
      <w:proofErr w:type="spellStart"/>
      <w:r w:rsidRPr="00606638">
        <w:rPr>
          <w:rFonts w:eastAsia="MS Mincho"/>
          <w:iCs/>
          <w:lang w:bidi="en-US"/>
        </w:rPr>
        <w:t>terbufos</w:t>
      </w:r>
      <w:proofErr w:type="spellEnd"/>
      <w:r w:rsidRPr="00606638">
        <w:rPr>
          <w:rFonts w:eastAsia="MS Mincho"/>
          <w:iCs/>
          <w:lang w:bidi="en-US"/>
        </w:rPr>
        <w:t xml:space="preserve"> to the environment (</w:t>
      </w:r>
      <w:r w:rsidRPr="00606638">
        <w:rPr>
          <w:rFonts w:eastAsia="MS Mincho"/>
          <w:szCs w:val="22"/>
          <w:lang w:bidi="en-US"/>
        </w:rPr>
        <w:t xml:space="preserve">UNEP/FAO/RC/CRC.17/8/Rev.1, </w:t>
      </w:r>
      <w:r w:rsidRPr="00606638">
        <w:rPr>
          <w:rFonts w:eastAsia="MS Mincho"/>
          <w:snapToGrid w:val="0"/>
          <w:szCs w:val="22"/>
          <w:lang w:bidi="en-US"/>
        </w:rPr>
        <w:t>s</w:t>
      </w:r>
      <w:r w:rsidRPr="00606638">
        <w:rPr>
          <w:rFonts w:eastAsia="MS Mincho"/>
          <w:szCs w:val="22"/>
          <w:lang w:bidi="en-US"/>
        </w:rPr>
        <w:t>ect. 2.4.2.2 of the Canada notification</w:t>
      </w:r>
      <w:r w:rsidRPr="00606638">
        <w:rPr>
          <w:rFonts w:eastAsia="MS Mincho"/>
          <w:iCs/>
          <w:lang w:bidi="en-US"/>
        </w:rPr>
        <w:t>)</w:t>
      </w:r>
      <w:r w:rsidRPr="00606638">
        <w:t xml:space="preserve">. </w:t>
      </w:r>
    </w:p>
    <w:p w14:paraId="7C5496DD" w14:textId="77777777" w:rsidR="006A2578" w:rsidRPr="00606638" w:rsidRDefault="006A2578" w:rsidP="006A2578">
      <w:pPr>
        <w:pStyle w:val="Normal-pool"/>
        <w:numPr>
          <w:ilvl w:val="0"/>
          <w:numId w:val="6"/>
        </w:numPr>
        <w:spacing w:after="120"/>
        <w:ind w:left="1247" w:firstLine="0"/>
      </w:pPr>
      <w:r w:rsidRPr="00606638">
        <w:t>According</w:t>
      </w:r>
      <w:r w:rsidRPr="00606638">
        <w:rPr>
          <w:rFonts w:eastAsia="MS Mincho"/>
          <w:iCs/>
          <w:lang w:bidi="en-US"/>
        </w:rPr>
        <w:t xml:space="preserve"> to the evaluation related to the environment based on the available toxicity data the following concerns were identified:</w:t>
      </w:r>
    </w:p>
    <w:p w14:paraId="542C8F39" w14:textId="77777777" w:rsidR="006A2578" w:rsidRPr="00606638" w:rsidRDefault="006A2578" w:rsidP="006A2578">
      <w:pPr>
        <w:numPr>
          <w:ilvl w:val="0"/>
          <w:numId w:val="4"/>
        </w:numPr>
        <w:tabs>
          <w:tab w:val="clear" w:pos="1247"/>
          <w:tab w:val="clear" w:pos="1814"/>
          <w:tab w:val="clear" w:pos="2381"/>
          <w:tab w:val="clear" w:pos="2948"/>
          <w:tab w:val="clear" w:pos="3515"/>
          <w:tab w:val="left" w:pos="624"/>
        </w:tabs>
        <w:snapToGrid w:val="0"/>
        <w:spacing w:after="120"/>
        <w:ind w:left="1247" w:firstLine="624"/>
        <w:rPr>
          <w:rFonts w:eastAsia="MS Mincho"/>
          <w:iCs/>
          <w:szCs w:val="22"/>
          <w:lang w:val="en-GB" w:bidi="en-US"/>
        </w:rPr>
      </w:pPr>
      <w:r w:rsidRPr="00606638">
        <w:rPr>
          <w:rFonts w:eastAsia="MS Mincho"/>
          <w:iCs/>
          <w:szCs w:val="22"/>
          <w:lang w:val="en-GB" w:bidi="en-US"/>
        </w:rPr>
        <w:t xml:space="preserve">Risk from exposure to </w:t>
      </w:r>
      <w:proofErr w:type="spellStart"/>
      <w:r w:rsidRPr="00606638">
        <w:rPr>
          <w:rFonts w:eastAsia="MS Mincho"/>
          <w:iCs/>
          <w:szCs w:val="22"/>
          <w:lang w:val="en-GB" w:bidi="en-US"/>
        </w:rPr>
        <w:t>terbufos</w:t>
      </w:r>
      <w:proofErr w:type="spellEnd"/>
      <w:r w:rsidRPr="00606638">
        <w:rPr>
          <w:rFonts w:eastAsia="MS Mincho"/>
          <w:iCs/>
          <w:szCs w:val="22"/>
          <w:lang w:val="en-GB" w:bidi="en-US"/>
        </w:rPr>
        <w:t xml:space="preserve"> is classified as high to extremely high for aquatic organisms and in most cases high to extremely high for </w:t>
      </w:r>
      <w:proofErr w:type="gramStart"/>
      <w:r w:rsidRPr="00606638">
        <w:rPr>
          <w:rFonts w:eastAsia="MS Mincho"/>
          <w:iCs/>
          <w:szCs w:val="22"/>
          <w:lang w:val="en-GB" w:bidi="en-US"/>
        </w:rPr>
        <w:t>birds;</w:t>
      </w:r>
      <w:proofErr w:type="gramEnd"/>
    </w:p>
    <w:p w14:paraId="4C7F701F" w14:textId="77777777" w:rsidR="006A2578" w:rsidRPr="00606638" w:rsidRDefault="006A2578" w:rsidP="006A2578">
      <w:pPr>
        <w:numPr>
          <w:ilvl w:val="0"/>
          <w:numId w:val="4"/>
        </w:numPr>
        <w:tabs>
          <w:tab w:val="clear" w:pos="1247"/>
          <w:tab w:val="clear" w:pos="1814"/>
          <w:tab w:val="clear" w:pos="2381"/>
          <w:tab w:val="clear" w:pos="2948"/>
          <w:tab w:val="clear" w:pos="3515"/>
          <w:tab w:val="left" w:pos="624"/>
        </w:tabs>
        <w:snapToGrid w:val="0"/>
        <w:spacing w:after="120"/>
        <w:ind w:left="1247" w:firstLine="624"/>
        <w:rPr>
          <w:rFonts w:eastAsia="MS Mincho"/>
          <w:iCs/>
          <w:szCs w:val="22"/>
          <w:lang w:val="en-GB" w:bidi="en-US"/>
        </w:rPr>
      </w:pPr>
      <w:r w:rsidRPr="00606638">
        <w:rPr>
          <w:rFonts w:eastAsia="MS Mincho"/>
          <w:iCs/>
          <w:szCs w:val="22"/>
          <w:lang w:val="en-GB" w:bidi="en-US"/>
        </w:rPr>
        <w:t xml:space="preserve">Risk to mammals is classified as low for large mammals </w:t>
      </w:r>
      <w:proofErr w:type="spellStart"/>
      <w:r w:rsidRPr="00606638">
        <w:rPr>
          <w:rFonts w:eastAsia="MS Mincho"/>
          <w:iCs/>
          <w:szCs w:val="22"/>
          <w:lang w:val="en-GB" w:bidi="en-US"/>
        </w:rPr>
        <w:t>to</w:t>
      </w:r>
      <w:proofErr w:type="spellEnd"/>
      <w:r w:rsidRPr="00606638">
        <w:rPr>
          <w:rFonts w:eastAsia="MS Mincho"/>
          <w:iCs/>
          <w:szCs w:val="22"/>
          <w:lang w:val="en-GB" w:bidi="en-US"/>
        </w:rPr>
        <w:t xml:space="preserve"> high for small </w:t>
      </w:r>
      <w:proofErr w:type="gramStart"/>
      <w:r w:rsidRPr="00606638">
        <w:rPr>
          <w:rFonts w:eastAsia="MS Mincho"/>
          <w:iCs/>
          <w:szCs w:val="22"/>
          <w:lang w:val="en-GB" w:bidi="en-US"/>
        </w:rPr>
        <w:t>mammals;</w:t>
      </w:r>
      <w:proofErr w:type="gramEnd"/>
      <w:r w:rsidRPr="00606638">
        <w:rPr>
          <w:rFonts w:eastAsia="MS Mincho"/>
          <w:iCs/>
          <w:szCs w:val="22"/>
          <w:lang w:val="en-GB" w:bidi="en-US"/>
        </w:rPr>
        <w:t xml:space="preserve"> </w:t>
      </w:r>
    </w:p>
    <w:p w14:paraId="4FFD3D1D" w14:textId="77777777" w:rsidR="006A2578" w:rsidRPr="00606638" w:rsidRDefault="006A2578" w:rsidP="006A2578">
      <w:pPr>
        <w:numPr>
          <w:ilvl w:val="0"/>
          <w:numId w:val="4"/>
        </w:numPr>
        <w:tabs>
          <w:tab w:val="clear" w:pos="1247"/>
          <w:tab w:val="clear" w:pos="1814"/>
          <w:tab w:val="clear" w:pos="2381"/>
          <w:tab w:val="clear" w:pos="2948"/>
          <w:tab w:val="clear" w:pos="3515"/>
          <w:tab w:val="left" w:pos="624"/>
        </w:tabs>
        <w:snapToGrid w:val="0"/>
        <w:spacing w:after="120"/>
        <w:ind w:left="1247" w:firstLine="624"/>
        <w:rPr>
          <w:rFonts w:eastAsia="MS Mincho"/>
          <w:iCs/>
          <w:szCs w:val="22"/>
          <w:lang w:val="en-GB" w:bidi="en-US"/>
        </w:rPr>
      </w:pPr>
      <w:r w:rsidRPr="00606638">
        <w:rPr>
          <w:rFonts w:eastAsia="MS Mincho"/>
          <w:iCs/>
          <w:szCs w:val="22"/>
          <w:lang w:val="en-GB" w:bidi="en-US"/>
        </w:rPr>
        <w:t xml:space="preserve">High risk of </w:t>
      </w:r>
      <w:proofErr w:type="spellStart"/>
      <w:r w:rsidRPr="00606638">
        <w:rPr>
          <w:rFonts w:eastAsia="MS Mincho"/>
          <w:iCs/>
          <w:szCs w:val="22"/>
          <w:lang w:val="en-GB" w:bidi="en-US"/>
        </w:rPr>
        <w:t>terbufos</w:t>
      </w:r>
      <w:proofErr w:type="spellEnd"/>
      <w:r w:rsidRPr="00606638">
        <w:rPr>
          <w:rFonts w:eastAsia="MS Mincho"/>
          <w:iCs/>
          <w:szCs w:val="22"/>
          <w:lang w:val="en-GB" w:bidi="en-US"/>
        </w:rPr>
        <w:t xml:space="preserve"> on non-target species has been documented by incident reports of adverse effects.</w:t>
      </w:r>
    </w:p>
    <w:p w14:paraId="411E51EF" w14:textId="77777777" w:rsidR="006A2578" w:rsidRPr="00606638" w:rsidRDefault="006A2578" w:rsidP="006A2578">
      <w:pPr>
        <w:pStyle w:val="Normal-pool"/>
        <w:numPr>
          <w:ilvl w:val="0"/>
          <w:numId w:val="6"/>
        </w:numPr>
        <w:spacing w:after="120"/>
        <w:ind w:left="1247" w:firstLine="0"/>
      </w:pPr>
      <w:r w:rsidRPr="00606638">
        <w:rPr>
          <w:rFonts w:eastAsia="MS Mincho"/>
          <w:iCs/>
          <w:lang w:bidi="en-US"/>
        </w:rPr>
        <w:t xml:space="preserve">The Committee therefore concludes that the final regulatory action was taken </w:t>
      </w:r>
      <w:proofErr w:type="gramStart"/>
      <w:r w:rsidRPr="00606638">
        <w:rPr>
          <w:rFonts w:eastAsia="MS Mincho"/>
          <w:iCs/>
          <w:lang w:bidi="en-US"/>
        </w:rPr>
        <w:t>in order to</w:t>
      </w:r>
      <w:proofErr w:type="gramEnd"/>
      <w:r w:rsidRPr="00606638">
        <w:rPr>
          <w:rFonts w:eastAsia="MS Mincho"/>
          <w:iCs/>
          <w:lang w:bidi="en-US"/>
        </w:rPr>
        <w:t xml:space="preserve"> protect the </w:t>
      </w:r>
      <w:r w:rsidRPr="004C41EB">
        <w:t>environment</w:t>
      </w:r>
      <w:r w:rsidRPr="00606638">
        <w:rPr>
          <w:rFonts w:eastAsia="MS Mincho"/>
          <w:iCs/>
          <w:lang w:bidi="en-US"/>
        </w:rPr>
        <w:t xml:space="preserve"> and that</w:t>
      </w:r>
      <w:r>
        <w:rPr>
          <w:rFonts w:eastAsia="MS Mincho"/>
          <w:iCs/>
          <w:lang w:bidi="en-US"/>
        </w:rPr>
        <w:t xml:space="preserve"> the</w:t>
      </w:r>
      <w:r w:rsidRPr="00606638">
        <w:rPr>
          <w:rFonts w:eastAsia="MS Mincho"/>
          <w:iCs/>
          <w:lang w:bidi="en-US"/>
        </w:rPr>
        <w:t xml:space="preserve"> Annex II</w:t>
      </w:r>
      <w:r>
        <w:rPr>
          <w:rFonts w:eastAsia="MS Mincho"/>
          <w:iCs/>
          <w:lang w:bidi="en-US"/>
        </w:rPr>
        <w:t>,</w:t>
      </w:r>
      <w:r w:rsidRPr="00606638">
        <w:rPr>
          <w:rFonts w:eastAsia="MS Mincho"/>
          <w:iCs/>
          <w:lang w:bidi="en-US"/>
        </w:rPr>
        <w:t xml:space="preserve"> </w:t>
      </w:r>
      <w:r>
        <w:rPr>
          <w:rFonts w:eastAsia="MS Mincho"/>
          <w:iCs/>
          <w:lang w:bidi="en-US"/>
        </w:rPr>
        <w:t xml:space="preserve">paragraph (a), </w:t>
      </w:r>
      <w:r w:rsidRPr="00606638">
        <w:rPr>
          <w:rFonts w:eastAsia="MS Mincho"/>
          <w:iCs/>
          <w:lang w:bidi="en-US"/>
        </w:rPr>
        <w:t>criterion is met.</w:t>
      </w:r>
    </w:p>
    <w:p w14:paraId="433A13D8" w14:textId="77777777" w:rsidR="006A2578" w:rsidRPr="006A2578" w:rsidRDefault="006A2578" w:rsidP="006A2578">
      <w:pPr>
        <w:keepNext/>
        <w:keepLines/>
        <w:tabs>
          <w:tab w:val="right" w:pos="851"/>
          <w:tab w:val="left" w:pos="4082"/>
        </w:tabs>
        <w:spacing w:after="120"/>
        <w:ind w:left="1247" w:right="284" w:hanging="1247"/>
        <w:jc w:val="both"/>
        <w:rPr>
          <w:b/>
          <w:lang w:val="en-US"/>
        </w:rPr>
      </w:pPr>
      <w:r w:rsidRPr="00606638">
        <w:rPr>
          <w:b/>
          <w:snapToGrid w:val="0"/>
          <w:lang w:val="en-GB"/>
        </w:rPr>
        <w:lastRenderedPageBreak/>
        <w:tab/>
      </w:r>
      <w:r w:rsidRPr="006A2578">
        <w:rPr>
          <w:b/>
          <w:lang w:val="en-US"/>
        </w:rPr>
        <w:t>(c)</w:t>
      </w:r>
      <w:r w:rsidRPr="006A2578">
        <w:rPr>
          <w:b/>
          <w:lang w:val="en-US"/>
        </w:rPr>
        <w:tab/>
        <w:t xml:space="preserve">Annex II paragraph (b) criteria </w:t>
      </w:r>
    </w:p>
    <w:p w14:paraId="26180D07" w14:textId="77777777" w:rsidR="006A2578" w:rsidRPr="00606638" w:rsidRDefault="006A2578" w:rsidP="006A2578">
      <w:pPr>
        <w:tabs>
          <w:tab w:val="clear" w:pos="1247"/>
          <w:tab w:val="clear" w:pos="1814"/>
          <w:tab w:val="clear" w:pos="2381"/>
          <w:tab w:val="clear" w:pos="2948"/>
          <w:tab w:val="clear" w:pos="3515"/>
          <w:tab w:val="left" w:pos="624"/>
        </w:tabs>
        <w:spacing w:after="120"/>
        <w:ind w:left="1247" w:firstLine="624"/>
        <w:rPr>
          <w:i/>
          <w:lang w:val="en-GB"/>
        </w:rPr>
      </w:pPr>
      <w:r w:rsidRPr="00606638">
        <w:rPr>
          <w:i/>
          <w:lang w:val="en-GB"/>
        </w:rPr>
        <w:t>(b)</w:t>
      </w:r>
      <w:r w:rsidRPr="00606638">
        <w:rPr>
          <w:i/>
          <w:lang w:val="en-GB"/>
        </w:rPr>
        <w:tab/>
        <w:t xml:space="preserve">Establish that the final regulatory action has been taken </w:t>
      </w:r>
      <w:proofErr w:type="gramStart"/>
      <w:r w:rsidRPr="00606638">
        <w:rPr>
          <w:i/>
          <w:lang w:val="en-GB"/>
        </w:rPr>
        <w:t>as a consequence of</w:t>
      </w:r>
      <w:proofErr w:type="gramEnd"/>
      <w:r w:rsidRPr="00606638">
        <w:rPr>
          <w:i/>
          <w:lang w:val="en-GB"/>
        </w:rPr>
        <w:t xml:space="preserve"> a risk evaluation. This evaluation shall be based on a review of scientific data in the context of the conditions prevailing in </w:t>
      </w:r>
      <w:r w:rsidRPr="00606638">
        <w:rPr>
          <w:i/>
          <w:lang w:val="en-GB" w:eastAsia="ja-JP"/>
        </w:rPr>
        <w:t>the</w:t>
      </w:r>
      <w:r w:rsidRPr="00606638">
        <w:rPr>
          <w:i/>
          <w:lang w:val="en-GB"/>
        </w:rPr>
        <w:t xml:space="preserve"> Party in question. For this purpose, the documentation provided shall demonstrate that:</w:t>
      </w:r>
    </w:p>
    <w:p w14:paraId="03B88AEE"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 xml:space="preserve">Data have been generated according to scientifically recognized </w:t>
      </w:r>
      <w:proofErr w:type="gramStart"/>
      <w:r w:rsidRPr="00606638">
        <w:rPr>
          <w:i/>
          <w:lang w:val="en-GB"/>
        </w:rPr>
        <w:t>methods;</w:t>
      </w:r>
      <w:proofErr w:type="gramEnd"/>
    </w:p>
    <w:p w14:paraId="59B68794"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 xml:space="preserve">Data reviews have been performed and documented according to generally recognized scientific principles and </w:t>
      </w:r>
      <w:proofErr w:type="gramStart"/>
      <w:r w:rsidRPr="00606638">
        <w:rPr>
          <w:i/>
          <w:lang w:val="en-GB"/>
        </w:rPr>
        <w:t>procedures;</w:t>
      </w:r>
      <w:proofErr w:type="gramEnd"/>
    </w:p>
    <w:p w14:paraId="4A7C1EAB" w14:textId="77777777" w:rsidR="006A2578" w:rsidRPr="00606638" w:rsidRDefault="006A2578" w:rsidP="006A2578">
      <w:pPr>
        <w:pStyle w:val="Normal-pool"/>
        <w:numPr>
          <w:ilvl w:val="0"/>
          <w:numId w:val="6"/>
        </w:numPr>
        <w:spacing w:after="120"/>
        <w:ind w:left="1247" w:firstLine="0"/>
      </w:pPr>
      <w:r w:rsidRPr="00606638">
        <w:rPr>
          <w:rFonts w:eastAsia="MS Mincho"/>
          <w:iCs/>
          <w:lang w:bidi="en-US"/>
        </w:rPr>
        <w:t xml:space="preserve">The notification indicates that the final regulatory action is based on a risk evaluation. In the </w:t>
      </w:r>
      <w:r w:rsidRPr="004C41EB">
        <w:t>notification</w:t>
      </w:r>
      <w:r w:rsidRPr="00606638">
        <w:rPr>
          <w:rFonts w:eastAsia="MS Mincho"/>
          <w:iCs/>
          <w:lang w:bidi="en-US"/>
        </w:rPr>
        <w:t>, reference is made to the following documents, provided as supporting documentation in UNEP/FAO/RC/CRC.17/INF/19/Rev.1:</w:t>
      </w:r>
    </w:p>
    <w:p w14:paraId="16B16129" w14:textId="77777777" w:rsidR="006A2578" w:rsidRPr="00606638" w:rsidRDefault="006A2578" w:rsidP="006A2578">
      <w:pPr>
        <w:numPr>
          <w:ilvl w:val="0"/>
          <w:numId w:val="3"/>
        </w:numPr>
        <w:tabs>
          <w:tab w:val="clear" w:pos="1247"/>
          <w:tab w:val="clear" w:pos="1814"/>
          <w:tab w:val="clear" w:pos="2381"/>
          <w:tab w:val="clear" w:pos="2948"/>
          <w:tab w:val="clear" w:pos="3515"/>
          <w:tab w:val="left" w:pos="624"/>
        </w:tabs>
        <w:spacing w:after="120"/>
        <w:ind w:left="1247" w:firstLine="624"/>
        <w:jc w:val="both"/>
        <w:rPr>
          <w:rFonts w:eastAsia="MS Mincho"/>
          <w:iCs/>
          <w:lang w:val="en-GB" w:bidi="en-US"/>
        </w:rPr>
      </w:pPr>
      <w:r w:rsidRPr="00606638">
        <w:rPr>
          <w:rFonts w:eastAsia="MS Mincho"/>
          <w:iCs/>
          <w:lang w:val="en-GB" w:bidi="en-US"/>
        </w:rPr>
        <w:t>Pest Management Regulatory Agency, Health Canada</w:t>
      </w:r>
      <w:r>
        <w:rPr>
          <w:rFonts w:eastAsia="MS Mincho"/>
          <w:iCs/>
          <w:lang w:val="en-GB" w:bidi="en-US"/>
        </w:rPr>
        <w:t>,</w:t>
      </w:r>
      <w:r w:rsidRPr="00606638">
        <w:rPr>
          <w:rFonts w:eastAsia="MS Mincho"/>
          <w:iCs/>
          <w:lang w:val="en-GB" w:bidi="en-US"/>
        </w:rPr>
        <w:t xml:space="preserve"> “Proposed </w:t>
      </w:r>
      <w:r>
        <w:rPr>
          <w:rFonts w:eastAsia="MS Mincho"/>
          <w:iCs/>
          <w:lang w:val="en-GB" w:bidi="en-US"/>
        </w:rPr>
        <w:t>a</w:t>
      </w:r>
      <w:r w:rsidRPr="00606638">
        <w:rPr>
          <w:rFonts w:eastAsia="MS Mincho"/>
          <w:iCs/>
          <w:lang w:val="en-GB" w:bidi="en-US"/>
        </w:rPr>
        <w:t xml:space="preserve">cceptability for </w:t>
      </w:r>
      <w:r>
        <w:rPr>
          <w:rFonts w:eastAsia="MS Mincho"/>
          <w:iCs/>
          <w:lang w:val="en-GB" w:bidi="en-US"/>
        </w:rPr>
        <w:t>c</w:t>
      </w:r>
      <w:r w:rsidRPr="00606638">
        <w:rPr>
          <w:rFonts w:eastAsia="MS Mincho"/>
          <w:iCs/>
          <w:lang w:val="en-GB" w:bidi="en-US"/>
        </w:rPr>
        <w:t xml:space="preserve">ontinuing </w:t>
      </w:r>
      <w:r>
        <w:rPr>
          <w:rFonts w:eastAsia="MS Mincho"/>
          <w:iCs/>
          <w:lang w:val="en-GB" w:bidi="en-US"/>
        </w:rPr>
        <w:t>r</w:t>
      </w:r>
      <w:r w:rsidRPr="00606638">
        <w:rPr>
          <w:rFonts w:eastAsia="MS Mincho"/>
          <w:iCs/>
          <w:lang w:val="en-GB" w:bidi="en-US"/>
        </w:rPr>
        <w:t xml:space="preserve">egistration (PACR 2003-02): Re-evaluation of </w:t>
      </w:r>
      <w:proofErr w:type="spellStart"/>
      <w:r w:rsidRPr="00606638">
        <w:rPr>
          <w:rFonts w:eastAsia="MS Mincho"/>
          <w:iCs/>
          <w:lang w:val="en-GB" w:bidi="en-US"/>
        </w:rPr>
        <w:t>terbufos</w:t>
      </w:r>
      <w:proofErr w:type="spellEnd"/>
      <w:r w:rsidRPr="00606638">
        <w:rPr>
          <w:rFonts w:eastAsia="MS Mincho"/>
          <w:iCs/>
          <w:lang w:val="en-GB" w:bidi="en-US"/>
        </w:rPr>
        <w:t xml:space="preserve">” </w:t>
      </w:r>
      <w:r>
        <w:rPr>
          <w:rFonts w:eastAsia="MS Mincho"/>
          <w:iCs/>
          <w:lang w:val="en-GB" w:bidi="en-US"/>
        </w:rPr>
        <w:t xml:space="preserve">(24 </w:t>
      </w:r>
      <w:r w:rsidRPr="00606638">
        <w:rPr>
          <w:rFonts w:eastAsia="MS Mincho"/>
          <w:iCs/>
          <w:lang w:val="en-GB" w:bidi="en-US"/>
        </w:rPr>
        <w:t>January 2003</w:t>
      </w:r>
      <w:proofErr w:type="gramStart"/>
      <w:r>
        <w:rPr>
          <w:rFonts w:eastAsia="MS Mincho"/>
          <w:iCs/>
          <w:lang w:val="en-GB" w:bidi="en-US"/>
        </w:rPr>
        <w:t>)</w:t>
      </w:r>
      <w:r w:rsidRPr="00606638">
        <w:rPr>
          <w:rFonts w:eastAsia="MS Mincho"/>
          <w:iCs/>
          <w:lang w:val="en-GB" w:bidi="en-US"/>
        </w:rPr>
        <w:t>;</w:t>
      </w:r>
      <w:proofErr w:type="gramEnd"/>
    </w:p>
    <w:p w14:paraId="2DE92FF9" w14:textId="77777777" w:rsidR="006A2578" w:rsidRPr="00606638" w:rsidRDefault="006A2578" w:rsidP="006A2578">
      <w:pPr>
        <w:numPr>
          <w:ilvl w:val="0"/>
          <w:numId w:val="3"/>
        </w:numPr>
        <w:tabs>
          <w:tab w:val="clear" w:pos="1247"/>
          <w:tab w:val="clear" w:pos="1814"/>
          <w:tab w:val="clear" w:pos="2381"/>
          <w:tab w:val="clear" w:pos="2948"/>
          <w:tab w:val="clear" w:pos="3515"/>
          <w:tab w:val="left" w:pos="624"/>
        </w:tabs>
        <w:spacing w:after="120"/>
        <w:ind w:left="1247" w:firstLine="624"/>
        <w:jc w:val="both"/>
        <w:rPr>
          <w:rFonts w:eastAsia="MS Mincho"/>
          <w:iCs/>
          <w:lang w:val="en-GB" w:bidi="en-US"/>
        </w:rPr>
      </w:pPr>
      <w:r w:rsidRPr="00606638">
        <w:rPr>
          <w:rFonts w:eastAsia="MS Mincho"/>
          <w:iCs/>
          <w:lang w:val="en-GB" w:bidi="en-US"/>
        </w:rPr>
        <w:t>Pest Management Regulatory Agency, Health Canada</w:t>
      </w:r>
      <w:r>
        <w:rPr>
          <w:rFonts w:eastAsia="MS Mincho"/>
          <w:iCs/>
          <w:lang w:val="en-GB" w:bidi="en-US"/>
        </w:rPr>
        <w:t>,</w:t>
      </w:r>
      <w:r w:rsidRPr="00606638">
        <w:rPr>
          <w:rFonts w:eastAsia="MS Mincho"/>
          <w:iCs/>
          <w:lang w:val="en-GB" w:bidi="en-US"/>
        </w:rPr>
        <w:t xml:space="preserve"> “Re-evaluation </w:t>
      </w:r>
      <w:r>
        <w:rPr>
          <w:rFonts w:eastAsia="MS Mincho"/>
          <w:iCs/>
          <w:lang w:val="en-GB" w:bidi="en-US"/>
        </w:rPr>
        <w:t>d</w:t>
      </w:r>
      <w:r w:rsidRPr="00606638">
        <w:rPr>
          <w:rFonts w:eastAsia="MS Mincho"/>
          <w:iCs/>
          <w:lang w:val="en-GB" w:bidi="en-US"/>
        </w:rPr>
        <w:t xml:space="preserve">ecision </w:t>
      </w:r>
      <w:r>
        <w:rPr>
          <w:rFonts w:eastAsia="MS Mincho"/>
          <w:iCs/>
          <w:lang w:val="en-GB" w:bidi="en-US"/>
        </w:rPr>
        <w:t>d</w:t>
      </w:r>
      <w:r w:rsidRPr="00606638">
        <w:rPr>
          <w:rFonts w:eastAsia="MS Mincho"/>
          <w:iCs/>
          <w:lang w:val="en-GB" w:bidi="en-US"/>
        </w:rPr>
        <w:t>ocument (RRD 2004-04)</w:t>
      </w:r>
      <w:r>
        <w:rPr>
          <w:rFonts w:eastAsia="MS Mincho"/>
          <w:iCs/>
          <w:lang w:val="en-GB" w:bidi="en-US"/>
        </w:rPr>
        <w:t>:</w:t>
      </w:r>
      <w:r w:rsidRPr="00606638">
        <w:rPr>
          <w:rFonts w:eastAsia="MS Mincho"/>
          <w:iCs/>
          <w:lang w:val="en-GB" w:bidi="en-US"/>
        </w:rPr>
        <w:t xml:space="preserve"> Re-evaluation of </w:t>
      </w:r>
      <w:proofErr w:type="spellStart"/>
      <w:r w:rsidRPr="00606638">
        <w:rPr>
          <w:rFonts w:eastAsia="MS Mincho"/>
          <w:iCs/>
          <w:lang w:val="en-GB" w:bidi="en-US"/>
        </w:rPr>
        <w:t>terbufos</w:t>
      </w:r>
      <w:proofErr w:type="spellEnd"/>
      <w:r w:rsidRPr="00606638">
        <w:rPr>
          <w:rFonts w:eastAsia="MS Mincho"/>
          <w:iCs/>
          <w:lang w:val="en-GB" w:bidi="en-US"/>
        </w:rPr>
        <w:t xml:space="preserve">” </w:t>
      </w:r>
      <w:r>
        <w:rPr>
          <w:rFonts w:eastAsia="MS Mincho"/>
          <w:iCs/>
          <w:lang w:val="en-GB" w:bidi="en-US"/>
        </w:rPr>
        <w:t>(</w:t>
      </w:r>
      <w:r w:rsidRPr="00606638">
        <w:rPr>
          <w:rFonts w:eastAsia="MS Mincho"/>
          <w:iCs/>
          <w:lang w:val="en-GB" w:bidi="en-US"/>
        </w:rPr>
        <w:t>23 March 2004</w:t>
      </w:r>
      <w:proofErr w:type="gramStart"/>
      <w:r>
        <w:rPr>
          <w:rFonts w:eastAsia="MS Mincho"/>
          <w:iCs/>
          <w:lang w:val="en-GB" w:bidi="en-US"/>
        </w:rPr>
        <w:t>)</w:t>
      </w:r>
      <w:r w:rsidRPr="00606638">
        <w:rPr>
          <w:rFonts w:eastAsia="MS Mincho"/>
          <w:iCs/>
          <w:lang w:val="en-GB" w:bidi="en-US"/>
        </w:rPr>
        <w:t>;</w:t>
      </w:r>
      <w:proofErr w:type="gramEnd"/>
    </w:p>
    <w:p w14:paraId="65E22145" w14:textId="77777777" w:rsidR="006A2578" w:rsidRPr="00606638" w:rsidRDefault="006A2578" w:rsidP="006A2578">
      <w:pPr>
        <w:numPr>
          <w:ilvl w:val="0"/>
          <w:numId w:val="3"/>
        </w:numPr>
        <w:tabs>
          <w:tab w:val="clear" w:pos="1247"/>
          <w:tab w:val="clear" w:pos="1814"/>
          <w:tab w:val="clear" w:pos="2381"/>
          <w:tab w:val="clear" w:pos="2948"/>
          <w:tab w:val="clear" w:pos="3515"/>
          <w:tab w:val="left" w:pos="624"/>
        </w:tabs>
        <w:spacing w:after="120"/>
        <w:ind w:left="1247" w:firstLine="624"/>
        <w:jc w:val="both"/>
        <w:rPr>
          <w:rFonts w:eastAsia="MS Mincho"/>
          <w:iCs/>
          <w:lang w:val="en-GB" w:bidi="en-US"/>
        </w:rPr>
      </w:pPr>
      <w:r w:rsidRPr="00606638">
        <w:rPr>
          <w:rFonts w:eastAsia="MS Mincho"/>
          <w:iCs/>
          <w:lang w:val="en-GB" w:bidi="en-US"/>
        </w:rPr>
        <w:t>Pest Management Regulatory Agency, Health Canada</w:t>
      </w:r>
      <w:r>
        <w:rPr>
          <w:rFonts w:eastAsia="MS Mincho"/>
          <w:iCs/>
          <w:lang w:val="en-GB" w:bidi="en-US"/>
        </w:rPr>
        <w:t>,</w:t>
      </w:r>
      <w:r w:rsidRPr="00606638">
        <w:rPr>
          <w:rFonts w:eastAsia="MS Mincho"/>
          <w:iCs/>
          <w:lang w:val="en-GB" w:bidi="en-US"/>
        </w:rPr>
        <w:t xml:space="preserve"> “Re-evaluation </w:t>
      </w:r>
      <w:r>
        <w:rPr>
          <w:rFonts w:eastAsia="MS Mincho"/>
          <w:iCs/>
          <w:lang w:val="en-GB" w:bidi="en-US"/>
        </w:rPr>
        <w:t>n</w:t>
      </w:r>
      <w:r w:rsidRPr="00606638">
        <w:rPr>
          <w:rFonts w:eastAsia="MS Mincho"/>
          <w:iCs/>
          <w:lang w:val="en-GB" w:bidi="en-US"/>
        </w:rPr>
        <w:t xml:space="preserve">ote REV2008-06: Update on the use of </w:t>
      </w:r>
      <w:proofErr w:type="spellStart"/>
      <w:r>
        <w:rPr>
          <w:rFonts w:eastAsia="MS Mincho"/>
          <w:iCs/>
          <w:lang w:val="en-GB" w:bidi="en-US"/>
        </w:rPr>
        <w:t>t</w:t>
      </w:r>
      <w:r w:rsidRPr="00606638">
        <w:rPr>
          <w:rFonts w:eastAsia="MS Mincho"/>
          <w:iCs/>
          <w:lang w:val="en-GB" w:bidi="en-US"/>
        </w:rPr>
        <w:t>erbufos</w:t>
      </w:r>
      <w:proofErr w:type="spellEnd"/>
      <w:r w:rsidRPr="00606638">
        <w:rPr>
          <w:rFonts w:eastAsia="MS Mincho"/>
          <w:iCs/>
          <w:lang w:val="en-GB" w:bidi="en-US"/>
        </w:rPr>
        <w:t xml:space="preserve"> on </w:t>
      </w:r>
      <w:r>
        <w:rPr>
          <w:rFonts w:eastAsia="MS Mincho"/>
          <w:iCs/>
          <w:lang w:val="en-GB" w:bidi="en-US"/>
        </w:rPr>
        <w:t>s</w:t>
      </w:r>
      <w:r w:rsidRPr="00606638">
        <w:rPr>
          <w:rFonts w:eastAsia="MS Mincho"/>
          <w:iCs/>
          <w:lang w:val="en-GB" w:bidi="en-US"/>
        </w:rPr>
        <w:t xml:space="preserve">ugar </w:t>
      </w:r>
      <w:r>
        <w:rPr>
          <w:rFonts w:eastAsia="MS Mincho"/>
          <w:iCs/>
          <w:lang w:val="en-GB" w:bidi="en-US"/>
        </w:rPr>
        <w:t>b</w:t>
      </w:r>
      <w:r w:rsidRPr="00606638">
        <w:rPr>
          <w:rFonts w:eastAsia="MS Mincho"/>
          <w:iCs/>
          <w:lang w:val="en-GB" w:bidi="en-US"/>
        </w:rPr>
        <w:t xml:space="preserve">eets” </w:t>
      </w:r>
      <w:r>
        <w:rPr>
          <w:rFonts w:eastAsia="MS Mincho"/>
          <w:iCs/>
          <w:lang w:val="en-GB" w:bidi="en-US"/>
        </w:rPr>
        <w:t>(</w:t>
      </w:r>
      <w:r w:rsidRPr="00606638">
        <w:rPr>
          <w:rFonts w:eastAsia="MS Mincho"/>
          <w:iCs/>
          <w:lang w:val="en-GB" w:bidi="en-US"/>
        </w:rPr>
        <w:t>26 March 2008</w:t>
      </w:r>
      <w:proofErr w:type="gramStart"/>
      <w:r>
        <w:rPr>
          <w:rFonts w:eastAsia="MS Mincho"/>
          <w:iCs/>
          <w:lang w:val="en-GB" w:bidi="en-US"/>
        </w:rPr>
        <w:t>)</w:t>
      </w:r>
      <w:r w:rsidRPr="00606638">
        <w:rPr>
          <w:rFonts w:eastAsia="MS Mincho"/>
          <w:iCs/>
          <w:lang w:val="en-GB" w:bidi="en-US"/>
        </w:rPr>
        <w:t>;</w:t>
      </w:r>
      <w:proofErr w:type="gramEnd"/>
      <w:r w:rsidRPr="00606638">
        <w:rPr>
          <w:rFonts w:eastAsia="MS Mincho"/>
          <w:iCs/>
          <w:lang w:val="en-GB" w:bidi="en-US"/>
        </w:rPr>
        <w:t xml:space="preserve"> </w:t>
      </w:r>
    </w:p>
    <w:p w14:paraId="2F234EA7" w14:textId="77777777" w:rsidR="006A2578" w:rsidRPr="00606638" w:rsidRDefault="006A2578" w:rsidP="006A2578">
      <w:pPr>
        <w:numPr>
          <w:ilvl w:val="0"/>
          <w:numId w:val="3"/>
        </w:numPr>
        <w:tabs>
          <w:tab w:val="clear" w:pos="1247"/>
          <w:tab w:val="clear" w:pos="1814"/>
          <w:tab w:val="clear" w:pos="2381"/>
          <w:tab w:val="clear" w:pos="2948"/>
          <w:tab w:val="clear" w:pos="3515"/>
          <w:tab w:val="left" w:pos="624"/>
        </w:tabs>
        <w:spacing w:after="120"/>
        <w:ind w:left="1247" w:firstLine="624"/>
        <w:jc w:val="both"/>
        <w:rPr>
          <w:rFonts w:eastAsia="MS Mincho"/>
          <w:iCs/>
          <w:lang w:val="en-GB" w:bidi="en-US"/>
        </w:rPr>
      </w:pPr>
      <w:r w:rsidRPr="00606638">
        <w:rPr>
          <w:rFonts w:eastAsia="MS Mincho"/>
          <w:iCs/>
          <w:lang w:val="en-GB" w:bidi="en-US"/>
        </w:rPr>
        <w:t xml:space="preserve">Pest Management Regulatory Agency, Health Canada, “Pest </w:t>
      </w:r>
      <w:r>
        <w:rPr>
          <w:rFonts w:eastAsia="MS Mincho"/>
          <w:iCs/>
          <w:lang w:val="en-GB" w:bidi="en-US"/>
        </w:rPr>
        <w:t>c</w:t>
      </w:r>
      <w:r w:rsidRPr="00606638">
        <w:rPr>
          <w:rFonts w:eastAsia="MS Mincho"/>
          <w:iCs/>
          <w:lang w:val="en-GB" w:bidi="en-US"/>
        </w:rPr>
        <w:t xml:space="preserve">ontrol </w:t>
      </w:r>
      <w:r>
        <w:rPr>
          <w:rFonts w:eastAsia="MS Mincho"/>
          <w:iCs/>
          <w:lang w:val="en-GB" w:bidi="en-US"/>
        </w:rPr>
        <w:t>p</w:t>
      </w:r>
      <w:r w:rsidRPr="00606638">
        <w:rPr>
          <w:rFonts w:eastAsia="MS Mincho"/>
          <w:iCs/>
          <w:lang w:val="en-GB" w:bidi="en-US"/>
        </w:rPr>
        <w:t xml:space="preserve">roducts </w:t>
      </w:r>
      <w:r>
        <w:rPr>
          <w:rFonts w:eastAsia="MS Mincho"/>
          <w:iCs/>
          <w:lang w:val="en-GB" w:bidi="en-US"/>
        </w:rPr>
        <w:t>s</w:t>
      </w:r>
      <w:r w:rsidRPr="00606638">
        <w:rPr>
          <w:rFonts w:eastAsia="MS Mincho"/>
          <w:iCs/>
          <w:lang w:val="en-GB" w:bidi="en-US"/>
        </w:rPr>
        <w:t xml:space="preserve">ales </w:t>
      </w:r>
      <w:r>
        <w:rPr>
          <w:rFonts w:eastAsia="MS Mincho"/>
          <w:iCs/>
          <w:lang w:val="en-GB" w:bidi="en-US"/>
        </w:rPr>
        <w:t>r</w:t>
      </w:r>
      <w:r w:rsidRPr="00606638">
        <w:rPr>
          <w:rFonts w:eastAsia="MS Mincho"/>
          <w:iCs/>
          <w:lang w:val="en-GB" w:bidi="en-US"/>
        </w:rPr>
        <w:t xml:space="preserve">eport for 2011” </w:t>
      </w:r>
      <w:r>
        <w:rPr>
          <w:rFonts w:eastAsia="MS Mincho"/>
          <w:iCs/>
          <w:lang w:val="en-GB" w:bidi="en-US"/>
        </w:rPr>
        <w:t>(</w:t>
      </w:r>
      <w:r w:rsidRPr="00606638">
        <w:rPr>
          <w:rFonts w:eastAsia="MS Mincho"/>
          <w:iCs/>
          <w:lang w:val="en-GB" w:bidi="en-US"/>
        </w:rPr>
        <w:t>2011</w:t>
      </w:r>
      <w:proofErr w:type="gramStart"/>
      <w:r>
        <w:rPr>
          <w:rFonts w:eastAsia="MS Mincho"/>
          <w:iCs/>
          <w:lang w:val="en-GB" w:bidi="en-US"/>
        </w:rPr>
        <w:t>)</w:t>
      </w:r>
      <w:r w:rsidRPr="00606638">
        <w:rPr>
          <w:rFonts w:eastAsia="MS Mincho"/>
          <w:iCs/>
          <w:lang w:val="en-GB" w:bidi="en-US"/>
        </w:rPr>
        <w:t>;</w:t>
      </w:r>
      <w:proofErr w:type="gramEnd"/>
    </w:p>
    <w:p w14:paraId="788D166F" w14:textId="77777777" w:rsidR="006A2578" w:rsidRPr="00606638" w:rsidRDefault="006A2578" w:rsidP="006A2578">
      <w:pPr>
        <w:numPr>
          <w:ilvl w:val="0"/>
          <w:numId w:val="3"/>
        </w:numPr>
        <w:tabs>
          <w:tab w:val="clear" w:pos="1247"/>
          <w:tab w:val="clear" w:pos="1814"/>
          <w:tab w:val="clear" w:pos="2381"/>
          <w:tab w:val="clear" w:pos="2948"/>
          <w:tab w:val="clear" w:pos="3515"/>
          <w:tab w:val="left" w:pos="624"/>
        </w:tabs>
        <w:spacing w:after="120"/>
        <w:ind w:left="1247" w:firstLine="624"/>
        <w:jc w:val="both"/>
        <w:rPr>
          <w:rFonts w:eastAsia="MS Mincho"/>
          <w:iCs/>
          <w:lang w:val="en-GB" w:bidi="en-US"/>
        </w:rPr>
      </w:pPr>
      <w:r>
        <w:rPr>
          <w:rFonts w:eastAsia="MS Mincho"/>
          <w:iCs/>
          <w:lang w:val="en-GB" w:bidi="en-US"/>
        </w:rPr>
        <w:t xml:space="preserve">Colin </w:t>
      </w:r>
      <w:proofErr w:type="spellStart"/>
      <w:r>
        <w:rPr>
          <w:rFonts w:eastAsia="MS Mincho"/>
          <w:iCs/>
          <w:lang w:val="en-GB" w:bidi="en-US"/>
        </w:rPr>
        <w:t>Macbean</w:t>
      </w:r>
      <w:proofErr w:type="spellEnd"/>
      <w:r>
        <w:rPr>
          <w:rFonts w:eastAsia="MS Mincho"/>
          <w:iCs/>
          <w:lang w:val="en-GB" w:bidi="en-US"/>
        </w:rPr>
        <w:t xml:space="preserve">, </w:t>
      </w:r>
      <w:r w:rsidRPr="000530E5">
        <w:rPr>
          <w:rFonts w:eastAsia="MS Mincho"/>
          <w:i/>
          <w:lang w:val="en-GB"/>
        </w:rPr>
        <w:t xml:space="preserve">The </w:t>
      </w:r>
      <w:r w:rsidRPr="00FE4BB0">
        <w:rPr>
          <w:rFonts w:eastAsia="MS Mincho"/>
          <w:i/>
          <w:iCs/>
          <w:lang w:val="en-GB" w:bidi="en-US"/>
        </w:rPr>
        <w:t>pesticide manual: a world compendium</w:t>
      </w:r>
      <w:r w:rsidRPr="00606638">
        <w:rPr>
          <w:rFonts w:eastAsia="MS Mincho"/>
          <w:iCs/>
          <w:lang w:val="en-GB" w:bidi="en-US"/>
        </w:rPr>
        <w:t>, sixteenth edition (excerpt)</w:t>
      </w:r>
      <w:r>
        <w:rPr>
          <w:rFonts w:eastAsia="MS Mincho"/>
          <w:iCs/>
          <w:lang w:val="en-GB" w:bidi="en-US"/>
        </w:rPr>
        <w:t xml:space="preserve"> (British Crop Protection Council, 2012)</w:t>
      </w:r>
      <w:r w:rsidRPr="00606638">
        <w:rPr>
          <w:rFonts w:eastAsia="MS Mincho"/>
          <w:iCs/>
          <w:lang w:val="en-GB" w:bidi="en-US"/>
        </w:rPr>
        <w:t>.</w:t>
      </w:r>
    </w:p>
    <w:p w14:paraId="57A2A240" w14:textId="77777777" w:rsidR="006A2578" w:rsidRPr="00606638" w:rsidRDefault="006A2578" w:rsidP="006A2578">
      <w:pPr>
        <w:pStyle w:val="Normal-pool"/>
        <w:numPr>
          <w:ilvl w:val="0"/>
          <w:numId w:val="6"/>
        </w:numPr>
        <w:spacing w:after="120"/>
        <w:ind w:left="1247" w:firstLine="0"/>
      </w:pPr>
      <w:r w:rsidRPr="00606638">
        <w:t xml:space="preserve">A re-evaluation of the active ingredient </w:t>
      </w:r>
      <w:proofErr w:type="spellStart"/>
      <w:r w:rsidRPr="00606638">
        <w:t>terbufos</w:t>
      </w:r>
      <w:proofErr w:type="spellEnd"/>
      <w:r w:rsidRPr="00606638">
        <w:t xml:space="preserve"> and its end-use products for use on canola, corn, </w:t>
      </w:r>
      <w:proofErr w:type="gramStart"/>
      <w:r w:rsidRPr="00606638">
        <w:t>mustard</w:t>
      </w:r>
      <w:proofErr w:type="gramEnd"/>
      <w:r>
        <w:t xml:space="preserve"> and</w:t>
      </w:r>
      <w:r w:rsidRPr="00606638">
        <w:t xml:space="preserve"> rutabagas was conducted under the authority of Section 19 of the </w:t>
      </w:r>
      <w:r>
        <w:t xml:space="preserve">Canadian </w:t>
      </w:r>
      <w:r w:rsidRPr="00606638">
        <w:t xml:space="preserve">Pest Control Products Regulations. </w:t>
      </w:r>
    </w:p>
    <w:p w14:paraId="153749E5" w14:textId="77777777" w:rsidR="006A2578" w:rsidRPr="00606638" w:rsidRDefault="006A2578" w:rsidP="006A2578">
      <w:pPr>
        <w:pStyle w:val="Normal-pool"/>
        <w:numPr>
          <w:ilvl w:val="0"/>
          <w:numId w:val="6"/>
        </w:numPr>
        <w:spacing w:after="120"/>
        <w:ind w:left="1247" w:firstLine="0"/>
      </w:pPr>
      <w:r w:rsidRPr="00606638">
        <w:t xml:space="preserve">The Proposed Acceptability for Continuing Registration (PACR 2003-02) document includes a human health assessment, an environmental assessment and information on the value of </w:t>
      </w:r>
      <w:proofErr w:type="spellStart"/>
      <w:r w:rsidRPr="00606638">
        <w:t>terbufos</w:t>
      </w:r>
      <w:proofErr w:type="spellEnd"/>
      <w:r w:rsidRPr="00606638">
        <w:t xml:space="preserve"> to pest </w:t>
      </w:r>
      <w:r w:rsidRPr="0054566B">
        <w:rPr>
          <w:rFonts w:eastAsia="MS Mincho"/>
          <w:iCs/>
          <w:lang w:bidi="en-US"/>
        </w:rPr>
        <w:t>management</w:t>
      </w:r>
      <w:r w:rsidRPr="00606638">
        <w:t xml:space="preserve"> in Canada. This document specifies that the toxicology database considered for </w:t>
      </w:r>
      <w:proofErr w:type="spellStart"/>
      <w:r w:rsidRPr="00606638">
        <w:t>terbufos</w:t>
      </w:r>
      <w:proofErr w:type="spellEnd"/>
      <w:r w:rsidRPr="00606638">
        <w:t xml:space="preserve"> is primarily based on studies available from the registrant. Data include toxicity end</w:t>
      </w:r>
      <w:r>
        <w:t xml:space="preserve"> </w:t>
      </w:r>
      <w:r w:rsidRPr="00606638">
        <w:t>points, no observed adverse effect level (NOAEL), acute reference dose (</w:t>
      </w:r>
      <w:proofErr w:type="spellStart"/>
      <w:r w:rsidRPr="00606638">
        <w:t>ARfD</w:t>
      </w:r>
      <w:proofErr w:type="spellEnd"/>
      <w:r w:rsidRPr="00606638">
        <w:t xml:space="preserve">), acceptable daily intake (ADI) determinations and comparison to expected exposure of humans. </w:t>
      </w:r>
      <w:proofErr w:type="gramStart"/>
      <w:r w:rsidRPr="00606638">
        <w:t>With regard to</w:t>
      </w:r>
      <w:proofErr w:type="gramEnd"/>
      <w:r w:rsidRPr="00606638">
        <w:t xml:space="preserve"> human health, occupational, dietary and aggregate (exposures from food and drinking water) risk assessments were conducted. A deterministic assessment of the environmental risks of pest control products was also conducted. Environmental risk was characterized by the quotient method, which uses the ratio of the estimated environmental concentrations to the end point of concern for effects on non-target organisms. Quotient values less than one are considered indicative of a low hazard to non-target organisms, whereas values greater than one are considered to indicate that some degree of hazard exists for effects on non-target organisms. The risk assessments were also subject to a 60-day public consultation period to allow interested parties an opportunity to provide input into the re-evaluation decision.</w:t>
      </w:r>
    </w:p>
    <w:p w14:paraId="051A851A" w14:textId="77777777" w:rsidR="006A2578" w:rsidRPr="00606638" w:rsidRDefault="006A2578" w:rsidP="006A2578">
      <w:pPr>
        <w:pStyle w:val="Normal-pool"/>
        <w:numPr>
          <w:ilvl w:val="0"/>
          <w:numId w:val="6"/>
        </w:numPr>
        <w:spacing w:after="120"/>
        <w:ind w:left="1247" w:firstLine="0"/>
      </w:pPr>
      <w:r w:rsidRPr="00606638">
        <w:t xml:space="preserve">The data included in the notification and supporting documentation </w:t>
      </w:r>
      <w:proofErr w:type="gramStart"/>
      <w:r>
        <w:t>are</w:t>
      </w:r>
      <w:r w:rsidRPr="00606638">
        <w:t xml:space="preserve"> considered to be</w:t>
      </w:r>
      <w:proofErr w:type="gramEnd"/>
      <w:r w:rsidRPr="00606638">
        <w:t xml:space="preserve"> scientifically sound and generated according to scientifically recognized methods and data reviews are </w:t>
      </w:r>
      <w:r w:rsidRPr="0054566B">
        <w:rPr>
          <w:rFonts w:eastAsia="MS Mincho"/>
          <w:iCs/>
          <w:lang w:bidi="en-US"/>
        </w:rPr>
        <w:t>considered</w:t>
      </w:r>
      <w:r w:rsidRPr="00606638">
        <w:t xml:space="preserve"> to have been performed and documented according to generally recognized scientific principles and procedures. </w:t>
      </w:r>
    </w:p>
    <w:p w14:paraId="6570DEAE" w14:textId="77777777" w:rsidR="006A2578" w:rsidRPr="00606638" w:rsidRDefault="006A2578" w:rsidP="006A2578">
      <w:pPr>
        <w:pStyle w:val="Normal-pool"/>
        <w:numPr>
          <w:ilvl w:val="0"/>
          <w:numId w:val="6"/>
        </w:numPr>
        <w:spacing w:after="120"/>
        <w:ind w:left="1247" w:firstLine="0"/>
      </w:pPr>
      <w:r w:rsidRPr="00606638">
        <w:t>The Committee confirms that the criteria in paragraph (b) (</w:t>
      </w:r>
      <w:proofErr w:type="spellStart"/>
      <w:r w:rsidRPr="00606638">
        <w:t>i</w:t>
      </w:r>
      <w:proofErr w:type="spellEnd"/>
      <w:r w:rsidRPr="00606638">
        <w:t>) and (ii) of Annex II are met.</w:t>
      </w:r>
    </w:p>
    <w:p w14:paraId="361BA7CE"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 xml:space="preserve">The final regulatory action was based on a risk evaluation involving prevailing conditions within the Party taking the </w:t>
      </w:r>
      <w:proofErr w:type="gramStart"/>
      <w:r w:rsidRPr="00606638">
        <w:rPr>
          <w:i/>
          <w:lang w:val="en-GB"/>
        </w:rPr>
        <w:t>action;</w:t>
      </w:r>
      <w:proofErr w:type="gramEnd"/>
    </w:p>
    <w:p w14:paraId="5E016792" w14:textId="77777777" w:rsidR="006A2578" w:rsidRPr="00606638" w:rsidRDefault="006A2578" w:rsidP="006A2578">
      <w:pPr>
        <w:pStyle w:val="Normal-pool"/>
        <w:numPr>
          <w:ilvl w:val="0"/>
          <w:numId w:val="6"/>
        </w:numPr>
        <w:spacing w:after="120"/>
        <w:ind w:left="1247" w:firstLine="0"/>
      </w:pPr>
      <w:r w:rsidRPr="00606638">
        <w:rPr>
          <w:rFonts w:eastAsia="MS Mincho"/>
          <w:bCs/>
          <w:lang w:bidi="en-US"/>
        </w:rPr>
        <w:t xml:space="preserve">The final regulatory action to ban </w:t>
      </w:r>
      <w:proofErr w:type="spellStart"/>
      <w:r w:rsidRPr="00606638">
        <w:rPr>
          <w:rFonts w:eastAsia="MS Mincho"/>
          <w:bCs/>
          <w:lang w:bidi="en-US"/>
        </w:rPr>
        <w:t>terbufos</w:t>
      </w:r>
      <w:proofErr w:type="spellEnd"/>
      <w:r w:rsidRPr="00606638">
        <w:rPr>
          <w:rFonts w:eastAsia="MS Mincho"/>
          <w:bCs/>
          <w:lang w:bidi="en-US"/>
        </w:rPr>
        <w:t xml:space="preserve"> and its associated end-use products in Canada was based on a risk evaluation and is relevant to the environment. The conditions of use within </w:t>
      </w:r>
      <w:r w:rsidRPr="00606638">
        <w:rPr>
          <w:rFonts w:eastAsia="MS Mincho"/>
          <w:bCs/>
          <w:lang w:bidi="en-US"/>
        </w:rPr>
        <w:lastRenderedPageBreak/>
        <w:t xml:space="preserve">Canada, including the registered uses, application rates and agricultural practices, have been </w:t>
      </w:r>
      <w:proofErr w:type="gramStart"/>
      <w:r w:rsidRPr="00606638">
        <w:rPr>
          <w:rFonts w:eastAsia="MS Mincho"/>
          <w:bCs/>
          <w:lang w:bidi="en-US"/>
        </w:rPr>
        <w:t>taken into account</w:t>
      </w:r>
      <w:proofErr w:type="gramEnd"/>
      <w:r w:rsidRPr="00606638">
        <w:rPr>
          <w:rFonts w:eastAsia="MS Mincho"/>
          <w:bCs/>
          <w:lang w:bidi="en-US"/>
        </w:rPr>
        <w:t xml:space="preserve"> in the risk assessments. The Canadian Pest Management Regulatory Agency’s (PMRA) re-evaluation decision was based on the evaluation of the registered uses in Canada.</w:t>
      </w:r>
    </w:p>
    <w:p w14:paraId="76EF2ECB" w14:textId="77777777" w:rsidR="006A2578" w:rsidRPr="00606638" w:rsidRDefault="006A2578" w:rsidP="006A2578">
      <w:pPr>
        <w:pStyle w:val="Normal-pool"/>
        <w:numPr>
          <w:ilvl w:val="0"/>
          <w:numId w:val="6"/>
        </w:numPr>
        <w:spacing w:after="120"/>
        <w:ind w:left="1247" w:firstLine="0"/>
        <w:rPr>
          <w:bCs/>
          <w:lang w:bidi="en-US"/>
        </w:rPr>
      </w:pPr>
      <w:r w:rsidRPr="00606638">
        <w:t xml:space="preserve">At the time of the regulatory action, </w:t>
      </w:r>
      <w:proofErr w:type="spellStart"/>
      <w:r w:rsidRPr="00606638">
        <w:t>terbufos</w:t>
      </w:r>
      <w:proofErr w:type="spellEnd"/>
      <w:r w:rsidRPr="00606638">
        <w:t xml:space="preserve"> products were registered in Canada and sold as a granular soil insecticide and nematicide for use on canola, corn, mustard, </w:t>
      </w:r>
      <w:proofErr w:type="gramStart"/>
      <w:r w:rsidRPr="00606638">
        <w:t>rutabagas</w:t>
      </w:r>
      <w:proofErr w:type="gramEnd"/>
      <w:r w:rsidRPr="00606638">
        <w:t xml:space="preserve"> and sugar beets. </w:t>
      </w:r>
      <w:proofErr w:type="spellStart"/>
      <w:r w:rsidRPr="00606638">
        <w:t>Terbufos</w:t>
      </w:r>
      <w:proofErr w:type="spellEnd"/>
      <w:r w:rsidRPr="00606638">
        <w:t xml:space="preserve"> has systemic and contact activity on insects. Like other organophosphates, </w:t>
      </w:r>
      <w:proofErr w:type="spellStart"/>
      <w:r w:rsidRPr="00606638">
        <w:t>terbufos</w:t>
      </w:r>
      <w:proofErr w:type="spellEnd"/>
      <w:r w:rsidRPr="00606638">
        <w:t xml:space="preserve"> inhibits acetylcholinesterase enzyme, interrupting the transmission of nerve impulses </w:t>
      </w:r>
      <w:r w:rsidRPr="00606638">
        <w:rPr>
          <w:iCs/>
          <w:lang w:bidi="en-US"/>
        </w:rPr>
        <w:t>(</w:t>
      </w:r>
      <w:r w:rsidRPr="00606638">
        <w:rPr>
          <w:lang w:bidi="en-US"/>
        </w:rPr>
        <w:t xml:space="preserve">UNEP/FAO/RC/CRC.17/8/Rev.1, </w:t>
      </w:r>
      <w:r w:rsidRPr="00606638">
        <w:rPr>
          <w:iCs/>
          <w:lang w:bidi="en-US"/>
        </w:rPr>
        <w:t>s</w:t>
      </w:r>
      <w:r w:rsidRPr="00606638">
        <w:rPr>
          <w:lang w:bidi="en-US"/>
        </w:rPr>
        <w:t>ect.</w:t>
      </w:r>
      <w:r w:rsidRPr="00606638">
        <w:rPr>
          <w:iCs/>
          <w:lang w:bidi="en-US"/>
        </w:rPr>
        <w:t xml:space="preserve"> 2.3.1 of the Canada notification,</w:t>
      </w:r>
      <w:r w:rsidRPr="00606638">
        <w:rPr>
          <w:lang w:bidi="en-US"/>
        </w:rPr>
        <w:t xml:space="preserve"> and </w:t>
      </w:r>
      <w:r w:rsidRPr="00606638">
        <w:rPr>
          <w:iCs/>
          <w:lang w:bidi="en-US"/>
        </w:rPr>
        <w:t xml:space="preserve">UNEP/FAO/RC/CRC.17/INF/19/Rev.1, annex, sect. 1, “Proposed </w:t>
      </w:r>
      <w:r>
        <w:rPr>
          <w:iCs/>
          <w:lang w:bidi="en-US"/>
        </w:rPr>
        <w:t>a</w:t>
      </w:r>
      <w:r w:rsidRPr="00606638">
        <w:rPr>
          <w:iCs/>
          <w:lang w:bidi="en-US"/>
        </w:rPr>
        <w:t xml:space="preserve">cceptability for </w:t>
      </w:r>
      <w:r>
        <w:rPr>
          <w:iCs/>
          <w:lang w:bidi="en-US"/>
        </w:rPr>
        <w:t>c</w:t>
      </w:r>
      <w:r w:rsidRPr="00606638">
        <w:rPr>
          <w:iCs/>
          <w:lang w:bidi="en-US"/>
        </w:rPr>
        <w:t xml:space="preserve">ontinuing </w:t>
      </w:r>
      <w:r>
        <w:rPr>
          <w:iCs/>
          <w:lang w:bidi="en-US"/>
        </w:rPr>
        <w:t>r</w:t>
      </w:r>
      <w:r w:rsidRPr="00606638">
        <w:rPr>
          <w:iCs/>
          <w:lang w:bidi="en-US"/>
        </w:rPr>
        <w:t>egistration (PACR 2003-02)”).</w:t>
      </w:r>
    </w:p>
    <w:p w14:paraId="50E30B05" w14:textId="77777777" w:rsidR="006A2578" w:rsidRPr="00606638" w:rsidRDefault="006A2578" w:rsidP="006A2578">
      <w:pPr>
        <w:pStyle w:val="Normal-pool"/>
        <w:numPr>
          <w:ilvl w:val="0"/>
          <w:numId w:val="6"/>
        </w:numPr>
        <w:spacing w:after="120"/>
        <w:ind w:left="1247" w:firstLine="0"/>
        <w:rPr>
          <w:bCs/>
          <w:lang w:bidi="en-US"/>
        </w:rPr>
      </w:pPr>
      <w:proofErr w:type="spellStart"/>
      <w:r w:rsidRPr="00606638">
        <w:rPr>
          <w:lang w:bidi="en-US"/>
        </w:rPr>
        <w:t>Terbufos</w:t>
      </w:r>
      <w:proofErr w:type="spellEnd"/>
      <w:r w:rsidRPr="00606638">
        <w:rPr>
          <w:bCs/>
          <w:lang w:bidi="en-US"/>
        </w:rPr>
        <w:t xml:space="preserve"> has low solubility in water and has moderate volatility potential from moist soil or water </w:t>
      </w:r>
      <w:r w:rsidRPr="004C41EB">
        <w:t>surfaces</w:t>
      </w:r>
      <w:r w:rsidRPr="00606638">
        <w:rPr>
          <w:bCs/>
          <w:lang w:bidi="en-US"/>
        </w:rPr>
        <w:t>. n-</w:t>
      </w:r>
      <w:r>
        <w:rPr>
          <w:bCs/>
          <w:lang w:bidi="en-US"/>
        </w:rPr>
        <w:t>o</w:t>
      </w:r>
      <w:r w:rsidRPr="00606638">
        <w:rPr>
          <w:bCs/>
          <w:lang w:bidi="en-US"/>
        </w:rPr>
        <w:t xml:space="preserve">ctanol-water partition coefficients indicate potential for a bioaccumulation of the parent </w:t>
      </w:r>
      <w:r w:rsidRPr="0054566B">
        <w:rPr>
          <w:rFonts w:eastAsia="MS Mincho"/>
          <w:iCs/>
          <w:lang w:bidi="en-US"/>
        </w:rPr>
        <w:t>compound</w:t>
      </w:r>
      <w:r w:rsidRPr="00606638">
        <w:rPr>
          <w:bCs/>
          <w:lang w:bidi="en-US"/>
        </w:rPr>
        <w:t xml:space="preserve"> and limited bioaccumulation potential for </w:t>
      </w:r>
      <w:proofErr w:type="spellStart"/>
      <w:r w:rsidRPr="00606638">
        <w:rPr>
          <w:bCs/>
          <w:lang w:bidi="en-US"/>
        </w:rPr>
        <w:t>terbufos</w:t>
      </w:r>
      <w:proofErr w:type="spellEnd"/>
      <w:r w:rsidRPr="00606638">
        <w:rPr>
          <w:bCs/>
          <w:lang w:bidi="en-US"/>
        </w:rPr>
        <w:t xml:space="preserve"> sulfone or </w:t>
      </w:r>
      <w:proofErr w:type="spellStart"/>
      <w:r w:rsidRPr="00606638">
        <w:rPr>
          <w:bCs/>
          <w:lang w:bidi="en-US"/>
        </w:rPr>
        <w:t>terbufos</w:t>
      </w:r>
      <w:proofErr w:type="spellEnd"/>
      <w:r w:rsidRPr="00606638">
        <w:rPr>
          <w:bCs/>
          <w:lang w:bidi="en-US"/>
        </w:rPr>
        <w:t xml:space="preserve"> sulfoxide. Bioconcentration studies with fish indicate a potential for bioconcentration.</w:t>
      </w:r>
    </w:p>
    <w:p w14:paraId="312AA099" w14:textId="77777777" w:rsidR="006A2578" w:rsidRPr="00606638" w:rsidRDefault="006A2578" w:rsidP="006A2578">
      <w:pPr>
        <w:pStyle w:val="Normal-pool"/>
        <w:numPr>
          <w:ilvl w:val="0"/>
          <w:numId w:val="6"/>
        </w:numPr>
        <w:spacing w:after="120"/>
        <w:ind w:left="1247" w:firstLine="0"/>
        <w:rPr>
          <w:bCs/>
          <w:lang w:bidi="en-US"/>
        </w:rPr>
      </w:pPr>
      <w:proofErr w:type="spellStart"/>
      <w:r w:rsidRPr="00606638">
        <w:t>Terbufos</w:t>
      </w:r>
      <w:proofErr w:type="spellEnd"/>
      <w:r w:rsidRPr="00606638">
        <w:rPr>
          <w:bCs/>
          <w:lang w:bidi="en-US"/>
        </w:rPr>
        <w:t xml:space="preserve"> is susceptible to transformation by both abiotic and biotic processes. Hydrolysis appears to be a major abiotic transformation route for parent </w:t>
      </w:r>
      <w:proofErr w:type="spellStart"/>
      <w:r w:rsidRPr="00606638">
        <w:rPr>
          <w:bCs/>
          <w:lang w:bidi="en-US"/>
        </w:rPr>
        <w:t>terbufos</w:t>
      </w:r>
      <w:proofErr w:type="spellEnd"/>
      <w:r w:rsidRPr="00606638">
        <w:rPr>
          <w:bCs/>
          <w:lang w:bidi="en-US"/>
        </w:rPr>
        <w:t xml:space="preserve">. Hydrolysis of </w:t>
      </w:r>
      <w:proofErr w:type="spellStart"/>
      <w:r w:rsidRPr="00606638">
        <w:rPr>
          <w:bCs/>
          <w:lang w:bidi="en-US"/>
        </w:rPr>
        <w:t>terbufos</w:t>
      </w:r>
      <w:proofErr w:type="spellEnd"/>
      <w:r w:rsidRPr="00606638">
        <w:rPr>
          <w:bCs/>
          <w:lang w:bidi="en-US"/>
        </w:rPr>
        <w:t xml:space="preserve"> sulfoxide and </w:t>
      </w:r>
      <w:proofErr w:type="spellStart"/>
      <w:r w:rsidRPr="00606638">
        <w:rPr>
          <w:bCs/>
          <w:lang w:bidi="en-US"/>
        </w:rPr>
        <w:t>terbufos</w:t>
      </w:r>
      <w:proofErr w:type="spellEnd"/>
      <w:r w:rsidRPr="00606638">
        <w:rPr>
          <w:bCs/>
          <w:lang w:bidi="en-US"/>
        </w:rPr>
        <w:t xml:space="preserve"> sulfone is pH dependent and is slower than for the parent compound. The major route for biotic </w:t>
      </w:r>
      <w:r w:rsidRPr="004C41EB">
        <w:t>transformation</w:t>
      </w:r>
      <w:r w:rsidRPr="00606638">
        <w:rPr>
          <w:bCs/>
          <w:lang w:bidi="en-US"/>
        </w:rPr>
        <w:t xml:space="preserve"> is aerobic biotransformation with </w:t>
      </w:r>
      <w:proofErr w:type="spellStart"/>
      <w:r w:rsidRPr="00606638">
        <w:rPr>
          <w:bCs/>
          <w:lang w:bidi="en-US"/>
        </w:rPr>
        <w:t>terbufos</w:t>
      </w:r>
      <w:proofErr w:type="spellEnd"/>
      <w:r w:rsidRPr="00606638">
        <w:rPr>
          <w:bCs/>
          <w:lang w:bidi="en-US"/>
        </w:rPr>
        <w:t xml:space="preserve"> sulfoxide, </w:t>
      </w:r>
      <w:proofErr w:type="spellStart"/>
      <w:r w:rsidRPr="00606638">
        <w:rPr>
          <w:bCs/>
          <w:lang w:bidi="en-US"/>
        </w:rPr>
        <w:t>terbufos</w:t>
      </w:r>
      <w:proofErr w:type="spellEnd"/>
      <w:r w:rsidRPr="00606638">
        <w:rPr>
          <w:bCs/>
          <w:lang w:bidi="en-US"/>
        </w:rPr>
        <w:t xml:space="preserve"> sulfone and CO</w:t>
      </w:r>
      <w:r w:rsidRPr="00606638">
        <w:rPr>
          <w:bCs/>
          <w:vertAlign w:val="subscript"/>
          <w:lang w:bidi="en-US"/>
        </w:rPr>
        <w:t>2</w:t>
      </w:r>
      <w:r w:rsidRPr="00606638">
        <w:rPr>
          <w:bCs/>
          <w:lang w:bidi="en-US"/>
        </w:rPr>
        <w:t xml:space="preserve"> as the major transformation products. Based on available data, </w:t>
      </w:r>
      <w:proofErr w:type="spellStart"/>
      <w:r w:rsidRPr="00606638">
        <w:rPr>
          <w:bCs/>
          <w:lang w:bidi="en-US"/>
        </w:rPr>
        <w:t>terbufos</w:t>
      </w:r>
      <w:proofErr w:type="spellEnd"/>
      <w:r w:rsidRPr="00606638">
        <w:rPr>
          <w:bCs/>
          <w:lang w:bidi="en-US"/>
        </w:rPr>
        <w:t xml:space="preserve"> will be slightly to moderately persistent in terrestrial soil systems depending on temperature and soil conditions.</w:t>
      </w:r>
    </w:p>
    <w:p w14:paraId="4B5FE8FF" w14:textId="77777777" w:rsidR="006A2578" w:rsidRPr="00606638" w:rsidRDefault="006A2578" w:rsidP="006A2578">
      <w:pPr>
        <w:pStyle w:val="Normal-pool"/>
        <w:numPr>
          <w:ilvl w:val="0"/>
          <w:numId w:val="6"/>
        </w:numPr>
        <w:spacing w:after="120"/>
        <w:ind w:left="1247" w:firstLine="0"/>
        <w:rPr>
          <w:bCs/>
          <w:lang w:bidi="en-US"/>
        </w:rPr>
      </w:pPr>
      <w:r w:rsidRPr="00606638">
        <w:rPr>
          <w:bCs/>
          <w:lang w:bidi="en-US"/>
        </w:rPr>
        <w:t xml:space="preserve">PMRA </w:t>
      </w:r>
      <w:r w:rsidRPr="0054566B">
        <w:rPr>
          <w:rFonts w:eastAsia="MS Mincho"/>
          <w:iCs/>
          <w:lang w:bidi="en-US"/>
        </w:rPr>
        <w:t>has</w:t>
      </w:r>
      <w:r>
        <w:rPr>
          <w:bCs/>
          <w:lang w:bidi="en-US"/>
        </w:rPr>
        <w:t xml:space="preserve"> </w:t>
      </w:r>
      <w:r w:rsidRPr="00606638">
        <w:rPr>
          <w:bCs/>
          <w:lang w:bidi="en-US"/>
        </w:rPr>
        <w:t xml:space="preserve">identified extremely high hazards to terrestrial organisms resulting from all currently registered uses of </w:t>
      </w:r>
      <w:proofErr w:type="spellStart"/>
      <w:r w:rsidRPr="00606638">
        <w:rPr>
          <w:bCs/>
          <w:lang w:bidi="en-US"/>
        </w:rPr>
        <w:t>terbufos</w:t>
      </w:r>
      <w:proofErr w:type="spellEnd"/>
      <w:r w:rsidRPr="00606638">
        <w:rPr>
          <w:bCs/>
          <w:lang w:bidi="en-US"/>
        </w:rPr>
        <w:t>. This assessment is supported by reports of incidents in Canada and the United States.</w:t>
      </w:r>
    </w:p>
    <w:p w14:paraId="397A4931" w14:textId="77777777" w:rsidR="006A2578" w:rsidRPr="00606638" w:rsidRDefault="006A2578" w:rsidP="006A2578">
      <w:pPr>
        <w:pStyle w:val="Normal-pool"/>
        <w:numPr>
          <w:ilvl w:val="0"/>
          <w:numId w:val="6"/>
        </w:numPr>
        <w:spacing w:after="120"/>
        <w:ind w:left="1247" w:firstLine="0"/>
        <w:rPr>
          <w:bCs/>
          <w:lang w:bidi="en-US"/>
        </w:rPr>
      </w:pPr>
      <w:r w:rsidRPr="00606638">
        <w:rPr>
          <w:lang w:bidi="en-US"/>
        </w:rPr>
        <w:t>PMRA</w:t>
      </w:r>
      <w:r w:rsidRPr="00606638">
        <w:rPr>
          <w:bCs/>
          <w:lang w:bidi="en-US"/>
        </w:rPr>
        <w:t xml:space="preserve"> has identified extremely high hazard</w:t>
      </w:r>
      <w:r>
        <w:rPr>
          <w:bCs/>
          <w:lang w:bidi="en-US"/>
        </w:rPr>
        <w:t>s</w:t>
      </w:r>
      <w:r w:rsidRPr="00606638">
        <w:rPr>
          <w:bCs/>
          <w:lang w:bidi="en-US"/>
        </w:rPr>
        <w:t xml:space="preserve"> to aquatic organisms resulting from all currently registered </w:t>
      </w:r>
      <w:r w:rsidRPr="004C41EB">
        <w:t>uses</w:t>
      </w:r>
      <w:r w:rsidRPr="00606638">
        <w:rPr>
          <w:bCs/>
          <w:lang w:bidi="en-US"/>
        </w:rPr>
        <w:t xml:space="preserve"> of </w:t>
      </w:r>
      <w:proofErr w:type="spellStart"/>
      <w:r w:rsidRPr="00606638">
        <w:rPr>
          <w:bCs/>
          <w:lang w:bidi="en-US"/>
        </w:rPr>
        <w:t>terbufos</w:t>
      </w:r>
      <w:proofErr w:type="spellEnd"/>
      <w:r w:rsidRPr="00606638">
        <w:rPr>
          <w:bCs/>
          <w:lang w:bidi="en-US"/>
        </w:rPr>
        <w:t xml:space="preserve">. This assessment is supported by reports of incidents of adverse effects in the </w:t>
      </w:r>
      <w:r w:rsidRPr="0054566B">
        <w:rPr>
          <w:rFonts w:eastAsia="MS Mincho"/>
          <w:iCs/>
          <w:lang w:bidi="en-US"/>
        </w:rPr>
        <w:t>United</w:t>
      </w:r>
      <w:r w:rsidRPr="00606638">
        <w:rPr>
          <w:bCs/>
          <w:lang w:bidi="en-US"/>
        </w:rPr>
        <w:t xml:space="preserve"> States. Similar effects may have occurred in Canada, but there is no equivalent reporting system.</w:t>
      </w:r>
    </w:p>
    <w:p w14:paraId="2356AC60" w14:textId="77777777" w:rsidR="006A2578" w:rsidRPr="00606638" w:rsidRDefault="006A2578" w:rsidP="006A2578">
      <w:pPr>
        <w:pStyle w:val="Normal-pool"/>
        <w:numPr>
          <w:ilvl w:val="0"/>
          <w:numId w:val="6"/>
        </w:numPr>
        <w:spacing w:after="120"/>
        <w:ind w:left="1247" w:firstLine="0"/>
        <w:rPr>
          <w:bCs/>
          <w:lang w:bidi="en-US"/>
        </w:rPr>
      </w:pPr>
      <w:r w:rsidRPr="004C41EB">
        <w:t>Risk</w:t>
      </w:r>
      <w:r w:rsidRPr="00606638">
        <w:rPr>
          <w:bCs/>
          <w:lang w:bidi="en-US"/>
        </w:rPr>
        <w:t xml:space="preserve"> quotients determined for applications of the end-use </w:t>
      </w:r>
      <w:proofErr w:type="spellStart"/>
      <w:r w:rsidRPr="00606638">
        <w:rPr>
          <w:bCs/>
          <w:lang w:bidi="en-US"/>
        </w:rPr>
        <w:t>terbufos</w:t>
      </w:r>
      <w:proofErr w:type="spellEnd"/>
      <w:r w:rsidRPr="00606638">
        <w:rPr>
          <w:bCs/>
          <w:lang w:bidi="en-US"/>
        </w:rPr>
        <w:t xml:space="preserve"> formulations Counter 5-G and </w:t>
      </w:r>
      <w:r w:rsidRPr="0054566B">
        <w:rPr>
          <w:rFonts w:eastAsia="MS Mincho"/>
          <w:iCs/>
          <w:lang w:bidi="en-US"/>
        </w:rPr>
        <w:t>Counter</w:t>
      </w:r>
      <w:r w:rsidRPr="00606638">
        <w:rPr>
          <w:bCs/>
          <w:lang w:bidi="en-US"/>
        </w:rPr>
        <w:t xml:space="preserve"> 15-G indicate risks for all groups of organisms (i.e., birds, mammals, </w:t>
      </w:r>
      <w:proofErr w:type="gramStart"/>
      <w:r w:rsidRPr="00606638">
        <w:rPr>
          <w:bCs/>
          <w:lang w:bidi="en-US"/>
        </w:rPr>
        <w:t>fish</w:t>
      </w:r>
      <w:proofErr w:type="gramEnd"/>
      <w:r w:rsidRPr="00606638">
        <w:rPr>
          <w:bCs/>
          <w:lang w:bidi="en-US"/>
        </w:rPr>
        <w:t xml:space="preserve"> and aquatic invertebrates) for all application scenarios. Based on the available toxicity data, risk is classified as high to extremely high for aquatic organisms and in most cases high to extremely high for birds. Similarly, risk to mammals is classified </w:t>
      </w:r>
      <w:r>
        <w:rPr>
          <w:bCs/>
          <w:lang w:bidi="en-US"/>
        </w:rPr>
        <w:t>from</w:t>
      </w:r>
      <w:r w:rsidRPr="00606638">
        <w:rPr>
          <w:bCs/>
          <w:lang w:bidi="en-US"/>
        </w:rPr>
        <w:t xml:space="preserve"> low for large mammals </w:t>
      </w:r>
      <w:proofErr w:type="spellStart"/>
      <w:r w:rsidRPr="00606638">
        <w:rPr>
          <w:bCs/>
          <w:lang w:bidi="en-US"/>
        </w:rPr>
        <w:t>to</w:t>
      </w:r>
      <w:proofErr w:type="spellEnd"/>
      <w:r w:rsidRPr="00606638">
        <w:rPr>
          <w:bCs/>
          <w:lang w:bidi="en-US"/>
        </w:rPr>
        <w:t xml:space="preserve"> high for small mammals (</w:t>
      </w:r>
      <w:r w:rsidRPr="00606638">
        <w:rPr>
          <w:lang w:bidi="en-US"/>
        </w:rPr>
        <w:t xml:space="preserve">UNEP/FAO/RC/CRC.17/8/Rev.1, </w:t>
      </w:r>
      <w:r w:rsidRPr="00606638">
        <w:rPr>
          <w:bCs/>
          <w:lang w:bidi="en-US"/>
        </w:rPr>
        <w:t>sect. 3.2.3 of the Canada notification</w:t>
      </w:r>
      <w:r w:rsidRPr="00606638">
        <w:rPr>
          <w:lang w:bidi="en-US"/>
        </w:rPr>
        <w:t>).</w:t>
      </w:r>
    </w:p>
    <w:p w14:paraId="4F1FB4F8" w14:textId="77777777" w:rsidR="006A2578" w:rsidRPr="00606638" w:rsidRDefault="006A2578" w:rsidP="006A2578">
      <w:pPr>
        <w:pStyle w:val="Normal-pool"/>
        <w:numPr>
          <w:ilvl w:val="0"/>
          <w:numId w:val="6"/>
        </w:numPr>
        <w:spacing w:after="120"/>
        <w:ind w:left="1247" w:firstLine="0"/>
      </w:pPr>
      <w:r w:rsidRPr="0054566B">
        <w:rPr>
          <w:rFonts w:eastAsia="MS Mincho"/>
          <w:iCs/>
          <w:lang w:bidi="en-US"/>
        </w:rPr>
        <w:t>The</w:t>
      </w:r>
      <w:r w:rsidRPr="00606638">
        <w:t xml:space="preserve"> Committee therefore confirms that the criterion in paragraph (b) (iii) of Annex II is met.</w:t>
      </w:r>
    </w:p>
    <w:p w14:paraId="0E6E5C9F" w14:textId="77777777" w:rsidR="006A2578" w:rsidRPr="00606638" w:rsidRDefault="006A2578" w:rsidP="006A2578">
      <w:pPr>
        <w:pStyle w:val="Normal-pool"/>
        <w:numPr>
          <w:ilvl w:val="0"/>
          <w:numId w:val="6"/>
        </w:numPr>
        <w:spacing w:after="120"/>
        <w:ind w:left="1247" w:firstLine="0"/>
      </w:pPr>
      <w:r w:rsidRPr="00606638">
        <w:t>The Committee confirms that the criteria of paragraph (b) of Annex II are met.</w:t>
      </w:r>
    </w:p>
    <w:p w14:paraId="3AE40106" w14:textId="77777777" w:rsidR="006A2578" w:rsidRPr="006A2578" w:rsidRDefault="006A2578" w:rsidP="006A2578">
      <w:pPr>
        <w:keepNext/>
        <w:keepLines/>
        <w:tabs>
          <w:tab w:val="right" w:pos="851"/>
          <w:tab w:val="left" w:pos="4082"/>
        </w:tabs>
        <w:spacing w:after="120"/>
        <w:ind w:left="1247" w:right="284" w:hanging="1247"/>
        <w:jc w:val="both"/>
        <w:rPr>
          <w:b/>
          <w:snapToGrid w:val="0"/>
          <w:lang w:val="it-IT"/>
        </w:rPr>
      </w:pPr>
      <w:r w:rsidRPr="00606638">
        <w:rPr>
          <w:b/>
          <w:snapToGrid w:val="0"/>
          <w:lang w:val="en-GB"/>
        </w:rPr>
        <w:tab/>
      </w:r>
      <w:r w:rsidRPr="006A2578">
        <w:rPr>
          <w:b/>
          <w:snapToGrid w:val="0"/>
          <w:lang w:val="it-IT"/>
        </w:rPr>
        <w:t>(d)</w:t>
      </w:r>
      <w:r w:rsidRPr="006A2578">
        <w:rPr>
          <w:b/>
          <w:snapToGrid w:val="0"/>
          <w:lang w:val="it-IT"/>
        </w:rPr>
        <w:tab/>
        <w:t>Annex II paragraph (c) criteria</w:t>
      </w:r>
    </w:p>
    <w:p w14:paraId="58082509" w14:textId="77777777" w:rsidR="006A2578" w:rsidRPr="00606638" w:rsidRDefault="006A2578" w:rsidP="006A2578">
      <w:pPr>
        <w:keepNext/>
        <w:keepLines/>
        <w:snapToGrid w:val="0"/>
        <w:spacing w:after="120"/>
        <w:ind w:left="1247" w:firstLine="567"/>
        <w:jc w:val="both"/>
        <w:rPr>
          <w:i/>
          <w:lang w:val="en-GB"/>
        </w:rPr>
      </w:pPr>
      <w:r w:rsidRPr="00606638">
        <w:rPr>
          <w:i/>
          <w:lang w:val="en-GB"/>
        </w:rPr>
        <w:t>(c)</w:t>
      </w:r>
      <w:r w:rsidRPr="00606638">
        <w:rPr>
          <w:i/>
          <w:lang w:val="en-GB"/>
        </w:rPr>
        <w:tab/>
        <w:t xml:space="preserve">Consider whether the final regulatory action provides a sufficiently broad basis to merit listing of the chemical in Annex III, by </w:t>
      </w:r>
      <w:proofErr w:type="gramStart"/>
      <w:r w:rsidRPr="00606638">
        <w:rPr>
          <w:i/>
          <w:lang w:val="en-GB"/>
        </w:rPr>
        <w:t>taking into account</w:t>
      </w:r>
      <w:proofErr w:type="gramEnd"/>
      <w:r w:rsidRPr="00606638">
        <w:rPr>
          <w:i/>
          <w:lang w:val="en-GB"/>
        </w:rPr>
        <w:t>:</w:t>
      </w:r>
    </w:p>
    <w:p w14:paraId="4B81ACA6" w14:textId="77777777" w:rsidR="006A2578" w:rsidRPr="00606638" w:rsidRDefault="006A2578" w:rsidP="006A2578">
      <w:pPr>
        <w:snapToGrid w:val="0"/>
        <w:spacing w:after="120"/>
        <w:ind w:left="2438"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 xml:space="preserve">Whether the final regulatory action led, or would be expected to lead, to a significant decrease in the quantity of the chemical used or the number of its </w:t>
      </w:r>
      <w:proofErr w:type="gramStart"/>
      <w:r w:rsidRPr="00606638">
        <w:rPr>
          <w:i/>
          <w:lang w:val="en-GB"/>
        </w:rPr>
        <w:t>uses;</w:t>
      </w:r>
      <w:proofErr w:type="gramEnd"/>
    </w:p>
    <w:p w14:paraId="48C9491A" w14:textId="77777777" w:rsidR="006A2578" w:rsidRPr="00606638" w:rsidRDefault="006A2578" w:rsidP="006A2578">
      <w:pPr>
        <w:pStyle w:val="Normal-pool"/>
        <w:numPr>
          <w:ilvl w:val="0"/>
          <w:numId w:val="6"/>
        </w:numPr>
        <w:spacing w:after="120"/>
        <w:ind w:left="1247" w:firstLine="0"/>
        <w:rPr>
          <w:bCs/>
          <w:lang w:bidi="en-US"/>
        </w:rPr>
      </w:pPr>
      <w:r w:rsidRPr="00606638">
        <w:t>The</w:t>
      </w:r>
      <w:r w:rsidRPr="00606638">
        <w:rPr>
          <w:rFonts w:eastAsia="MS Mincho"/>
          <w:iCs/>
          <w:lang w:bidi="en-US"/>
        </w:rPr>
        <w:t xml:space="preserve"> estimated quantity of </w:t>
      </w:r>
      <w:proofErr w:type="spellStart"/>
      <w:r w:rsidRPr="00606638">
        <w:rPr>
          <w:rFonts w:eastAsia="MS Mincho"/>
          <w:iCs/>
          <w:lang w:bidi="en-US"/>
        </w:rPr>
        <w:t>terbufos</w:t>
      </w:r>
      <w:proofErr w:type="spellEnd"/>
      <w:r w:rsidRPr="00606638">
        <w:rPr>
          <w:rFonts w:eastAsia="MS Mincho"/>
          <w:iCs/>
          <w:lang w:bidi="en-US"/>
        </w:rPr>
        <w:t xml:space="preserve"> produced, </w:t>
      </w:r>
      <w:proofErr w:type="gramStart"/>
      <w:r w:rsidRPr="00606638">
        <w:rPr>
          <w:rFonts w:eastAsia="MS Mincho"/>
          <w:iCs/>
          <w:lang w:bidi="en-US"/>
        </w:rPr>
        <w:t>imported</w:t>
      </w:r>
      <w:proofErr w:type="gramEnd"/>
      <w:r w:rsidRPr="00606638">
        <w:rPr>
          <w:rFonts w:eastAsia="MS Mincho"/>
          <w:iCs/>
          <w:lang w:bidi="en-US"/>
        </w:rPr>
        <w:t xml:space="preserve"> and exported from Canada prior to the regulatory action was not provided. The quantity of the active ingredient </w:t>
      </w:r>
      <w:proofErr w:type="spellStart"/>
      <w:r w:rsidRPr="00606638">
        <w:rPr>
          <w:rFonts w:eastAsia="MS Mincho"/>
          <w:iCs/>
          <w:lang w:bidi="en-US"/>
        </w:rPr>
        <w:t>terbufos</w:t>
      </w:r>
      <w:proofErr w:type="spellEnd"/>
      <w:r w:rsidRPr="00606638">
        <w:rPr>
          <w:rFonts w:eastAsia="MS Mincho"/>
          <w:iCs/>
          <w:lang w:bidi="en-US"/>
        </w:rPr>
        <w:t xml:space="preserve"> used in 2011, the year prior to the ban on </w:t>
      </w:r>
      <w:proofErr w:type="spellStart"/>
      <w:r w:rsidRPr="00606638">
        <w:rPr>
          <w:rFonts w:eastAsia="MS Mincho"/>
          <w:iCs/>
          <w:lang w:bidi="en-US"/>
        </w:rPr>
        <w:t>terbufos</w:t>
      </w:r>
      <w:proofErr w:type="spellEnd"/>
      <w:r w:rsidRPr="00606638">
        <w:rPr>
          <w:rFonts w:eastAsia="MS Mincho"/>
          <w:iCs/>
          <w:lang w:bidi="en-US"/>
        </w:rPr>
        <w:t xml:space="preserve"> entering into force, was reported to be less than 50,000 kg (UNEP/FAO/RC/CRC.17/8/Rev.1, sect. 2.5.1 of the Canada notification).</w:t>
      </w:r>
    </w:p>
    <w:p w14:paraId="6D063A64" w14:textId="77777777" w:rsidR="006A2578" w:rsidRPr="00606638" w:rsidRDefault="006A2578" w:rsidP="006A2578">
      <w:pPr>
        <w:pStyle w:val="Normal-pool"/>
        <w:numPr>
          <w:ilvl w:val="0"/>
          <w:numId w:val="6"/>
        </w:numPr>
        <w:spacing w:after="120"/>
        <w:ind w:left="1247" w:firstLine="0"/>
        <w:rPr>
          <w:bCs/>
          <w:lang w:bidi="en-US"/>
        </w:rPr>
      </w:pPr>
      <w:r w:rsidRPr="00606638">
        <w:t xml:space="preserve">The final regulatory action </w:t>
      </w:r>
      <w:r w:rsidRPr="00606638">
        <w:rPr>
          <w:bCs/>
          <w:lang w:bidi="en-US"/>
        </w:rPr>
        <w:t xml:space="preserve">phased out all uses of </w:t>
      </w:r>
      <w:proofErr w:type="spellStart"/>
      <w:r w:rsidRPr="00606638">
        <w:rPr>
          <w:bCs/>
          <w:lang w:bidi="en-US"/>
        </w:rPr>
        <w:t>terbufos</w:t>
      </w:r>
      <w:proofErr w:type="spellEnd"/>
      <w:r w:rsidRPr="00606638">
        <w:rPr>
          <w:bCs/>
          <w:lang w:bidi="en-US"/>
        </w:rPr>
        <w:t xml:space="preserve"> as a pest control product in Canada in 2012 (</w:t>
      </w:r>
      <w:r w:rsidRPr="00606638">
        <w:rPr>
          <w:lang w:bidi="en-US"/>
        </w:rPr>
        <w:t xml:space="preserve">UNEP/FAO/RC/CRC.17/8/Rev.1, </w:t>
      </w:r>
      <w:r w:rsidRPr="00606638">
        <w:rPr>
          <w:bCs/>
          <w:lang w:bidi="en-US"/>
        </w:rPr>
        <w:t>sect. 2.2.1 of the Canada notification</w:t>
      </w:r>
      <w:r w:rsidRPr="00606638">
        <w:rPr>
          <w:lang w:bidi="en-US"/>
        </w:rPr>
        <w:t xml:space="preserve">) and it is therefore expected that </w:t>
      </w:r>
      <w:r w:rsidRPr="00606638">
        <w:rPr>
          <w:bCs/>
          <w:lang w:bidi="en-US"/>
        </w:rPr>
        <w:t>any quantity used as</w:t>
      </w:r>
      <w:r>
        <w:rPr>
          <w:bCs/>
          <w:lang w:bidi="en-US"/>
        </w:rPr>
        <w:t xml:space="preserve"> a</w:t>
      </w:r>
      <w:r w:rsidRPr="00606638">
        <w:rPr>
          <w:bCs/>
          <w:lang w:bidi="en-US"/>
        </w:rPr>
        <w:t xml:space="preserve"> pest control product will be reduced to zero.  </w:t>
      </w:r>
    </w:p>
    <w:p w14:paraId="22FB0744" w14:textId="77777777" w:rsidR="006A2578" w:rsidRPr="00606638" w:rsidRDefault="006A2578" w:rsidP="006A2578">
      <w:pPr>
        <w:pStyle w:val="Normal-pool"/>
        <w:numPr>
          <w:ilvl w:val="0"/>
          <w:numId w:val="6"/>
        </w:numPr>
        <w:spacing w:after="120"/>
        <w:ind w:left="1247" w:firstLine="0"/>
      </w:pPr>
      <w:r w:rsidRPr="00606638">
        <w:lastRenderedPageBreak/>
        <w:t>The Committee therefore confirms that the criterion in paragraph (c) (</w:t>
      </w:r>
      <w:proofErr w:type="spellStart"/>
      <w:r w:rsidRPr="00606638">
        <w:t>i</w:t>
      </w:r>
      <w:proofErr w:type="spellEnd"/>
      <w:r w:rsidRPr="00606638">
        <w:t xml:space="preserve">) is met. </w:t>
      </w:r>
    </w:p>
    <w:p w14:paraId="135275C7"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 xml:space="preserve">Whether the final regulatory action led to an actual reduction of risk or would be expected to result in a significant reduction of risk for human health or the environment of the Party that submitted the </w:t>
      </w:r>
      <w:proofErr w:type="gramStart"/>
      <w:r w:rsidRPr="00606638">
        <w:rPr>
          <w:i/>
          <w:lang w:val="en-GB"/>
        </w:rPr>
        <w:t>notification;</w:t>
      </w:r>
      <w:proofErr w:type="gramEnd"/>
    </w:p>
    <w:p w14:paraId="5D7CFE00" w14:textId="77777777" w:rsidR="006A2578" w:rsidRPr="00606638" w:rsidRDefault="006A2578" w:rsidP="006A2578">
      <w:pPr>
        <w:pStyle w:val="Normal-pool"/>
        <w:numPr>
          <w:ilvl w:val="0"/>
          <w:numId w:val="6"/>
        </w:numPr>
        <w:spacing w:after="120"/>
        <w:ind w:left="1247" w:firstLine="0"/>
      </w:pPr>
      <w:r w:rsidRPr="00606638">
        <w:t>According</w:t>
      </w:r>
      <w:r w:rsidRPr="00606638">
        <w:rPr>
          <w:rFonts w:eastAsia="MS Mincho"/>
          <w:iCs/>
          <w:lang w:bidi="en-US"/>
        </w:rPr>
        <w:t xml:space="preserve"> to the notification, preventing the use of </w:t>
      </w:r>
      <w:proofErr w:type="spellStart"/>
      <w:r w:rsidRPr="00606638">
        <w:rPr>
          <w:rFonts w:eastAsia="MS Mincho"/>
          <w:iCs/>
          <w:lang w:bidi="en-US"/>
        </w:rPr>
        <w:t>terbufos</w:t>
      </w:r>
      <w:proofErr w:type="spellEnd"/>
      <w:r w:rsidRPr="00606638">
        <w:rPr>
          <w:rFonts w:eastAsia="MS Mincho"/>
          <w:iCs/>
          <w:lang w:bidi="en-US"/>
        </w:rPr>
        <w:t xml:space="preserve"> protects the environment and non-target organisms from the risk of exposure, and therefore the expected outcome of the final regulatory action is a reduction of risk for the environment from the use of plant protection products containing </w:t>
      </w:r>
      <w:proofErr w:type="spellStart"/>
      <w:r w:rsidRPr="00606638">
        <w:rPr>
          <w:rFonts w:eastAsia="MS Mincho"/>
          <w:iCs/>
          <w:lang w:bidi="en-US"/>
        </w:rPr>
        <w:t>terbufos</w:t>
      </w:r>
      <w:proofErr w:type="spellEnd"/>
      <w:r w:rsidRPr="00606638">
        <w:rPr>
          <w:rFonts w:eastAsia="MS Mincho"/>
          <w:iCs/>
          <w:lang w:bidi="en-US"/>
        </w:rPr>
        <w:t xml:space="preserve"> (</w:t>
      </w:r>
      <w:r w:rsidRPr="00606638">
        <w:t>UNEP/FAO/RC/CRC.17/8</w:t>
      </w:r>
      <w:r>
        <w:t>/</w:t>
      </w:r>
      <w:r w:rsidRPr="00606638">
        <w:t>Rev.1, s</w:t>
      </w:r>
      <w:r w:rsidRPr="00606638">
        <w:rPr>
          <w:rFonts w:eastAsia="MS Mincho"/>
          <w:iCs/>
          <w:lang w:bidi="en-US"/>
        </w:rPr>
        <w:t>ect. 2.4.2.2 of the Canada notification)</w:t>
      </w:r>
      <w:r w:rsidRPr="00606638">
        <w:t xml:space="preserve">. </w:t>
      </w:r>
    </w:p>
    <w:p w14:paraId="1F29345F" w14:textId="77777777" w:rsidR="006A2578" w:rsidRPr="00606638" w:rsidRDefault="006A2578" w:rsidP="006A2578">
      <w:pPr>
        <w:pStyle w:val="Normal-pool"/>
        <w:numPr>
          <w:ilvl w:val="0"/>
          <w:numId w:val="6"/>
        </w:numPr>
        <w:spacing w:after="120"/>
        <w:ind w:left="1247" w:firstLine="0"/>
      </w:pPr>
      <w:r w:rsidRPr="00606638">
        <w:rPr>
          <w:rFonts w:eastAsia="MS Mincho"/>
          <w:iCs/>
          <w:lang w:bidi="en-US"/>
        </w:rPr>
        <w:t>The phase</w:t>
      </w:r>
      <w:r>
        <w:rPr>
          <w:rFonts w:eastAsia="MS Mincho"/>
          <w:iCs/>
          <w:lang w:bidi="en-US"/>
        </w:rPr>
        <w:t>-</w:t>
      </w:r>
      <w:r w:rsidRPr="00606638">
        <w:rPr>
          <w:rFonts w:eastAsia="MS Mincho"/>
          <w:iCs/>
          <w:lang w:bidi="en-US"/>
        </w:rPr>
        <w:t xml:space="preserve">out of all uses of </w:t>
      </w:r>
      <w:proofErr w:type="spellStart"/>
      <w:r w:rsidRPr="00606638">
        <w:rPr>
          <w:rFonts w:eastAsia="MS Mincho"/>
          <w:iCs/>
          <w:lang w:bidi="en-US"/>
        </w:rPr>
        <w:t>terbufos</w:t>
      </w:r>
      <w:proofErr w:type="spellEnd"/>
      <w:r w:rsidRPr="00606638">
        <w:rPr>
          <w:rFonts w:eastAsia="MS Mincho"/>
          <w:iCs/>
          <w:lang w:bidi="en-US"/>
        </w:rPr>
        <w:t xml:space="preserve"> on 1 August 2012 is expected to have led to a significant reduction </w:t>
      </w:r>
      <w:r>
        <w:rPr>
          <w:rFonts w:eastAsia="MS Mincho"/>
          <w:iCs/>
          <w:lang w:bidi="en-US"/>
        </w:rPr>
        <w:t>in</w:t>
      </w:r>
      <w:r w:rsidRPr="00606638">
        <w:rPr>
          <w:rFonts w:eastAsia="MS Mincho"/>
          <w:iCs/>
          <w:lang w:bidi="en-US"/>
        </w:rPr>
        <w:t xml:space="preserve"> the quantity of the chemical used in Canada and it is therefore expected that </w:t>
      </w:r>
      <w:r>
        <w:rPr>
          <w:rFonts w:eastAsia="MS Mincho"/>
          <w:iCs/>
          <w:lang w:bidi="en-US"/>
        </w:rPr>
        <w:t xml:space="preserve">the </w:t>
      </w:r>
      <w:r w:rsidRPr="00606638">
        <w:rPr>
          <w:rFonts w:eastAsia="MS Mincho"/>
          <w:iCs/>
          <w:lang w:bidi="en-US"/>
        </w:rPr>
        <w:t xml:space="preserve">risk to the </w:t>
      </w:r>
      <w:r w:rsidRPr="004C41EB">
        <w:t>environment</w:t>
      </w:r>
      <w:r w:rsidRPr="00606638">
        <w:rPr>
          <w:rFonts w:eastAsia="MS Mincho"/>
          <w:iCs/>
          <w:lang w:bidi="en-US"/>
        </w:rPr>
        <w:t xml:space="preserve"> has been significantly reduced. </w:t>
      </w:r>
    </w:p>
    <w:p w14:paraId="0ACAE958" w14:textId="77777777" w:rsidR="006A2578" w:rsidRPr="00606638" w:rsidRDefault="006A2578" w:rsidP="006A2578">
      <w:pPr>
        <w:pStyle w:val="Normal-pool"/>
        <w:numPr>
          <w:ilvl w:val="0"/>
          <w:numId w:val="6"/>
        </w:numPr>
        <w:spacing w:after="120"/>
        <w:ind w:left="1247" w:firstLine="0"/>
      </w:pPr>
      <w:r w:rsidRPr="00606638">
        <w:t xml:space="preserve">The Committee confirms that the criterion in paragraph (c) (ii) is met. </w:t>
      </w:r>
    </w:p>
    <w:p w14:paraId="25669DBA"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 xml:space="preserve">Whether the considerations that led to the final regulatory action being taken are applicable only in a limited geographical area or in other limited </w:t>
      </w:r>
      <w:proofErr w:type="gramStart"/>
      <w:r w:rsidRPr="00606638">
        <w:rPr>
          <w:i/>
          <w:lang w:val="en-GB"/>
        </w:rPr>
        <w:t>circumstances;</w:t>
      </w:r>
      <w:proofErr w:type="gramEnd"/>
    </w:p>
    <w:p w14:paraId="6CBDAA5B" w14:textId="77777777" w:rsidR="006A2578" w:rsidRPr="00606638" w:rsidRDefault="006A2578" w:rsidP="006A2578">
      <w:pPr>
        <w:pStyle w:val="Normal-pool"/>
        <w:numPr>
          <w:ilvl w:val="0"/>
          <w:numId w:val="6"/>
        </w:numPr>
        <w:spacing w:after="120"/>
        <w:ind w:left="1247" w:firstLine="0"/>
        <w:rPr>
          <w:rFonts w:eastAsia="MS Mincho"/>
          <w:iCs/>
          <w:lang w:bidi="en-US"/>
        </w:rPr>
      </w:pPr>
      <w:r w:rsidRPr="004C41EB">
        <w:t>Risks</w:t>
      </w:r>
      <w:r w:rsidRPr="00606638">
        <w:rPr>
          <w:rFonts w:eastAsia="MS Mincho"/>
          <w:iCs/>
          <w:lang w:bidi="en-US"/>
        </w:rPr>
        <w:t xml:space="preserve"> associated with end-use </w:t>
      </w:r>
      <w:proofErr w:type="spellStart"/>
      <w:r w:rsidRPr="00606638">
        <w:rPr>
          <w:rFonts w:eastAsia="MS Mincho"/>
          <w:iCs/>
          <w:lang w:bidi="en-US"/>
        </w:rPr>
        <w:t>terbufos</w:t>
      </w:r>
      <w:proofErr w:type="spellEnd"/>
      <w:r w:rsidRPr="00606638">
        <w:rPr>
          <w:rFonts w:eastAsia="MS Mincho"/>
          <w:iCs/>
          <w:lang w:bidi="en-US"/>
        </w:rPr>
        <w:t xml:space="preserve"> formulations have been identified for all groups of organisms (i.e., birds, mammals, </w:t>
      </w:r>
      <w:proofErr w:type="gramStart"/>
      <w:r w:rsidRPr="00606638">
        <w:rPr>
          <w:rFonts w:eastAsia="MS Mincho"/>
          <w:iCs/>
          <w:lang w:bidi="en-US"/>
        </w:rPr>
        <w:t>fish</w:t>
      </w:r>
      <w:proofErr w:type="gramEnd"/>
      <w:r w:rsidRPr="00606638">
        <w:rPr>
          <w:rFonts w:eastAsia="MS Mincho"/>
          <w:iCs/>
          <w:lang w:bidi="en-US"/>
        </w:rPr>
        <w:t xml:space="preserve"> and aquatic invertebrates) for all application scenarios. </w:t>
      </w:r>
    </w:p>
    <w:p w14:paraId="433D5155" w14:textId="77777777" w:rsidR="006A2578" w:rsidRPr="00606638" w:rsidRDefault="006A2578" w:rsidP="006A2578">
      <w:pPr>
        <w:pStyle w:val="Normal-pool"/>
        <w:numPr>
          <w:ilvl w:val="0"/>
          <w:numId w:val="6"/>
        </w:numPr>
        <w:spacing w:after="120"/>
        <w:ind w:left="1247" w:firstLine="0"/>
      </w:pPr>
      <w:r w:rsidRPr="00606638">
        <w:t>The</w:t>
      </w:r>
      <w:r w:rsidRPr="00606638">
        <w:rPr>
          <w:rFonts w:eastAsia="MS Mincho"/>
          <w:iCs/>
          <w:lang w:bidi="en-US"/>
        </w:rPr>
        <w:t xml:space="preserve"> notification states that environmental risks posed by </w:t>
      </w:r>
      <w:proofErr w:type="spellStart"/>
      <w:r w:rsidRPr="00606638">
        <w:rPr>
          <w:rFonts w:eastAsia="MS Mincho"/>
          <w:iCs/>
          <w:lang w:bidi="en-US"/>
        </w:rPr>
        <w:t>terbufos</w:t>
      </w:r>
      <w:proofErr w:type="spellEnd"/>
      <w:r w:rsidRPr="00606638">
        <w:rPr>
          <w:rFonts w:eastAsia="MS Mincho"/>
          <w:iCs/>
          <w:lang w:bidi="en-US"/>
        </w:rPr>
        <w:t xml:space="preserve"> are likely to be relevant in countries with similar </w:t>
      </w:r>
      <w:proofErr w:type="spellStart"/>
      <w:r w:rsidRPr="00606638">
        <w:rPr>
          <w:rFonts w:eastAsia="MS Mincho"/>
          <w:iCs/>
          <w:lang w:bidi="en-US"/>
        </w:rPr>
        <w:t>terbufos</w:t>
      </w:r>
      <w:proofErr w:type="spellEnd"/>
      <w:r w:rsidRPr="00606638">
        <w:rPr>
          <w:rFonts w:eastAsia="MS Mincho"/>
          <w:iCs/>
          <w:lang w:bidi="en-US"/>
        </w:rPr>
        <w:t xml:space="preserve"> use patterns (UNEP/FAO/RC/CRC.17/8/Rev.1, sect. 2.5.2 of the Canada notification). </w:t>
      </w:r>
    </w:p>
    <w:p w14:paraId="2265EF7D" w14:textId="77777777" w:rsidR="006A2578" w:rsidRPr="00606638" w:rsidRDefault="006A2578" w:rsidP="006A2578">
      <w:pPr>
        <w:pStyle w:val="Normal-pool"/>
        <w:numPr>
          <w:ilvl w:val="0"/>
          <w:numId w:val="6"/>
        </w:numPr>
        <w:spacing w:after="120"/>
        <w:ind w:left="1247" w:firstLine="0"/>
      </w:pPr>
      <w:r w:rsidRPr="00606638">
        <w:t xml:space="preserve">The Committee therefore confirms that the criterion in paragraph (c) (iii) is met. </w:t>
      </w:r>
    </w:p>
    <w:p w14:paraId="3BA15E6F"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(iv)</w:t>
      </w:r>
      <w:r w:rsidRPr="00606638">
        <w:rPr>
          <w:i/>
          <w:lang w:val="en-GB"/>
        </w:rPr>
        <w:tab/>
        <w:t xml:space="preserve">Whether there is evidence of ongoing international trade in the </w:t>
      </w:r>
      <w:proofErr w:type="gramStart"/>
      <w:r w:rsidRPr="00606638">
        <w:rPr>
          <w:i/>
          <w:lang w:val="en-GB"/>
        </w:rPr>
        <w:t>chemical;</w:t>
      </w:r>
      <w:proofErr w:type="gramEnd"/>
    </w:p>
    <w:p w14:paraId="38B0A1DD" w14:textId="77777777" w:rsidR="006A2578" w:rsidRPr="00606638" w:rsidRDefault="006A2578" w:rsidP="006A2578">
      <w:pPr>
        <w:pStyle w:val="Normal-pool"/>
        <w:numPr>
          <w:ilvl w:val="0"/>
          <w:numId w:val="6"/>
        </w:numPr>
        <w:spacing w:after="120"/>
        <w:ind w:left="1247" w:firstLine="0"/>
      </w:pPr>
      <w:r w:rsidRPr="00606638">
        <w:rPr>
          <w:rFonts w:eastAsia="MS Mincho"/>
          <w:iCs/>
          <w:lang w:bidi="en-US"/>
        </w:rPr>
        <w:t xml:space="preserve">In </w:t>
      </w:r>
      <w:r w:rsidRPr="00606638">
        <w:t>response</w:t>
      </w:r>
      <w:r w:rsidRPr="00606638">
        <w:rPr>
          <w:rFonts w:eastAsia="MS Mincho"/>
          <w:iCs/>
          <w:lang w:bidi="en-US"/>
        </w:rPr>
        <w:t xml:space="preserve"> to the Secretariat's request to provide information on ongoing international trade </w:t>
      </w:r>
      <w:r>
        <w:rPr>
          <w:rFonts w:eastAsia="MS Mincho"/>
          <w:iCs/>
          <w:lang w:bidi="en-US"/>
        </w:rPr>
        <w:t>in</w:t>
      </w:r>
      <w:r w:rsidRPr="00606638">
        <w:rPr>
          <w:rFonts w:eastAsia="MS Mincho"/>
          <w:iCs/>
          <w:lang w:bidi="en-US"/>
        </w:rPr>
        <w:t xml:space="preserve"> candidate chemicals for the seventeenth meeting of the Chemical Review Committee, CropLife International confirmed ongoing international trade </w:t>
      </w:r>
      <w:r>
        <w:rPr>
          <w:rFonts w:eastAsia="MS Mincho"/>
          <w:iCs/>
          <w:lang w:bidi="en-US"/>
        </w:rPr>
        <w:t>in</w:t>
      </w:r>
      <w:r w:rsidRPr="00606638">
        <w:rPr>
          <w:rFonts w:eastAsia="MS Mincho"/>
          <w:iCs/>
          <w:lang w:bidi="en-US"/>
        </w:rPr>
        <w:t xml:space="preserve"> </w:t>
      </w:r>
      <w:proofErr w:type="spellStart"/>
      <w:r w:rsidRPr="00606638">
        <w:rPr>
          <w:rFonts w:eastAsia="MS Mincho"/>
          <w:iCs/>
          <w:lang w:bidi="en-US"/>
        </w:rPr>
        <w:t>terbufos</w:t>
      </w:r>
      <w:proofErr w:type="spellEnd"/>
      <w:r w:rsidRPr="00606638">
        <w:rPr>
          <w:rFonts w:eastAsia="MS Mincho"/>
          <w:iCs/>
          <w:lang w:bidi="en-US"/>
        </w:rPr>
        <w:t xml:space="preserve"> by companies that are not members of CropLife International (UNEP/FAO/RC/CRC.17/INF/5).</w:t>
      </w:r>
    </w:p>
    <w:p w14:paraId="6B3E7772" w14:textId="77777777" w:rsidR="006A2578" w:rsidRPr="00606638" w:rsidRDefault="006A2578" w:rsidP="006A2578">
      <w:pPr>
        <w:pStyle w:val="Normal-pool"/>
        <w:numPr>
          <w:ilvl w:val="0"/>
          <w:numId w:val="6"/>
        </w:numPr>
        <w:spacing w:after="120"/>
        <w:ind w:left="1247" w:firstLine="0"/>
      </w:pPr>
      <w:r w:rsidRPr="00606638">
        <w:t>The Committee therefore confirms that the criterion in paragraph (c) (iv) is met.</w:t>
      </w:r>
    </w:p>
    <w:p w14:paraId="56793A49" w14:textId="77777777" w:rsidR="006A2578" w:rsidRPr="00606638" w:rsidRDefault="006A2578" w:rsidP="006A2578">
      <w:pPr>
        <w:pStyle w:val="Normal-pool"/>
        <w:numPr>
          <w:ilvl w:val="0"/>
          <w:numId w:val="6"/>
        </w:numPr>
        <w:spacing w:after="120"/>
        <w:ind w:left="1247" w:firstLine="0"/>
      </w:pPr>
      <w:r w:rsidRPr="00606638">
        <w:t>The Committee confirms that the criteria of paragraph (c) of Annex II are met.</w:t>
      </w:r>
    </w:p>
    <w:p w14:paraId="03BDF5B0" w14:textId="77777777" w:rsidR="006A2578" w:rsidRPr="006A2578" w:rsidRDefault="006A2578" w:rsidP="006A2578">
      <w:pPr>
        <w:keepNext/>
        <w:keepLines/>
        <w:tabs>
          <w:tab w:val="right" w:pos="851"/>
          <w:tab w:val="left" w:pos="4082"/>
        </w:tabs>
        <w:spacing w:after="120"/>
        <w:ind w:left="1247" w:right="284" w:hanging="1247"/>
        <w:jc w:val="both"/>
        <w:rPr>
          <w:b/>
          <w:snapToGrid w:val="0"/>
          <w:lang w:val="it-IT"/>
        </w:rPr>
      </w:pPr>
      <w:r w:rsidRPr="00606638">
        <w:rPr>
          <w:b/>
          <w:snapToGrid w:val="0"/>
          <w:lang w:val="en-GB"/>
        </w:rPr>
        <w:tab/>
      </w:r>
      <w:r w:rsidRPr="006A2578">
        <w:rPr>
          <w:b/>
          <w:snapToGrid w:val="0"/>
          <w:lang w:val="it-IT"/>
        </w:rPr>
        <w:t>(e)</w:t>
      </w:r>
      <w:r w:rsidRPr="006A2578">
        <w:rPr>
          <w:b/>
          <w:snapToGrid w:val="0"/>
          <w:lang w:val="it-IT"/>
        </w:rPr>
        <w:tab/>
        <w:t>Annex II paragraph (d) criterion</w:t>
      </w:r>
    </w:p>
    <w:p w14:paraId="29871B62"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(d)</w:t>
      </w:r>
      <w:r w:rsidRPr="00606638">
        <w:rPr>
          <w:i/>
          <w:lang w:val="en-GB"/>
        </w:rPr>
        <w:tab/>
      </w:r>
      <w:proofErr w:type="gramStart"/>
      <w:r w:rsidRPr="00606638">
        <w:rPr>
          <w:i/>
          <w:lang w:val="en-GB"/>
        </w:rPr>
        <w:t>Take into account</w:t>
      </w:r>
      <w:proofErr w:type="gramEnd"/>
      <w:r w:rsidRPr="00606638">
        <w:rPr>
          <w:i/>
          <w:lang w:val="en-GB"/>
        </w:rPr>
        <w:t xml:space="preserve"> that intentional misuse is not in itself an adequate reason to list a chemical in Annex III.</w:t>
      </w:r>
    </w:p>
    <w:p w14:paraId="3F324C27" w14:textId="77777777" w:rsidR="006A2578" w:rsidRPr="00606638" w:rsidRDefault="006A2578" w:rsidP="006A2578">
      <w:pPr>
        <w:pStyle w:val="Normal-pool"/>
        <w:numPr>
          <w:ilvl w:val="0"/>
          <w:numId w:val="6"/>
        </w:numPr>
        <w:spacing w:after="120"/>
        <w:ind w:left="1247" w:firstLine="0"/>
      </w:pPr>
      <w:r w:rsidRPr="00606638">
        <w:t>There</w:t>
      </w:r>
      <w:r w:rsidRPr="00606638">
        <w:rPr>
          <w:rFonts w:eastAsia="MS Mincho"/>
          <w:iCs/>
          <w:lang w:bidi="en-US"/>
        </w:rPr>
        <w:t xml:space="preserve"> is no indication in the notification that concerns over intentional misuse prompted the regulatory action</w:t>
      </w:r>
      <w:r w:rsidRPr="00606638">
        <w:t>.</w:t>
      </w:r>
    </w:p>
    <w:p w14:paraId="07A04DF0" w14:textId="77777777" w:rsidR="006A2578" w:rsidRPr="00606638" w:rsidRDefault="006A2578" w:rsidP="006A2578">
      <w:pPr>
        <w:pStyle w:val="Normal-pool"/>
        <w:numPr>
          <w:ilvl w:val="0"/>
          <w:numId w:val="6"/>
        </w:numPr>
        <w:spacing w:after="120"/>
        <w:ind w:left="1247" w:firstLine="0"/>
      </w:pPr>
      <w:proofErr w:type="gramStart"/>
      <w:r w:rsidRPr="00606638">
        <w:t>On the basis of</w:t>
      </w:r>
      <w:proofErr w:type="gramEnd"/>
      <w:r w:rsidRPr="00606638">
        <w:t xml:space="preserve"> the above point, the Committee confirms that the criterion in paragraph (d) of Annex II is met. </w:t>
      </w:r>
    </w:p>
    <w:p w14:paraId="2BDA9487"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tab/>
        <w:t>(f)</w:t>
      </w:r>
      <w:r w:rsidRPr="00606638">
        <w:rPr>
          <w:b/>
          <w:snapToGrid w:val="0"/>
          <w:lang w:val="en-GB"/>
        </w:rPr>
        <w:tab/>
        <w:t>Conclusion</w:t>
      </w:r>
    </w:p>
    <w:p w14:paraId="7B80DC8D" w14:textId="77777777" w:rsidR="006A2578" w:rsidRPr="00606638" w:rsidRDefault="006A2578" w:rsidP="006A2578">
      <w:pPr>
        <w:pStyle w:val="Normal-pool"/>
        <w:numPr>
          <w:ilvl w:val="0"/>
          <w:numId w:val="6"/>
        </w:numPr>
        <w:spacing w:after="120"/>
        <w:ind w:left="1247" w:firstLine="0"/>
      </w:pPr>
      <w:r w:rsidRPr="00606638">
        <w:t xml:space="preserve">The Committee concludes that the notification of final regulatory action by Canada meets the criteria set out in Annex II to the Convention. </w:t>
      </w:r>
    </w:p>
    <w:p w14:paraId="199A0170" w14:textId="77777777" w:rsidR="006A2578" w:rsidRPr="00606638" w:rsidRDefault="006A2578" w:rsidP="006A2578">
      <w:pPr>
        <w:keepNext/>
        <w:keepLines/>
        <w:tabs>
          <w:tab w:val="right" w:pos="851"/>
          <w:tab w:val="left" w:pos="4082"/>
        </w:tabs>
        <w:spacing w:before="240" w:after="120"/>
        <w:ind w:left="1247" w:right="284" w:hanging="1247"/>
        <w:jc w:val="both"/>
        <w:rPr>
          <w:b/>
          <w:sz w:val="28"/>
          <w:szCs w:val="28"/>
          <w:lang w:val="en-GB"/>
        </w:rPr>
      </w:pPr>
      <w:r w:rsidRPr="00606638">
        <w:rPr>
          <w:b/>
          <w:sz w:val="28"/>
          <w:szCs w:val="28"/>
          <w:lang w:val="en-GB"/>
        </w:rPr>
        <w:tab/>
        <w:t>II.</w:t>
      </w:r>
      <w:r w:rsidRPr="00606638">
        <w:rPr>
          <w:b/>
          <w:sz w:val="28"/>
          <w:szCs w:val="28"/>
          <w:lang w:val="en-GB"/>
        </w:rPr>
        <w:tab/>
        <w:t>Mozambique</w:t>
      </w:r>
    </w:p>
    <w:p w14:paraId="4435F509"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tab/>
        <w:t>(a)</w:t>
      </w:r>
      <w:r w:rsidRPr="00606638">
        <w:rPr>
          <w:b/>
          <w:snapToGrid w:val="0"/>
          <w:lang w:val="en-GB"/>
        </w:rPr>
        <w:tab/>
        <w:t>Scope of the regulatory action notified by Mozambique</w:t>
      </w:r>
    </w:p>
    <w:p w14:paraId="650641D2" w14:textId="77777777" w:rsidR="006A2578" w:rsidRPr="00606638" w:rsidRDefault="006A2578" w:rsidP="006A2578">
      <w:pPr>
        <w:pStyle w:val="Normal-pool"/>
        <w:numPr>
          <w:ilvl w:val="0"/>
          <w:numId w:val="6"/>
        </w:numPr>
        <w:spacing w:after="120"/>
        <w:ind w:left="1247" w:firstLine="0"/>
        <w:rPr>
          <w:lang w:bidi="en-US"/>
        </w:rPr>
      </w:pPr>
      <w:r w:rsidRPr="00606638">
        <w:t xml:space="preserve">The regulatory action notified by Mozambique relates to </w:t>
      </w:r>
      <w:proofErr w:type="spellStart"/>
      <w:r w:rsidRPr="00606638">
        <w:t>terbufos</w:t>
      </w:r>
      <w:proofErr w:type="spellEnd"/>
      <w:r w:rsidRPr="00606638">
        <w:t xml:space="preserve"> (CAS No. </w:t>
      </w:r>
      <w:r w:rsidRPr="00606638">
        <w:rPr>
          <w:rFonts w:eastAsia="MS Mincho"/>
          <w:snapToGrid w:val="0"/>
          <w:szCs w:val="22"/>
          <w:lang w:bidi="en-US"/>
        </w:rPr>
        <w:t>13071-79-9</w:t>
      </w:r>
      <w:r w:rsidRPr="00606638">
        <w:rPr>
          <w:rFonts w:eastAsia="Arial Unicode MS"/>
          <w:spacing w:val="16"/>
        </w:rPr>
        <w:t xml:space="preserve">) </w:t>
      </w:r>
      <w:r w:rsidRPr="00606638">
        <w:t xml:space="preserve">as a pesticide. </w:t>
      </w:r>
      <w:r w:rsidRPr="00606638">
        <w:rPr>
          <w:lang w:bidi="en-US"/>
        </w:rPr>
        <w:t xml:space="preserve">Prior to the final regulatory action entering into force, </w:t>
      </w:r>
      <w:proofErr w:type="spellStart"/>
      <w:r w:rsidRPr="00606638">
        <w:rPr>
          <w:lang w:bidi="en-US"/>
        </w:rPr>
        <w:t>terbufos</w:t>
      </w:r>
      <w:proofErr w:type="spellEnd"/>
      <w:r w:rsidRPr="00606638">
        <w:rPr>
          <w:lang w:bidi="en-US"/>
        </w:rPr>
        <w:t xml:space="preserve"> was registered in </w:t>
      </w:r>
      <w:r w:rsidRPr="00606638">
        <w:t>Mozambique</w:t>
      </w:r>
      <w:r w:rsidRPr="00606638">
        <w:rPr>
          <w:lang w:bidi="en-US"/>
        </w:rPr>
        <w:t xml:space="preserve"> as an insecticide to be used on maize, sorghum, </w:t>
      </w:r>
      <w:proofErr w:type="gramStart"/>
      <w:r w:rsidRPr="00606638">
        <w:rPr>
          <w:lang w:bidi="en-US"/>
        </w:rPr>
        <w:t>potato</w:t>
      </w:r>
      <w:proofErr w:type="gramEnd"/>
      <w:r w:rsidRPr="00606638">
        <w:rPr>
          <w:lang w:bidi="en-US"/>
        </w:rPr>
        <w:t xml:space="preserve"> and beans (UNEP/FAO/RC/CRC.17/8/Rev.1, sect. 2.3.1 of the Mozambique notification)</w:t>
      </w:r>
      <w:r>
        <w:rPr>
          <w:lang w:bidi="en-US"/>
        </w:rPr>
        <w:t>.</w:t>
      </w:r>
    </w:p>
    <w:p w14:paraId="3C17F02D" w14:textId="77777777" w:rsidR="006A2578" w:rsidRPr="00606638" w:rsidRDefault="006A2578" w:rsidP="006A2578">
      <w:pPr>
        <w:pStyle w:val="Normal-pool"/>
        <w:numPr>
          <w:ilvl w:val="0"/>
          <w:numId w:val="6"/>
        </w:numPr>
        <w:spacing w:after="120"/>
        <w:ind w:left="1247" w:firstLine="0"/>
        <w:rPr>
          <w:lang w:bidi="en-US"/>
        </w:rPr>
      </w:pPr>
      <w:proofErr w:type="spellStart"/>
      <w:r w:rsidRPr="00606638">
        <w:lastRenderedPageBreak/>
        <w:t>Terbufos</w:t>
      </w:r>
      <w:proofErr w:type="spellEnd"/>
      <w:r w:rsidRPr="00606638">
        <w:t xml:space="preserve"> was banned by the National Directorate of Agrarian Services from further import and use in Mozambique by decision Nr 001/DNSA/2014. The regulatory action entered into force on 15</w:t>
      </w:r>
      <w:r>
        <w:t> </w:t>
      </w:r>
      <w:r w:rsidRPr="00606638">
        <w:t xml:space="preserve">July 2014. The ban of all uses and the cancellation of the products containing </w:t>
      </w:r>
      <w:proofErr w:type="spellStart"/>
      <w:r w:rsidRPr="00606638">
        <w:t>terbufos</w:t>
      </w:r>
      <w:proofErr w:type="spellEnd"/>
      <w:r w:rsidRPr="00606638">
        <w:t xml:space="preserve"> in the country w</w:t>
      </w:r>
      <w:r>
        <w:t>ere</w:t>
      </w:r>
      <w:r w:rsidRPr="00606638">
        <w:t xml:space="preserve"> decided due to the toxic nature and hazardous properties of this active substance which</w:t>
      </w:r>
      <w:r>
        <w:t>,</w:t>
      </w:r>
      <w:r w:rsidRPr="00606638">
        <w:t xml:space="preserve"> combined with improper use in the country due to the local specific conditions of use</w:t>
      </w:r>
      <w:r>
        <w:t>,</w:t>
      </w:r>
      <w:r w:rsidRPr="00606638">
        <w:t xml:space="preserve"> can harm human and animal health.</w:t>
      </w:r>
    </w:p>
    <w:p w14:paraId="7D65D4D9" w14:textId="77777777" w:rsidR="006A2578" w:rsidRPr="00606638" w:rsidRDefault="006A2578" w:rsidP="006A2578">
      <w:pPr>
        <w:pStyle w:val="Normal-pool"/>
        <w:numPr>
          <w:ilvl w:val="0"/>
          <w:numId w:val="6"/>
        </w:numPr>
        <w:spacing w:after="120"/>
        <w:ind w:left="1247" w:firstLine="0"/>
        <w:rPr>
          <w:lang w:bidi="en-US"/>
        </w:rPr>
      </w:pPr>
      <w:r w:rsidRPr="00606638">
        <w:t xml:space="preserve">The decision to ban the registration of </w:t>
      </w:r>
      <w:proofErr w:type="spellStart"/>
      <w:r w:rsidRPr="00606638">
        <w:t>terbufos</w:t>
      </w:r>
      <w:proofErr w:type="spellEnd"/>
      <w:r w:rsidRPr="00606638">
        <w:t xml:space="preserve"> was taken as the last step in the project on reducing risks of HHPs which identified HHPs and other pesticides that are registered in Mozambique. After consultations with different actors (public sector, private sector, civil </w:t>
      </w:r>
      <w:proofErr w:type="gramStart"/>
      <w:r w:rsidRPr="00606638">
        <w:t>society</w:t>
      </w:r>
      <w:proofErr w:type="gramEnd"/>
      <w:r w:rsidRPr="00606638">
        <w:t xml:space="preserve"> and others)</w:t>
      </w:r>
      <w:r>
        <w:t>, the</w:t>
      </w:r>
      <w:r w:rsidRPr="00606638">
        <w:t xml:space="preserve"> cancellation of registrations and </w:t>
      </w:r>
      <w:r>
        <w:t xml:space="preserve">the </w:t>
      </w:r>
      <w:r w:rsidRPr="00606638">
        <w:t xml:space="preserve">consequent ban and non-approval of </w:t>
      </w:r>
      <w:r>
        <w:t>the</w:t>
      </w:r>
      <w:r w:rsidRPr="00606638">
        <w:t xml:space="preserve"> use</w:t>
      </w:r>
      <w:r>
        <w:t xml:space="preserve"> of </w:t>
      </w:r>
      <w:proofErr w:type="spellStart"/>
      <w:r>
        <w:t>terbufos</w:t>
      </w:r>
      <w:proofErr w:type="spellEnd"/>
      <w:r w:rsidRPr="00606638">
        <w:t xml:space="preserve"> in Mozambique was approved </w:t>
      </w:r>
      <w:r w:rsidRPr="00606638">
        <w:rPr>
          <w:lang w:bidi="en-US"/>
        </w:rPr>
        <w:t>(UNEP/FAO/RC/CRC.17/8/Rev.1, sects. 2.2.1 and 2.2.3 of the Mozambique notification).</w:t>
      </w:r>
    </w:p>
    <w:p w14:paraId="46A37541" w14:textId="77777777" w:rsidR="006A2578" w:rsidRPr="00606638" w:rsidRDefault="006A2578" w:rsidP="006A2578">
      <w:pPr>
        <w:pStyle w:val="Normal-pool"/>
        <w:numPr>
          <w:ilvl w:val="0"/>
          <w:numId w:val="6"/>
        </w:numPr>
        <w:spacing w:after="120"/>
        <w:ind w:left="1247" w:firstLine="0"/>
        <w:rPr>
          <w:lang w:bidi="en-US"/>
        </w:rPr>
      </w:pPr>
      <w:r w:rsidRPr="00606638">
        <w:t>The</w:t>
      </w:r>
      <w:r w:rsidRPr="00606638">
        <w:rPr>
          <w:snapToGrid w:val="0"/>
        </w:rPr>
        <w:t xml:space="preserve"> notification was found to meet the information requirements of Annex I.</w:t>
      </w:r>
    </w:p>
    <w:p w14:paraId="07D61229"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tab/>
        <w:t>(b)</w:t>
      </w:r>
      <w:r w:rsidRPr="00606638">
        <w:rPr>
          <w:b/>
          <w:snapToGrid w:val="0"/>
          <w:lang w:val="en-GB"/>
        </w:rPr>
        <w:tab/>
        <w:t>Annex II paragraph (a) criterion</w:t>
      </w:r>
    </w:p>
    <w:p w14:paraId="3A8376AD" w14:textId="77777777" w:rsidR="006A2578" w:rsidRPr="00606638" w:rsidRDefault="006A2578" w:rsidP="006A2578">
      <w:pPr>
        <w:tabs>
          <w:tab w:val="clear" w:pos="1247"/>
          <w:tab w:val="clear" w:pos="1814"/>
          <w:tab w:val="clear" w:pos="2381"/>
          <w:tab w:val="clear" w:pos="2948"/>
          <w:tab w:val="clear" w:pos="3515"/>
          <w:tab w:val="left" w:pos="624"/>
        </w:tabs>
        <w:spacing w:after="120"/>
        <w:ind w:left="1247" w:firstLine="624"/>
        <w:rPr>
          <w:i/>
          <w:lang w:val="en-GB" w:eastAsia="ja-JP"/>
        </w:rPr>
      </w:pPr>
      <w:r w:rsidRPr="00606638">
        <w:rPr>
          <w:i/>
          <w:lang w:val="en-GB" w:eastAsia="ja-JP"/>
        </w:rPr>
        <w:t>(a)</w:t>
      </w:r>
      <w:r w:rsidRPr="00606638">
        <w:rPr>
          <w:i/>
          <w:lang w:val="en-GB" w:eastAsia="ja-JP"/>
        </w:rPr>
        <w:tab/>
      </w:r>
      <w:r w:rsidRPr="00606638">
        <w:rPr>
          <w:i/>
          <w:lang w:val="en-GB"/>
        </w:rPr>
        <w:t xml:space="preserve">Confirm that the final regulatory action has been taken in order to protect human health or the </w:t>
      </w:r>
      <w:proofErr w:type="gramStart"/>
      <w:r w:rsidRPr="00606638">
        <w:rPr>
          <w:i/>
          <w:lang w:val="en-GB"/>
        </w:rPr>
        <w:t>en</w:t>
      </w:r>
      <w:r w:rsidRPr="00606638">
        <w:rPr>
          <w:i/>
          <w:lang w:val="en-GB" w:eastAsia="ja-JP"/>
        </w:rPr>
        <w:t>vironment;</w:t>
      </w:r>
      <w:proofErr w:type="gramEnd"/>
    </w:p>
    <w:p w14:paraId="606CA522"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Committee confirms that the regulatory action was taken to reduce the risk from </w:t>
      </w:r>
      <w:proofErr w:type="spellStart"/>
      <w:r w:rsidRPr="00606638">
        <w:rPr>
          <w:rFonts w:eastAsia="MS Mincho"/>
          <w:iCs/>
          <w:lang w:bidi="en-US"/>
        </w:rPr>
        <w:t>terbufos</w:t>
      </w:r>
      <w:proofErr w:type="spellEnd"/>
      <w:r w:rsidRPr="00606638">
        <w:rPr>
          <w:rFonts w:eastAsia="MS Mincho"/>
          <w:iCs/>
          <w:lang w:bidi="en-US"/>
        </w:rPr>
        <w:t xml:space="preserve"> to human health (</w:t>
      </w:r>
      <w:bookmarkStart w:id="1" w:name="_Hlk82547114"/>
      <w:r w:rsidRPr="00606638">
        <w:t>UNEP/FAO/RC/CRC.17/8/Rev</w:t>
      </w:r>
      <w:r>
        <w:t>.</w:t>
      </w:r>
      <w:r w:rsidRPr="00606638">
        <w:t>1, s</w:t>
      </w:r>
      <w:r w:rsidRPr="00606638">
        <w:rPr>
          <w:rFonts w:eastAsia="MS Mincho"/>
          <w:iCs/>
          <w:lang w:bidi="en-US"/>
        </w:rPr>
        <w:t>ect. 2.4.2.1 of the Mozambique notification</w:t>
      </w:r>
      <w:bookmarkEnd w:id="1"/>
      <w:r w:rsidRPr="00606638">
        <w:rPr>
          <w:rFonts w:eastAsia="MS Mincho"/>
          <w:iCs/>
          <w:lang w:bidi="en-US"/>
        </w:rPr>
        <w:t xml:space="preserve">). </w:t>
      </w:r>
    </w:p>
    <w:p w14:paraId="430804D5" w14:textId="77777777" w:rsidR="006A2578" w:rsidRPr="00606638" w:rsidRDefault="006A2578" w:rsidP="006A2578">
      <w:pPr>
        <w:pStyle w:val="Normal-pool"/>
        <w:numPr>
          <w:ilvl w:val="0"/>
          <w:numId w:val="6"/>
        </w:numPr>
        <w:spacing w:after="120"/>
        <w:ind w:left="1247" w:firstLine="0"/>
      </w:pPr>
      <w:r w:rsidRPr="00606638">
        <w:rPr>
          <w:rFonts w:eastAsia="MS Mincho"/>
          <w:iCs/>
          <w:lang w:bidi="en-US"/>
        </w:rPr>
        <w:t xml:space="preserve">The </w:t>
      </w:r>
      <w:r w:rsidRPr="00606638">
        <w:t>notification</w:t>
      </w:r>
      <w:r w:rsidRPr="00606638">
        <w:rPr>
          <w:rFonts w:eastAsia="MS Mincho"/>
          <w:iCs/>
          <w:lang w:bidi="en-US"/>
        </w:rPr>
        <w:t xml:space="preserve"> states that the ban of all uses and the cancellation of the products containing </w:t>
      </w:r>
      <w:proofErr w:type="spellStart"/>
      <w:r w:rsidRPr="00606638">
        <w:rPr>
          <w:rFonts w:eastAsia="MS Mincho"/>
          <w:iCs/>
          <w:lang w:bidi="en-US"/>
        </w:rPr>
        <w:t>terbufos</w:t>
      </w:r>
      <w:proofErr w:type="spellEnd"/>
      <w:r w:rsidRPr="00606638">
        <w:rPr>
          <w:rFonts w:eastAsia="MS Mincho"/>
          <w:iCs/>
          <w:lang w:bidi="en-US"/>
        </w:rPr>
        <w:t xml:space="preserve"> in Mozambique </w:t>
      </w:r>
      <w:r>
        <w:rPr>
          <w:rFonts w:eastAsia="MS Mincho"/>
          <w:iCs/>
          <w:lang w:bidi="en-US"/>
        </w:rPr>
        <w:t>were</w:t>
      </w:r>
      <w:r w:rsidRPr="00606638">
        <w:rPr>
          <w:rFonts w:eastAsia="MS Mincho"/>
          <w:iCs/>
          <w:lang w:bidi="en-US"/>
        </w:rPr>
        <w:t xml:space="preserve"> decided based on the toxic nature and hazardous properties </w:t>
      </w:r>
      <w:r>
        <w:rPr>
          <w:rFonts w:eastAsia="MS Mincho"/>
          <w:iCs/>
          <w:lang w:bidi="en-US"/>
        </w:rPr>
        <w:t xml:space="preserve">of this active substance </w:t>
      </w:r>
      <w:r w:rsidRPr="00606638">
        <w:rPr>
          <w:rFonts w:eastAsia="MS Mincho"/>
          <w:iCs/>
          <w:lang w:bidi="en-US"/>
        </w:rPr>
        <w:t>which</w:t>
      </w:r>
      <w:r>
        <w:rPr>
          <w:rFonts w:eastAsia="MS Mincho"/>
          <w:iCs/>
          <w:lang w:bidi="en-US"/>
        </w:rPr>
        <w:t>,</w:t>
      </w:r>
      <w:r w:rsidRPr="00606638">
        <w:rPr>
          <w:rFonts w:eastAsia="MS Mincho"/>
          <w:iCs/>
          <w:lang w:bidi="en-US"/>
        </w:rPr>
        <w:t xml:space="preserve"> combined with improper use in the country due to the local specific conditions of use</w:t>
      </w:r>
      <w:r>
        <w:rPr>
          <w:rFonts w:eastAsia="MS Mincho"/>
          <w:iCs/>
          <w:lang w:bidi="en-US"/>
        </w:rPr>
        <w:t>,</w:t>
      </w:r>
      <w:r w:rsidRPr="00606638">
        <w:rPr>
          <w:rFonts w:eastAsia="MS Mincho"/>
          <w:iCs/>
          <w:lang w:bidi="en-US"/>
        </w:rPr>
        <w:t xml:space="preserve"> can harm human and animal health</w:t>
      </w:r>
      <w:r w:rsidRPr="00606638">
        <w:t>.</w:t>
      </w:r>
    </w:p>
    <w:p w14:paraId="25AE4668"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notification refers to a consultancy report </w:t>
      </w:r>
      <w:r>
        <w:rPr>
          <w:rFonts w:eastAsia="MS Mincho"/>
          <w:iCs/>
          <w:lang w:bidi="en-US"/>
        </w:rPr>
        <w:t xml:space="preserve">entitled </w:t>
      </w:r>
      <w:r w:rsidRPr="00606638">
        <w:t xml:space="preserve">“Reducing </w:t>
      </w:r>
      <w:r>
        <w:t>r</w:t>
      </w:r>
      <w:r w:rsidRPr="00606638">
        <w:t xml:space="preserve">isks of </w:t>
      </w:r>
      <w:r>
        <w:t>h</w:t>
      </w:r>
      <w:r w:rsidRPr="00606638">
        <w:t xml:space="preserve">ighly </w:t>
      </w:r>
      <w:r>
        <w:t>h</w:t>
      </w:r>
      <w:r w:rsidRPr="00606638">
        <w:t xml:space="preserve">azardous </w:t>
      </w:r>
      <w:r>
        <w:t>p</w:t>
      </w:r>
      <w:r w:rsidRPr="00606638">
        <w:t xml:space="preserve">esticides in Mozambique: Step 1 – </w:t>
      </w:r>
      <w:r w:rsidRPr="00606638">
        <w:rPr>
          <w:rFonts w:eastAsia="MS Mincho"/>
          <w:iCs/>
          <w:lang w:bidi="en-US"/>
        </w:rPr>
        <w:t xml:space="preserve">Shortlisting highly hazardous pesticides” (Come and van der Valk, 2014), which identified the </w:t>
      </w:r>
      <w:proofErr w:type="spellStart"/>
      <w:r w:rsidRPr="00606638">
        <w:rPr>
          <w:rFonts w:eastAsia="MS Mincho"/>
          <w:iCs/>
          <w:lang w:bidi="en-US"/>
        </w:rPr>
        <w:t>terbufos</w:t>
      </w:r>
      <w:proofErr w:type="spellEnd"/>
      <w:r w:rsidRPr="00606638">
        <w:rPr>
          <w:rFonts w:eastAsia="MS Mincho"/>
          <w:iCs/>
          <w:lang w:bidi="en-US"/>
        </w:rPr>
        <w:t xml:space="preserve"> formulation as extremely hazardous (class </w:t>
      </w:r>
      <w:proofErr w:type="spellStart"/>
      <w:r w:rsidRPr="00606638">
        <w:rPr>
          <w:rFonts w:eastAsia="MS Mincho"/>
          <w:iCs/>
          <w:lang w:bidi="en-US"/>
        </w:rPr>
        <w:t>Ia</w:t>
      </w:r>
      <w:proofErr w:type="spellEnd"/>
      <w:r w:rsidRPr="00606638">
        <w:rPr>
          <w:rFonts w:eastAsia="MS Mincho"/>
          <w:iCs/>
          <w:lang w:bidi="en-US"/>
        </w:rPr>
        <w:t>) according to the FAO/WHO JMPM criteria for HHPs based on the WHO Recommended Classification of Pesticides by Hazard.</w:t>
      </w:r>
    </w:p>
    <w:p w14:paraId="29CFD442"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 results</w:t>
      </w:r>
      <w:r w:rsidRPr="00606638">
        <w:rPr>
          <w:rFonts w:eastAsia="MS Mincho"/>
          <w:iCs/>
          <w:lang w:bidi="en-US"/>
        </w:rPr>
        <w:t xml:space="preserve"> of a survey conducted among 325 subsistence farmers in Mozambique showed that the use of pesticides in general, and of </w:t>
      </w:r>
      <w:proofErr w:type="gramStart"/>
      <w:r w:rsidRPr="00606638">
        <w:rPr>
          <w:rFonts w:eastAsia="MS Mincho"/>
          <w:iCs/>
          <w:lang w:bidi="en-US"/>
        </w:rPr>
        <w:t>HHPs in particular, was</w:t>
      </w:r>
      <w:proofErr w:type="gramEnd"/>
      <w:r w:rsidRPr="00606638">
        <w:rPr>
          <w:rFonts w:eastAsia="MS Mincho"/>
          <w:iCs/>
          <w:lang w:bidi="en-US"/>
        </w:rPr>
        <w:t xml:space="preserve"> likely to result in excessive exposure of farmers. Therefore, </w:t>
      </w:r>
      <w:r>
        <w:rPr>
          <w:rFonts w:eastAsia="MS Mincho"/>
          <w:iCs/>
          <w:lang w:bidi="en-US"/>
        </w:rPr>
        <w:t xml:space="preserve">the </w:t>
      </w:r>
      <w:r w:rsidRPr="00606638">
        <w:rPr>
          <w:rFonts w:eastAsia="MS Mincho"/>
          <w:iCs/>
          <w:lang w:bidi="en-US"/>
        </w:rPr>
        <w:t>enforc</w:t>
      </w:r>
      <w:r>
        <w:rPr>
          <w:rFonts w:eastAsia="MS Mincho"/>
          <w:iCs/>
          <w:lang w:bidi="en-US"/>
        </w:rPr>
        <w:t>ement of</w:t>
      </w:r>
      <w:r w:rsidRPr="00606638">
        <w:rPr>
          <w:rFonts w:eastAsia="MS Mincho"/>
          <w:iCs/>
          <w:lang w:bidi="en-US"/>
        </w:rPr>
        <w:t xml:space="preserve"> risk mitigation measures </w:t>
      </w:r>
      <w:r>
        <w:rPr>
          <w:rFonts w:eastAsia="MS Mincho"/>
          <w:iCs/>
          <w:lang w:bidi="en-US"/>
        </w:rPr>
        <w:t xml:space="preserve">that </w:t>
      </w:r>
      <w:r w:rsidRPr="00606638">
        <w:rPr>
          <w:rFonts w:eastAsia="MS Mincho"/>
          <w:iCs/>
          <w:lang w:bidi="en-US"/>
        </w:rPr>
        <w:t>depend</w:t>
      </w:r>
      <w:r>
        <w:rPr>
          <w:rFonts w:eastAsia="MS Mincho"/>
          <w:iCs/>
          <w:lang w:bidi="en-US"/>
        </w:rPr>
        <w:t>ed</w:t>
      </w:r>
      <w:r w:rsidRPr="00606638">
        <w:rPr>
          <w:rFonts w:eastAsia="MS Mincho"/>
          <w:iCs/>
          <w:lang w:bidi="en-US"/>
        </w:rPr>
        <w:t xml:space="preserve"> solely on wearing the appropriate PPE under the local conditions of use would be difficult and unlikely to </w:t>
      </w:r>
      <w:r>
        <w:rPr>
          <w:rFonts w:eastAsia="MS Mincho"/>
          <w:iCs/>
          <w:lang w:bidi="en-US"/>
        </w:rPr>
        <w:t>produce</w:t>
      </w:r>
      <w:r w:rsidRPr="00606638">
        <w:rPr>
          <w:rFonts w:eastAsia="MS Mincho"/>
          <w:iCs/>
          <w:lang w:bidi="en-US"/>
        </w:rPr>
        <w:t xml:space="preserve"> results.</w:t>
      </w:r>
    </w:p>
    <w:p w14:paraId="250E9E9A" w14:textId="77777777" w:rsidR="006A2578" w:rsidRPr="00606638" w:rsidRDefault="006A2578" w:rsidP="006A2578">
      <w:pPr>
        <w:pStyle w:val="Normal-pool"/>
        <w:numPr>
          <w:ilvl w:val="0"/>
          <w:numId w:val="6"/>
        </w:numPr>
        <w:spacing w:after="120"/>
        <w:ind w:left="1247" w:firstLine="0"/>
        <w:rPr>
          <w:rFonts w:eastAsia="MS Mincho"/>
          <w:iCs/>
          <w:lang w:bidi="en-US"/>
        </w:rPr>
      </w:pPr>
      <w:proofErr w:type="spellStart"/>
      <w:r w:rsidRPr="00606638">
        <w:rPr>
          <w:rFonts w:eastAsia="MS Mincho"/>
          <w:snapToGrid w:val="0"/>
          <w:szCs w:val="22"/>
          <w:lang w:bidi="en-US"/>
        </w:rPr>
        <w:t>Terbufos</w:t>
      </w:r>
      <w:proofErr w:type="spellEnd"/>
      <w:r w:rsidRPr="00606638">
        <w:rPr>
          <w:rFonts w:eastAsia="MS Mincho"/>
          <w:iCs/>
          <w:lang w:bidi="en-US"/>
        </w:rPr>
        <w:t xml:space="preserve"> and the products containing this active ingredient were considered harmful to human health under the local conditions of use in Mozambique requiring risk mitigation measures.</w:t>
      </w:r>
      <w:r w:rsidRPr="00606638">
        <w:rPr>
          <w:rFonts w:ascii="Calibri" w:eastAsia="SimSun" w:hAnsi="Calibri" w:cs="Arial"/>
          <w:lang w:eastAsia="zh-CN"/>
        </w:rPr>
        <w:t xml:space="preserve"> </w:t>
      </w:r>
      <w:r w:rsidRPr="00606638">
        <w:rPr>
          <w:rFonts w:eastAsia="MS Mincho"/>
          <w:iCs/>
          <w:lang w:bidi="en-US"/>
        </w:rPr>
        <w:t xml:space="preserve">The decision </w:t>
      </w:r>
      <w:r w:rsidRPr="004C41EB">
        <w:t>to</w:t>
      </w:r>
      <w:r w:rsidRPr="00606638">
        <w:rPr>
          <w:rFonts w:eastAsia="MS Mincho"/>
          <w:iCs/>
          <w:lang w:bidi="en-US"/>
        </w:rPr>
        <w:t xml:space="preserve"> cancel the registration of </w:t>
      </w:r>
      <w:proofErr w:type="spellStart"/>
      <w:r w:rsidRPr="00606638">
        <w:rPr>
          <w:rFonts w:eastAsia="MS Mincho"/>
          <w:iCs/>
          <w:lang w:bidi="en-US"/>
        </w:rPr>
        <w:t>terbufos</w:t>
      </w:r>
      <w:proofErr w:type="spellEnd"/>
      <w:r w:rsidRPr="00606638">
        <w:rPr>
          <w:rFonts w:eastAsia="MS Mincho"/>
          <w:iCs/>
          <w:lang w:bidi="en-US"/>
        </w:rPr>
        <w:t xml:space="preserve"> was taken as the last step in the project on reducing </w:t>
      </w:r>
      <w:r>
        <w:rPr>
          <w:rFonts w:eastAsia="MS Mincho"/>
          <w:iCs/>
          <w:lang w:bidi="en-US"/>
        </w:rPr>
        <w:t xml:space="preserve">the </w:t>
      </w:r>
      <w:r w:rsidRPr="00606638">
        <w:rPr>
          <w:rFonts w:eastAsia="MS Mincho"/>
          <w:iCs/>
          <w:lang w:bidi="en-US"/>
        </w:rPr>
        <w:t xml:space="preserve">risks of HHPs. The expected effect of the final regulatory action was reducing the risk posed </w:t>
      </w:r>
      <w:proofErr w:type="gramStart"/>
      <w:r w:rsidRPr="00606638">
        <w:rPr>
          <w:rFonts w:eastAsia="MS Mincho"/>
          <w:iCs/>
          <w:lang w:bidi="en-US"/>
        </w:rPr>
        <w:t>by the use of</w:t>
      </w:r>
      <w:proofErr w:type="gramEnd"/>
      <w:r w:rsidRPr="00606638">
        <w:rPr>
          <w:rFonts w:eastAsia="MS Mincho"/>
          <w:iCs/>
          <w:lang w:bidi="en-US"/>
        </w:rPr>
        <w:t xml:space="preserve"> </w:t>
      </w:r>
      <w:proofErr w:type="spellStart"/>
      <w:r w:rsidRPr="00606638">
        <w:rPr>
          <w:rFonts w:eastAsia="MS Mincho"/>
          <w:iCs/>
          <w:lang w:bidi="en-US"/>
        </w:rPr>
        <w:t>terbufos</w:t>
      </w:r>
      <w:proofErr w:type="spellEnd"/>
      <w:r w:rsidRPr="00606638">
        <w:rPr>
          <w:rFonts w:eastAsia="MS Mincho"/>
          <w:iCs/>
          <w:lang w:bidi="en-US"/>
        </w:rPr>
        <w:t xml:space="preserve"> in Mozambique in the context of human health</w:t>
      </w:r>
      <w:r w:rsidRPr="00606638">
        <w:rPr>
          <w:rFonts w:eastAsia="MS Mincho"/>
          <w:snapToGrid w:val="0"/>
          <w:lang w:bidi="en-US"/>
        </w:rPr>
        <w:t xml:space="preserve"> (</w:t>
      </w:r>
      <w:r w:rsidRPr="00606638">
        <w:rPr>
          <w:rFonts w:eastAsia="MS Mincho"/>
          <w:lang w:bidi="en-US"/>
        </w:rPr>
        <w:t>UNEP/FAO/RC/CRC.17/8/Rev.1,</w:t>
      </w:r>
      <w:r w:rsidRPr="00606638">
        <w:rPr>
          <w:rFonts w:eastAsia="MS Mincho"/>
          <w:snapToGrid w:val="0"/>
          <w:lang w:bidi="en-US"/>
        </w:rPr>
        <w:t xml:space="preserve"> s</w:t>
      </w:r>
      <w:r w:rsidRPr="00606638">
        <w:rPr>
          <w:rFonts w:eastAsia="MS Mincho"/>
          <w:lang w:bidi="en-US"/>
        </w:rPr>
        <w:t>ects. 2.2.1 and 2.4.2.1 of the Mozambique notification).</w:t>
      </w:r>
    </w:p>
    <w:p w14:paraId="3CE73D62" w14:textId="77777777" w:rsidR="006A2578" w:rsidRPr="00606638" w:rsidRDefault="006A2578" w:rsidP="006A2578">
      <w:pPr>
        <w:pStyle w:val="Normal-pool"/>
        <w:numPr>
          <w:ilvl w:val="0"/>
          <w:numId w:val="6"/>
        </w:numPr>
        <w:spacing w:after="120"/>
        <w:ind w:left="1247" w:firstLine="0"/>
      </w:pPr>
      <w:r w:rsidRPr="00606638">
        <w:t>The Committee therefore confirms that the criterion in paragraph (a) of Annex II is met.</w:t>
      </w:r>
    </w:p>
    <w:p w14:paraId="0E2A9E5D" w14:textId="77777777" w:rsidR="006A2578" w:rsidRPr="006A2578" w:rsidRDefault="006A2578" w:rsidP="006A2578">
      <w:pPr>
        <w:keepNext/>
        <w:keepLines/>
        <w:tabs>
          <w:tab w:val="right" w:pos="851"/>
          <w:tab w:val="left" w:pos="4082"/>
        </w:tabs>
        <w:spacing w:after="120"/>
        <w:ind w:left="1247" w:right="284" w:hanging="1247"/>
        <w:jc w:val="both"/>
        <w:rPr>
          <w:b/>
          <w:lang w:val="en-US"/>
        </w:rPr>
      </w:pPr>
      <w:r w:rsidRPr="00606638">
        <w:rPr>
          <w:b/>
          <w:snapToGrid w:val="0"/>
          <w:lang w:val="en-GB"/>
        </w:rPr>
        <w:tab/>
      </w:r>
      <w:r w:rsidRPr="006A2578">
        <w:rPr>
          <w:b/>
          <w:lang w:val="en-US"/>
        </w:rPr>
        <w:t>(c)</w:t>
      </w:r>
      <w:r w:rsidRPr="006A2578">
        <w:rPr>
          <w:b/>
          <w:lang w:val="en-US"/>
        </w:rPr>
        <w:tab/>
        <w:t xml:space="preserve">Annex II paragraph (b) criteria </w:t>
      </w:r>
    </w:p>
    <w:p w14:paraId="140A0D63" w14:textId="77777777" w:rsidR="006A2578" w:rsidRPr="00606638" w:rsidRDefault="006A2578" w:rsidP="006A2578">
      <w:pPr>
        <w:tabs>
          <w:tab w:val="clear" w:pos="1247"/>
          <w:tab w:val="clear" w:pos="1814"/>
          <w:tab w:val="clear" w:pos="2381"/>
          <w:tab w:val="clear" w:pos="2948"/>
          <w:tab w:val="clear" w:pos="3515"/>
          <w:tab w:val="left" w:pos="624"/>
        </w:tabs>
        <w:spacing w:after="120"/>
        <w:ind w:left="1247" w:firstLine="624"/>
        <w:rPr>
          <w:i/>
          <w:lang w:val="en-GB"/>
        </w:rPr>
      </w:pPr>
      <w:r w:rsidRPr="00606638">
        <w:rPr>
          <w:i/>
          <w:lang w:val="en-GB"/>
        </w:rPr>
        <w:t>(b)</w:t>
      </w:r>
      <w:r w:rsidRPr="00606638">
        <w:rPr>
          <w:i/>
          <w:lang w:val="en-GB"/>
        </w:rPr>
        <w:tab/>
        <w:t xml:space="preserve">Establish that the final regulatory action has been taken </w:t>
      </w:r>
      <w:proofErr w:type="gramStart"/>
      <w:r w:rsidRPr="00606638">
        <w:rPr>
          <w:i/>
          <w:lang w:val="en-GB"/>
        </w:rPr>
        <w:t>as a consequence of</w:t>
      </w:r>
      <w:proofErr w:type="gramEnd"/>
      <w:r w:rsidRPr="00606638">
        <w:rPr>
          <w:i/>
          <w:lang w:val="en-GB"/>
        </w:rPr>
        <w:t xml:space="preserve"> a risk evaluation. This evaluation shall be based on a review of scientific data in the context of the conditions </w:t>
      </w:r>
      <w:r w:rsidRPr="00606638">
        <w:rPr>
          <w:i/>
          <w:lang w:val="en-GB" w:eastAsia="ja-JP"/>
        </w:rPr>
        <w:t>prevailing</w:t>
      </w:r>
      <w:r w:rsidRPr="00606638">
        <w:rPr>
          <w:i/>
          <w:lang w:val="en-GB"/>
        </w:rPr>
        <w:t xml:space="preserve"> in the Party in question. For this purpose, the documentation provided shall demonstrate that:</w:t>
      </w:r>
    </w:p>
    <w:p w14:paraId="60B039E6"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 xml:space="preserve">Data have been generated according to scientifically recognized </w:t>
      </w:r>
      <w:proofErr w:type="gramStart"/>
      <w:r w:rsidRPr="00606638">
        <w:rPr>
          <w:i/>
          <w:lang w:val="en-GB"/>
        </w:rPr>
        <w:t>methods;</w:t>
      </w:r>
      <w:proofErr w:type="gramEnd"/>
    </w:p>
    <w:p w14:paraId="63AA0977"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 xml:space="preserve">Data reviews have been performed and documented according to generally recognized scientific principles and </w:t>
      </w:r>
      <w:proofErr w:type="gramStart"/>
      <w:r w:rsidRPr="00606638">
        <w:rPr>
          <w:i/>
          <w:lang w:val="en-GB"/>
        </w:rPr>
        <w:t>procedures;</w:t>
      </w:r>
      <w:proofErr w:type="gramEnd"/>
    </w:p>
    <w:p w14:paraId="0D39FD10" w14:textId="77777777" w:rsidR="006A2578" w:rsidRPr="00606638" w:rsidRDefault="006A2578" w:rsidP="006A2578">
      <w:pPr>
        <w:pStyle w:val="Normal-pool"/>
        <w:numPr>
          <w:ilvl w:val="0"/>
          <w:numId w:val="6"/>
        </w:numPr>
        <w:spacing w:after="120"/>
        <w:ind w:left="1247" w:firstLine="0"/>
        <w:rPr>
          <w:rFonts w:eastAsia="MS Mincho"/>
          <w:iCs/>
          <w:lang w:bidi="en-US"/>
        </w:rPr>
      </w:pPr>
      <w:bookmarkStart w:id="2" w:name="_Hlk88060809"/>
      <w:r w:rsidRPr="00606638">
        <w:rPr>
          <w:rFonts w:eastAsia="MS Mincho"/>
          <w:iCs/>
          <w:lang w:bidi="en-US"/>
        </w:rPr>
        <w:lastRenderedPageBreak/>
        <w:t xml:space="preserve">The </w:t>
      </w:r>
      <w:r w:rsidRPr="004C41EB">
        <w:t>notification</w:t>
      </w:r>
      <w:r w:rsidRPr="00606638">
        <w:rPr>
          <w:rFonts w:eastAsia="MS Mincho"/>
          <w:iCs/>
          <w:lang w:bidi="en-US"/>
        </w:rPr>
        <w:t xml:space="preserve"> refers to </w:t>
      </w:r>
      <w:r>
        <w:rPr>
          <w:rFonts w:eastAsia="MS Mincho"/>
          <w:iCs/>
          <w:lang w:bidi="en-US"/>
        </w:rPr>
        <w:t>the following</w:t>
      </w:r>
      <w:r w:rsidRPr="00606638">
        <w:rPr>
          <w:rFonts w:eastAsia="MS Mincho"/>
          <w:iCs/>
          <w:lang w:bidi="en-US"/>
        </w:rPr>
        <w:t xml:space="preserve"> consultancy </w:t>
      </w:r>
      <w:r>
        <w:rPr>
          <w:rFonts w:eastAsia="MS Mincho"/>
          <w:iCs/>
          <w:lang w:bidi="en-US"/>
        </w:rPr>
        <w:t>reports,</w:t>
      </w:r>
      <w:r w:rsidRPr="00606638">
        <w:rPr>
          <w:rFonts w:eastAsia="MS Mincho"/>
          <w:iCs/>
          <w:lang w:bidi="en-US"/>
        </w:rPr>
        <w:t xml:space="preserve"> based on international assessments and property data</w:t>
      </w:r>
      <w:r>
        <w:rPr>
          <w:rFonts w:eastAsia="MS Mincho"/>
          <w:iCs/>
          <w:lang w:bidi="en-US"/>
        </w:rPr>
        <w:t>, and the following meeting report</w:t>
      </w:r>
      <w:bookmarkEnd w:id="2"/>
      <w:r w:rsidRPr="00606638">
        <w:rPr>
          <w:rFonts w:eastAsia="MS Mincho"/>
          <w:bCs/>
          <w:lang w:bidi="en-US"/>
        </w:rPr>
        <w:t>:</w:t>
      </w:r>
    </w:p>
    <w:p w14:paraId="04AE18B2" w14:textId="77777777" w:rsidR="006A2578" w:rsidRPr="00606638" w:rsidRDefault="006A2578" w:rsidP="006A2578">
      <w:pPr>
        <w:numPr>
          <w:ilvl w:val="0"/>
          <w:numId w:val="2"/>
        </w:numPr>
        <w:tabs>
          <w:tab w:val="clear" w:pos="1247"/>
          <w:tab w:val="clear" w:pos="1814"/>
          <w:tab w:val="clear" w:pos="2381"/>
          <w:tab w:val="clear" w:pos="2948"/>
          <w:tab w:val="clear" w:pos="3515"/>
        </w:tabs>
        <w:snapToGrid w:val="0"/>
        <w:spacing w:after="120"/>
        <w:ind w:left="1247" w:firstLine="567"/>
        <w:rPr>
          <w:rFonts w:eastAsia="MS Mincho"/>
          <w:bCs/>
          <w:iCs/>
          <w:lang w:val="en-GB" w:bidi="en-US"/>
        </w:rPr>
      </w:pPr>
      <w:bookmarkStart w:id="3" w:name="_Hlk88061006"/>
      <w:r w:rsidRPr="00606638">
        <w:rPr>
          <w:rFonts w:eastAsia="MS Mincho"/>
          <w:bCs/>
          <w:iCs/>
          <w:lang w:val="en-GB" w:bidi="en-US"/>
        </w:rPr>
        <w:t xml:space="preserve">A.M. Come and </w:t>
      </w:r>
      <w:r>
        <w:rPr>
          <w:rFonts w:eastAsia="MS Mincho"/>
          <w:bCs/>
          <w:iCs/>
          <w:lang w:val="en-GB" w:bidi="en-US"/>
        </w:rPr>
        <w:t xml:space="preserve">H. </w:t>
      </w:r>
      <w:r w:rsidRPr="00606638">
        <w:rPr>
          <w:rFonts w:eastAsia="MS Mincho"/>
          <w:bCs/>
          <w:iCs/>
          <w:lang w:val="en-GB" w:bidi="en-US"/>
        </w:rPr>
        <w:t xml:space="preserve">van der Valk, “Reducing </w:t>
      </w:r>
      <w:r>
        <w:rPr>
          <w:rFonts w:eastAsia="MS Mincho"/>
          <w:bCs/>
          <w:iCs/>
          <w:lang w:val="en-GB" w:bidi="en-US"/>
        </w:rPr>
        <w:t>r</w:t>
      </w:r>
      <w:r w:rsidRPr="00606638">
        <w:rPr>
          <w:rFonts w:eastAsia="MS Mincho"/>
          <w:bCs/>
          <w:iCs/>
          <w:lang w:val="en-GB" w:bidi="en-US"/>
        </w:rPr>
        <w:t xml:space="preserve">isks of </w:t>
      </w:r>
      <w:r>
        <w:rPr>
          <w:rFonts w:eastAsia="MS Mincho"/>
          <w:bCs/>
          <w:iCs/>
          <w:lang w:val="en-GB" w:bidi="en-US"/>
        </w:rPr>
        <w:t>h</w:t>
      </w:r>
      <w:r w:rsidRPr="00606638">
        <w:rPr>
          <w:rFonts w:eastAsia="MS Mincho"/>
          <w:bCs/>
          <w:iCs/>
          <w:lang w:val="en-GB" w:bidi="en-US"/>
        </w:rPr>
        <w:t xml:space="preserve">ighly </w:t>
      </w:r>
      <w:r>
        <w:rPr>
          <w:rFonts w:eastAsia="MS Mincho"/>
          <w:bCs/>
          <w:iCs/>
          <w:lang w:val="en-GB" w:bidi="en-US"/>
        </w:rPr>
        <w:t>h</w:t>
      </w:r>
      <w:r w:rsidRPr="00606638">
        <w:rPr>
          <w:rFonts w:eastAsia="MS Mincho"/>
          <w:bCs/>
          <w:iCs/>
          <w:lang w:val="en-GB" w:bidi="en-US"/>
        </w:rPr>
        <w:t xml:space="preserve">azardous </w:t>
      </w:r>
      <w:r>
        <w:rPr>
          <w:rFonts w:eastAsia="MS Mincho"/>
          <w:bCs/>
          <w:iCs/>
          <w:lang w:val="en-GB" w:bidi="en-US"/>
        </w:rPr>
        <w:t>p</w:t>
      </w:r>
      <w:r w:rsidRPr="00606638">
        <w:rPr>
          <w:rFonts w:eastAsia="MS Mincho"/>
          <w:bCs/>
          <w:iCs/>
          <w:lang w:val="en-GB" w:bidi="en-US"/>
        </w:rPr>
        <w:t>esticides in Mozambique: Step 1 – Shortlisting highly hazardous pesticides”, consultancy report undertaken under project EP/MOZ/101/UEP</w:t>
      </w:r>
      <w:r>
        <w:rPr>
          <w:rFonts w:eastAsia="MS Mincho"/>
          <w:bCs/>
          <w:iCs/>
          <w:lang w:val="en-GB" w:bidi="en-US"/>
        </w:rPr>
        <w:t xml:space="preserve"> (2014</w:t>
      </w:r>
      <w:proofErr w:type="gramStart"/>
      <w:r>
        <w:rPr>
          <w:rFonts w:eastAsia="MS Mincho"/>
          <w:bCs/>
          <w:iCs/>
          <w:lang w:val="en-GB" w:bidi="en-US"/>
        </w:rPr>
        <w:t>)</w:t>
      </w:r>
      <w:r w:rsidRPr="00606638">
        <w:rPr>
          <w:rFonts w:eastAsia="MS Mincho"/>
          <w:bCs/>
          <w:iCs/>
          <w:lang w:val="en-GB" w:bidi="en-US"/>
        </w:rPr>
        <w:t>;</w:t>
      </w:r>
      <w:proofErr w:type="gramEnd"/>
    </w:p>
    <w:p w14:paraId="25F61BE3" w14:textId="77777777" w:rsidR="006A2578" w:rsidRPr="00606638" w:rsidRDefault="006A2578" w:rsidP="006A2578">
      <w:pPr>
        <w:numPr>
          <w:ilvl w:val="0"/>
          <w:numId w:val="2"/>
        </w:numPr>
        <w:tabs>
          <w:tab w:val="clear" w:pos="1247"/>
          <w:tab w:val="clear" w:pos="1814"/>
          <w:tab w:val="clear" w:pos="2381"/>
          <w:tab w:val="clear" w:pos="2948"/>
          <w:tab w:val="clear" w:pos="3515"/>
        </w:tabs>
        <w:snapToGrid w:val="0"/>
        <w:spacing w:after="120"/>
        <w:ind w:left="1247" w:firstLine="567"/>
        <w:rPr>
          <w:rFonts w:eastAsia="MS Mincho"/>
          <w:bCs/>
          <w:iCs/>
          <w:lang w:val="en-GB" w:bidi="en-US"/>
        </w:rPr>
      </w:pPr>
      <w:r>
        <w:rPr>
          <w:rFonts w:eastAsia="MS Mincho"/>
          <w:bCs/>
          <w:iCs/>
          <w:lang w:val="en-GB" w:bidi="en-US"/>
        </w:rPr>
        <w:t xml:space="preserve">A.M. </w:t>
      </w:r>
      <w:r w:rsidRPr="00606638">
        <w:rPr>
          <w:rFonts w:eastAsia="MS Mincho"/>
          <w:bCs/>
          <w:iCs/>
          <w:lang w:val="en-GB" w:bidi="en-US"/>
        </w:rPr>
        <w:t xml:space="preserve">Come </w:t>
      </w:r>
      <w:r>
        <w:rPr>
          <w:rFonts w:eastAsia="MS Mincho"/>
          <w:bCs/>
          <w:iCs/>
          <w:lang w:val="en-GB" w:bidi="en-US"/>
        </w:rPr>
        <w:t>and others</w:t>
      </w:r>
      <w:r w:rsidRPr="00606638">
        <w:rPr>
          <w:rFonts w:eastAsia="MS Mincho"/>
          <w:bCs/>
          <w:iCs/>
          <w:lang w:val="en-GB" w:bidi="en-US"/>
        </w:rPr>
        <w:t xml:space="preserve">, “Reducing </w:t>
      </w:r>
      <w:r>
        <w:rPr>
          <w:rFonts w:eastAsia="MS Mincho"/>
          <w:bCs/>
          <w:iCs/>
          <w:lang w:val="en-GB" w:bidi="en-US"/>
        </w:rPr>
        <w:t>r</w:t>
      </w:r>
      <w:r w:rsidRPr="00606638">
        <w:rPr>
          <w:rFonts w:eastAsia="MS Mincho"/>
          <w:bCs/>
          <w:iCs/>
          <w:lang w:val="en-GB" w:bidi="en-US"/>
        </w:rPr>
        <w:t xml:space="preserve">isks of </w:t>
      </w:r>
      <w:r>
        <w:rPr>
          <w:rFonts w:eastAsia="MS Mincho"/>
          <w:bCs/>
          <w:iCs/>
          <w:lang w:val="en-GB" w:bidi="en-US"/>
        </w:rPr>
        <w:t>h</w:t>
      </w:r>
      <w:r w:rsidRPr="00606638">
        <w:rPr>
          <w:rFonts w:eastAsia="MS Mincho"/>
          <w:bCs/>
          <w:iCs/>
          <w:lang w:val="en-GB" w:bidi="en-US"/>
        </w:rPr>
        <w:t xml:space="preserve">ighly </w:t>
      </w:r>
      <w:r>
        <w:rPr>
          <w:rFonts w:eastAsia="MS Mincho"/>
          <w:bCs/>
          <w:iCs/>
          <w:lang w:val="en-GB" w:bidi="en-US"/>
        </w:rPr>
        <w:t>h</w:t>
      </w:r>
      <w:r w:rsidRPr="00606638">
        <w:rPr>
          <w:rFonts w:eastAsia="MS Mincho"/>
          <w:bCs/>
          <w:iCs/>
          <w:lang w:val="en-GB" w:bidi="en-US"/>
        </w:rPr>
        <w:t xml:space="preserve">azardous </w:t>
      </w:r>
      <w:r>
        <w:rPr>
          <w:rFonts w:eastAsia="MS Mincho"/>
          <w:bCs/>
          <w:iCs/>
          <w:lang w:val="en-GB" w:bidi="en-US"/>
        </w:rPr>
        <w:t>p</w:t>
      </w:r>
      <w:r w:rsidRPr="00606638">
        <w:rPr>
          <w:rFonts w:eastAsia="MS Mincho"/>
          <w:bCs/>
          <w:iCs/>
          <w:lang w:val="en-GB" w:bidi="en-US"/>
        </w:rPr>
        <w:t>esticides in Mozambique: Step 2 – Survey of pesticide use practices in selected cropping systems”</w:t>
      </w:r>
      <w:r>
        <w:rPr>
          <w:rFonts w:eastAsia="MS Mincho"/>
          <w:bCs/>
          <w:iCs/>
          <w:lang w:val="en-GB" w:bidi="en-US"/>
        </w:rPr>
        <w:t xml:space="preserve">, </w:t>
      </w:r>
      <w:r w:rsidRPr="00606638">
        <w:rPr>
          <w:rFonts w:eastAsia="MS Mincho"/>
          <w:bCs/>
          <w:iCs/>
          <w:lang w:val="en-GB" w:bidi="en-US"/>
        </w:rPr>
        <w:t>consultancy report undertaken under project EP/MOZ/101/UEP</w:t>
      </w:r>
      <w:r>
        <w:rPr>
          <w:rFonts w:eastAsia="MS Mincho"/>
          <w:bCs/>
          <w:iCs/>
          <w:lang w:val="en-GB" w:bidi="en-US"/>
        </w:rPr>
        <w:t xml:space="preserve"> (2014</w:t>
      </w:r>
      <w:proofErr w:type="gramStart"/>
      <w:r>
        <w:rPr>
          <w:rFonts w:eastAsia="MS Mincho"/>
          <w:bCs/>
          <w:iCs/>
          <w:lang w:val="en-GB" w:bidi="en-US"/>
        </w:rPr>
        <w:t>)</w:t>
      </w:r>
      <w:r w:rsidRPr="00606638">
        <w:rPr>
          <w:rFonts w:eastAsia="MS Mincho"/>
          <w:bCs/>
          <w:iCs/>
          <w:lang w:val="en-GB" w:bidi="en-US"/>
        </w:rPr>
        <w:t>;</w:t>
      </w:r>
      <w:proofErr w:type="gramEnd"/>
    </w:p>
    <w:p w14:paraId="6D98A848" w14:textId="77777777" w:rsidR="006A2578" w:rsidRPr="00B636CE" w:rsidRDefault="006A2578" w:rsidP="006A2578">
      <w:pPr>
        <w:numPr>
          <w:ilvl w:val="0"/>
          <w:numId w:val="2"/>
        </w:numPr>
        <w:tabs>
          <w:tab w:val="clear" w:pos="1247"/>
          <w:tab w:val="clear" w:pos="1814"/>
          <w:tab w:val="clear" w:pos="2381"/>
          <w:tab w:val="clear" w:pos="2948"/>
          <w:tab w:val="clear" w:pos="3515"/>
        </w:tabs>
        <w:snapToGrid w:val="0"/>
        <w:spacing w:after="120"/>
        <w:ind w:left="1247" w:firstLine="567"/>
        <w:rPr>
          <w:rFonts w:eastAsia="MS Mincho"/>
          <w:iCs/>
          <w:lang w:val="en-GB" w:bidi="en-US"/>
        </w:rPr>
      </w:pPr>
      <w:r w:rsidRPr="00606638">
        <w:rPr>
          <w:rFonts w:eastAsia="MS Mincho"/>
          <w:bCs/>
          <w:iCs/>
          <w:lang w:val="en-GB" w:bidi="en-US"/>
        </w:rPr>
        <w:t xml:space="preserve">FAO/WHO, </w:t>
      </w:r>
      <w:r>
        <w:rPr>
          <w:rFonts w:eastAsia="MS Mincho"/>
          <w:bCs/>
          <w:iCs/>
          <w:lang w:val="en-GB" w:bidi="en-US"/>
        </w:rPr>
        <w:t>“</w:t>
      </w:r>
      <w:r w:rsidRPr="00606638">
        <w:rPr>
          <w:rFonts w:eastAsia="MS Mincho"/>
          <w:bCs/>
          <w:iCs/>
          <w:lang w:val="en-GB" w:bidi="en-US"/>
        </w:rPr>
        <w:t xml:space="preserve">Report of the </w:t>
      </w:r>
      <w:r>
        <w:rPr>
          <w:rFonts w:eastAsia="MS Mincho"/>
          <w:bCs/>
          <w:iCs/>
          <w:lang w:val="en-GB" w:bidi="en-US"/>
        </w:rPr>
        <w:t>second</w:t>
      </w:r>
      <w:r w:rsidRPr="00606638">
        <w:rPr>
          <w:rFonts w:eastAsia="MS Mincho"/>
          <w:bCs/>
          <w:iCs/>
          <w:lang w:val="en-GB" w:bidi="en-US"/>
        </w:rPr>
        <w:t xml:space="preserve"> Joint Meeting on Pesticide Management and the </w:t>
      </w:r>
      <w:r>
        <w:rPr>
          <w:rFonts w:eastAsia="MS Mincho"/>
          <w:bCs/>
          <w:iCs/>
          <w:lang w:val="en-GB" w:bidi="en-US"/>
        </w:rPr>
        <w:t>fourth</w:t>
      </w:r>
      <w:r w:rsidRPr="00606638">
        <w:rPr>
          <w:rFonts w:eastAsia="MS Mincho"/>
          <w:bCs/>
          <w:iCs/>
          <w:lang w:val="en-GB" w:bidi="en-US"/>
        </w:rPr>
        <w:t xml:space="preserve"> </w:t>
      </w:r>
      <w:r>
        <w:rPr>
          <w:rFonts w:eastAsia="MS Mincho"/>
          <w:bCs/>
          <w:iCs/>
          <w:lang w:val="en-GB" w:bidi="en-US"/>
        </w:rPr>
        <w:t>s</w:t>
      </w:r>
      <w:r w:rsidRPr="00606638">
        <w:rPr>
          <w:rFonts w:eastAsia="MS Mincho"/>
          <w:bCs/>
          <w:iCs/>
          <w:lang w:val="en-GB" w:bidi="en-US"/>
        </w:rPr>
        <w:t>ession of the FAO Panel of Experts on Pesticide Management</w:t>
      </w:r>
      <w:r>
        <w:rPr>
          <w:rFonts w:eastAsia="MS Mincho"/>
          <w:bCs/>
          <w:iCs/>
          <w:lang w:val="en-GB" w:bidi="en-US"/>
        </w:rPr>
        <w:t>” (pp. 14–18), Geneva (</w:t>
      </w:r>
      <w:r w:rsidRPr="00606638">
        <w:rPr>
          <w:rFonts w:eastAsia="MS Mincho"/>
          <w:bCs/>
          <w:iCs/>
          <w:lang w:val="en-GB" w:bidi="en-US"/>
        </w:rPr>
        <w:t>2008</w:t>
      </w:r>
      <w:r>
        <w:rPr>
          <w:rFonts w:eastAsia="MS Mincho"/>
          <w:bCs/>
          <w:iCs/>
          <w:lang w:val="en-GB" w:bidi="en-US"/>
        </w:rPr>
        <w:t>)</w:t>
      </w:r>
      <w:r w:rsidRPr="00606638">
        <w:rPr>
          <w:rFonts w:eastAsia="MS Mincho"/>
          <w:bCs/>
          <w:iCs/>
          <w:lang w:val="en-GB" w:bidi="en-US"/>
        </w:rPr>
        <w:t xml:space="preserve">. </w:t>
      </w:r>
      <w:r>
        <w:rPr>
          <w:rFonts w:eastAsia="MS Mincho"/>
          <w:bCs/>
          <w:iCs/>
          <w:lang w:val="en-GB" w:bidi="en-US"/>
        </w:rPr>
        <w:t xml:space="preserve">Available at: </w:t>
      </w:r>
      <w:hyperlink r:id="rId7" w:history="1">
        <w:r w:rsidRPr="00111CB3">
          <w:rPr>
            <w:rStyle w:val="Hyperlink"/>
            <w:lang w:val="en-GB"/>
          </w:rPr>
          <w:t>www.fao.org/fileadmin/templates/agphome/documents/Pests_Pesticides/Code/Report.pdf</w:t>
        </w:r>
      </w:hyperlink>
      <w:r w:rsidRPr="00B636CE">
        <w:rPr>
          <w:rFonts w:eastAsia="MS Mincho"/>
          <w:bCs/>
          <w:iCs/>
          <w:lang w:val="en-GB" w:bidi="en-US"/>
        </w:rPr>
        <w:t>;</w:t>
      </w:r>
    </w:p>
    <w:bookmarkEnd w:id="3"/>
    <w:p w14:paraId="147CC3AD" w14:textId="77777777" w:rsidR="006A2578" w:rsidRPr="00606638" w:rsidRDefault="006A2578" w:rsidP="006A2578">
      <w:pPr>
        <w:numPr>
          <w:ilvl w:val="0"/>
          <w:numId w:val="2"/>
        </w:numPr>
        <w:tabs>
          <w:tab w:val="clear" w:pos="1247"/>
          <w:tab w:val="clear" w:pos="1814"/>
          <w:tab w:val="clear" w:pos="2381"/>
          <w:tab w:val="clear" w:pos="2948"/>
          <w:tab w:val="clear" w:pos="3515"/>
        </w:tabs>
        <w:snapToGrid w:val="0"/>
        <w:spacing w:after="120"/>
        <w:ind w:left="1247" w:firstLine="567"/>
        <w:rPr>
          <w:rFonts w:eastAsia="MS Mincho"/>
          <w:iCs/>
          <w:lang w:val="en-GB" w:bidi="en-US"/>
        </w:rPr>
      </w:pPr>
      <w:r>
        <w:rPr>
          <w:rFonts w:eastAsia="MS Mincho"/>
          <w:bCs/>
          <w:iCs/>
          <w:lang w:val="en-GB" w:bidi="en-US"/>
        </w:rPr>
        <w:t xml:space="preserve">J. </w:t>
      </w:r>
      <w:r w:rsidRPr="00606638">
        <w:rPr>
          <w:rFonts w:eastAsia="MS Mincho"/>
          <w:bCs/>
          <w:iCs/>
          <w:lang w:val="en-GB" w:bidi="en-US"/>
        </w:rPr>
        <w:t>Lahr</w:t>
      </w:r>
      <w:r w:rsidRPr="00606638">
        <w:rPr>
          <w:rFonts w:eastAsia="MS Mincho"/>
          <w:iCs/>
          <w:lang w:val="en-GB" w:bidi="en-US"/>
        </w:rPr>
        <w:t xml:space="preserve">, R. </w:t>
      </w:r>
      <w:proofErr w:type="spellStart"/>
      <w:r w:rsidRPr="00606638">
        <w:rPr>
          <w:rFonts w:eastAsia="MS Mincho"/>
          <w:iCs/>
          <w:lang w:val="en-GB" w:bidi="en-US"/>
        </w:rPr>
        <w:t>Kruijne</w:t>
      </w:r>
      <w:proofErr w:type="spellEnd"/>
      <w:r w:rsidRPr="00606638">
        <w:rPr>
          <w:rFonts w:eastAsia="MS Mincho"/>
          <w:iCs/>
          <w:lang w:val="en-GB" w:bidi="en-US"/>
        </w:rPr>
        <w:t xml:space="preserve"> and J. </w:t>
      </w:r>
      <w:proofErr w:type="spellStart"/>
      <w:r w:rsidRPr="00606638">
        <w:rPr>
          <w:rFonts w:eastAsia="MS Mincho"/>
          <w:iCs/>
          <w:lang w:val="en-GB" w:bidi="en-US"/>
        </w:rPr>
        <w:t>Groenwold</w:t>
      </w:r>
      <w:proofErr w:type="spellEnd"/>
      <w:r w:rsidRPr="00606638">
        <w:rPr>
          <w:rFonts w:eastAsia="MS Mincho"/>
          <w:iCs/>
          <w:lang w:val="en-GB" w:bidi="en-US"/>
        </w:rPr>
        <w:t>, “Hazards of pesticides imported into Mozambique, 2002–2011</w:t>
      </w:r>
      <w:r>
        <w:rPr>
          <w:rFonts w:eastAsia="MS Mincho"/>
          <w:iCs/>
          <w:lang w:val="en-GB" w:bidi="en-US"/>
        </w:rPr>
        <w:t>”,</w:t>
      </w:r>
      <w:r w:rsidRPr="00606638">
        <w:rPr>
          <w:rFonts w:eastAsia="MS Mincho"/>
          <w:iCs/>
          <w:lang w:val="en-GB" w:bidi="en-US"/>
        </w:rPr>
        <w:t xml:space="preserve"> Alterra Wageningen University and Research Centre</w:t>
      </w:r>
      <w:r>
        <w:rPr>
          <w:rFonts w:eastAsia="MS Mincho"/>
          <w:iCs/>
          <w:lang w:val="en-GB" w:bidi="en-US"/>
        </w:rPr>
        <w:t xml:space="preserve"> (2014)</w:t>
      </w:r>
      <w:r w:rsidRPr="00606638">
        <w:rPr>
          <w:rFonts w:eastAsia="MS Mincho"/>
          <w:iCs/>
          <w:lang w:val="en-GB" w:bidi="en-US"/>
        </w:rPr>
        <w:t>.</w:t>
      </w:r>
    </w:p>
    <w:p w14:paraId="116B7E85"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w:t>
      </w:r>
      <w:proofErr w:type="gramStart"/>
      <w:r w:rsidRPr="00606638">
        <w:rPr>
          <w:rFonts w:eastAsia="MS Mincho"/>
          <w:iCs/>
          <w:lang w:bidi="en-US"/>
        </w:rPr>
        <w:t>ultimate goal</w:t>
      </w:r>
      <w:proofErr w:type="gramEnd"/>
      <w:r w:rsidRPr="00606638">
        <w:rPr>
          <w:rFonts w:eastAsia="MS Mincho"/>
          <w:iCs/>
          <w:lang w:bidi="en-US"/>
        </w:rPr>
        <w:t xml:space="preserve"> of the project was to develop and implement an HHP risk reduction action plan for </w:t>
      </w:r>
      <w:r w:rsidRPr="004C41EB">
        <w:t>the</w:t>
      </w:r>
      <w:r w:rsidRPr="00606638">
        <w:rPr>
          <w:rFonts w:eastAsia="MS Mincho"/>
          <w:iCs/>
          <w:lang w:bidi="en-US"/>
        </w:rPr>
        <w:t xml:space="preserve"> most dangerous pesticides and use situations, resulting over time in the implementation of a variety of risk reduction measures based on a review of use conditions (UNEP/FAO/RC/CRC.17/8/Rev.1, sects. 2.4 and 2.4.1 of the Mozambique notification). </w:t>
      </w:r>
    </w:p>
    <w:p w14:paraId="63E17068"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decision to cancel the registration of </w:t>
      </w:r>
      <w:proofErr w:type="spellStart"/>
      <w:r w:rsidRPr="00606638">
        <w:rPr>
          <w:rFonts w:eastAsia="MS Mincho"/>
          <w:iCs/>
          <w:lang w:bidi="en-US"/>
        </w:rPr>
        <w:t>terbufos</w:t>
      </w:r>
      <w:proofErr w:type="spellEnd"/>
      <w:r w:rsidRPr="00606638">
        <w:rPr>
          <w:rFonts w:eastAsia="MS Mincho"/>
          <w:iCs/>
          <w:lang w:bidi="en-US"/>
        </w:rPr>
        <w:t xml:space="preserve"> was taken as the last step in the project on reducing </w:t>
      </w:r>
      <w:r>
        <w:rPr>
          <w:rFonts w:eastAsia="MS Mincho"/>
          <w:iCs/>
          <w:lang w:bidi="en-US"/>
        </w:rPr>
        <w:t xml:space="preserve">the </w:t>
      </w:r>
      <w:r w:rsidRPr="00606638">
        <w:rPr>
          <w:rFonts w:eastAsia="MS Mincho"/>
          <w:iCs/>
          <w:lang w:bidi="en-US"/>
        </w:rPr>
        <w:t xml:space="preserve">risks of HHPs. The ban of all uses and the cancellation of the products containing </w:t>
      </w:r>
      <w:proofErr w:type="spellStart"/>
      <w:r w:rsidRPr="00606638">
        <w:rPr>
          <w:rFonts w:eastAsia="MS Mincho"/>
          <w:iCs/>
          <w:lang w:bidi="en-US"/>
        </w:rPr>
        <w:t>terbufos</w:t>
      </w:r>
      <w:proofErr w:type="spellEnd"/>
      <w:r w:rsidRPr="00606638">
        <w:rPr>
          <w:rFonts w:eastAsia="MS Mincho"/>
          <w:iCs/>
          <w:lang w:bidi="en-US"/>
        </w:rPr>
        <w:t xml:space="preserve"> in the country (</w:t>
      </w:r>
      <w:r>
        <w:rPr>
          <w:rFonts w:eastAsia="MS Mincho"/>
          <w:iCs/>
          <w:lang w:bidi="en-US"/>
        </w:rPr>
        <w:t>d</w:t>
      </w:r>
      <w:r w:rsidRPr="00606638">
        <w:rPr>
          <w:rFonts w:eastAsia="MS Mincho"/>
          <w:iCs/>
          <w:lang w:bidi="en-US"/>
        </w:rPr>
        <w:t>ecision Nr 001/DNSA/2014) w</w:t>
      </w:r>
      <w:r>
        <w:rPr>
          <w:rFonts w:eastAsia="MS Mincho"/>
          <w:iCs/>
          <w:lang w:bidi="en-US"/>
        </w:rPr>
        <w:t>ere</w:t>
      </w:r>
      <w:r w:rsidRPr="00606638">
        <w:rPr>
          <w:rFonts w:eastAsia="MS Mincho"/>
          <w:iCs/>
          <w:lang w:bidi="en-US"/>
        </w:rPr>
        <w:t xml:space="preserve"> decided due to the toxic nature and hazardous properties of this active substance which, combined with improper use in the country due to the local specific conditions of use, can harm human and animal health (UNEP/FAO/RC/CRC.17/8/Rev.1, sects. 2.2.1 and 2.4.2.1 of the Mozambique notification).</w:t>
      </w:r>
    </w:p>
    <w:p w14:paraId="5AA2398B" w14:textId="77777777" w:rsidR="006A2578" w:rsidRPr="00EE1292" w:rsidRDefault="006A2578" w:rsidP="006A2578">
      <w:pPr>
        <w:tabs>
          <w:tab w:val="left" w:pos="624"/>
          <w:tab w:val="left" w:pos="2340"/>
        </w:tabs>
        <w:spacing w:after="120"/>
        <w:ind w:left="1260"/>
        <w:rPr>
          <w:rFonts w:eastAsia="MS Mincho"/>
          <w:iCs/>
          <w:lang w:val="en-GB" w:bidi="en-US"/>
        </w:rPr>
      </w:pPr>
      <w:r w:rsidRPr="00606638">
        <w:rPr>
          <w:rFonts w:eastAsia="MS Mincho"/>
          <w:iCs/>
          <w:lang w:val="en-GB" w:bidi="en-US"/>
        </w:rPr>
        <w:t xml:space="preserve">The supporting documentation (UNEP/FAO/RC/CRC.17/INF/18) also includes the following </w:t>
      </w:r>
      <w:r w:rsidRPr="00EE1292">
        <w:rPr>
          <w:rFonts w:eastAsia="MS Mincho"/>
          <w:iCs/>
          <w:lang w:val="en-GB" w:bidi="en-US"/>
        </w:rPr>
        <w:t>documents referenced in the notification:</w:t>
      </w:r>
    </w:p>
    <w:p w14:paraId="1C867BB0" w14:textId="77777777" w:rsidR="006A2578" w:rsidRPr="00EE1292" w:rsidRDefault="006A2578" w:rsidP="006A2578">
      <w:pPr>
        <w:numPr>
          <w:ilvl w:val="0"/>
          <w:numId w:val="5"/>
        </w:numPr>
        <w:tabs>
          <w:tab w:val="clear" w:pos="1247"/>
          <w:tab w:val="clear" w:pos="1814"/>
          <w:tab w:val="clear" w:pos="2381"/>
          <w:tab w:val="clear" w:pos="2948"/>
          <w:tab w:val="clear" w:pos="3515"/>
        </w:tabs>
        <w:snapToGrid w:val="0"/>
        <w:spacing w:after="120"/>
        <w:ind w:left="1276" w:firstLine="567"/>
        <w:rPr>
          <w:rFonts w:eastAsia="MS Mincho"/>
          <w:bCs/>
          <w:iCs/>
          <w:lang w:val="en-GB" w:bidi="en-US"/>
        </w:rPr>
      </w:pPr>
      <w:r w:rsidRPr="00EE1292">
        <w:rPr>
          <w:rFonts w:eastAsia="MS Mincho"/>
          <w:bCs/>
          <w:iCs/>
          <w:lang w:val="en-GB" w:bidi="en-US"/>
        </w:rPr>
        <w:t>University of Hertfordshire, “</w:t>
      </w:r>
      <w:proofErr w:type="spellStart"/>
      <w:r w:rsidRPr="00EE1292">
        <w:rPr>
          <w:rFonts w:eastAsia="MS Mincho"/>
          <w:bCs/>
          <w:iCs/>
          <w:lang w:val="en-GB" w:bidi="en-US"/>
        </w:rPr>
        <w:t>Terbufos</w:t>
      </w:r>
      <w:proofErr w:type="spellEnd"/>
      <w:r w:rsidRPr="00EE1292">
        <w:rPr>
          <w:rFonts w:eastAsia="MS Mincho"/>
          <w:bCs/>
          <w:iCs/>
          <w:lang w:val="en-GB" w:bidi="en-US"/>
        </w:rPr>
        <w:t xml:space="preserve">”, Pesticides Properties Database. Available at: </w:t>
      </w:r>
      <w:hyperlink r:id="rId8" w:history="1">
        <w:r w:rsidRPr="00A12C95">
          <w:rPr>
            <w:rFonts w:eastAsia="MS Mincho"/>
            <w:bCs/>
            <w:iCs/>
            <w:color w:val="0563C1"/>
            <w:u w:val="single"/>
            <w:lang w:val="en-GB" w:bidi="en-US"/>
          </w:rPr>
          <w:t>https://sitem.herts.ac.uk/aeru/ppdb/en/Reports/621.htm</w:t>
        </w:r>
      </w:hyperlink>
      <w:r w:rsidRPr="00EE1292">
        <w:rPr>
          <w:rFonts w:eastAsia="MS Mincho"/>
          <w:bCs/>
          <w:iCs/>
          <w:lang w:val="en-GB" w:bidi="en-US"/>
        </w:rPr>
        <w:t>;</w:t>
      </w:r>
    </w:p>
    <w:p w14:paraId="6E43E1E1" w14:textId="77777777" w:rsidR="006A2578" w:rsidRPr="00EE1292" w:rsidRDefault="006A2578" w:rsidP="006A2578">
      <w:pPr>
        <w:numPr>
          <w:ilvl w:val="0"/>
          <w:numId w:val="5"/>
        </w:numPr>
        <w:tabs>
          <w:tab w:val="clear" w:pos="1247"/>
          <w:tab w:val="clear" w:pos="1814"/>
          <w:tab w:val="clear" w:pos="2381"/>
          <w:tab w:val="clear" w:pos="2948"/>
          <w:tab w:val="clear" w:pos="3515"/>
        </w:tabs>
        <w:snapToGrid w:val="0"/>
        <w:spacing w:after="120"/>
        <w:ind w:left="1247" w:firstLine="567"/>
        <w:rPr>
          <w:rFonts w:eastAsia="MS Mincho"/>
          <w:bCs/>
          <w:iCs/>
          <w:lang w:val="en-GB" w:bidi="en-US"/>
        </w:rPr>
      </w:pPr>
      <w:r w:rsidRPr="00EE1292">
        <w:rPr>
          <w:rFonts w:eastAsia="MS Mincho"/>
          <w:bCs/>
          <w:iCs/>
          <w:lang w:val="en-GB" w:bidi="en-US"/>
        </w:rPr>
        <w:t>FAO/WHO JMPM, “</w:t>
      </w:r>
      <w:proofErr w:type="spellStart"/>
      <w:r w:rsidRPr="00EE1292">
        <w:rPr>
          <w:rFonts w:eastAsia="MS Mincho"/>
          <w:bCs/>
          <w:iCs/>
          <w:lang w:val="en-GB" w:bidi="en-US"/>
        </w:rPr>
        <w:t>Terbufos</w:t>
      </w:r>
      <w:proofErr w:type="spellEnd"/>
      <w:r w:rsidRPr="00EE1292">
        <w:rPr>
          <w:rFonts w:eastAsia="MS Mincho"/>
          <w:bCs/>
          <w:iCs/>
          <w:lang w:val="en-GB" w:bidi="en-US"/>
        </w:rPr>
        <w:t xml:space="preserve"> evaluation” (2005). Available at: </w:t>
      </w:r>
      <w:hyperlink r:id="rId9" w:history="1">
        <w:r w:rsidRPr="00EE1292">
          <w:rPr>
            <w:rStyle w:val="Hyperlink"/>
            <w:rFonts w:eastAsia="MS Mincho"/>
            <w:lang w:val="en-GB" w:bidi="en-US"/>
          </w:rPr>
          <w:t>www.fao.org/fileadmin/templates/agphome/documents/Pests_Pesticides/JMPR/Evaluation05/2005_Terbufos1.pdf</w:t>
        </w:r>
      </w:hyperlink>
      <w:r w:rsidRPr="00EE1292">
        <w:rPr>
          <w:rFonts w:eastAsia="MS Mincho"/>
          <w:bCs/>
          <w:iCs/>
          <w:lang w:val="en-GB" w:bidi="en-US"/>
        </w:rPr>
        <w:t xml:space="preserve">; </w:t>
      </w:r>
    </w:p>
    <w:p w14:paraId="3D3D77DD" w14:textId="77777777" w:rsidR="006A2578" w:rsidRPr="00EE1292" w:rsidRDefault="006A2578" w:rsidP="006A2578">
      <w:pPr>
        <w:numPr>
          <w:ilvl w:val="0"/>
          <w:numId w:val="5"/>
        </w:numPr>
        <w:tabs>
          <w:tab w:val="clear" w:pos="1247"/>
          <w:tab w:val="clear" w:pos="1814"/>
          <w:tab w:val="clear" w:pos="2381"/>
          <w:tab w:val="clear" w:pos="2948"/>
          <w:tab w:val="clear" w:pos="3515"/>
        </w:tabs>
        <w:snapToGrid w:val="0"/>
        <w:spacing w:after="120"/>
        <w:ind w:left="1247" w:firstLine="567"/>
        <w:rPr>
          <w:rFonts w:eastAsia="MS Mincho"/>
          <w:bCs/>
          <w:iCs/>
          <w:lang w:val="en-GB" w:bidi="en-US"/>
        </w:rPr>
      </w:pPr>
      <w:r w:rsidRPr="00EE1292">
        <w:rPr>
          <w:rFonts w:eastAsia="MS Mincho"/>
          <w:bCs/>
          <w:iCs/>
          <w:lang w:val="en-GB" w:bidi="en-US"/>
        </w:rPr>
        <w:t xml:space="preserve">International Programme on Chemical Safety, “Pesticide residues in food – 2003 – Joint FAO/WHO Meeting on Pesticide Residues – </w:t>
      </w:r>
      <w:proofErr w:type="spellStart"/>
      <w:r w:rsidRPr="00EE1292">
        <w:rPr>
          <w:rFonts w:eastAsia="MS Mincho"/>
          <w:bCs/>
          <w:iCs/>
          <w:lang w:val="en-GB" w:bidi="en-US"/>
        </w:rPr>
        <w:t>Terbufos</w:t>
      </w:r>
      <w:proofErr w:type="spellEnd"/>
      <w:r w:rsidRPr="00EE1292">
        <w:rPr>
          <w:rFonts w:eastAsia="MS Mincho"/>
          <w:bCs/>
          <w:iCs/>
          <w:lang w:val="en-GB" w:bidi="en-US"/>
        </w:rPr>
        <w:t xml:space="preserve"> – Toxicological studies”, Internationally Peer Reviewed Chemical Safety Information. Available at:</w:t>
      </w:r>
      <w:r w:rsidRPr="00EE1292">
        <w:rPr>
          <w:rFonts w:eastAsia="MS Mincho"/>
          <w:iCs/>
          <w:lang w:val="en-GB" w:eastAsia="zh-CN" w:bidi="en-US"/>
        </w:rPr>
        <w:t xml:space="preserve"> </w:t>
      </w:r>
      <w:hyperlink r:id="rId10" w:history="1">
        <w:r w:rsidRPr="00EE1292">
          <w:rPr>
            <w:rStyle w:val="Hyperlink"/>
            <w:lang w:val="en-GB" w:bidi="en-US"/>
          </w:rPr>
          <w:t>www.inchem.org/documents/jmpr/jmpmono/v2003pr13.htm#tox</w:t>
        </w:r>
      </w:hyperlink>
      <w:r w:rsidRPr="00EE1292">
        <w:rPr>
          <w:rFonts w:eastAsia="MS Mincho"/>
          <w:bCs/>
          <w:iCs/>
          <w:lang w:val="en-GB" w:bidi="en-US"/>
        </w:rPr>
        <w:t>.</w:t>
      </w:r>
    </w:p>
    <w:p w14:paraId="7A2C2E53" w14:textId="77777777" w:rsidR="006A2578" w:rsidRPr="00EE1292" w:rsidRDefault="006A2578" w:rsidP="006A2578">
      <w:pPr>
        <w:pStyle w:val="Normal-pool"/>
        <w:numPr>
          <w:ilvl w:val="0"/>
          <w:numId w:val="6"/>
        </w:numPr>
        <w:spacing w:after="120"/>
        <w:ind w:left="1247" w:firstLine="0"/>
        <w:rPr>
          <w:rFonts w:eastAsia="MS Mincho"/>
          <w:bCs/>
          <w:iCs/>
          <w:lang w:bidi="en-US"/>
        </w:rPr>
      </w:pPr>
      <w:r w:rsidRPr="00EE1292">
        <w:t>The</w:t>
      </w:r>
      <w:r w:rsidRPr="00EE1292">
        <w:rPr>
          <w:rFonts w:eastAsia="MS Mincho"/>
          <w:bCs/>
          <w:lang w:bidi="en-US"/>
        </w:rPr>
        <w:t xml:space="preserve"> </w:t>
      </w:r>
      <w:r w:rsidRPr="00EE1292">
        <w:t>available</w:t>
      </w:r>
      <w:r w:rsidRPr="00EE1292">
        <w:rPr>
          <w:rFonts w:eastAsia="MS Mincho"/>
          <w:bCs/>
          <w:lang w:bidi="en-US"/>
        </w:rPr>
        <w:t xml:space="preserve"> consultancy reports and hazard assessment criteria by the FAO/WHO international panel are considered scientifically sound and generated according to scientifically recognized </w:t>
      </w:r>
      <w:r w:rsidRPr="004C41EB">
        <w:t>methods</w:t>
      </w:r>
      <w:r w:rsidRPr="00EE1292">
        <w:rPr>
          <w:rFonts w:eastAsia="MS Mincho"/>
          <w:bCs/>
          <w:lang w:bidi="en-US"/>
        </w:rPr>
        <w:t xml:space="preserve"> and reported according to generally recognized scientific principles and procedures.</w:t>
      </w:r>
    </w:p>
    <w:p w14:paraId="0BFA2C94"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 xml:space="preserve">The available </w:t>
      </w:r>
      <w:r w:rsidRPr="00606638">
        <w:rPr>
          <w:rFonts w:eastAsia="MS Mincho"/>
          <w:iCs/>
          <w:lang w:bidi="en-US"/>
        </w:rPr>
        <w:t>reports</w:t>
      </w:r>
      <w:r w:rsidRPr="00606638">
        <w:rPr>
          <w:rFonts w:eastAsia="MS Mincho"/>
          <w:bCs/>
          <w:iCs/>
          <w:lang w:bidi="en-US"/>
        </w:rPr>
        <w:t xml:space="preserve"> developed under the project on reducing risks of HHPs in Mozambique and included in the supporting documentation provide detailed methodology that specifies that </w:t>
      </w:r>
      <w:r w:rsidRPr="004C41EB">
        <w:t>internationally</w:t>
      </w:r>
      <w:r w:rsidRPr="00606638">
        <w:rPr>
          <w:rFonts w:eastAsia="MS Mincho"/>
          <w:bCs/>
          <w:iCs/>
          <w:lang w:bidi="en-US"/>
        </w:rPr>
        <w:t xml:space="preserve"> recognized criteria established by the FAO/WHO JMPM for the identification of HHPs were used to identify </w:t>
      </w:r>
      <w:proofErr w:type="spellStart"/>
      <w:r w:rsidRPr="00606638">
        <w:rPr>
          <w:rFonts w:eastAsia="MS Mincho"/>
          <w:bCs/>
          <w:iCs/>
          <w:lang w:bidi="en-US"/>
        </w:rPr>
        <w:t>terbufos</w:t>
      </w:r>
      <w:proofErr w:type="spellEnd"/>
      <w:r w:rsidRPr="00606638">
        <w:rPr>
          <w:rFonts w:eastAsia="MS Mincho"/>
          <w:bCs/>
          <w:iCs/>
          <w:lang w:bidi="en-US"/>
        </w:rPr>
        <w:t xml:space="preserve"> (</w:t>
      </w:r>
      <w:r w:rsidRPr="00606638">
        <w:rPr>
          <w:rFonts w:eastAsia="MS Mincho"/>
          <w:iCs/>
          <w:lang w:bidi="en-US"/>
        </w:rPr>
        <w:t xml:space="preserve">UNEP/FAO/RC/CRC.17/INF/18, p.15). Also, the report on the </w:t>
      </w:r>
      <w:r w:rsidRPr="00606638">
        <w:rPr>
          <w:rFonts w:eastAsia="MS Mincho"/>
          <w:bCs/>
          <w:iCs/>
          <w:lang w:bidi="en-US"/>
        </w:rPr>
        <w:t xml:space="preserve">survey of pesticide use practices in selected cropping systems indicates that survey design was informed by reviews of various existing pesticide use or exposure surveys conducted under WHO and </w:t>
      </w:r>
      <w:r>
        <w:rPr>
          <w:rFonts w:eastAsia="MS Mincho"/>
          <w:bCs/>
          <w:iCs/>
          <w:lang w:bidi="en-US"/>
        </w:rPr>
        <w:t xml:space="preserve">the </w:t>
      </w:r>
      <w:r w:rsidRPr="00606638">
        <w:rPr>
          <w:rFonts w:eastAsia="MS Mincho"/>
          <w:bCs/>
          <w:iCs/>
          <w:lang w:bidi="en-US"/>
        </w:rPr>
        <w:t xml:space="preserve">Rotterdam Convention, as well as general FAO guidance on </w:t>
      </w:r>
      <w:r>
        <w:rPr>
          <w:rFonts w:eastAsia="MS Mincho"/>
          <w:bCs/>
          <w:iCs/>
          <w:lang w:bidi="en-US"/>
        </w:rPr>
        <w:t xml:space="preserve">the </w:t>
      </w:r>
      <w:r w:rsidRPr="00606638">
        <w:rPr>
          <w:rFonts w:eastAsia="MS Mincho"/>
          <w:bCs/>
          <w:iCs/>
          <w:lang w:bidi="en-US"/>
        </w:rPr>
        <w:t xml:space="preserve">development of this type of questionnaire. Interviewers were also trained </w:t>
      </w:r>
      <w:r>
        <w:rPr>
          <w:rFonts w:eastAsia="MS Mincho"/>
          <w:bCs/>
          <w:iCs/>
          <w:lang w:bidi="en-US"/>
        </w:rPr>
        <w:t>i</w:t>
      </w:r>
      <w:r w:rsidRPr="00606638">
        <w:rPr>
          <w:rFonts w:eastAsia="MS Mincho"/>
          <w:bCs/>
          <w:iCs/>
          <w:lang w:bidi="en-US"/>
        </w:rPr>
        <w:t>n survey techniques (</w:t>
      </w:r>
      <w:r w:rsidRPr="00606638">
        <w:rPr>
          <w:rFonts w:eastAsia="MS Mincho"/>
          <w:iCs/>
          <w:lang w:bidi="en-US"/>
        </w:rPr>
        <w:t xml:space="preserve">UNEP/FAO/RC/CRC.17/INF/18, </w:t>
      </w:r>
      <w:r w:rsidRPr="00606638">
        <w:rPr>
          <w:rFonts w:eastAsia="MS Mincho"/>
          <w:bCs/>
          <w:iCs/>
          <w:lang w:bidi="en-US"/>
        </w:rPr>
        <w:t>pp. 57 and 58</w:t>
      </w:r>
      <w:r w:rsidRPr="00606638">
        <w:rPr>
          <w:rFonts w:eastAsia="MS Mincho"/>
          <w:iCs/>
          <w:lang w:bidi="en-US"/>
        </w:rPr>
        <w:t>).</w:t>
      </w:r>
      <w:r w:rsidRPr="00606638">
        <w:rPr>
          <w:rFonts w:eastAsia="MS Mincho"/>
          <w:bCs/>
          <w:iCs/>
          <w:lang w:bidi="en-US"/>
        </w:rPr>
        <w:t xml:space="preserve"> </w:t>
      </w:r>
    </w:p>
    <w:p w14:paraId="178CD826"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lastRenderedPageBreak/>
        <w:t>The</w:t>
      </w:r>
      <w:r w:rsidRPr="00606638">
        <w:rPr>
          <w:rFonts w:eastAsia="MS Mincho"/>
          <w:bCs/>
          <w:iCs/>
          <w:lang w:bidi="en-US"/>
        </w:rPr>
        <w:t xml:space="preserve"> data included in the notification and supporting documentation </w:t>
      </w:r>
      <w:proofErr w:type="gramStart"/>
      <w:r>
        <w:rPr>
          <w:rFonts w:eastAsia="MS Mincho"/>
          <w:bCs/>
          <w:iCs/>
          <w:lang w:bidi="en-US"/>
        </w:rPr>
        <w:t>are</w:t>
      </w:r>
      <w:r w:rsidRPr="00606638">
        <w:rPr>
          <w:rFonts w:eastAsia="MS Mincho"/>
          <w:bCs/>
          <w:iCs/>
          <w:lang w:bidi="en-US"/>
        </w:rPr>
        <w:t xml:space="preserve"> considered to be</w:t>
      </w:r>
      <w:proofErr w:type="gramEnd"/>
      <w:r w:rsidRPr="00606638">
        <w:rPr>
          <w:rFonts w:eastAsia="MS Mincho"/>
          <w:bCs/>
          <w:iCs/>
          <w:lang w:bidi="en-US"/>
        </w:rPr>
        <w:t xml:space="preserve"> scientifically sound and generated according to scientifically recognized methods and data reviews are considered to have been performed and documented according to generally recognized scientific principles and procedures.</w:t>
      </w:r>
    </w:p>
    <w:p w14:paraId="114CEDFE"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The Committee therefore confirms that the criteria in paragraph (b) (</w:t>
      </w:r>
      <w:proofErr w:type="spellStart"/>
      <w:r w:rsidRPr="00606638">
        <w:rPr>
          <w:rFonts w:eastAsia="MS Mincho"/>
          <w:iCs/>
          <w:lang w:bidi="en-US"/>
        </w:rPr>
        <w:t>i</w:t>
      </w:r>
      <w:proofErr w:type="spellEnd"/>
      <w:r w:rsidRPr="00606638">
        <w:rPr>
          <w:rFonts w:eastAsia="MS Mincho"/>
          <w:iCs/>
          <w:lang w:bidi="en-US"/>
        </w:rPr>
        <w:t>) and (ii) of Annex II are met.</w:t>
      </w:r>
    </w:p>
    <w:p w14:paraId="4F52E7FD"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 xml:space="preserve">The final regulatory action was based on a risk evaluation involving prevailing conditions within the Party taking the </w:t>
      </w:r>
      <w:proofErr w:type="gramStart"/>
      <w:r w:rsidRPr="00606638">
        <w:rPr>
          <w:i/>
          <w:lang w:val="en-GB"/>
        </w:rPr>
        <w:t>action;</w:t>
      </w:r>
      <w:proofErr w:type="gramEnd"/>
    </w:p>
    <w:p w14:paraId="3A9AB006"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 xml:space="preserve">The </w:t>
      </w:r>
      <w:r w:rsidRPr="00606638">
        <w:t>notification</w:t>
      </w:r>
      <w:r w:rsidRPr="00606638">
        <w:rPr>
          <w:rFonts w:eastAsia="MS Mincho"/>
          <w:bCs/>
          <w:iCs/>
          <w:lang w:bidi="en-US"/>
        </w:rPr>
        <w:t xml:space="preserve"> states that the final regulatory action was based on a risk or hazard evaluation involving the prevailing conditions within the Party </w:t>
      </w:r>
      <w:proofErr w:type="gramStart"/>
      <w:r w:rsidRPr="00606638">
        <w:rPr>
          <w:rFonts w:eastAsia="MS Mincho"/>
          <w:bCs/>
          <w:iCs/>
          <w:lang w:bidi="en-US"/>
        </w:rPr>
        <w:t>in order to</w:t>
      </w:r>
      <w:proofErr w:type="gramEnd"/>
      <w:r w:rsidRPr="00606638">
        <w:rPr>
          <w:rFonts w:eastAsia="MS Mincho"/>
          <w:bCs/>
          <w:iCs/>
          <w:lang w:bidi="en-US"/>
        </w:rPr>
        <w:t xml:space="preserve"> protect human health (</w:t>
      </w:r>
      <w:r w:rsidRPr="00606638">
        <w:t>UNEP/FAO/RC/CRC.17/8/Rev</w:t>
      </w:r>
      <w:r>
        <w:t>.</w:t>
      </w:r>
      <w:r w:rsidRPr="00606638">
        <w:t>1, s</w:t>
      </w:r>
      <w:r w:rsidRPr="00606638">
        <w:rPr>
          <w:rFonts w:eastAsia="MS Mincho"/>
          <w:iCs/>
          <w:lang w:bidi="en-US"/>
        </w:rPr>
        <w:t>ect. 2.4 of the Mozambique notification</w:t>
      </w:r>
      <w:r w:rsidRPr="00606638">
        <w:rPr>
          <w:rFonts w:eastAsia="MS Mincho"/>
          <w:bCs/>
          <w:iCs/>
          <w:lang w:bidi="en-US"/>
        </w:rPr>
        <w:t>).</w:t>
      </w:r>
      <w:r w:rsidRPr="00606638">
        <w:rPr>
          <w:rFonts w:eastAsia="MS Mincho"/>
          <w:iCs/>
          <w:szCs w:val="22"/>
          <w:lang w:bidi="en-US"/>
        </w:rPr>
        <w:t xml:space="preserve"> </w:t>
      </w:r>
      <w:r w:rsidRPr="00606638">
        <w:rPr>
          <w:rFonts w:eastAsia="MS Mincho"/>
          <w:bCs/>
          <w:iCs/>
          <w:lang w:bidi="en-US"/>
        </w:rPr>
        <w:t xml:space="preserve">With the goal of reducing the greatest risks associated with pesticide use in Mozambique, the project on reducing risks of highly hazardous pesticides in Mozambique was initiated by the Government of Mozambique, with the technical support of the FAO Pesticide Management </w:t>
      </w:r>
      <w:proofErr w:type="gramStart"/>
      <w:r w:rsidRPr="00606638">
        <w:rPr>
          <w:rFonts w:eastAsia="MS Mincho"/>
          <w:bCs/>
          <w:iCs/>
          <w:lang w:bidi="en-US"/>
        </w:rPr>
        <w:t>Unit, and</w:t>
      </w:r>
      <w:proofErr w:type="gramEnd"/>
      <w:r w:rsidRPr="00606638">
        <w:rPr>
          <w:rFonts w:eastAsia="MS Mincho"/>
          <w:bCs/>
          <w:iCs/>
          <w:lang w:bidi="en-US"/>
        </w:rPr>
        <w:t xml:space="preserve"> funded by the SAICM Quick Start </w:t>
      </w:r>
      <w:r w:rsidRPr="004C41EB">
        <w:t>Programme</w:t>
      </w:r>
      <w:r w:rsidRPr="00606638">
        <w:rPr>
          <w:rFonts w:eastAsia="MS Mincho"/>
          <w:bCs/>
          <w:iCs/>
          <w:lang w:bidi="en-US"/>
        </w:rPr>
        <w:t xml:space="preserve"> Trust Fund. Its </w:t>
      </w:r>
      <w:proofErr w:type="gramStart"/>
      <w:r w:rsidRPr="00606638">
        <w:rPr>
          <w:rFonts w:eastAsia="MS Mincho"/>
          <w:bCs/>
          <w:iCs/>
          <w:lang w:bidi="en-US"/>
        </w:rPr>
        <w:t>ultimate goal</w:t>
      </w:r>
      <w:proofErr w:type="gramEnd"/>
      <w:r w:rsidRPr="00606638">
        <w:rPr>
          <w:rFonts w:eastAsia="MS Mincho"/>
          <w:bCs/>
          <w:iCs/>
          <w:lang w:bidi="en-US"/>
        </w:rPr>
        <w:t xml:space="preserve"> was to develop and implement an HHP risk reduction action plan in Mozambique for the most dangerous pesticides and use situations, resulting over time in the implementation of a variety of risk reduction measures based on a review of use conditions. These could include the cancellation of specific registrations of HHPs, implementation of risk mitigation measures, appropriate use restrictions, development of alternative pest management strategies, promotion of good agricultural practices, and possible phase-out of specific pesticides (UNEP/FAO/RC/CRC.17/INF/18, p. 11).</w:t>
      </w:r>
    </w:p>
    <w:p w14:paraId="5B5FAB39" w14:textId="77777777" w:rsidR="006A2578" w:rsidRPr="00D840B6" w:rsidRDefault="006A2578" w:rsidP="006A2578">
      <w:pPr>
        <w:pStyle w:val="Normal-pool"/>
        <w:numPr>
          <w:ilvl w:val="0"/>
          <w:numId w:val="6"/>
        </w:numPr>
        <w:spacing w:after="120"/>
        <w:ind w:left="1247" w:firstLine="0"/>
        <w:rPr>
          <w:rFonts w:eastAsia="MS Mincho"/>
          <w:bCs/>
          <w:iCs/>
          <w:lang w:bidi="en-US"/>
        </w:rPr>
      </w:pPr>
      <w:r w:rsidRPr="00D840B6">
        <w:t>The</w:t>
      </w:r>
      <w:r w:rsidRPr="00D840B6">
        <w:rPr>
          <w:rFonts w:eastAsia="MS Mincho"/>
          <w:bCs/>
          <w:iCs/>
          <w:lang w:bidi="en-US"/>
        </w:rPr>
        <w:t xml:space="preserve"> project was separated into three steps, the first of which involved the review of all the pesticides registered in Mozambique and the establishment of a shortlist of HHPs. This shortlist was based on an assessment of the hazards of the pesticides, based on criteria established by the FAO/WHO JMPM (FAO/WHO, 2008).</w:t>
      </w:r>
    </w:p>
    <w:p w14:paraId="003889C5"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t>The</w:t>
      </w:r>
      <w:r w:rsidRPr="00606638">
        <w:rPr>
          <w:rFonts w:eastAsia="MS Mincho"/>
          <w:bCs/>
          <w:iCs/>
          <w:lang w:bidi="en-US"/>
        </w:rPr>
        <w:t xml:space="preserve"> </w:t>
      </w:r>
      <w:proofErr w:type="spellStart"/>
      <w:r w:rsidRPr="00606638">
        <w:rPr>
          <w:rFonts w:eastAsia="MS Mincho"/>
          <w:bCs/>
          <w:iCs/>
          <w:lang w:bidi="en-US"/>
        </w:rPr>
        <w:t>terbufos</w:t>
      </w:r>
      <w:proofErr w:type="spellEnd"/>
      <w:r w:rsidRPr="00606638">
        <w:rPr>
          <w:rFonts w:eastAsia="MS Mincho"/>
          <w:bCs/>
          <w:iCs/>
          <w:lang w:bidi="en-US"/>
        </w:rPr>
        <w:t xml:space="preserve"> formulations registered at the time in Mozambique included </w:t>
      </w:r>
      <w:proofErr w:type="spellStart"/>
      <w:r w:rsidRPr="00606638">
        <w:rPr>
          <w:rFonts w:eastAsia="MS Mincho"/>
          <w:bCs/>
          <w:iCs/>
          <w:lang w:bidi="en-US"/>
        </w:rPr>
        <w:t>Moz</w:t>
      </w:r>
      <w:proofErr w:type="spellEnd"/>
      <w:r w:rsidRPr="00606638">
        <w:rPr>
          <w:rFonts w:eastAsia="MS Mincho"/>
          <w:bCs/>
          <w:iCs/>
          <w:lang w:bidi="en-US"/>
        </w:rPr>
        <w:t xml:space="preserve"> </w:t>
      </w:r>
      <w:proofErr w:type="spellStart"/>
      <w:r w:rsidRPr="00606638">
        <w:rPr>
          <w:rFonts w:eastAsia="MS Mincho"/>
          <w:bCs/>
          <w:iCs/>
          <w:lang w:bidi="en-US"/>
        </w:rPr>
        <w:t>Terbufos</w:t>
      </w:r>
      <w:proofErr w:type="spellEnd"/>
      <w:r w:rsidRPr="00606638">
        <w:rPr>
          <w:rFonts w:eastAsia="MS Mincho"/>
          <w:bCs/>
          <w:iCs/>
          <w:lang w:bidi="en-US"/>
        </w:rPr>
        <w:t xml:space="preserve"> 15% GR, </w:t>
      </w:r>
      <w:proofErr w:type="spellStart"/>
      <w:r w:rsidRPr="00606638">
        <w:rPr>
          <w:rFonts w:eastAsia="MS Mincho"/>
          <w:bCs/>
          <w:iCs/>
          <w:lang w:bidi="en-US"/>
        </w:rPr>
        <w:t>Rotam</w:t>
      </w:r>
      <w:proofErr w:type="spellEnd"/>
      <w:r w:rsidRPr="00606638">
        <w:rPr>
          <w:rFonts w:eastAsia="MS Mincho"/>
          <w:bCs/>
          <w:iCs/>
          <w:lang w:bidi="en-US"/>
        </w:rPr>
        <w:t xml:space="preserve"> </w:t>
      </w:r>
      <w:proofErr w:type="spellStart"/>
      <w:r w:rsidRPr="00606638">
        <w:rPr>
          <w:rFonts w:eastAsia="MS Mincho"/>
          <w:bCs/>
          <w:iCs/>
          <w:lang w:bidi="en-US"/>
        </w:rPr>
        <w:t>Terbufos</w:t>
      </w:r>
      <w:proofErr w:type="spellEnd"/>
      <w:r w:rsidRPr="00606638">
        <w:rPr>
          <w:rFonts w:eastAsia="MS Mincho"/>
          <w:bCs/>
          <w:iCs/>
          <w:lang w:bidi="en-US"/>
        </w:rPr>
        <w:t xml:space="preserve"> 15% GR, and Bongo (UNEP/FAO/RC/CRC.17/8/Rev.1, sect. 1.3 of the </w:t>
      </w:r>
      <w:r w:rsidRPr="004C41EB">
        <w:t>Mozambique</w:t>
      </w:r>
      <w:r w:rsidRPr="00606638">
        <w:rPr>
          <w:rFonts w:eastAsia="MS Mincho"/>
          <w:bCs/>
          <w:iCs/>
          <w:lang w:bidi="en-US"/>
        </w:rPr>
        <w:t xml:space="preserve"> notification; UNEP/FAO/RC/CRC.17/INF/18, p. 203). These formulations were assessed against the following FAO/WHO JMPM criterion for identification of HHPs: pesticide formulations that meet the criteria of classes </w:t>
      </w:r>
      <w:proofErr w:type="spellStart"/>
      <w:r w:rsidRPr="00606638">
        <w:rPr>
          <w:rFonts w:eastAsia="MS Mincho"/>
          <w:bCs/>
          <w:iCs/>
          <w:lang w:bidi="en-US"/>
        </w:rPr>
        <w:t>Ia</w:t>
      </w:r>
      <w:proofErr w:type="spellEnd"/>
      <w:r w:rsidRPr="00606638">
        <w:rPr>
          <w:rFonts w:eastAsia="MS Mincho"/>
          <w:bCs/>
          <w:iCs/>
          <w:lang w:bidi="en-US"/>
        </w:rPr>
        <w:t xml:space="preserve"> or </w:t>
      </w:r>
      <w:proofErr w:type="spellStart"/>
      <w:r w:rsidRPr="00606638">
        <w:rPr>
          <w:rFonts w:eastAsia="MS Mincho"/>
          <w:bCs/>
          <w:iCs/>
          <w:lang w:bidi="en-US"/>
        </w:rPr>
        <w:t>Ib</w:t>
      </w:r>
      <w:proofErr w:type="spellEnd"/>
      <w:r w:rsidRPr="00606638">
        <w:rPr>
          <w:rFonts w:eastAsia="MS Mincho"/>
          <w:bCs/>
          <w:iCs/>
          <w:lang w:bidi="en-US"/>
        </w:rPr>
        <w:t xml:space="preserve"> of the WHO Recommended Classification of Pesticides by Hazard. The oral and dermal LD</w:t>
      </w:r>
      <w:r w:rsidRPr="00606638">
        <w:rPr>
          <w:rFonts w:eastAsia="MS Mincho"/>
          <w:bCs/>
          <w:iCs/>
          <w:vertAlign w:val="subscript"/>
          <w:lang w:bidi="en-US"/>
        </w:rPr>
        <w:t>50</w:t>
      </w:r>
      <w:r w:rsidRPr="00606638">
        <w:rPr>
          <w:rFonts w:eastAsia="MS Mincho"/>
          <w:bCs/>
          <w:iCs/>
          <w:lang w:bidi="en-US"/>
        </w:rPr>
        <w:t xml:space="preserve"> value of the formulations, as provided in the registration dossier, were used as the basis for the classification. LD</w:t>
      </w:r>
      <w:r w:rsidRPr="00606638">
        <w:rPr>
          <w:rFonts w:eastAsia="MS Mincho"/>
          <w:bCs/>
          <w:iCs/>
          <w:vertAlign w:val="subscript"/>
          <w:lang w:bidi="en-US"/>
        </w:rPr>
        <w:t>50</w:t>
      </w:r>
      <w:r w:rsidRPr="00606638">
        <w:rPr>
          <w:rFonts w:eastAsia="MS Mincho"/>
          <w:bCs/>
          <w:iCs/>
          <w:lang w:bidi="en-US"/>
        </w:rPr>
        <w:t xml:space="preserve"> values for the formulations were available or could be estimated. The </w:t>
      </w:r>
      <w:proofErr w:type="spellStart"/>
      <w:r w:rsidRPr="00606638">
        <w:rPr>
          <w:rFonts w:eastAsia="MS Mincho"/>
          <w:bCs/>
          <w:iCs/>
          <w:lang w:bidi="en-US"/>
        </w:rPr>
        <w:t>terbufos</w:t>
      </w:r>
      <w:proofErr w:type="spellEnd"/>
      <w:r w:rsidRPr="00606638">
        <w:rPr>
          <w:rFonts w:eastAsia="MS Mincho"/>
          <w:bCs/>
          <w:iCs/>
          <w:lang w:bidi="en-US"/>
        </w:rPr>
        <w:t xml:space="preserve"> formulations were identified as extremely hazardous (class </w:t>
      </w:r>
      <w:proofErr w:type="spellStart"/>
      <w:r w:rsidRPr="00606638">
        <w:rPr>
          <w:rFonts w:eastAsia="MS Mincho"/>
          <w:bCs/>
          <w:iCs/>
          <w:lang w:bidi="en-US"/>
        </w:rPr>
        <w:t>Ia</w:t>
      </w:r>
      <w:proofErr w:type="spellEnd"/>
      <w:r w:rsidRPr="00606638">
        <w:rPr>
          <w:rFonts w:eastAsia="MS Mincho"/>
          <w:bCs/>
          <w:iCs/>
          <w:lang w:bidi="en-US"/>
        </w:rPr>
        <w:t xml:space="preserve">) according to the JMPM criteria for HHPs based on the WHO Recommended Classification of Pesticides by Hazard, and therefore considered and shortlisted as HHP. </w:t>
      </w:r>
    </w:p>
    <w:p w14:paraId="1409F8CD"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t>During</w:t>
      </w:r>
      <w:r w:rsidRPr="00606638">
        <w:rPr>
          <w:rFonts w:eastAsia="MS Mincho"/>
          <w:bCs/>
          <w:iCs/>
          <w:lang w:bidi="en-US"/>
        </w:rPr>
        <w:t xml:space="preserve"> the second step of the project, a use survey was carried out in selected regions and cropping systems in Mozambique. The main goal of the survey was to identify the conditions under which </w:t>
      </w:r>
      <w:r w:rsidRPr="004C41EB">
        <w:t>pesticides</w:t>
      </w:r>
      <w:r w:rsidRPr="00606638">
        <w:rPr>
          <w:rFonts w:eastAsia="MS Mincho"/>
          <w:bCs/>
          <w:iCs/>
          <w:lang w:bidi="en-US"/>
        </w:rPr>
        <w:t xml:space="preserve"> </w:t>
      </w:r>
      <w:r>
        <w:rPr>
          <w:rFonts w:eastAsia="MS Mincho"/>
          <w:bCs/>
          <w:iCs/>
          <w:lang w:bidi="en-US"/>
        </w:rPr>
        <w:t>were</w:t>
      </w:r>
      <w:r w:rsidRPr="00606638">
        <w:rPr>
          <w:rFonts w:eastAsia="MS Mincho"/>
          <w:bCs/>
          <w:iCs/>
          <w:lang w:bidi="en-US"/>
        </w:rPr>
        <w:t xml:space="preserve"> being used in the country and their contribution to potential risks to human health and the environment.</w:t>
      </w:r>
    </w:p>
    <w:p w14:paraId="5D9A86B9"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 xml:space="preserve">The </w:t>
      </w:r>
      <w:r w:rsidRPr="00606638">
        <w:t>surveys</w:t>
      </w:r>
      <w:r w:rsidRPr="00606638">
        <w:rPr>
          <w:rFonts w:eastAsia="MS Mincho"/>
          <w:bCs/>
          <w:iCs/>
          <w:lang w:bidi="en-US"/>
        </w:rPr>
        <w:t xml:space="preserve"> (325 subsistence farmers interviewed) revealed that most of the farmers applied pesticides (95 per cent), and that the conditions of use were likely to result in undue (excessive) exposure. Half of the farmers interviewed </w:t>
      </w:r>
      <w:r>
        <w:rPr>
          <w:rFonts w:eastAsia="MS Mincho"/>
          <w:bCs/>
          <w:iCs/>
          <w:lang w:bidi="en-US"/>
        </w:rPr>
        <w:t xml:space="preserve">had </w:t>
      </w:r>
      <w:r w:rsidRPr="00606638">
        <w:rPr>
          <w:rFonts w:eastAsia="MS Mincho"/>
          <w:bCs/>
          <w:iCs/>
          <w:lang w:bidi="en-US"/>
        </w:rPr>
        <w:t xml:space="preserve">never received any training on pesticide use, and the other half, </w:t>
      </w:r>
      <w:r>
        <w:rPr>
          <w:rFonts w:eastAsia="MS Mincho"/>
          <w:bCs/>
          <w:iCs/>
          <w:lang w:bidi="en-US"/>
        </w:rPr>
        <w:t xml:space="preserve">who had received training, </w:t>
      </w:r>
      <w:r w:rsidRPr="00606638">
        <w:rPr>
          <w:rFonts w:eastAsia="MS Mincho"/>
          <w:bCs/>
          <w:iCs/>
          <w:lang w:bidi="en-US"/>
        </w:rPr>
        <w:t>often lacked understanding of the risks involved. Farmers were spraying vegetable crops at least 14 times per growing season. One out of three applications involved one of the HHP-containing formulations (almost 30 per cent of the farmers interviewed</w:t>
      </w:r>
      <w:r>
        <w:rPr>
          <w:rFonts w:eastAsia="MS Mincho"/>
          <w:bCs/>
          <w:iCs/>
          <w:lang w:bidi="en-US"/>
        </w:rPr>
        <w:t xml:space="preserve"> used HHPs</w:t>
      </w:r>
      <w:r w:rsidRPr="00606638">
        <w:rPr>
          <w:rFonts w:eastAsia="MS Mincho"/>
          <w:bCs/>
          <w:iCs/>
          <w:lang w:bidi="en-US"/>
        </w:rPr>
        <w:t>).</w:t>
      </w:r>
    </w:p>
    <w:p w14:paraId="0C2F3C89"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In addition, almost none of the farmers (93 per cent) owned or wore adequate PPE, having only one or no protective items at all. Only 2 per cent of those applying HHPs wore adequate full</w:t>
      </w:r>
      <w:r>
        <w:rPr>
          <w:rFonts w:eastAsia="MS Mincho"/>
          <w:bCs/>
          <w:iCs/>
          <w:lang w:bidi="en-US"/>
        </w:rPr>
        <w:t>-</w:t>
      </w:r>
      <w:r w:rsidRPr="00606638">
        <w:rPr>
          <w:rFonts w:eastAsia="MS Mincho"/>
          <w:bCs/>
          <w:iCs/>
          <w:lang w:bidi="en-US"/>
        </w:rPr>
        <w:t xml:space="preserve">body PPE. About half of the </w:t>
      </w:r>
      <w:r w:rsidRPr="00606638">
        <w:t>farmers</w:t>
      </w:r>
      <w:r w:rsidRPr="00606638">
        <w:rPr>
          <w:rFonts w:eastAsia="MS Mincho"/>
          <w:bCs/>
          <w:iCs/>
          <w:lang w:bidi="en-US"/>
        </w:rPr>
        <w:t xml:space="preserve"> had not received any training on the use of pesticides. </w:t>
      </w:r>
      <w:proofErr w:type="gramStart"/>
      <w:r w:rsidRPr="00606638">
        <w:rPr>
          <w:rFonts w:eastAsia="MS Mincho"/>
          <w:bCs/>
          <w:iCs/>
          <w:lang w:bidi="en-US"/>
        </w:rPr>
        <w:t>The majority of</w:t>
      </w:r>
      <w:proofErr w:type="gramEnd"/>
      <w:r w:rsidRPr="00606638">
        <w:rPr>
          <w:rFonts w:eastAsia="MS Mincho"/>
          <w:bCs/>
          <w:iCs/>
          <w:lang w:bidi="en-US"/>
        </w:rPr>
        <w:t xml:space="preserve"> pesticide applicators used manual sprayers (36 per cent), followed by electric sprayers (with batteries) (33 per cent) and inappropriate equipment such as watering cans (13.5 per cent) or other (unknown) means (12.5 per cent). Approximately half of the farmers surveyed reported that </w:t>
      </w:r>
      <w:r w:rsidRPr="00606638">
        <w:rPr>
          <w:rFonts w:eastAsia="MS Mincho"/>
          <w:bCs/>
          <w:iCs/>
          <w:lang w:bidi="en-US"/>
        </w:rPr>
        <w:lastRenderedPageBreak/>
        <w:t xml:space="preserve">they had noticed getting the pesticide on their clothes, bare </w:t>
      </w:r>
      <w:proofErr w:type="gramStart"/>
      <w:r w:rsidRPr="00606638">
        <w:rPr>
          <w:rFonts w:eastAsia="MS Mincho"/>
          <w:bCs/>
          <w:iCs/>
          <w:lang w:bidi="en-US"/>
        </w:rPr>
        <w:t>skin</w:t>
      </w:r>
      <w:proofErr w:type="gramEnd"/>
      <w:r w:rsidRPr="00606638">
        <w:rPr>
          <w:rFonts w:eastAsia="MS Mincho"/>
          <w:bCs/>
          <w:iCs/>
          <w:lang w:bidi="en-US"/>
        </w:rPr>
        <w:t xml:space="preserve"> or eyes during use. The main health symptoms associated with pesticide use by farmers noticing symptoms were headaches, skin rashes, burning eyes, vomiting, burning nostrils, blurred vision, </w:t>
      </w:r>
      <w:proofErr w:type="gramStart"/>
      <w:r w:rsidRPr="00606638">
        <w:rPr>
          <w:rFonts w:eastAsia="MS Mincho"/>
          <w:bCs/>
          <w:iCs/>
          <w:lang w:bidi="en-US"/>
        </w:rPr>
        <w:t>dizziness</w:t>
      </w:r>
      <w:proofErr w:type="gramEnd"/>
      <w:r w:rsidRPr="00606638">
        <w:rPr>
          <w:rFonts w:eastAsia="MS Mincho"/>
          <w:bCs/>
          <w:iCs/>
          <w:lang w:bidi="en-US"/>
        </w:rPr>
        <w:t xml:space="preserve"> and excessive sweating. Almost half </w:t>
      </w:r>
      <w:r>
        <w:rPr>
          <w:rFonts w:eastAsia="MS Mincho"/>
          <w:bCs/>
          <w:iCs/>
          <w:lang w:bidi="en-US"/>
        </w:rPr>
        <w:t xml:space="preserve">of </w:t>
      </w:r>
      <w:r w:rsidRPr="00606638">
        <w:rPr>
          <w:rFonts w:eastAsia="MS Mincho"/>
          <w:bCs/>
          <w:iCs/>
          <w:lang w:bidi="en-US"/>
        </w:rPr>
        <w:t xml:space="preserve">the farmers declared </w:t>
      </w:r>
      <w:r>
        <w:rPr>
          <w:rFonts w:eastAsia="MS Mincho"/>
          <w:bCs/>
          <w:iCs/>
          <w:lang w:bidi="en-US"/>
        </w:rPr>
        <w:t xml:space="preserve">that </w:t>
      </w:r>
      <w:r w:rsidRPr="00606638">
        <w:rPr>
          <w:rFonts w:eastAsia="MS Mincho"/>
          <w:bCs/>
          <w:iCs/>
          <w:lang w:bidi="en-US"/>
        </w:rPr>
        <w:t xml:space="preserve">they did not read pesticide labels, including use instructions such as proper dosage and protective measures, </w:t>
      </w:r>
      <w:r>
        <w:rPr>
          <w:rFonts w:eastAsia="MS Mincho"/>
          <w:bCs/>
          <w:iCs/>
          <w:lang w:bidi="en-US"/>
        </w:rPr>
        <w:t xml:space="preserve">with </w:t>
      </w:r>
      <w:r w:rsidRPr="00606638">
        <w:rPr>
          <w:rFonts w:eastAsia="MS Mincho"/>
          <w:bCs/>
          <w:iCs/>
          <w:lang w:bidi="en-US"/>
        </w:rPr>
        <w:t>the main reason being illiteracy. One out of four farmers poorly understood the hazard colour band on pesticide labels that indicates acute toxicity.</w:t>
      </w:r>
    </w:p>
    <w:p w14:paraId="0B320AD8"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 xml:space="preserve">The survey results showed that the use of pesticides in general, and of </w:t>
      </w:r>
      <w:proofErr w:type="gramStart"/>
      <w:r w:rsidRPr="00606638">
        <w:rPr>
          <w:rFonts w:eastAsia="MS Mincho"/>
          <w:bCs/>
          <w:iCs/>
          <w:lang w:bidi="en-US"/>
        </w:rPr>
        <w:t>HHPs in particular, was</w:t>
      </w:r>
      <w:proofErr w:type="gramEnd"/>
      <w:r w:rsidRPr="00606638">
        <w:rPr>
          <w:rFonts w:eastAsia="MS Mincho"/>
          <w:bCs/>
          <w:iCs/>
          <w:lang w:bidi="en-US"/>
        </w:rPr>
        <w:t xml:space="preserve"> likely to </w:t>
      </w:r>
      <w:r w:rsidRPr="004C41EB">
        <w:t>result</w:t>
      </w:r>
      <w:r w:rsidRPr="00606638">
        <w:rPr>
          <w:rFonts w:eastAsia="MS Mincho"/>
          <w:bCs/>
          <w:iCs/>
          <w:lang w:bidi="en-US"/>
        </w:rPr>
        <w:t xml:space="preserve"> in </w:t>
      </w:r>
      <w:r w:rsidRPr="00606638">
        <w:t>excessive</w:t>
      </w:r>
      <w:r w:rsidRPr="00606638">
        <w:rPr>
          <w:rFonts w:eastAsia="MS Mincho"/>
          <w:bCs/>
          <w:iCs/>
          <w:lang w:bidi="en-US"/>
        </w:rPr>
        <w:t xml:space="preserve"> exposure of farmers in Mozambique. Therefore</w:t>
      </w:r>
      <w:r>
        <w:rPr>
          <w:rFonts w:eastAsia="MS Mincho"/>
          <w:bCs/>
          <w:iCs/>
          <w:lang w:bidi="en-US"/>
        </w:rPr>
        <w:t>,</w:t>
      </w:r>
      <w:r w:rsidRPr="00606638">
        <w:rPr>
          <w:rFonts w:eastAsia="MS Mincho"/>
          <w:bCs/>
          <w:iCs/>
          <w:lang w:bidi="en-US"/>
        </w:rPr>
        <w:t xml:space="preserve"> </w:t>
      </w:r>
      <w:r>
        <w:rPr>
          <w:rFonts w:eastAsia="MS Mincho"/>
          <w:bCs/>
          <w:iCs/>
          <w:lang w:bidi="en-US"/>
        </w:rPr>
        <w:t xml:space="preserve">the </w:t>
      </w:r>
      <w:r w:rsidRPr="00606638">
        <w:rPr>
          <w:rFonts w:eastAsia="MS Mincho"/>
          <w:bCs/>
          <w:iCs/>
          <w:lang w:bidi="en-US"/>
        </w:rPr>
        <w:t>enforc</w:t>
      </w:r>
      <w:r>
        <w:rPr>
          <w:rFonts w:eastAsia="MS Mincho"/>
          <w:bCs/>
          <w:iCs/>
          <w:lang w:bidi="en-US"/>
        </w:rPr>
        <w:t>ement of</w:t>
      </w:r>
      <w:r w:rsidRPr="00606638">
        <w:rPr>
          <w:rFonts w:eastAsia="MS Mincho"/>
          <w:bCs/>
          <w:iCs/>
          <w:lang w:bidi="en-US"/>
        </w:rPr>
        <w:t xml:space="preserve"> risk mitigation measures </w:t>
      </w:r>
      <w:r>
        <w:rPr>
          <w:rFonts w:eastAsia="MS Mincho"/>
          <w:bCs/>
          <w:iCs/>
          <w:lang w:bidi="en-US"/>
        </w:rPr>
        <w:t xml:space="preserve">that </w:t>
      </w:r>
      <w:r w:rsidRPr="00606638">
        <w:rPr>
          <w:rFonts w:eastAsia="MS Mincho"/>
          <w:bCs/>
          <w:iCs/>
          <w:lang w:bidi="en-US"/>
        </w:rPr>
        <w:t>depend</w:t>
      </w:r>
      <w:r>
        <w:rPr>
          <w:rFonts w:eastAsia="MS Mincho"/>
          <w:bCs/>
          <w:iCs/>
          <w:lang w:bidi="en-US"/>
        </w:rPr>
        <w:t>ed</w:t>
      </w:r>
      <w:r w:rsidRPr="00606638">
        <w:rPr>
          <w:rFonts w:eastAsia="MS Mincho"/>
          <w:bCs/>
          <w:iCs/>
          <w:lang w:bidi="en-US"/>
        </w:rPr>
        <w:t xml:space="preserve"> solely on wearing the appropriate PPE under the local conditions of use would be difficult and unlikely to give results.</w:t>
      </w:r>
    </w:p>
    <w:p w14:paraId="19D6C75B"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rPr>
          <w:rFonts w:eastAsia="MS Mincho"/>
          <w:bCs/>
          <w:iCs/>
          <w:lang w:bidi="en-US"/>
        </w:rPr>
        <w:t xml:space="preserve">The </w:t>
      </w:r>
      <w:r w:rsidRPr="00606638">
        <w:t>third</w:t>
      </w:r>
      <w:r w:rsidRPr="00606638">
        <w:rPr>
          <w:rFonts w:eastAsia="MS Mincho"/>
          <w:bCs/>
          <w:iCs/>
          <w:lang w:bidi="en-US"/>
        </w:rPr>
        <w:t xml:space="preserve"> step of the project consisted of a stakeholder consultation to further discuss the use and risks of HHPs in Mozambique and fine-tune the shortlist based on the survey results and the expertise and experience of stakeholders.</w:t>
      </w:r>
    </w:p>
    <w:p w14:paraId="5FAA9B17" w14:textId="77777777" w:rsidR="006A2578" w:rsidRPr="00606638" w:rsidRDefault="006A2578" w:rsidP="006A2578">
      <w:pPr>
        <w:pStyle w:val="Normal-pool"/>
        <w:numPr>
          <w:ilvl w:val="0"/>
          <w:numId w:val="6"/>
        </w:numPr>
        <w:spacing w:after="120"/>
        <w:ind w:left="1247" w:firstLine="0"/>
        <w:rPr>
          <w:rFonts w:eastAsia="MS Mincho"/>
          <w:bCs/>
          <w:iCs/>
          <w:lang w:bidi="en-US"/>
        </w:rPr>
      </w:pPr>
      <w:proofErr w:type="spellStart"/>
      <w:r w:rsidRPr="00606638">
        <w:t>Terbufos</w:t>
      </w:r>
      <w:proofErr w:type="spellEnd"/>
      <w:r w:rsidRPr="00606638">
        <w:rPr>
          <w:rFonts w:eastAsia="MS Mincho"/>
          <w:bCs/>
          <w:iCs/>
          <w:lang w:bidi="en-US"/>
        </w:rPr>
        <w:t xml:space="preserve"> and the products containing this active ingredient were considered to pose </w:t>
      </w:r>
      <w:r w:rsidRPr="004C41EB">
        <w:t>unacceptable</w:t>
      </w:r>
      <w:r w:rsidRPr="00606638">
        <w:rPr>
          <w:rFonts w:eastAsia="MS Mincho"/>
          <w:bCs/>
          <w:iCs/>
          <w:lang w:bidi="en-US"/>
        </w:rPr>
        <w:t xml:space="preserve"> risk to human health under the local conditions of use in Mozambique requiring risk mitigation measures. </w:t>
      </w:r>
      <w:proofErr w:type="gramStart"/>
      <w:r w:rsidRPr="00606638">
        <w:rPr>
          <w:rFonts w:eastAsia="MS Mincho"/>
          <w:bCs/>
          <w:iCs/>
          <w:lang w:bidi="en-US"/>
        </w:rPr>
        <w:t>Therefore</w:t>
      </w:r>
      <w:proofErr w:type="gramEnd"/>
      <w:r w:rsidRPr="00606638">
        <w:rPr>
          <w:rFonts w:eastAsia="MS Mincho"/>
          <w:bCs/>
          <w:iCs/>
          <w:lang w:bidi="en-US"/>
        </w:rPr>
        <w:t xml:space="preserve"> the authorities decided to ban the active ingredient </w:t>
      </w:r>
      <w:proofErr w:type="spellStart"/>
      <w:r w:rsidRPr="00606638">
        <w:rPr>
          <w:rFonts w:eastAsia="MS Mincho"/>
          <w:bCs/>
          <w:iCs/>
          <w:lang w:bidi="en-US"/>
        </w:rPr>
        <w:t>terbufos</w:t>
      </w:r>
      <w:proofErr w:type="spellEnd"/>
      <w:r w:rsidRPr="00606638">
        <w:rPr>
          <w:rFonts w:eastAsia="MS Mincho"/>
          <w:bCs/>
          <w:iCs/>
          <w:lang w:bidi="en-US"/>
        </w:rPr>
        <w:t xml:space="preserve"> from future use in the country and to cancel the registration of all products containing it (UNEP/FAO/RC/CRC.17/8/Rev.1, sects. 1.3 and 2.4.2.1 of the Mozambique notification, with a focus on </w:t>
      </w:r>
      <w:proofErr w:type="spellStart"/>
      <w:r w:rsidRPr="00606638">
        <w:rPr>
          <w:rFonts w:eastAsia="MS Mincho"/>
          <w:bCs/>
          <w:iCs/>
          <w:lang w:bidi="en-US"/>
        </w:rPr>
        <w:t>terbufos</w:t>
      </w:r>
      <w:proofErr w:type="spellEnd"/>
      <w:r w:rsidRPr="00606638">
        <w:rPr>
          <w:rFonts w:eastAsia="MS Mincho"/>
          <w:bCs/>
          <w:iCs/>
          <w:lang w:bidi="en-US"/>
        </w:rPr>
        <w:t>-specific information as included in the supporting documentation).</w:t>
      </w:r>
    </w:p>
    <w:p w14:paraId="2F0CA191" w14:textId="77777777" w:rsidR="006A2578" w:rsidRPr="00606638" w:rsidRDefault="006A2578" w:rsidP="006A2578">
      <w:pPr>
        <w:pStyle w:val="Normal-pool"/>
        <w:numPr>
          <w:ilvl w:val="0"/>
          <w:numId w:val="6"/>
        </w:numPr>
        <w:spacing w:after="120"/>
        <w:ind w:left="1247" w:firstLine="0"/>
        <w:rPr>
          <w:rFonts w:eastAsia="MS Mincho"/>
          <w:bCs/>
          <w:iCs/>
          <w:lang w:bidi="en-US"/>
        </w:rPr>
      </w:pPr>
      <w:r w:rsidRPr="00606638">
        <w:t>Although</w:t>
      </w:r>
      <w:r w:rsidRPr="00606638">
        <w:rPr>
          <w:rFonts w:eastAsia="MS Mincho"/>
          <w:bCs/>
          <w:iCs/>
          <w:lang w:bidi="en-US"/>
        </w:rPr>
        <w:t xml:space="preserve"> specific information related to actual or measured </w:t>
      </w:r>
      <w:proofErr w:type="spellStart"/>
      <w:r w:rsidRPr="00606638">
        <w:rPr>
          <w:rFonts w:eastAsia="MS Mincho"/>
          <w:bCs/>
          <w:iCs/>
          <w:lang w:bidi="en-US"/>
        </w:rPr>
        <w:t>terbufos</w:t>
      </w:r>
      <w:proofErr w:type="spellEnd"/>
      <w:r w:rsidRPr="00606638">
        <w:rPr>
          <w:rFonts w:eastAsia="MS Mincho"/>
          <w:bCs/>
          <w:iCs/>
          <w:lang w:bidi="en-US"/>
        </w:rPr>
        <w:t xml:space="preserve"> exposure of agricultural workers in Mozambique was not included as part of the risk evaluation, the notification and supporting documentation provide an assessment of the prevailing conditions of use of pesticides in Mozambique. While no imports of </w:t>
      </w:r>
      <w:proofErr w:type="spellStart"/>
      <w:r w:rsidRPr="00606638">
        <w:rPr>
          <w:rFonts w:eastAsia="MS Mincho"/>
          <w:bCs/>
          <w:iCs/>
          <w:lang w:bidi="en-US"/>
        </w:rPr>
        <w:t>terbufos</w:t>
      </w:r>
      <w:proofErr w:type="spellEnd"/>
      <w:r w:rsidRPr="00606638">
        <w:rPr>
          <w:rFonts w:eastAsia="MS Mincho"/>
          <w:bCs/>
          <w:iCs/>
          <w:lang w:bidi="en-US"/>
        </w:rPr>
        <w:t xml:space="preserve"> formulations were recorded in the four years (2010–2013) prior to and including the period when the survey of users was carried out, registrations of those formulations remained in place and therefore future use could not be precluded (UNEP/FAO/RC/CRC.17/INF/18, p. 33). The registered uses for </w:t>
      </w:r>
      <w:proofErr w:type="spellStart"/>
      <w:r w:rsidRPr="00606638">
        <w:rPr>
          <w:rFonts w:eastAsia="MS Mincho"/>
          <w:bCs/>
          <w:iCs/>
          <w:lang w:bidi="en-US"/>
        </w:rPr>
        <w:t>terbufos</w:t>
      </w:r>
      <w:proofErr w:type="spellEnd"/>
      <w:r w:rsidRPr="00606638">
        <w:rPr>
          <w:rFonts w:eastAsia="MS Mincho"/>
          <w:bCs/>
          <w:iCs/>
          <w:lang w:bidi="en-US"/>
        </w:rPr>
        <w:t xml:space="preserve"> formulations were for maize, sorghum, </w:t>
      </w:r>
      <w:proofErr w:type="gramStart"/>
      <w:r w:rsidRPr="00606638">
        <w:rPr>
          <w:rFonts w:eastAsia="MS Mincho"/>
          <w:bCs/>
          <w:iCs/>
          <w:lang w:bidi="en-US"/>
        </w:rPr>
        <w:t>potato</w:t>
      </w:r>
      <w:proofErr w:type="gramEnd"/>
      <w:r w:rsidRPr="00606638">
        <w:rPr>
          <w:rFonts w:eastAsia="MS Mincho"/>
          <w:bCs/>
          <w:iCs/>
          <w:lang w:bidi="en-US"/>
        </w:rPr>
        <w:t xml:space="preserve"> and beans. These cropping systems were included in the survey of users </w:t>
      </w:r>
      <w:proofErr w:type="gramStart"/>
      <w:r w:rsidRPr="00606638">
        <w:rPr>
          <w:rFonts w:eastAsia="MS Mincho"/>
          <w:bCs/>
          <w:iCs/>
          <w:lang w:bidi="en-US"/>
        </w:rPr>
        <w:t>conducted, and</w:t>
      </w:r>
      <w:proofErr w:type="gramEnd"/>
      <w:r w:rsidRPr="00606638">
        <w:rPr>
          <w:rFonts w:eastAsia="MS Mincho"/>
          <w:bCs/>
          <w:iCs/>
          <w:lang w:bidi="en-US"/>
        </w:rPr>
        <w:t xml:space="preserve"> were the predominant crops in three of the regions of Mozambique surveyed. In addition, vegetable crops were reported as being the crops most frequently </w:t>
      </w:r>
      <w:proofErr w:type="spellStart"/>
      <w:r w:rsidRPr="00606638">
        <w:rPr>
          <w:rFonts w:eastAsia="MS Mincho"/>
          <w:bCs/>
          <w:iCs/>
          <w:lang w:bidi="en-US"/>
        </w:rPr>
        <w:t>oversprayed</w:t>
      </w:r>
      <w:proofErr w:type="spellEnd"/>
      <w:r w:rsidRPr="00606638">
        <w:rPr>
          <w:rFonts w:eastAsia="MS Mincho"/>
          <w:bCs/>
          <w:iCs/>
          <w:lang w:bidi="en-US"/>
        </w:rPr>
        <w:t xml:space="preserve"> by HHPs, which poses a risk to human health given the local conditions of use (application as many as 14 times per growing season) (UNEP/FAO/RC/CRC.17/INF/18, pp. 52–77). The notification and supporting documentation indicate that the use of pesticides in general, and of HHPs (such as </w:t>
      </w:r>
      <w:proofErr w:type="spellStart"/>
      <w:r w:rsidRPr="00606638">
        <w:rPr>
          <w:rFonts w:eastAsia="MS Mincho"/>
          <w:bCs/>
          <w:iCs/>
          <w:lang w:bidi="en-US"/>
        </w:rPr>
        <w:t>terbufos</w:t>
      </w:r>
      <w:proofErr w:type="spellEnd"/>
      <w:r w:rsidRPr="00606638">
        <w:rPr>
          <w:rFonts w:eastAsia="MS Mincho"/>
          <w:bCs/>
          <w:iCs/>
          <w:lang w:bidi="en-US"/>
        </w:rPr>
        <w:t xml:space="preserve">) in particular, was likely to result in excessive exposure of farmers given the availability, </w:t>
      </w:r>
      <w:proofErr w:type="gramStart"/>
      <w:r w:rsidRPr="00606638">
        <w:rPr>
          <w:rFonts w:eastAsia="MS Mincho"/>
          <w:bCs/>
          <w:iCs/>
          <w:lang w:bidi="en-US"/>
        </w:rPr>
        <w:t>knowledge</w:t>
      </w:r>
      <w:proofErr w:type="gramEnd"/>
      <w:r w:rsidRPr="00606638">
        <w:rPr>
          <w:rFonts w:eastAsia="MS Mincho"/>
          <w:bCs/>
          <w:iCs/>
          <w:lang w:bidi="en-US"/>
        </w:rPr>
        <w:t xml:space="preserve"> and use of PPE among farmers, and was evidenced by a high level of reporting of adverse health effects. The final regulatory action was taken </w:t>
      </w:r>
      <w:proofErr w:type="gramStart"/>
      <w:r w:rsidRPr="00606638">
        <w:rPr>
          <w:rFonts w:eastAsia="MS Mincho"/>
          <w:bCs/>
          <w:iCs/>
          <w:lang w:bidi="en-US"/>
        </w:rPr>
        <w:t>as a result of</w:t>
      </w:r>
      <w:proofErr w:type="gramEnd"/>
      <w:r w:rsidRPr="00606638">
        <w:rPr>
          <w:rFonts w:eastAsia="MS Mincho"/>
          <w:bCs/>
          <w:iCs/>
          <w:lang w:bidi="en-US"/>
        </w:rPr>
        <w:t xml:space="preserve"> </w:t>
      </w:r>
      <w:r>
        <w:rPr>
          <w:rFonts w:eastAsia="MS Mincho"/>
          <w:bCs/>
          <w:iCs/>
          <w:lang w:bidi="en-US"/>
        </w:rPr>
        <w:t>the</w:t>
      </w:r>
      <w:r w:rsidRPr="00606638">
        <w:rPr>
          <w:rFonts w:eastAsia="MS Mincho"/>
          <w:bCs/>
          <w:iCs/>
          <w:lang w:bidi="en-US"/>
        </w:rPr>
        <w:t xml:space="preserve"> national objective </w:t>
      </w:r>
      <w:r>
        <w:rPr>
          <w:rFonts w:eastAsia="MS Mincho"/>
          <w:bCs/>
          <w:iCs/>
          <w:lang w:bidi="en-US"/>
        </w:rPr>
        <w:t xml:space="preserve">of Mozambique </w:t>
      </w:r>
      <w:r w:rsidRPr="00606638">
        <w:rPr>
          <w:rFonts w:eastAsia="MS Mincho"/>
          <w:bCs/>
          <w:iCs/>
          <w:lang w:bidi="en-US"/>
        </w:rPr>
        <w:t>of reducing the greatest risks associated with pesticide use.</w:t>
      </w:r>
    </w:p>
    <w:p w14:paraId="129EF3D9" w14:textId="77777777" w:rsidR="006A2578" w:rsidRPr="00606638" w:rsidRDefault="006A2578" w:rsidP="006A2578">
      <w:pPr>
        <w:pStyle w:val="Normal-pool"/>
        <w:numPr>
          <w:ilvl w:val="0"/>
          <w:numId w:val="6"/>
        </w:numPr>
        <w:spacing w:after="120"/>
        <w:ind w:left="1247" w:firstLine="0"/>
        <w:rPr>
          <w:rFonts w:eastAsia="MS Mincho"/>
          <w:bCs/>
          <w:iCs/>
          <w:lang w:bidi="en-US"/>
        </w:rPr>
      </w:pPr>
      <w:r>
        <w:t>The country’s</w:t>
      </w:r>
      <w:r w:rsidRPr="00606638">
        <w:rPr>
          <w:rFonts w:eastAsia="MS Mincho"/>
          <w:bCs/>
          <w:iCs/>
          <w:lang w:bidi="en-US"/>
        </w:rPr>
        <w:t xml:space="preserve"> goal of developing and implementing an HHP risk reduction action plan could be considered </w:t>
      </w:r>
      <w:r w:rsidRPr="004C41EB">
        <w:t>as</w:t>
      </w:r>
      <w:r w:rsidRPr="00606638">
        <w:rPr>
          <w:rFonts w:eastAsia="MS Mincho"/>
          <w:bCs/>
          <w:iCs/>
          <w:lang w:bidi="en-US"/>
        </w:rPr>
        <w:t xml:space="preserve"> a national policy that HHPs not be registered based on the understanding that the prevailing conditions of use in Mozambique will result in unacceptable risks to agricultural workers. </w:t>
      </w:r>
      <w:proofErr w:type="spellStart"/>
      <w:r w:rsidRPr="00606638">
        <w:rPr>
          <w:rFonts w:eastAsia="MS Mincho"/>
          <w:bCs/>
          <w:iCs/>
          <w:lang w:bidi="en-US"/>
        </w:rPr>
        <w:t>Terbufos</w:t>
      </w:r>
      <w:proofErr w:type="spellEnd"/>
      <w:r w:rsidRPr="00606638">
        <w:rPr>
          <w:rFonts w:eastAsia="MS Mincho"/>
          <w:bCs/>
          <w:iCs/>
          <w:lang w:bidi="en-US"/>
        </w:rPr>
        <w:t xml:space="preserve"> and the </w:t>
      </w:r>
      <w:proofErr w:type="spellStart"/>
      <w:r w:rsidRPr="00606638">
        <w:rPr>
          <w:rFonts w:eastAsia="MS Mincho"/>
          <w:bCs/>
          <w:iCs/>
          <w:lang w:bidi="en-US"/>
        </w:rPr>
        <w:t>terbufos</w:t>
      </w:r>
      <w:proofErr w:type="spellEnd"/>
      <w:r w:rsidRPr="00606638">
        <w:rPr>
          <w:rFonts w:eastAsia="MS Mincho"/>
          <w:bCs/>
          <w:iCs/>
          <w:lang w:bidi="en-US"/>
        </w:rPr>
        <w:t xml:space="preserve"> formulations registered in Mozambique were identified as HHPs as they are classified as WHO class </w:t>
      </w:r>
      <w:proofErr w:type="spellStart"/>
      <w:r w:rsidRPr="00606638">
        <w:rPr>
          <w:rFonts w:eastAsia="MS Mincho"/>
          <w:bCs/>
          <w:iCs/>
          <w:lang w:bidi="en-US"/>
        </w:rPr>
        <w:t>Ia</w:t>
      </w:r>
      <w:proofErr w:type="spellEnd"/>
      <w:r w:rsidRPr="00606638">
        <w:rPr>
          <w:rFonts w:eastAsia="MS Mincho"/>
          <w:bCs/>
          <w:iCs/>
          <w:lang w:bidi="en-US"/>
        </w:rPr>
        <w:t xml:space="preserve"> – extremely hazardous pesticides. Therefore, taking into consideration </w:t>
      </w:r>
      <w:r>
        <w:rPr>
          <w:rFonts w:eastAsia="MS Mincho"/>
          <w:bCs/>
          <w:iCs/>
          <w:lang w:bidi="en-US"/>
        </w:rPr>
        <w:t>the</w:t>
      </w:r>
      <w:r w:rsidRPr="00606638">
        <w:rPr>
          <w:rFonts w:eastAsia="MS Mincho"/>
          <w:bCs/>
          <w:iCs/>
          <w:lang w:bidi="en-US"/>
        </w:rPr>
        <w:t xml:space="preserve"> national objective </w:t>
      </w:r>
      <w:r>
        <w:rPr>
          <w:rFonts w:eastAsia="MS Mincho"/>
          <w:bCs/>
          <w:iCs/>
          <w:lang w:bidi="en-US"/>
        </w:rPr>
        <w:t xml:space="preserve">of Mozambique </w:t>
      </w:r>
      <w:r w:rsidRPr="00606638">
        <w:rPr>
          <w:rFonts w:eastAsia="MS Mincho"/>
          <w:bCs/>
          <w:iCs/>
          <w:lang w:bidi="en-US"/>
        </w:rPr>
        <w:t xml:space="preserve">of reducing risks of the most dangerous pesticides including HHPs, the results of the survey of pesticide use practices in selected cropping systems in Mozambique (some of which are representative of potential </w:t>
      </w:r>
      <w:proofErr w:type="spellStart"/>
      <w:r w:rsidRPr="00606638">
        <w:rPr>
          <w:rFonts w:eastAsia="MS Mincho"/>
          <w:bCs/>
          <w:iCs/>
          <w:lang w:bidi="en-US"/>
        </w:rPr>
        <w:t>terbufos</w:t>
      </w:r>
      <w:proofErr w:type="spellEnd"/>
      <w:r w:rsidRPr="00606638">
        <w:rPr>
          <w:rFonts w:eastAsia="MS Mincho"/>
          <w:bCs/>
          <w:iCs/>
          <w:lang w:bidi="en-US"/>
        </w:rPr>
        <w:t xml:space="preserve"> use), which included the identification of inadequate availability and use of PPE and </w:t>
      </w:r>
      <w:proofErr w:type="spellStart"/>
      <w:r w:rsidRPr="00606638">
        <w:rPr>
          <w:rFonts w:eastAsia="MS Mincho"/>
          <w:bCs/>
          <w:iCs/>
          <w:lang w:bidi="en-US"/>
        </w:rPr>
        <w:t>terbufos</w:t>
      </w:r>
      <w:proofErr w:type="spellEnd"/>
      <w:r w:rsidRPr="00606638">
        <w:rPr>
          <w:rFonts w:eastAsia="MS Mincho"/>
          <w:bCs/>
          <w:iCs/>
          <w:lang w:bidi="en-US"/>
        </w:rPr>
        <w:t xml:space="preserve">’ high acute toxicity (WHO hazard classification </w:t>
      </w:r>
      <w:proofErr w:type="spellStart"/>
      <w:r w:rsidRPr="00606638">
        <w:rPr>
          <w:rFonts w:eastAsia="MS Mincho"/>
          <w:bCs/>
          <w:iCs/>
          <w:lang w:bidi="en-US"/>
        </w:rPr>
        <w:t>Ia</w:t>
      </w:r>
      <w:proofErr w:type="spellEnd"/>
      <w:r w:rsidRPr="00606638">
        <w:rPr>
          <w:rFonts w:eastAsia="MS Mincho"/>
          <w:bCs/>
          <w:iCs/>
          <w:lang w:bidi="en-US"/>
        </w:rPr>
        <w:t xml:space="preserve"> – extremely hazardous), it is concluded that the final regulatory action was based on a risk evaluation involving the prevailing conditions within the Party taking the action.</w:t>
      </w:r>
    </w:p>
    <w:p w14:paraId="76FD79D6"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Committee therefore confirms that the criterion in paragraph (b) (iii) of Annex II is met.</w:t>
      </w:r>
    </w:p>
    <w:p w14:paraId="7537F4CF"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Committee confirms that the criteria of paragraph (b) of Annex II are met.</w:t>
      </w:r>
    </w:p>
    <w:p w14:paraId="7EB7A2F4" w14:textId="77777777" w:rsidR="006A2578" w:rsidRPr="006A2578" w:rsidRDefault="006A2578" w:rsidP="006A2578">
      <w:pPr>
        <w:keepNext/>
        <w:keepLines/>
        <w:tabs>
          <w:tab w:val="right" w:pos="851"/>
          <w:tab w:val="left" w:pos="4082"/>
        </w:tabs>
        <w:spacing w:after="120"/>
        <w:ind w:left="1247" w:right="284" w:hanging="1247"/>
        <w:jc w:val="both"/>
        <w:rPr>
          <w:b/>
          <w:snapToGrid w:val="0"/>
          <w:lang w:val="it-IT"/>
        </w:rPr>
      </w:pPr>
      <w:r w:rsidRPr="00606638">
        <w:rPr>
          <w:b/>
          <w:snapToGrid w:val="0"/>
          <w:lang w:val="en-GB"/>
        </w:rPr>
        <w:lastRenderedPageBreak/>
        <w:tab/>
      </w:r>
      <w:r w:rsidRPr="006A2578">
        <w:rPr>
          <w:b/>
          <w:snapToGrid w:val="0"/>
          <w:lang w:val="it-IT"/>
        </w:rPr>
        <w:t>(d)</w:t>
      </w:r>
      <w:r w:rsidRPr="006A2578">
        <w:rPr>
          <w:b/>
          <w:snapToGrid w:val="0"/>
          <w:lang w:val="it-IT"/>
        </w:rPr>
        <w:tab/>
        <w:t>Annex II paragraph (c) criteria</w:t>
      </w:r>
    </w:p>
    <w:p w14:paraId="65F37149"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(c)</w:t>
      </w:r>
      <w:r w:rsidRPr="00606638">
        <w:rPr>
          <w:i/>
          <w:lang w:val="en-GB"/>
        </w:rPr>
        <w:tab/>
        <w:t xml:space="preserve">Consider whether the final regulatory action provides a sufficiently broad basis to merit listing of the chemical in Annex III, by </w:t>
      </w:r>
      <w:proofErr w:type="gramStart"/>
      <w:r w:rsidRPr="00606638">
        <w:rPr>
          <w:i/>
          <w:lang w:val="en-GB"/>
        </w:rPr>
        <w:t>taking into account</w:t>
      </w:r>
      <w:proofErr w:type="gramEnd"/>
      <w:r w:rsidRPr="00606638">
        <w:rPr>
          <w:i/>
          <w:lang w:val="en-GB"/>
        </w:rPr>
        <w:t>:</w:t>
      </w:r>
    </w:p>
    <w:p w14:paraId="474DE718"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 xml:space="preserve">Whether the final regulatory action led, or would be expected to lead, to a significant decrease in the quantity of the chemical used or the number of its </w:t>
      </w:r>
      <w:proofErr w:type="gramStart"/>
      <w:r w:rsidRPr="00606638">
        <w:rPr>
          <w:i/>
          <w:lang w:val="en-GB"/>
        </w:rPr>
        <w:t>uses;</w:t>
      </w:r>
      <w:proofErr w:type="gramEnd"/>
    </w:p>
    <w:p w14:paraId="12A75AF0"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 notification indicates that, before</w:t>
      </w:r>
      <w:r w:rsidRPr="00606638">
        <w:rPr>
          <w:rFonts w:eastAsia="MS Mincho"/>
          <w:iCs/>
          <w:lang w:bidi="en-US"/>
        </w:rPr>
        <w:t xml:space="preserve"> the regulatory action entered into force on 15 July 2014, </w:t>
      </w:r>
      <w:proofErr w:type="spellStart"/>
      <w:r w:rsidRPr="00606638">
        <w:rPr>
          <w:rFonts w:eastAsia="MS Mincho"/>
          <w:iCs/>
          <w:lang w:bidi="en-US"/>
        </w:rPr>
        <w:t>terbufos</w:t>
      </w:r>
      <w:proofErr w:type="spellEnd"/>
      <w:r w:rsidRPr="00606638">
        <w:rPr>
          <w:rFonts w:eastAsia="MS Mincho"/>
          <w:iCs/>
          <w:lang w:bidi="en-US"/>
        </w:rPr>
        <w:t xml:space="preserve"> </w:t>
      </w:r>
      <w:r w:rsidRPr="004C41EB">
        <w:t>was</w:t>
      </w:r>
      <w:r w:rsidRPr="00606638">
        <w:rPr>
          <w:rFonts w:eastAsia="MS Mincho"/>
          <w:iCs/>
          <w:lang w:bidi="en-US"/>
        </w:rPr>
        <w:t xml:space="preserve"> registered for use as an insecticide on maize, sorghum, </w:t>
      </w:r>
      <w:proofErr w:type="gramStart"/>
      <w:r w:rsidRPr="00606638">
        <w:rPr>
          <w:rFonts w:eastAsia="MS Mincho"/>
          <w:iCs/>
          <w:lang w:bidi="en-US"/>
        </w:rPr>
        <w:t>potato</w:t>
      </w:r>
      <w:proofErr w:type="gramEnd"/>
      <w:r w:rsidRPr="00606638">
        <w:rPr>
          <w:rFonts w:eastAsia="MS Mincho"/>
          <w:iCs/>
          <w:lang w:bidi="en-US"/>
        </w:rPr>
        <w:t xml:space="preserve"> and beans. The notification also provides quantities of the formulations imported for the years 2008 (4,650 kg) and 2009 (6,750</w:t>
      </w:r>
      <w:r>
        <w:rPr>
          <w:rFonts w:eastAsia="MS Mincho"/>
          <w:iCs/>
          <w:lang w:bidi="en-US"/>
        </w:rPr>
        <w:t> </w:t>
      </w:r>
      <w:r w:rsidRPr="00606638">
        <w:rPr>
          <w:rFonts w:eastAsia="MS Mincho"/>
          <w:iCs/>
          <w:lang w:bidi="en-US"/>
        </w:rPr>
        <w:t>kg) (UNEP/FAO/RC/CRC.17/8/Rev.1, sects. 2.3.1 and 2.5.1 of the Mozambique notification).</w:t>
      </w:r>
    </w:p>
    <w:p w14:paraId="39586D26"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 xml:space="preserve">The final regulatory action banned the import and use of </w:t>
      </w:r>
      <w:proofErr w:type="spellStart"/>
      <w:r w:rsidRPr="00606638">
        <w:t>terbufos</w:t>
      </w:r>
      <w:proofErr w:type="spellEnd"/>
      <w:r w:rsidRPr="00606638">
        <w:t xml:space="preserve"> in Mozambique and cancelled the registration of all products containing </w:t>
      </w:r>
      <w:proofErr w:type="spellStart"/>
      <w:r w:rsidRPr="00606638">
        <w:t>terbufos</w:t>
      </w:r>
      <w:proofErr w:type="spellEnd"/>
      <w:r w:rsidRPr="00606638">
        <w:t>. Therefore, it is expected</w:t>
      </w:r>
      <w:r w:rsidRPr="00606638">
        <w:rPr>
          <w:rFonts w:eastAsia="MS Mincho"/>
          <w:iCs/>
          <w:lang w:bidi="en-US"/>
        </w:rPr>
        <w:t xml:space="preserve"> that the regulatory action will lead to a significant reduction </w:t>
      </w:r>
      <w:r>
        <w:rPr>
          <w:rFonts w:eastAsia="MS Mincho"/>
          <w:iCs/>
          <w:lang w:bidi="en-US"/>
        </w:rPr>
        <w:t>in</w:t>
      </w:r>
      <w:r w:rsidRPr="00606638">
        <w:rPr>
          <w:rFonts w:eastAsia="MS Mincho"/>
          <w:iCs/>
          <w:lang w:bidi="en-US"/>
        </w:rPr>
        <w:t xml:space="preserve"> the quantity of the chemical used in Mozambique.</w:t>
      </w:r>
    </w:p>
    <w:p w14:paraId="10601AFB"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Committee therefore confirms that the criterion in paragraph (c) (</w:t>
      </w:r>
      <w:proofErr w:type="spellStart"/>
      <w:r w:rsidRPr="00606638">
        <w:rPr>
          <w:rFonts w:eastAsia="MS Mincho"/>
          <w:iCs/>
          <w:lang w:bidi="en-US"/>
        </w:rPr>
        <w:t>i</w:t>
      </w:r>
      <w:proofErr w:type="spellEnd"/>
      <w:r w:rsidRPr="00606638">
        <w:rPr>
          <w:rFonts w:eastAsia="MS Mincho"/>
          <w:iCs/>
          <w:lang w:bidi="en-US"/>
        </w:rPr>
        <w:t xml:space="preserve">) is met. </w:t>
      </w:r>
    </w:p>
    <w:p w14:paraId="51F7D04C"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 xml:space="preserve">Whether the final regulatory action led to an actual reduction of risk or would be expected to result in a significant reduction of risk for human health or the environment of the Party that submitted the </w:t>
      </w:r>
      <w:proofErr w:type="gramStart"/>
      <w:r w:rsidRPr="00606638">
        <w:rPr>
          <w:i/>
          <w:lang w:val="en-GB"/>
        </w:rPr>
        <w:t>notification;</w:t>
      </w:r>
      <w:proofErr w:type="gramEnd"/>
    </w:p>
    <w:p w14:paraId="2AFEC788"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 xml:space="preserve">Given that </w:t>
      </w:r>
      <w:r w:rsidRPr="00606638">
        <w:rPr>
          <w:rFonts w:eastAsia="MS Mincho"/>
          <w:iCs/>
          <w:lang w:bidi="en-US"/>
        </w:rPr>
        <w:t xml:space="preserve">the ban of the import and use, and the cancellation of the registration of products containing </w:t>
      </w:r>
      <w:proofErr w:type="spellStart"/>
      <w:r w:rsidRPr="004C41EB">
        <w:t>terbufos</w:t>
      </w:r>
      <w:proofErr w:type="spellEnd"/>
      <w:r w:rsidRPr="00606638">
        <w:rPr>
          <w:rFonts w:eastAsia="MS Mincho"/>
          <w:iCs/>
          <w:lang w:bidi="en-US"/>
        </w:rPr>
        <w:t xml:space="preserve"> is expected to lead to a significant reduction </w:t>
      </w:r>
      <w:r>
        <w:rPr>
          <w:rFonts w:eastAsia="MS Mincho"/>
          <w:iCs/>
          <w:lang w:bidi="en-US"/>
        </w:rPr>
        <w:t>in</w:t>
      </w:r>
      <w:r w:rsidRPr="00606638">
        <w:rPr>
          <w:rFonts w:eastAsia="MS Mincho"/>
          <w:iCs/>
          <w:lang w:bidi="en-US"/>
        </w:rPr>
        <w:t xml:space="preserve"> the quantity of the chemical used in Mozambique, the risks to human health are expected to be significantly reduced.</w:t>
      </w:r>
    </w:p>
    <w:p w14:paraId="0B3970AB"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w:t>
      </w:r>
      <w:r w:rsidRPr="004C41EB">
        <w:t>Committee</w:t>
      </w:r>
      <w:r w:rsidRPr="00606638">
        <w:rPr>
          <w:rFonts w:eastAsia="MS Mincho"/>
          <w:iCs/>
          <w:lang w:bidi="en-US"/>
        </w:rPr>
        <w:t xml:space="preserve"> therefore confirms that the criterion in paragraph (c) (ii) is met. </w:t>
      </w:r>
    </w:p>
    <w:p w14:paraId="35A415CE"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 xml:space="preserve">Whether the considerations that led to the final regulatory action being taken are applicable only in a limited geographical area or in other limited </w:t>
      </w:r>
      <w:proofErr w:type="gramStart"/>
      <w:r w:rsidRPr="00606638">
        <w:rPr>
          <w:i/>
          <w:lang w:val="en-GB"/>
        </w:rPr>
        <w:t>circumstances;</w:t>
      </w:r>
      <w:proofErr w:type="gramEnd"/>
    </w:p>
    <w:p w14:paraId="72E556D3" w14:textId="77777777" w:rsidR="006A2578" w:rsidRPr="00606638" w:rsidRDefault="006A2578" w:rsidP="006A2578">
      <w:pPr>
        <w:pStyle w:val="Normal-pool"/>
        <w:numPr>
          <w:ilvl w:val="0"/>
          <w:numId w:val="6"/>
        </w:numPr>
        <w:spacing w:after="120"/>
        <w:ind w:left="1247" w:firstLine="0"/>
        <w:rPr>
          <w:rFonts w:eastAsia="MS Mincho"/>
          <w:iCs/>
          <w:lang w:bidi="en-US"/>
        </w:rPr>
      </w:pPr>
      <w:r w:rsidRPr="004C41EB">
        <w:t>The</w:t>
      </w:r>
      <w:r w:rsidRPr="00606638">
        <w:rPr>
          <w:rFonts w:eastAsia="MS Mincho"/>
          <w:iCs/>
          <w:lang w:bidi="en-US"/>
        </w:rPr>
        <w:t xml:space="preserve"> notification states that countries with similar conditions as well as those where farmers use pesticides without PPE could take a similar decision </w:t>
      </w:r>
      <w:proofErr w:type="gramStart"/>
      <w:r w:rsidRPr="00606638">
        <w:rPr>
          <w:rFonts w:eastAsia="MS Mincho"/>
          <w:iCs/>
          <w:lang w:bidi="en-US"/>
        </w:rPr>
        <w:t>in order to</w:t>
      </w:r>
      <w:proofErr w:type="gramEnd"/>
      <w:r w:rsidRPr="00606638">
        <w:rPr>
          <w:rFonts w:eastAsia="MS Mincho"/>
          <w:iCs/>
          <w:lang w:bidi="en-US"/>
        </w:rPr>
        <w:t xml:space="preserve"> protect human health (UNEP/FAO/RC/CRC.17/8/Rev.1, sect. 2.5.2 of the Mozambique notification). The considerations that led to the final regulatory action are generally applicable to other countries and are related to the intended use of </w:t>
      </w:r>
      <w:proofErr w:type="spellStart"/>
      <w:r w:rsidRPr="00606638">
        <w:rPr>
          <w:rFonts w:eastAsia="MS Mincho"/>
          <w:iCs/>
          <w:lang w:bidi="en-US"/>
        </w:rPr>
        <w:t>terbufos</w:t>
      </w:r>
      <w:proofErr w:type="spellEnd"/>
      <w:r w:rsidRPr="00606638">
        <w:rPr>
          <w:rFonts w:eastAsia="MS Mincho"/>
          <w:iCs/>
          <w:lang w:bidi="en-US"/>
        </w:rPr>
        <w:t xml:space="preserve"> as a pesticide.</w:t>
      </w:r>
    </w:p>
    <w:p w14:paraId="6340D86F"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t>The</w:t>
      </w:r>
      <w:r w:rsidRPr="00606638">
        <w:rPr>
          <w:rFonts w:eastAsia="MS Mincho"/>
          <w:iCs/>
          <w:lang w:bidi="en-US"/>
        </w:rPr>
        <w:t xml:space="preserve"> Committee therefore confirms that the criterion in paragraph (c) (iii) is met. </w:t>
      </w:r>
    </w:p>
    <w:p w14:paraId="49BBF6DC" w14:textId="77777777" w:rsidR="006A2578" w:rsidRPr="00606638" w:rsidRDefault="006A2578" w:rsidP="006A2578">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(iv)</w:t>
      </w:r>
      <w:r w:rsidRPr="00606638">
        <w:rPr>
          <w:i/>
          <w:lang w:val="en-GB"/>
        </w:rPr>
        <w:tab/>
        <w:t xml:space="preserve">Whether there is evidence of ongoing international trade in the </w:t>
      </w:r>
      <w:proofErr w:type="gramStart"/>
      <w:r w:rsidRPr="00606638">
        <w:rPr>
          <w:i/>
          <w:lang w:val="en-GB"/>
        </w:rPr>
        <w:t>chemical;</w:t>
      </w:r>
      <w:proofErr w:type="gramEnd"/>
    </w:p>
    <w:p w14:paraId="4AFA3C46"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In response to the Secretariat's request to provide information on ongoing international trade </w:t>
      </w:r>
      <w:r>
        <w:rPr>
          <w:rFonts w:eastAsia="MS Mincho"/>
          <w:iCs/>
          <w:lang w:bidi="en-US"/>
        </w:rPr>
        <w:t>in</w:t>
      </w:r>
      <w:r w:rsidRPr="00606638">
        <w:rPr>
          <w:rFonts w:eastAsia="MS Mincho"/>
          <w:iCs/>
          <w:lang w:bidi="en-US"/>
        </w:rPr>
        <w:t xml:space="preserve"> candidate </w:t>
      </w:r>
      <w:r w:rsidRPr="004C41EB">
        <w:t>chemicals</w:t>
      </w:r>
      <w:r w:rsidRPr="00606638">
        <w:rPr>
          <w:rFonts w:eastAsia="MS Mincho"/>
          <w:iCs/>
          <w:lang w:bidi="en-US"/>
        </w:rPr>
        <w:t xml:space="preserve"> for the seventeenth meeting of the Committee, CropLife International confirmed ongoing international trade </w:t>
      </w:r>
      <w:r>
        <w:rPr>
          <w:rFonts w:eastAsia="MS Mincho"/>
          <w:iCs/>
          <w:lang w:bidi="en-US"/>
        </w:rPr>
        <w:t>in</w:t>
      </w:r>
      <w:r w:rsidRPr="00606638">
        <w:rPr>
          <w:rFonts w:eastAsia="MS Mincho"/>
          <w:iCs/>
          <w:lang w:bidi="en-US"/>
        </w:rPr>
        <w:t xml:space="preserve"> </w:t>
      </w:r>
      <w:proofErr w:type="spellStart"/>
      <w:r w:rsidRPr="00606638">
        <w:rPr>
          <w:rFonts w:eastAsia="MS Mincho"/>
          <w:iCs/>
          <w:lang w:bidi="en-US"/>
        </w:rPr>
        <w:t>terbufos</w:t>
      </w:r>
      <w:proofErr w:type="spellEnd"/>
      <w:r w:rsidRPr="00606638">
        <w:rPr>
          <w:rFonts w:eastAsia="MS Mincho"/>
          <w:iCs/>
          <w:lang w:bidi="en-US"/>
        </w:rPr>
        <w:t xml:space="preserve"> by companies that are not members of CropLife International (UNEP/FAO/RC/CRC.17/INF/5).</w:t>
      </w:r>
    </w:p>
    <w:p w14:paraId="7CE727E9"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The Committee therefore confirms that the criterion in paragraph (c) (iv) is met.</w:t>
      </w:r>
    </w:p>
    <w:p w14:paraId="4AF317B8" w14:textId="77777777" w:rsidR="006A2578" w:rsidRPr="00606638" w:rsidRDefault="006A2578" w:rsidP="006A2578">
      <w:pPr>
        <w:pStyle w:val="Normal-pool"/>
        <w:numPr>
          <w:ilvl w:val="0"/>
          <w:numId w:val="6"/>
        </w:numPr>
        <w:spacing w:after="120"/>
        <w:ind w:left="1247" w:firstLine="0"/>
        <w:rPr>
          <w:rFonts w:eastAsia="MS Mincho"/>
          <w:iCs/>
          <w:lang w:bidi="en-US"/>
        </w:rPr>
      </w:pPr>
      <w:r w:rsidRPr="004C41EB">
        <w:t>The</w:t>
      </w:r>
      <w:r w:rsidRPr="00606638">
        <w:rPr>
          <w:rFonts w:eastAsia="MS Mincho"/>
          <w:iCs/>
          <w:lang w:bidi="en-US"/>
        </w:rPr>
        <w:t xml:space="preserve"> Committee confirms that the criteria of paragraph (c) of Annex II are met.</w:t>
      </w:r>
    </w:p>
    <w:p w14:paraId="6AE1D445" w14:textId="77777777" w:rsidR="006A2578" w:rsidRPr="006A2578" w:rsidRDefault="006A2578" w:rsidP="006A2578">
      <w:pPr>
        <w:keepNext/>
        <w:keepLines/>
        <w:tabs>
          <w:tab w:val="right" w:pos="851"/>
          <w:tab w:val="left" w:pos="4082"/>
        </w:tabs>
        <w:spacing w:after="120"/>
        <w:ind w:left="1247" w:right="284" w:hanging="1247"/>
        <w:jc w:val="both"/>
        <w:rPr>
          <w:b/>
          <w:snapToGrid w:val="0"/>
          <w:lang w:val="it-IT"/>
        </w:rPr>
      </w:pPr>
      <w:r w:rsidRPr="00606638">
        <w:rPr>
          <w:b/>
          <w:snapToGrid w:val="0"/>
          <w:lang w:val="en-GB"/>
        </w:rPr>
        <w:tab/>
      </w:r>
      <w:r w:rsidRPr="006A2578">
        <w:rPr>
          <w:b/>
          <w:snapToGrid w:val="0"/>
          <w:lang w:val="it-IT"/>
        </w:rPr>
        <w:t>(e)</w:t>
      </w:r>
      <w:r w:rsidRPr="006A2578">
        <w:rPr>
          <w:b/>
          <w:snapToGrid w:val="0"/>
          <w:lang w:val="it-IT"/>
        </w:rPr>
        <w:tab/>
        <w:t>Annex II paragraph (d) criterion</w:t>
      </w:r>
    </w:p>
    <w:p w14:paraId="74994084" w14:textId="77777777" w:rsidR="006A2578" w:rsidRPr="00606638" w:rsidRDefault="006A2578" w:rsidP="006A2578">
      <w:pPr>
        <w:keepNext/>
        <w:keepLines/>
        <w:tabs>
          <w:tab w:val="clear" w:pos="1247"/>
          <w:tab w:val="clear" w:pos="1814"/>
          <w:tab w:val="clear" w:pos="2381"/>
          <w:tab w:val="clear" w:pos="2948"/>
          <w:tab w:val="clear" w:pos="3515"/>
          <w:tab w:val="left" w:pos="624"/>
        </w:tabs>
        <w:snapToGrid w:val="0"/>
        <w:spacing w:after="120"/>
        <w:ind w:left="1247" w:firstLine="624"/>
        <w:jc w:val="both"/>
        <w:rPr>
          <w:i/>
          <w:lang w:val="en-GB"/>
        </w:rPr>
      </w:pPr>
      <w:r w:rsidRPr="00606638">
        <w:rPr>
          <w:i/>
          <w:lang w:val="en-GB"/>
        </w:rPr>
        <w:t>(d)</w:t>
      </w:r>
      <w:r w:rsidRPr="00606638">
        <w:rPr>
          <w:i/>
          <w:lang w:val="en-GB"/>
        </w:rPr>
        <w:tab/>
      </w:r>
      <w:proofErr w:type="gramStart"/>
      <w:r w:rsidRPr="00606638">
        <w:rPr>
          <w:i/>
          <w:lang w:val="en-GB"/>
        </w:rPr>
        <w:t>Take into account</w:t>
      </w:r>
      <w:proofErr w:type="gramEnd"/>
      <w:r w:rsidRPr="00606638">
        <w:rPr>
          <w:i/>
          <w:lang w:val="en-GB"/>
        </w:rPr>
        <w:t xml:space="preserve"> that intentional misuse is not in itself an adequate reason to list a chemical in Annex III.</w:t>
      </w:r>
    </w:p>
    <w:p w14:paraId="364D060F" w14:textId="77777777" w:rsidR="006A2578" w:rsidRPr="00606638" w:rsidRDefault="006A2578" w:rsidP="006A2578">
      <w:pPr>
        <w:pStyle w:val="Normal-pool"/>
        <w:numPr>
          <w:ilvl w:val="0"/>
          <w:numId w:val="6"/>
        </w:numPr>
        <w:spacing w:after="120"/>
        <w:ind w:left="1247" w:firstLine="0"/>
        <w:rPr>
          <w:rFonts w:eastAsia="MS Mincho"/>
          <w:iCs/>
          <w:lang w:bidi="en-US"/>
        </w:rPr>
      </w:pPr>
      <w:r w:rsidRPr="004C41EB">
        <w:t>There</w:t>
      </w:r>
      <w:r w:rsidRPr="00606638">
        <w:rPr>
          <w:rFonts w:eastAsia="MS Mincho"/>
          <w:iCs/>
          <w:lang w:bidi="en-US"/>
        </w:rPr>
        <w:t xml:space="preserve"> is no indication in the notification that concerns over intentional misuse prompted the regulatory action.</w:t>
      </w:r>
    </w:p>
    <w:p w14:paraId="43EE3BE6" w14:textId="77777777" w:rsidR="006A2578" w:rsidRPr="00606638" w:rsidRDefault="006A2578" w:rsidP="006A2578">
      <w:pPr>
        <w:pStyle w:val="Normal-pool"/>
        <w:numPr>
          <w:ilvl w:val="0"/>
          <w:numId w:val="6"/>
        </w:numPr>
        <w:spacing w:after="120"/>
        <w:ind w:left="1247" w:firstLine="0"/>
        <w:rPr>
          <w:rFonts w:eastAsia="MS Mincho"/>
          <w:iCs/>
          <w:lang w:bidi="en-US"/>
        </w:rPr>
      </w:pPr>
      <w:bookmarkStart w:id="4" w:name="_Hlk82545159"/>
      <w:proofErr w:type="gramStart"/>
      <w:r w:rsidRPr="00606638">
        <w:rPr>
          <w:rFonts w:eastAsia="MS Mincho"/>
          <w:iCs/>
          <w:lang w:bidi="en-US"/>
        </w:rPr>
        <w:t>On the basis of</w:t>
      </w:r>
      <w:proofErr w:type="gramEnd"/>
      <w:r w:rsidRPr="00606638">
        <w:rPr>
          <w:rFonts w:eastAsia="MS Mincho"/>
          <w:iCs/>
          <w:lang w:bidi="en-US"/>
        </w:rPr>
        <w:t xml:space="preserve"> the above point, the Committee confirms that the criterion in paragraph (d) of Annex II is met</w:t>
      </w:r>
      <w:bookmarkEnd w:id="4"/>
      <w:r w:rsidRPr="00606638">
        <w:rPr>
          <w:rFonts w:eastAsia="MS Mincho"/>
          <w:iCs/>
          <w:lang w:bidi="en-US"/>
        </w:rPr>
        <w:t xml:space="preserve">. </w:t>
      </w:r>
    </w:p>
    <w:p w14:paraId="257CC737" w14:textId="77777777" w:rsidR="006A2578" w:rsidRPr="00606638" w:rsidRDefault="006A2578" w:rsidP="006A2578">
      <w:pPr>
        <w:keepNext/>
        <w:keepLines/>
        <w:tabs>
          <w:tab w:val="right" w:pos="851"/>
          <w:tab w:val="left" w:pos="4082"/>
        </w:tabs>
        <w:spacing w:after="120"/>
        <w:ind w:left="1247" w:right="284" w:hanging="1247"/>
        <w:jc w:val="both"/>
        <w:rPr>
          <w:b/>
          <w:snapToGrid w:val="0"/>
          <w:lang w:val="en-GB"/>
        </w:rPr>
      </w:pPr>
      <w:r w:rsidRPr="00606638">
        <w:rPr>
          <w:b/>
          <w:snapToGrid w:val="0"/>
          <w:lang w:val="en-GB"/>
        </w:rPr>
        <w:lastRenderedPageBreak/>
        <w:tab/>
        <w:t>(f)</w:t>
      </w:r>
      <w:r w:rsidRPr="00606638">
        <w:rPr>
          <w:b/>
          <w:snapToGrid w:val="0"/>
          <w:lang w:val="en-GB"/>
        </w:rPr>
        <w:tab/>
        <w:t>Conclusion</w:t>
      </w:r>
    </w:p>
    <w:p w14:paraId="3EF34898"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Committee concludes that the notification of final regulatory action submitted by Mozambique meets the criteria set out in Annex II to the Convention. </w:t>
      </w:r>
    </w:p>
    <w:p w14:paraId="1634D13A" w14:textId="77777777" w:rsidR="006A2578" w:rsidRPr="00606638" w:rsidRDefault="006A2578" w:rsidP="006A2578">
      <w:pPr>
        <w:keepNext/>
        <w:keepLines/>
        <w:tabs>
          <w:tab w:val="right" w:pos="851"/>
          <w:tab w:val="left" w:pos="4082"/>
        </w:tabs>
        <w:spacing w:before="240" w:after="120"/>
        <w:ind w:left="1247" w:right="284" w:hanging="1247"/>
        <w:jc w:val="both"/>
        <w:rPr>
          <w:b/>
          <w:sz w:val="28"/>
          <w:szCs w:val="28"/>
          <w:lang w:val="en-GB"/>
        </w:rPr>
      </w:pPr>
      <w:r w:rsidRPr="00606638">
        <w:rPr>
          <w:b/>
          <w:sz w:val="28"/>
          <w:szCs w:val="28"/>
          <w:lang w:val="en-GB"/>
        </w:rPr>
        <w:tab/>
        <w:t>III.</w:t>
      </w:r>
      <w:r w:rsidRPr="00606638">
        <w:rPr>
          <w:b/>
          <w:sz w:val="28"/>
          <w:szCs w:val="28"/>
          <w:lang w:val="en-GB"/>
        </w:rPr>
        <w:tab/>
        <w:t>Conclusion</w:t>
      </w:r>
    </w:p>
    <w:p w14:paraId="034B6807"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Committee concludes that the notifications of final regulatory action submitted by Canada and </w:t>
      </w:r>
      <w:r w:rsidRPr="004C41EB">
        <w:t>Mozambique</w:t>
      </w:r>
      <w:r w:rsidRPr="00606638">
        <w:rPr>
          <w:rFonts w:eastAsia="MS Mincho"/>
          <w:iCs/>
          <w:lang w:bidi="en-US"/>
        </w:rPr>
        <w:t xml:space="preserve"> meet all the criteria set out in Annex II to the Convention.</w:t>
      </w:r>
    </w:p>
    <w:p w14:paraId="7EE292BB" w14:textId="77777777" w:rsidR="006A2578" w:rsidRPr="00606638" w:rsidRDefault="006A2578" w:rsidP="006A2578">
      <w:pPr>
        <w:pStyle w:val="Normal-pool"/>
        <w:numPr>
          <w:ilvl w:val="0"/>
          <w:numId w:val="6"/>
        </w:numPr>
        <w:spacing w:after="120"/>
        <w:ind w:left="1247" w:firstLine="0"/>
        <w:rPr>
          <w:rFonts w:eastAsia="MS Mincho"/>
          <w:iCs/>
          <w:lang w:bidi="en-US"/>
        </w:rPr>
      </w:pPr>
      <w:r w:rsidRPr="00606638">
        <w:rPr>
          <w:rFonts w:eastAsia="MS Mincho"/>
          <w:iCs/>
          <w:lang w:bidi="en-US"/>
        </w:rPr>
        <w:t xml:space="preserve">The Committee also concludes that the final regulatory actions taken by Canada and </w:t>
      </w:r>
      <w:r w:rsidRPr="004C41EB">
        <w:t>Mozambique</w:t>
      </w:r>
      <w:r w:rsidRPr="00606638">
        <w:rPr>
          <w:rFonts w:eastAsia="MS Mincho"/>
          <w:iCs/>
          <w:lang w:bidi="en-US"/>
        </w:rPr>
        <w:t xml:space="preserve"> provide a sufficient basis for including </w:t>
      </w:r>
      <w:proofErr w:type="spellStart"/>
      <w:r w:rsidRPr="00606638">
        <w:rPr>
          <w:rFonts w:eastAsia="MS Mincho"/>
          <w:iCs/>
          <w:lang w:bidi="en-US"/>
        </w:rPr>
        <w:t>terbufos</w:t>
      </w:r>
      <w:proofErr w:type="spellEnd"/>
      <w:r w:rsidRPr="00606638">
        <w:rPr>
          <w:rFonts w:eastAsia="MS Mincho"/>
          <w:iCs/>
          <w:lang w:bidi="en-US"/>
        </w:rPr>
        <w:t xml:space="preserve"> in Annex III to the Convention in the pesticide category and that a decision guidance document should be drafted </w:t>
      </w:r>
      <w:proofErr w:type="gramStart"/>
      <w:r w:rsidRPr="00606638">
        <w:rPr>
          <w:rFonts w:eastAsia="MS Mincho"/>
          <w:iCs/>
          <w:lang w:bidi="en-US"/>
        </w:rPr>
        <w:t>on the basis of</w:t>
      </w:r>
      <w:proofErr w:type="gramEnd"/>
      <w:r w:rsidRPr="00606638">
        <w:rPr>
          <w:rFonts w:eastAsia="MS Mincho"/>
          <w:iCs/>
          <w:lang w:bidi="en-US"/>
        </w:rPr>
        <w:t xml:space="preserve"> the notifications.</w:t>
      </w:r>
    </w:p>
    <w:p w14:paraId="552406FF" w14:textId="77777777" w:rsidR="006A2578" w:rsidRPr="00193A3E" w:rsidRDefault="006A2578" w:rsidP="006A2578">
      <w:pPr>
        <w:pStyle w:val="Normal-pool"/>
      </w:pPr>
      <w:r w:rsidRPr="001C7F84">
        <w:br w:type="page"/>
      </w:r>
    </w:p>
    <w:p w14:paraId="0342DD5A" w14:textId="77777777" w:rsidR="009033A1" w:rsidRPr="006A2578" w:rsidRDefault="009033A1">
      <w:pPr>
        <w:rPr>
          <w:lang w:val="en-US"/>
        </w:rPr>
      </w:pPr>
    </w:p>
    <w:sectPr w:rsidR="009033A1" w:rsidRPr="006A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9889" w14:textId="77777777" w:rsidR="006A2578" w:rsidRDefault="006A2578" w:rsidP="006A2578">
      <w:r>
        <w:separator/>
      </w:r>
    </w:p>
  </w:endnote>
  <w:endnote w:type="continuationSeparator" w:id="0">
    <w:p w14:paraId="003D614B" w14:textId="77777777" w:rsidR="006A2578" w:rsidRDefault="006A2578" w:rsidP="006A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4923" w14:textId="77777777" w:rsidR="006A2578" w:rsidRDefault="006A2578" w:rsidP="006A2578">
      <w:r>
        <w:separator/>
      </w:r>
    </w:p>
  </w:footnote>
  <w:footnote w:type="continuationSeparator" w:id="0">
    <w:p w14:paraId="55A43186" w14:textId="77777777" w:rsidR="006A2578" w:rsidRDefault="006A2578" w:rsidP="006A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855"/>
    <w:multiLevelType w:val="hybridMultilevel"/>
    <w:tmpl w:val="BF50D1B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15:restartNumberingAfterBreak="0">
    <w:nsid w:val="1B571273"/>
    <w:multiLevelType w:val="hybridMultilevel"/>
    <w:tmpl w:val="E6865D98"/>
    <w:lvl w:ilvl="0" w:tplc="0FD842EC">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3B6A1608"/>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403D363E"/>
    <w:multiLevelType w:val="hybridMultilevel"/>
    <w:tmpl w:val="E6865D98"/>
    <w:lvl w:ilvl="0" w:tplc="0FD842EC">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4F856FEE"/>
    <w:multiLevelType w:val="hybridMultilevel"/>
    <w:tmpl w:val="2D22DCE6"/>
    <w:lvl w:ilvl="0" w:tplc="31BA09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C1E2499"/>
    <w:multiLevelType w:val="hybridMultilevel"/>
    <w:tmpl w:val="6A8A93E4"/>
    <w:lvl w:ilvl="0" w:tplc="0809000F">
      <w:start w:val="1"/>
      <w:numFmt w:val="decimal"/>
      <w:lvlText w:val="%1."/>
      <w:lvlJc w:val="left"/>
      <w:pPr>
        <w:ind w:left="6911" w:hanging="360"/>
      </w:pPr>
    </w:lvl>
    <w:lvl w:ilvl="1" w:tplc="08090019" w:tentative="1">
      <w:start w:val="1"/>
      <w:numFmt w:val="lowerLetter"/>
      <w:lvlText w:val="%2."/>
      <w:lvlJc w:val="left"/>
      <w:pPr>
        <w:ind w:left="7631" w:hanging="360"/>
      </w:pPr>
    </w:lvl>
    <w:lvl w:ilvl="2" w:tplc="0809001B" w:tentative="1">
      <w:start w:val="1"/>
      <w:numFmt w:val="lowerRoman"/>
      <w:lvlText w:val="%3."/>
      <w:lvlJc w:val="right"/>
      <w:pPr>
        <w:ind w:left="8351" w:hanging="180"/>
      </w:pPr>
    </w:lvl>
    <w:lvl w:ilvl="3" w:tplc="0809000F" w:tentative="1">
      <w:start w:val="1"/>
      <w:numFmt w:val="decimal"/>
      <w:lvlText w:val="%4."/>
      <w:lvlJc w:val="left"/>
      <w:pPr>
        <w:ind w:left="9071" w:hanging="360"/>
      </w:pPr>
    </w:lvl>
    <w:lvl w:ilvl="4" w:tplc="08090019" w:tentative="1">
      <w:start w:val="1"/>
      <w:numFmt w:val="lowerLetter"/>
      <w:lvlText w:val="%5."/>
      <w:lvlJc w:val="left"/>
      <w:pPr>
        <w:ind w:left="9791" w:hanging="360"/>
      </w:pPr>
    </w:lvl>
    <w:lvl w:ilvl="5" w:tplc="0809001B" w:tentative="1">
      <w:start w:val="1"/>
      <w:numFmt w:val="lowerRoman"/>
      <w:lvlText w:val="%6."/>
      <w:lvlJc w:val="right"/>
      <w:pPr>
        <w:ind w:left="10511" w:hanging="180"/>
      </w:pPr>
    </w:lvl>
    <w:lvl w:ilvl="6" w:tplc="0809000F" w:tentative="1">
      <w:start w:val="1"/>
      <w:numFmt w:val="decimal"/>
      <w:lvlText w:val="%7."/>
      <w:lvlJc w:val="left"/>
      <w:pPr>
        <w:ind w:left="11231" w:hanging="360"/>
      </w:pPr>
    </w:lvl>
    <w:lvl w:ilvl="7" w:tplc="08090019" w:tentative="1">
      <w:start w:val="1"/>
      <w:numFmt w:val="lowerLetter"/>
      <w:lvlText w:val="%8."/>
      <w:lvlJc w:val="left"/>
      <w:pPr>
        <w:ind w:left="11951" w:hanging="360"/>
      </w:pPr>
    </w:lvl>
    <w:lvl w:ilvl="8" w:tplc="0809001B" w:tentative="1">
      <w:start w:val="1"/>
      <w:numFmt w:val="lowerRoman"/>
      <w:lvlText w:val="%9."/>
      <w:lvlJc w:val="right"/>
      <w:pPr>
        <w:ind w:left="12671" w:hanging="180"/>
      </w:pPr>
    </w:lvl>
  </w:abstractNum>
  <w:num w:numId="1" w16cid:durableId="2114931048">
    <w:abstractNumId w:val="0"/>
  </w:num>
  <w:num w:numId="2" w16cid:durableId="1325430922">
    <w:abstractNumId w:val="1"/>
  </w:num>
  <w:num w:numId="3" w16cid:durableId="682130197">
    <w:abstractNumId w:val="4"/>
  </w:num>
  <w:num w:numId="4" w16cid:durableId="782964836">
    <w:abstractNumId w:val="2"/>
  </w:num>
  <w:num w:numId="5" w16cid:durableId="1846170480">
    <w:abstractNumId w:val="3"/>
  </w:num>
  <w:num w:numId="6" w16cid:durableId="1079327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78"/>
    <w:rsid w:val="006A2578"/>
    <w:rsid w:val="009033A1"/>
    <w:rsid w:val="00CD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704E"/>
  <w15:chartTrackingRefBased/>
  <w15:docId w15:val="{289AF1D3-042E-425D-A014-A5AF7228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78"/>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next w:val="Normal"/>
    <w:qFormat/>
    <w:rsid w:val="006A2578"/>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8"/>
      <w:szCs w:val="28"/>
      <w:lang w:val="en-GB"/>
    </w:rPr>
  </w:style>
  <w:style w:type="paragraph" w:customStyle="1" w:styleId="Normalpool">
    <w:name w:val="Normal_pool"/>
    <w:link w:val="NormalpoolChar"/>
    <w:rsid w:val="006A2578"/>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character" w:styleId="FootnoteReference">
    <w:name w:val="footnote reference"/>
    <w:aliases w:val="16 Point,Superscript 6 Point,ftref,(Ref. de nota al pie),number,SUPERS,Footnote Reference Superscript"/>
    <w:basedOn w:val="DefaultParagraphFont"/>
    <w:rsid w:val="006A2578"/>
    <w:rPr>
      <w:rFonts w:ascii="Times New Roman" w:hAnsi="Times New Roman"/>
      <w:color w:val="auto"/>
      <w:sz w:val="20"/>
      <w:szCs w:val="18"/>
      <w:vertAlign w:val="superscript"/>
    </w:rPr>
  </w:style>
  <w:style w:type="paragraph" w:customStyle="1" w:styleId="Normal-pool">
    <w:name w:val="Normal-pool"/>
    <w:link w:val="Normal-poolChar"/>
    <w:qFormat/>
    <w:rsid w:val="006A2578"/>
    <w:pPr>
      <w:tabs>
        <w:tab w:val="left" w:pos="624"/>
      </w:tabs>
      <w:spacing w:after="0" w:line="240" w:lineRule="auto"/>
    </w:pPr>
    <w:rPr>
      <w:rFonts w:ascii="Times New Roman" w:eastAsia="Times New Roman" w:hAnsi="Times New Roman" w:cs="Times New Roman"/>
      <w:sz w:val="20"/>
      <w:szCs w:val="20"/>
      <w:lang w:val="en-GB"/>
    </w:rPr>
  </w:style>
  <w:style w:type="paragraph" w:customStyle="1" w:styleId="BBTitle">
    <w:name w:val="BB_Title"/>
    <w:link w:val="BBTitleChar"/>
    <w:qFormat/>
    <w:rsid w:val="006A2578"/>
    <w:pPr>
      <w:keepNext/>
      <w:keepLines/>
      <w:tabs>
        <w:tab w:val="left" w:pos="851"/>
        <w:tab w:val="left" w:pos="1247"/>
      </w:tabs>
      <w:suppressAutoHyphens/>
      <w:spacing w:before="320" w:after="240" w:line="240" w:lineRule="auto"/>
      <w:ind w:left="1247" w:right="567"/>
    </w:pPr>
    <w:rPr>
      <w:rFonts w:ascii="Times New Roman" w:eastAsia="Times New Roman" w:hAnsi="Times New Roman" w:cs="Times New Roman"/>
      <w:b/>
      <w:sz w:val="28"/>
      <w:szCs w:val="28"/>
      <w:lang w:val="en-GB"/>
    </w:rPr>
  </w:style>
  <w:style w:type="character" w:styleId="Hyperlink">
    <w:name w:val="Hyperlink"/>
    <w:basedOn w:val="DefaultParagraphFont"/>
    <w:semiHidden/>
    <w:rsid w:val="006A2578"/>
    <w:rPr>
      <w:rFonts w:ascii="Times New Roman" w:hAnsi="Times New Roman"/>
      <w:color w:val="auto"/>
      <w:sz w:val="20"/>
      <w:szCs w:val="20"/>
      <w:u w:val="none"/>
      <w:lang w:val="fr-FR"/>
    </w:rPr>
  </w:style>
  <w:style w:type="character" w:customStyle="1" w:styleId="Normal-poolChar">
    <w:name w:val="Normal-pool Char"/>
    <w:link w:val="Normal-pool"/>
    <w:rsid w:val="006A2578"/>
    <w:rPr>
      <w:rFonts w:ascii="Times New Roman" w:eastAsia="Times New Roman" w:hAnsi="Times New Roman" w:cs="Times New Roman"/>
      <w:sz w:val="20"/>
      <w:szCs w:val="20"/>
      <w:lang w:val="en-GB"/>
    </w:rPr>
  </w:style>
  <w:style w:type="character" w:customStyle="1" w:styleId="BBTitleChar">
    <w:name w:val="BB_Title Char"/>
    <w:link w:val="BBTitle"/>
    <w:rsid w:val="006A2578"/>
    <w:rPr>
      <w:rFonts w:ascii="Times New Roman" w:eastAsia="Times New Roman" w:hAnsi="Times New Roman" w:cs="Times New Roman"/>
      <w:b/>
      <w:sz w:val="28"/>
      <w:szCs w:val="28"/>
      <w:lang w:val="en-GB"/>
    </w:rPr>
  </w:style>
  <w:style w:type="character" w:customStyle="1" w:styleId="NormalpoolChar">
    <w:name w:val="Normal_pool Char"/>
    <w:link w:val="Normalpool"/>
    <w:locked/>
    <w:rsid w:val="006A2578"/>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m.herts.ac.uk/aeru/ppdb/en/Reports/621.htm" TargetMode="External"/><Relationship Id="rId3" Type="http://schemas.openxmlformats.org/officeDocument/2006/relationships/settings" Target="settings.xml"/><Relationship Id="rId7" Type="http://schemas.openxmlformats.org/officeDocument/2006/relationships/hyperlink" Target="file:///C:\Users\mbauj\AppData\Local\Microsoft\Windows\INetCache\Content.Outlook\OCQR4K5X\www.fao.org\fileadmin\templates\agphome\documents\Pests_Pesticides\Code\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mbauj\AppData\Local\Microsoft\Windows\INetCache\Content.Outlook\OCQR4K5X\www.inchem.org\documents\jmpr\jmpmono\v2003pr13.htm" TargetMode="External"/><Relationship Id="rId4" Type="http://schemas.openxmlformats.org/officeDocument/2006/relationships/webSettings" Target="webSettings.xml"/><Relationship Id="rId9" Type="http://schemas.openxmlformats.org/officeDocument/2006/relationships/hyperlink" Target="file:///C:\Users\mbauj\AppData\Local\Microsoft\Windows\INetCache\Content.Outlook\OCQR4K5X\www.fao.org\fileadmin\templates\agphome\documents\Pests_Pesticides\JMPR\Evaluation05\2005_Terbufo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5234</Words>
  <Characters>29840</Characters>
  <Application>Microsoft Office Word</Application>
  <DocSecurity>0</DocSecurity>
  <Lines>248</Lines>
  <Paragraphs>70</Paragraphs>
  <ScaleCrop>false</ScaleCrop>
  <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(NSP)</dc:creator>
  <cp:keywords/>
  <dc:description/>
  <cp:lastModifiedBy>Mihajlovski, Aleksandar (NSP)</cp:lastModifiedBy>
  <cp:revision>1</cp:revision>
  <dcterms:created xsi:type="dcterms:W3CDTF">2023-02-17T03:29:00Z</dcterms:created>
  <dcterms:modified xsi:type="dcterms:W3CDTF">2023-02-17T03:33:00Z</dcterms:modified>
</cp:coreProperties>
</file>