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4BE4" w14:textId="75013293" w:rsidR="0070418B" w:rsidRPr="00C36B84" w:rsidRDefault="0070418B" w:rsidP="004B08E7">
      <w:pPr>
        <w:pStyle w:val="CH1"/>
        <w:ind w:left="0" w:firstLine="0"/>
      </w:pPr>
      <w:bookmarkStart w:id="0" w:name="_Hlk82010765"/>
      <w:r w:rsidRPr="00C36B84">
        <w:t>Annexe à la décision CRC-17/2</w:t>
      </w:r>
    </w:p>
    <w:p w14:paraId="577C55F3" w14:textId="2B80E658" w:rsidR="0070418B" w:rsidRPr="00C36B84" w:rsidRDefault="0070418B" w:rsidP="00955908">
      <w:pPr>
        <w:pStyle w:val="CH1"/>
      </w:pPr>
      <w:r w:rsidRPr="00C36B84">
        <w:tab/>
      </w:r>
      <w:r w:rsidRPr="00C36B84">
        <w:tab/>
        <w:t>Justification de la conclusion du Comité d</w:t>
      </w:r>
      <w:r w:rsidR="00263978" w:rsidRPr="00C36B84">
        <w:t>’</w:t>
      </w:r>
      <w:r w:rsidRPr="00C36B84">
        <w:t xml:space="preserve">étude des produits chimiques </w:t>
      </w:r>
      <w:r w:rsidR="00DB6395" w:rsidRPr="00C36B84">
        <w:t>que</w:t>
      </w:r>
      <w:r w:rsidRPr="00C36B84">
        <w:t xml:space="preserve"> les notifications de mesure de réglementation finale concernant le </w:t>
      </w:r>
      <w:proofErr w:type="spellStart"/>
      <w:r w:rsidRPr="00C36B84">
        <w:t>terbufos</w:t>
      </w:r>
      <w:proofErr w:type="spellEnd"/>
      <w:r w:rsidR="00CF6937" w:rsidRPr="00C36B84">
        <w:t>, dans la catégorie des pesticides,</w:t>
      </w:r>
      <w:r w:rsidRPr="00C36B84">
        <w:t xml:space="preserve"> soumises par le Canada et par le Mozambique satisfont aux critères énoncés dans l</w:t>
      </w:r>
      <w:r w:rsidR="00263978" w:rsidRPr="00C36B84">
        <w:t>’</w:t>
      </w:r>
      <w:r w:rsidRPr="00C36B84">
        <w:t>Annexe II de la Convention de Rotterdam</w:t>
      </w:r>
    </w:p>
    <w:p w14:paraId="01A13B9B" w14:textId="2DB4BC81" w:rsidR="002C51AE" w:rsidRPr="00C36B84" w:rsidRDefault="002C51AE" w:rsidP="00AD11DC">
      <w:pPr>
        <w:pStyle w:val="Normalnumber"/>
        <w:numPr>
          <w:ilvl w:val="0"/>
          <w:numId w:val="8"/>
        </w:numPr>
        <w:rPr>
          <w:lang w:val="fr-FR"/>
        </w:rPr>
      </w:pPr>
      <w:r w:rsidRPr="00C36B84">
        <w:rPr>
          <w:lang w:val="fr-FR"/>
        </w:rPr>
        <w:t xml:space="preserve">Les notifications concernant le </w:t>
      </w:r>
      <w:proofErr w:type="spellStart"/>
      <w:r w:rsidRPr="00C36B84">
        <w:rPr>
          <w:lang w:val="fr-FR"/>
        </w:rPr>
        <w:t>terbufos</w:t>
      </w:r>
      <w:proofErr w:type="spellEnd"/>
      <w:r w:rsidRPr="00C36B84">
        <w:rPr>
          <w:lang w:val="fr-FR"/>
        </w:rPr>
        <w:t xml:space="preserve"> soumises par le Canada et par le Mozambique ont été vérifiées par le Secrétariat, qui s</w:t>
      </w:r>
      <w:r w:rsidR="00263978" w:rsidRPr="00C36B84">
        <w:rPr>
          <w:lang w:val="fr-FR"/>
        </w:rPr>
        <w:t>’</w:t>
      </w:r>
      <w:r w:rsidRPr="00C36B84">
        <w:rPr>
          <w:lang w:val="fr-FR"/>
        </w:rPr>
        <w:t>est assuré qu</w:t>
      </w:r>
      <w:r w:rsidR="00263978" w:rsidRPr="00C36B84">
        <w:rPr>
          <w:lang w:val="fr-FR"/>
        </w:rPr>
        <w:t>’</w:t>
      </w:r>
      <w:r w:rsidRPr="00C36B84">
        <w:rPr>
          <w:lang w:val="fr-FR"/>
        </w:rPr>
        <w:t>elles contenaient les informations demandées dans l</w:t>
      </w:r>
      <w:r w:rsidR="00263978" w:rsidRPr="00C36B84">
        <w:rPr>
          <w:lang w:val="fr-FR"/>
        </w:rPr>
        <w:t>’</w:t>
      </w:r>
      <w:r w:rsidRPr="00C36B84">
        <w:rPr>
          <w:lang w:val="fr-FR"/>
        </w:rPr>
        <w:t>Annexe I de la Convention de Rotterdam. Ces notifications ont fait l</w:t>
      </w:r>
      <w:r w:rsidR="00263978" w:rsidRPr="00C36B84">
        <w:rPr>
          <w:lang w:val="fr-FR"/>
        </w:rPr>
        <w:t>’</w:t>
      </w:r>
      <w:r w:rsidRPr="00C36B84">
        <w:rPr>
          <w:lang w:val="fr-FR"/>
        </w:rPr>
        <w:t>objet d</w:t>
      </w:r>
      <w:r w:rsidR="00263978" w:rsidRPr="00C36B84">
        <w:rPr>
          <w:lang w:val="fr-FR"/>
        </w:rPr>
        <w:t>’</w:t>
      </w:r>
      <w:r w:rsidRPr="00C36B84">
        <w:rPr>
          <w:lang w:val="fr-FR"/>
        </w:rPr>
        <w:t>un examen préliminaire effectué par le Secrétariat et le Bureau, qui ont déterminé si elles semblaient répondre aux exigences de la Convention.</w:t>
      </w:r>
    </w:p>
    <w:p w14:paraId="330CDA75" w14:textId="2AA74E8A" w:rsidR="0070418B" w:rsidRPr="00C36B84" w:rsidRDefault="0070418B" w:rsidP="00AD11DC">
      <w:pPr>
        <w:pStyle w:val="Normalnumber"/>
        <w:numPr>
          <w:ilvl w:val="0"/>
          <w:numId w:val="8"/>
        </w:numPr>
        <w:rPr>
          <w:lang w:val="fr-FR"/>
        </w:rPr>
      </w:pPr>
      <w:r w:rsidRPr="00C36B84">
        <w:rPr>
          <w:lang w:val="fr-FR"/>
        </w:rPr>
        <w:t>Les notifications et la documentation à l</w:t>
      </w:r>
      <w:r w:rsidR="00263978" w:rsidRPr="00C36B84">
        <w:rPr>
          <w:lang w:val="fr-FR"/>
        </w:rPr>
        <w:t>’</w:t>
      </w:r>
      <w:r w:rsidRPr="00C36B84">
        <w:rPr>
          <w:lang w:val="fr-FR"/>
        </w:rPr>
        <w:t>appui ont été mises à la disposition du Comité d</w:t>
      </w:r>
      <w:r w:rsidR="00263978" w:rsidRPr="00C36B84">
        <w:rPr>
          <w:lang w:val="fr-FR"/>
        </w:rPr>
        <w:t>’</w:t>
      </w:r>
      <w:r w:rsidRPr="00C36B84">
        <w:rPr>
          <w:lang w:val="fr-FR"/>
        </w:rPr>
        <w:t xml:space="preserve">étude des produits chimiques pour examen (UNEP/FAO/RC/CRC.17/8/Rev.1, UNEP/FAO/RC/CRC.17/INF/18, UNEP/FAO/RC/CRC.17/INF/19/Rev.1). </w:t>
      </w:r>
      <w:bookmarkStart w:id="1" w:name="_Hlk82544181"/>
      <w:r w:rsidRPr="00C36B84">
        <w:rPr>
          <w:lang w:val="fr-FR"/>
        </w:rPr>
        <w:t>Des informations sur le</w:t>
      </w:r>
      <w:r w:rsidR="00C0139F" w:rsidRPr="00C36B84">
        <w:rPr>
          <w:lang w:val="fr-FR"/>
        </w:rPr>
        <w:t> </w:t>
      </w:r>
      <w:r w:rsidRPr="00C36B84">
        <w:rPr>
          <w:lang w:val="fr-FR"/>
        </w:rPr>
        <w:t>commerce sont reproduites dans le document</w:t>
      </w:r>
      <w:r w:rsidR="00C0139F" w:rsidRPr="00C36B84">
        <w:rPr>
          <w:lang w:val="fr-FR"/>
        </w:rPr>
        <w:t> </w:t>
      </w:r>
      <w:r w:rsidRPr="00C36B84">
        <w:rPr>
          <w:lang w:val="fr-FR"/>
        </w:rPr>
        <w:t>UNEP/FAO/RC/CRC.17/INF/5</w:t>
      </w:r>
      <w:bookmarkEnd w:id="1"/>
      <w:r w:rsidRPr="00C36B84">
        <w:rPr>
          <w:lang w:val="fr-FR"/>
        </w:rPr>
        <w:t>.</w:t>
      </w:r>
    </w:p>
    <w:p w14:paraId="0F25976B" w14:textId="77777777" w:rsidR="0070418B" w:rsidRPr="00C36B84" w:rsidRDefault="0070418B" w:rsidP="00955908">
      <w:pPr>
        <w:pStyle w:val="CH1"/>
      </w:pPr>
      <w:r w:rsidRPr="00C36B84">
        <w:tab/>
        <w:t>I.</w:t>
      </w:r>
      <w:r w:rsidRPr="00C36B84">
        <w:tab/>
        <w:t>Canada</w:t>
      </w:r>
    </w:p>
    <w:p w14:paraId="302EA057" w14:textId="77777777" w:rsidR="0070418B" w:rsidRPr="00C36B84" w:rsidRDefault="0070418B" w:rsidP="00C0139F">
      <w:pPr>
        <w:pStyle w:val="CH3"/>
        <w:rPr>
          <w:snapToGrid w:val="0"/>
        </w:rPr>
      </w:pPr>
      <w:r w:rsidRPr="00C36B84">
        <w:rPr>
          <w:snapToGrid w:val="0"/>
        </w:rPr>
        <w:tab/>
        <w:t>a)</w:t>
      </w:r>
      <w:r w:rsidRPr="00C36B84">
        <w:rPr>
          <w:snapToGrid w:val="0"/>
        </w:rPr>
        <w:tab/>
        <w:t>Portée de la mesure de réglementation notifiée par le Canada</w:t>
      </w:r>
    </w:p>
    <w:p w14:paraId="07C9F37D" w14:textId="349440D1" w:rsidR="0070418B" w:rsidRPr="00C36B84" w:rsidRDefault="0070418B" w:rsidP="00AD11DC">
      <w:pPr>
        <w:pStyle w:val="Normalnumber"/>
        <w:numPr>
          <w:ilvl w:val="0"/>
          <w:numId w:val="8"/>
        </w:numPr>
        <w:rPr>
          <w:iCs/>
          <w:lang w:val="fr-FR"/>
        </w:rPr>
      </w:pPr>
      <w:r w:rsidRPr="00C36B84">
        <w:rPr>
          <w:lang w:val="fr-FR"/>
        </w:rPr>
        <w:t xml:space="preserve">La mesure de réglementation notifiée par le Canada concerne le </w:t>
      </w:r>
      <w:proofErr w:type="spellStart"/>
      <w:r w:rsidRPr="00C36B84">
        <w:rPr>
          <w:lang w:val="fr-FR"/>
        </w:rPr>
        <w:t>terbufos</w:t>
      </w:r>
      <w:proofErr w:type="spellEnd"/>
      <w:r w:rsidRPr="00C36B84">
        <w:rPr>
          <w:lang w:val="fr-FR"/>
        </w:rPr>
        <w:t xml:space="preserve"> (nº CAS </w:t>
      </w:r>
      <w:r w:rsidRPr="00C36B84">
        <w:rPr>
          <w:snapToGrid w:val="0"/>
          <w:lang w:val="fr-FR"/>
        </w:rPr>
        <w:t>13071-79-9</w:t>
      </w:r>
      <w:r w:rsidRPr="00C36B84">
        <w:rPr>
          <w:lang w:val="fr-FR"/>
        </w:rPr>
        <w:t>) en tant que pesticide. Avant l</w:t>
      </w:r>
      <w:r w:rsidR="00263978" w:rsidRPr="00C36B84">
        <w:rPr>
          <w:lang w:val="fr-FR"/>
        </w:rPr>
        <w:t>’</w:t>
      </w:r>
      <w:r w:rsidRPr="00C36B84">
        <w:rPr>
          <w:lang w:val="fr-FR"/>
        </w:rPr>
        <w:t xml:space="preserve">entrée en vigueur de la mesure de réglementation finale, le </w:t>
      </w:r>
      <w:proofErr w:type="spellStart"/>
      <w:r w:rsidRPr="00C36B84">
        <w:rPr>
          <w:lang w:val="fr-FR"/>
        </w:rPr>
        <w:t>terbufos</w:t>
      </w:r>
      <w:proofErr w:type="spellEnd"/>
      <w:r w:rsidRPr="00C36B84">
        <w:rPr>
          <w:lang w:val="fr-FR"/>
        </w:rPr>
        <w:t xml:space="preserve"> était homologué au Canada pour être utilisé sur le canola, le maïs, la moutarde, les rutabagas et les</w:t>
      </w:r>
      <w:r w:rsidR="00C0139F" w:rsidRPr="00C36B84">
        <w:rPr>
          <w:lang w:val="fr-FR"/>
        </w:rPr>
        <w:t> </w:t>
      </w:r>
      <w:r w:rsidRPr="00C36B84">
        <w:rPr>
          <w:lang w:val="fr-FR"/>
        </w:rPr>
        <w:t>betteraves à sucre (UNEP/FAO/RC/CRC.17/8/Rev.1, section</w:t>
      </w:r>
      <w:r w:rsidR="00C0139F" w:rsidRPr="00C36B84">
        <w:rPr>
          <w:lang w:val="fr-FR"/>
        </w:rPr>
        <w:t> </w:t>
      </w:r>
      <w:r w:rsidRPr="00C36B84">
        <w:rPr>
          <w:lang w:val="fr-FR"/>
        </w:rPr>
        <w:t xml:space="preserve">2.3.1 de la </w:t>
      </w:r>
      <w:r w:rsidR="009A49D0" w:rsidRPr="00C36B84">
        <w:rPr>
          <w:lang w:val="fr-FR"/>
        </w:rPr>
        <w:t>notification reçue d</w:t>
      </w:r>
      <w:r w:rsidRPr="00C36B84">
        <w:rPr>
          <w:lang w:val="fr-FR"/>
        </w:rPr>
        <w:t xml:space="preserve">u Canada). En vertu de la mesure de réglementation finale, aucune utilisation du </w:t>
      </w:r>
      <w:proofErr w:type="spellStart"/>
      <w:r w:rsidRPr="00C36B84">
        <w:rPr>
          <w:lang w:val="fr-FR"/>
        </w:rPr>
        <w:t>terbufos</w:t>
      </w:r>
      <w:proofErr w:type="spellEnd"/>
      <w:r w:rsidRPr="00C36B84">
        <w:rPr>
          <w:lang w:val="fr-FR"/>
        </w:rPr>
        <w:t xml:space="preserve"> ne devait être autorisée après décembre 2004, </w:t>
      </w:r>
      <w:r w:rsidR="00DB6395" w:rsidRPr="00C36B84">
        <w:rPr>
          <w:lang w:val="fr-FR"/>
        </w:rPr>
        <w:t>sauf pour</w:t>
      </w:r>
      <w:r w:rsidRPr="00C36B84">
        <w:rPr>
          <w:lang w:val="fr-FR"/>
        </w:rPr>
        <w:t xml:space="preserve"> les betteraves à sucre, </w:t>
      </w:r>
      <w:r w:rsidR="00DB6395" w:rsidRPr="00C36B84">
        <w:rPr>
          <w:lang w:val="fr-FR"/>
        </w:rPr>
        <w:t>sur lesquelles son utilisation n</w:t>
      </w:r>
      <w:r w:rsidR="00263978" w:rsidRPr="00C36B84">
        <w:rPr>
          <w:lang w:val="fr-FR"/>
        </w:rPr>
        <w:t>’</w:t>
      </w:r>
      <w:r w:rsidR="00DB6395" w:rsidRPr="00C36B84">
        <w:rPr>
          <w:lang w:val="fr-FR"/>
        </w:rPr>
        <w:t xml:space="preserve">a </w:t>
      </w:r>
      <w:r w:rsidRPr="00C36B84">
        <w:rPr>
          <w:lang w:val="fr-FR"/>
        </w:rPr>
        <w:t>plus été autorisée après le 1</w:t>
      </w:r>
      <w:r w:rsidRPr="00C36B84">
        <w:rPr>
          <w:vertAlign w:val="superscript"/>
          <w:lang w:val="fr-FR"/>
        </w:rPr>
        <w:t>er</w:t>
      </w:r>
      <w:r w:rsidRPr="00C36B84">
        <w:rPr>
          <w:lang w:val="fr-FR"/>
        </w:rPr>
        <w:t xml:space="preserve"> août 2012. La vente de pesticides contenant du </w:t>
      </w:r>
      <w:proofErr w:type="spellStart"/>
      <w:r w:rsidRPr="00C36B84">
        <w:rPr>
          <w:lang w:val="fr-FR"/>
        </w:rPr>
        <w:t>terbufos</w:t>
      </w:r>
      <w:proofErr w:type="spellEnd"/>
      <w:r w:rsidRPr="00C36B84">
        <w:rPr>
          <w:lang w:val="fr-FR"/>
        </w:rPr>
        <w:t xml:space="preserve"> a été interdite au Canada à compter du 1</w:t>
      </w:r>
      <w:r w:rsidRPr="00C36B84">
        <w:rPr>
          <w:vertAlign w:val="superscript"/>
          <w:lang w:val="fr-FR"/>
        </w:rPr>
        <w:t>er</w:t>
      </w:r>
      <w:r w:rsidRPr="00C36B84">
        <w:rPr>
          <w:lang w:val="fr-FR"/>
        </w:rPr>
        <w:t> mai 2012. L</w:t>
      </w:r>
      <w:r w:rsidR="00263978" w:rsidRPr="00C36B84">
        <w:rPr>
          <w:lang w:val="fr-FR"/>
        </w:rPr>
        <w:t>’</w:t>
      </w:r>
      <w:r w:rsidRPr="00C36B84">
        <w:rPr>
          <w:lang w:val="fr-FR"/>
        </w:rPr>
        <w:t xml:space="preserve">utilisation de produits </w:t>
      </w:r>
      <w:r w:rsidR="00DB6395" w:rsidRPr="00C36B84">
        <w:rPr>
          <w:lang w:val="fr-FR"/>
        </w:rPr>
        <w:t xml:space="preserve">en </w:t>
      </w:r>
      <w:r w:rsidRPr="00C36B84">
        <w:rPr>
          <w:lang w:val="fr-FR"/>
        </w:rPr>
        <w:t>contenant a été interdite après le</w:t>
      </w:r>
      <w:r w:rsidR="00C0139F" w:rsidRPr="00C36B84">
        <w:rPr>
          <w:lang w:val="fr-FR"/>
        </w:rPr>
        <w:t> </w:t>
      </w:r>
      <w:r w:rsidRPr="00C36B84">
        <w:rPr>
          <w:lang w:val="fr-FR"/>
        </w:rPr>
        <w:t>1</w:t>
      </w:r>
      <w:r w:rsidRPr="00C36B84">
        <w:rPr>
          <w:vertAlign w:val="superscript"/>
          <w:lang w:val="fr-FR"/>
        </w:rPr>
        <w:t>er</w:t>
      </w:r>
      <w:r w:rsidRPr="00C36B84">
        <w:rPr>
          <w:lang w:val="fr-FR"/>
        </w:rPr>
        <w:t> août 2012. La mesure de réglementation finale a été prise en raison des risques inacceptables pour l</w:t>
      </w:r>
      <w:r w:rsidR="00263978" w:rsidRPr="00C36B84">
        <w:rPr>
          <w:lang w:val="fr-FR"/>
        </w:rPr>
        <w:t>’</w:t>
      </w:r>
      <w:r w:rsidRPr="00C36B84">
        <w:rPr>
          <w:lang w:val="fr-FR"/>
        </w:rPr>
        <w:t xml:space="preserve">environnement que posent les utilisations homologuées de pesticides contenant </w:t>
      </w:r>
      <w:r w:rsidR="00DB6395" w:rsidRPr="00C36B84">
        <w:rPr>
          <w:lang w:val="fr-FR"/>
        </w:rPr>
        <w:t xml:space="preserve">cette substance </w:t>
      </w:r>
      <w:r w:rsidRPr="00C36B84">
        <w:rPr>
          <w:lang w:val="fr-FR"/>
        </w:rPr>
        <w:t>au Canada (UNEP/FAO/RC/CRC.17/8/Rev.1, sections</w:t>
      </w:r>
      <w:r w:rsidR="00C0139F" w:rsidRPr="00C36B84">
        <w:rPr>
          <w:lang w:val="fr-FR"/>
        </w:rPr>
        <w:t> </w:t>
      </w:r>
      <w:r w:rsidRPr="00C36B84">
        <w:rPr>
          <w:lang w:val="fr-FR"/>
        </w:rPr>
        <w:t xml:space="preserve">2.2.1 et 2.2.3 de la </w:t>
      </w:r>
      <w:r w:rsidR="009A49D0" w:rsidRPr="00C36B84">
        <w:rPr>
          <w:lang w:val="fr-FR"/>
        </w:rPr>
        <w:t>notification reçue d</w:t>
      </w:r>
      <w:r w:rsidRPr="00C36B84">
        <w:rPr>
          <w:lang w:val="fr-FR"/>
        </w:rPr>
        <w:t>u</w:t>
      </w:r>
      <w:r w:rsidR="00C0139F" w:rsidRPr="00C36B84">
        <w:rPr>
          <w:lang w:val="fr-FR"/>
        </w:rPr>
        <w:t> </w:t>
      </w:r>
      <w:r w:rsidRPr="00C36B84">
        <w:rPr>
          <w:lang w:val="fr-FR"/>
        </w:rPr>
        <w:t>Canada).</w:t>
      </w:r>
    </w:p>
    <w:p w14:paraId="698EB9A1" w14:textId="6A843D6D" w:rsidR="0070418B" w:rsidRPr="00C36B84" w:rsidRDefault="0070418B" w:rsidP="00AD11DC">
      <w:pPr>
        <w:pStyle w:val="Normalnumber"/>
        <w:numPr>
          <w:ilvl w:val="0"/>
          <w:numId w:val="8"/>
        </w:numPr>
        <w:rPr>
          <w:lang w:val="fr-FR"/>
        </w:rPr>
      </w:pPr>
      <w:r w:rsidRPr="00C36B84">
        <w:rPr>
          <w:snapToGrid w:val="0"/>
          <w:lang w:val="fr-FR"/>
        </w:rPr>
        <w:t>La notification contient les informations demandées dans l</w:t>
      </w:r>
      <w:r w:rsidR="00263978" w:rsidRPr="00C36B84">
        <w:rPr>
          <w:snapToGrid w:val="0"/>
          <w:lang w:val="fr-FR"/>
        </w:rPr>
        <w:t>’</w:t>
      </w:r>
      <w:r w:rsidRPr="00C36B84">
        <w:rPr>
          <w:snapToGrid w:val="0"/>
          <w:lang w:val="fr-FR"/>
        </w:rPr>
        <w:t>Annexe I.</w:t>
      </w:r>
    </w:p>
    <w:p w14:paraId="237450AC" w14:textId="119C9AB2" w:rsidR="0070418B" w:rsidRPr="00C36B84" w:rsidRDefault="0070418B" w:rsidP="00C0139F">
      <w:pPr>
        <w:pStyle w:val="CH3"/>
        <w:rPr>
          <w:bCs/>
          <w:snapToGrid w:val="0"/>
        </w:rPr>
      </w:pPr>
      <w:r w:rsidRPr="00C36B84">
        <w:rPr>
          <w:bCs/>
          <w:snapToGrid w:val="0"/>
        </w:rPr>
        <w:tab/>
        <w:t>b)</w:t>
      </w:r>
      <w:r w:rsidRPr="00C36B84">
        <w:rPr>
          <w:bCs/>
          <w:snapToGrid w:val="0"/>
        </w:rPr>
        <w:tab/>
        <w:t>Critère énoncé au paragraphe a) de l</w:t>
      </w:r>
      <w:r w:rsidR="00263978" w:rsidRPr="00C36B84">
        <w:rPr>
          <w:bCs/>
          <w:snapToGrid w:val="0"/>
        </w:rPr>
        <w:t>’</w:t>
      </w:r>
      <w:r w:rsidRPr="00C36B84">
        <w:rPr>
          <w:bCs/>
          <w:snapToGrid w:val="0"/>
        </w:rPr>
        <w:t>Annexe II</w:t>
      </w:r>
    </w:p>
    <w:p w14:paraId="4047A1A3" w14:textId="43030A9E" w:rsidR="0070418B" w:rsidRPr="00C36B84" w:rsidRDefault="007E7193" w:rsidP="007E7193">
      <w:pPr>
        <w:pStyle w:val="NormalNonumber"/>
        <w:rPr>
          <w:i/>
        </w:rPr>
      </w:pPr>
      <w:r w:rsidRPr="00C36B84">
        <w:rPr>
          <w:i/>
        </w:rPr>
        <w:tab/>
      </w:r>
      <w:r w:rsidR="0070418B" w:rsidRPr="00C36B84">
        <w:rPr>
          <w:i/>
        </w:rPr>
        <w:t>a)</w:t>
      </w:r>
      <w:r w:rsidR="0070418B" w:rsidRPr="00C36B84">
        <w:rPr>
          <w:i/>
        </w:rPr>
        <w:tab/>
        <w:t>Confirme que la mesure de réglementation finale a été prise pour protéger la santé humaine ou l</w:t>
      </w:r>
      <w:r w:rsidR="00263978" w:rsidRPr="00C36B84">
        <w:rPr>
          <w:i/>
        </w:rPr>
        <w:t>’</w:t>
      </w:r>
      <w:r w:rsidR="0070418B" w:rsidRPr="00C36B84">
        <w:rPr>
          <w:i/>
        </w:rPr>
        <w:t>environnement ;</w:t>
      </w:r>
    </w:p>
    <w:p w14:paraId="5A7BCC71" w14:textId="536D4331" w:rsidR="00F23195" w:rsidRPr="00C36B84" w:rsidRDefault="0070418B" w:rsidP="00AD11DC">
      <w:pPr>
        <w:pStyle w:val="Normalnumber"/>
        <w:numPr>
          <w:ilvl w:val="0"/>
          <w:numId w:val="8"/>
        </w:numPr>
        <w:rPr>
          <w:lang w:val="fr-FR"/>
        </w:rPr>
      </w:pPr>
      <w:r w:rsidRPr="00C36B84">
        <w:rPr>
          <w:lang w:val="fr-FR"/>
        </w:rPr>
        <w:t xml:space="preserve">Le Comité confirme que la mesure de réglementation a été prise pour réduire les risques que présente le </w:t>
      </w:r>
      <w:proofErr w:type="spellStart"/>
      <w:r w:rsidRPr="00C36B84">
        <w:rPr>
          <w:lang w:val="fr-FR"/>
        </w:rPr>
        <w:t>terbufos</w:t>
      </w:r>
      <w:proofErr w:type="spellEnd"/>
      <w:r w:rsidRPr="00C36B84">
        <w:rPr>
          <w:lang w:val="fr-FR"/>
        </w:rPr>
        <w:t xml:space="preserve"> pour l</w:t>
      </w:r>
      <w:r w:rsidR="00263978" w:rsidRPr="00C36B84">
        <w:rPr>
          <w:lang w:val="fr-FR"/>
        </w:rPr>
        <w:t>’</w:t>
      </w:r>
      <w:r w:rsidRPr="00C36B84">
        <w:rPr>
          <w:lang w:val="fr-FR"/>
        </w:rPr>
        <w:t xml:space="preserve">environnement (UNEP/FAO/RC/CRC.17/8/Rev.1, </w:t>
      </w:r>
      <w:r w:rsidRPr="00C36B84">
        <w:rPr>
          <w:snapToGrid w:val="0"/>
          <w:lang w:val="fr-FR"/>
        </w:rPr>
        <w:t>s</w:t>
      </w:r>
      <w:r w:rsidRPr="00C36B84">
        <w:rPr>
          <w:lang w:val="fr-FR"/>
        </w:rPr>
        <w:t>ection</w:t>
      </w:r>
      <w:r w:rsidR="002D6168">
        <w:rPr>
          <w:lang w:val="fr-FR"/>
        </w:rPr>
        <w:t> </w:t>
      </w:r>
      <w:r w:rsidRPr="00C36B84">
        <w:rPr>
          <w:lang w:val="fr-FR"/>
        </w:rPr>
        <w:t>2.4.2.2 de la</w:t>
      </w:r>
      <w:r w:rsidR="007E7193" w:rsidRPr="00C36B84">
        <w:rPr>
          <w:lang w:val="fr-FR"/>
        </w:rPr>
        <w:t> </w:t>
      </w:r>
      <w:r w:rsidR="009A49D0" w:rsidRPr="00C36B84">
        <w:rPr>
          <w:lang w:val="fr-FR"/>
        </w:rPr>
        <w:t>notification reçue d</w:t>
      </w:r>
      <w:r w:rsidRPr="00C36B84">
        <w:rPr>
          <w:lang w:val="fr-FR"/>
        </w:rPr>
        <w:t>u Canada).</w:t>
      </w:r>
    </w:p>
    <w:p w14:paraId="7A4F3278" w14:textId="15D07953" w:rsidR="0070418B" w:rsidRPr="00C36B84" w:rsidRDefault="0070418B" w:rsidP="00AD11DC">
      <w:pPr>
        <w:pStyle w:val="Normalnumber"/>
        <w:numPr>
          <w:ilvl w:val="0"/>
          <w:numId w:val="8"/>
        </w:numPr>
        <w:rPr>
          <w:lang w:val="fr-FR"/>
        </w:rPr>
      </w:pPr>
      <w:r w:rsidRPr="00C36B84">
        <w:rPr>
          <w:lang w:val="fr-FR"/>
        </w:rPr>
        <w:t>D</w:t>
      </w:r>
      <w:r w:rsidR="00263978" w:rsidRPr="00C36B84">
        <w:rPr>
          <w:lang w:val="fr-FR"/>
        </w:rPr>
        <w:t>’</w:t>
      </w:r>
      <w:r w:rsidRPr="00C36B84">
        <w:rPr>
          <w:lang w:val="fr-FR"/>
        </w:rPr>
        <w:t>après l</w:t>
      </w:r>
      <w:r w:rsidR="00263978" w:rsidRPr="00C36B84">
        <w:rPr>
          <w:lang w:val="fr-FR"/>
        </w:rPr>
        <w:t>’</w:t>
      </w:r>
      <w:r w:rsidRPr="00C36B84">
        <w:rPr>
          <w:lang w:val="fr-FR"/>
        </w:rPr>
        <w:t>évaluation relative à l</w:t>
      </w:r>
      <w:r w:rsidR="00263978" w:rsidRPr="00C36B84">
        <w:rPr>
          <w:lang w:val="fr-FR"/>
        </w:rPr>
        <w:t>’</w:t>
      </w:r>
      <w:r w:rsidRPr="00C36B84">
        <w:rPr>
          <w:lang w:val="fr-FR"/>
        </w:rPr>
        <w:t>environnement fondée sur les données de toxicité disponibles, les préoccupations suivantes ont été mises en lumière :</w:t>
      </w:r>
    </w:p>
    <w:p w14:paraId="4B501D7B" w14:textId="1D418DFA" w:rsidR="0070418B" w:rsidRPr="00C36B84" w:rsidRDefault="0070418B" w:rsidP="00AD11DC">
      <w:pPr>
        <w:pStyle w:val="Normalnumber"/>
        <w:numPr>
          <w:ilvl w:val="1"/>
          <w:numId w:val="8"/>
        </w:numPr>
        <w:rPr>
          <w:rFonts w:eastAsia="MS Mincho"/>
          <w:iCs/>
          <w:szCs w:val="22"/>
          <w:lang w:val="fr-FR"/>
        </w:rPr>
      </w:pPr>
      <w:r w:rsidRPr="00C36B84">
        <w:rPr>
          <w:lang w:val="fr-FR"/>
        </w:rPr>
        <w:t>Les risques associés à l</w:t>
      </w:r>
      <w:r w:rsidR="00263978" w:rsidRPr="00C36B84">
        <w:rPr>
          <w:lang w:val="fr-FR"/>
        </w:rPr>
        <w:t>’</w:t>
      </w:r>
      <w:r w:rsidRPr="00C36B84">
        <w:rPr>
          <w:lang w:val="fr-FR"/>
        </w:rPr>
        <w:t xml:space="preserve">exposition au </w:t>
      </w:r>
      <w:proofErr w:type="spellStart"/>
      <w:r w:rsidRPr="00C36B84">
        <w:rPr>
          <w:lang w:val="fr-FR"/>
        </w:rPr>
        <w:t>terbufos</w:t>
      </w:r>
      <w:proofErr w:type="spellEnd"/>
      <w:r w:rsidRPr="00C36B84">
        <w:rPr>
          <w:lang w:val="fr-FR"/>
        </w:rPr>
        <w:t xml:space="preserve"> sont considérés comme élevés à</w:t>
      </w:r>
      <w:r w:rsidR="007E7193" w:rsidRPr="00C36B84">
        <w:rPr>
          <w:lang w:val="fr-FR"/>
        </w:rPr>
        <w:t> </w:t>
      </w:r>
      <w:r w:rsidRPr="00C36B84">
        <w:rPr>
          <w:lang w:val="fr-FR"/>
        </w:rPr>
        <w:t>extrêmement élevés pour les organismes aquatiques et, dans la plupart des cas, élevés à extrêmement élevés pour les oiseaux ;</w:t>
      </w:r>
    </w:p>
    <w:p w14:paraId="07F5542E" w14:textId="7F63292D" w:rsidR="00F23195" w:rsidRPr="00C36B84" w:rsidRDefault="0070418B" w:rsidP="00AD11DC">
      <w:pPr>
        <w:pStyle w:val="Normalnumber"/>
        <w:numPr>
          <w:ilvl w:val="1"/>
          <w:numId w:val="8"/>
        </w:numPr>
        <w:rPr>
          <w:lang w:val="fr-FR"/>
        </w:rPr>
      </w:pPr>
      <w:r w:rsidRPr="00C36B84">
        <w:rPr>
          <w:lang w:val="fr-FR"/>
        </w:rPr>
        <w:t>Les risques sont considérés comme faibles pour les grands mammifères et élevés pour</w:t>
      </w:r>
      <w:r w:rsidR="007E7193" w:rsidRPr="00C36B84">
        <w:rPr>
          <w:lang w:val="fr-FR"/>
        </w:rPr>
        <w:t> </w:t>
      </w:r>
      <w:r w:rsidRPr="00C36B84">
        <w:rPr>
          <w:lang w:val="fr-FR"/>
        </w:rPr>
        <w:t>les petits mammifères ;</w:t>
      </w:r>
    </w:p>
    <w:p w14:paraId="0255EC30" w14:textId="63976B70" w:rsidR="0070418B" w:rsidRPr="00C36B84" w:rsidRDefault="0070418B" w:rsidP="00AD11DC">
      <w:pPr>
        <w:pStyle w:val="Normalnumber"/>
        <w:numPr>
          <w:ilvl w:val="1"/>
          <w:numId w:val="8"/>
        </w:numPr>
        <w:rPr>
          <w:rFonts w:eastAsia="MS Mincho"/>
          <w:iCs/>
          <w:szCs w:val="22"/>
          <w:lang w:val="fr-FR"/>
        </w:rPr>
      </w:pPr>
      <w:r w:rsidRPr="00C36B84">
        <w:rPr>
          <w:lang w:val="fr-FR"/>
        </w:rPr>
        <w:t>Des comptes rendus d</w:t>
      </w:r>
      <w:r w:rsidR="00263978" w:rsidRPr="00C36B84">
        <w:rPr>
          <w:lang w:val="fr-FR"/>
        </w:rPr>
        <w:t>’</w:t>
      </w:r>
      <w:r w:rsidRPr="00C36B84">
        <w:rPr>
          <w:lang w:val="fr-FR"/>
        </w:rPr>
        <w:t>incidents faisant état d</w:t>
      </w:r>
      <w:r w:rsidR="00263978" w:rsidRPr="00C36B84">
        <w:rPr>
          <w:lang w:val="fr-FR"/>
        </w:rPr>
        <w:t>’</w:t>
      </w:r>
      <w:r w:rsidRPr="00C36B84">
        <w:rPr>
          <w:lang w:val="fr-FR"/>
        </w:rPr>
        <w:t>effets nocifs ont permis de corroborer l</w:t>
      </w:r>
      <w:r w:rsidR="00263978" w:rsidRPr="00C36B84">
        <w:rPr>
          <w:lang w:val="fr-FR"/>
        </w:rPr>
        <w:t>’</w:t>
      </w:r>
      <w:r w:rsidRPr="00C36B84">
        <w:rPr>
          <w:lang w:val="fr-FR"/>
        </w:rPr>
        <w:t xml:space="preserve">existence de risques élevés liés au </w:t>
      </w:r>
      <w:proofErr w:type="spellStart"/>
      <w:r w:rsidRPr="00C36B84">
        <w:rPr>
          <w:lang w:val="fr-FR"/>
        </w:rPr>
        <w:t>terbufos</w:t>
      </w:r>
      <w:proofErr w:type="spellEnd"/>
      <w:r w:rsidRPr="00C36B84">
        <w:rPr>
          <w:lang w:val="fr-FR"/>
        </w:rPr>
        <w:t xml:space="preserve"> pour les espèces non ciblées.</w:t>
      </w:r>
    </w:p>
    <w:p w14:paraId="35529214" w14:textId="7239BA84" w:rsidR="0070418B" w:rsidRPr="00C36B84" w:rsidRDefault="0070418B" w:rsidP="00AD11DC">
      <w:pPr>
        <w:pStyle w:val="Normalnumber"/>
        <w:numPr>
          <w:ilvl w:val="0"/>
          <w:numId w:val="8"/>
        </w:numPr>
        <w:rPr>
          <w:lang w:val="fr-FR"/>
        </w:rPr>
      </w:pPr>
      <w:r w:rsidRPr="00C36B84">
        <w:rPr>
          <w:lang w:val="fr-FR"/>
        </w:rPr>
        <w:t>En conséquence, le Comité conclut que la mesure de réglementation finale a été prise pour protéger l</w:t>
      </w:r>
      <w:r w:rsidR="00263978" w:rsidRPr="00C36B84">
        <w:rPr>
          <w:lang w:val="fr-FR"/>
        </w:rPr>
        <w:t>’</w:t>
      </w:r>
      <w:r w:rsidRPr="00C36B84">
        <w:rPr>
          <w:lang w:val="fr-FR"/>
        </w:rPr>
        <w:t>environnement et que le critère énoncé au paragraphe a) de l</w:t>
      </w:r>
      <w:r w:rsidR="00263978" w:rsidRPr="00C36B84">
        <w:rPr>
          <w:lang w:val="fr-FR"/>
        </w:rPr>
        <w:t>’</w:t>
      </w:r>
      <w:r w:rsidRPr="00C36B84">
        <w:rPr>
          <w:lang w:val="fr-FR"/>
        </w:rPr>
        <w:t>Annexe II est rempli.</w:t>
      </w:r>
    </w:p>
    <w:p w14:paraId="670E7075" w14:textId="65D2338D" w:rsidR="00F23195" w:rsidRPr="00C36B84" w:rsidRDefault="0070418B" w:rsidP="00C0139F">
      <w:pPr>
        <w:pStyle w:val="CH3"/>
        <w:rPr>
          <w:bCs/>
          <w:snapToGrid w:val="0"/>
        </w:rPr>
      </w:pPr>
      <w:r w:rsidRPr="00C36B84">
        <w:rPr>
          <w:bCs/>
          <w:snapToGrid w:val="0"/>
        </w:rPr>
        <w:lastRenderedPageBreak/>
        <w:tab/>
        <w:t>c)</w:t>
      </w:r>
      <w:r w:rsidRPr="00C36B84">
        <w:rPr>
          <w:bCs/>
          <w:snapToGrid w:val="0"/>
        </w:rPr>
        <w:tab/>
        <w:t>Critères énoncés au paragraphe b) de l</w:t>
      </w:r>
      <w:r w:rsidR="00263978" w:rsidRPr="00C36B84">
        <w:rPr>
          <w:bCs/>
          <w:snapToGrid w:val="0"/>
        </w:rPr>
        <w:t>’</w:t>
      </w:r>
      <w:r w:rsidRPr="00C36B84">
        <w:rPr>
          <w:bCs/>
          <w:snapToGrid w:val="0"/>
        </w:rPr>
        <w:t>Annexe II</w:t>
      </w:r>
    </w:p>
    <w:p w14:paraId="0AA1D741" w14:textId="2D43D0C5" w:rsidR="0070418B" w:rsidRPr="00C36B84" w:rsidRDefault="007E7193" w:rsidP="007E7193">
      <w:pPr>
        <w:pStyle w:val="NormalNonumber"/>
        <w:rPr>
          <w:i/>
        </w:rPr>
      </w:pPr>
      <w:r w:rsidRPr="00C36B84">
        <w:rPr>
          <w:i/>
        </w:rPr>
        <w:tab/>
      </w:r>
      <w:r w:rsidR="0070418B" w:rsidRPr="00C36B84">
        <w:rPr>
          <w:i/>
        </w:rPr>
        <w:t>b)</w:t>
      </w:r>
      <w:r w:rsidR="0070418B" w:rsidRPr="00C36B84">
        <w:rPr>
          <w:i/>
        </w:rPr>
        <w:tab/>
        <w:t>Vérifie que la mesure de réglementation finale a été prise à la suite d</w:t>
      </w:r>
      <w:r w:rsidR="00263978" w:rsidRPr="00C36B84">
        <w:rPr>
          <w:i/>
        </w:rPr>
        <w:t>’</w:t>
      </w:r>
      <w:r w:rsidR="0070418B" w:rsidRPr="00C36B84">
        <w:rPr>
          <w:i/>
        </w:rPr>
        <w:t>une évaluation des</w:t>
      </w:r>
      <w:r w:rsidRPr="00C36B84">
        <w:rPr>
          <w:i/>
        </w:rPr>
        <w:t> </w:t>
      </w:r>
      <w:r w:rsidR="0070418B" w:rsidRPr="00C36B84">
        <w:rPr>
          <w:i/>
        </w:rPr>
        <w:t xml:space="preserve">risques. Cette évaluation doit reposer sur une étude des données scientifiques effectuée en tenant compte des circonstances propres à la Partie considérée. À cette fin, la documentation fournie </w:t>
      </w:r>
      <w:r w:rsidR="00646B54" w:rsidRPr="00C36B84">
        <w:rPr>
          <w:i/>
        </w:rPr>
        <w:t>doit démontrer</w:t>
      </w:r>
      <w:r w:rsidR="0070418B" w:rsidRPr="00C36B84">
        <w:rPr>
          <w:i/>
        </w:rPr>
        <w:t xml:space="preserve"> ce qui suit :</w:t>
      </w:r>
    </w:p>
    <w:p w14:paraId="7DCBA051" w14:textId="35019CA5" w:rsidR="0070418B" w:rsidRPr="00C36B84" w:rsidRDefault="007E7193" w:rsidP="007E7193">
      <w:pPr>
        <w:pStyle w:val="NormalNonumber"/>
        <w:rPr>
          <w:i/>
        </w:rPr>
      </w:pPr>
      <w:r w:rsidRPr="00C36B84">
        <w:rPr>
          <w:i/>
        </w:rPr>
        <w:tab/>
      </w:r>
      <w:r w:rsidR="0070418B" w:rsidRPr="00C36B84">
        <w:rPr>
          <w:i/>
        </w:rPr>
        <w:t>i)</w:t>
      </w:r>
      <w:r w:rsidR="0070418B" w:rsidRPr="00C36B84">
        <w:rPr>
          <w:i/>
        </w:rPr>
        <w:tab/>
        <w:t>Les données étudiées ont été obtenues par des méthodes scientifiquement reconnues ;</w:t>
      </w:r>
    </w:p>
    <w:p w14:paraId="07D23D1D" w14:textId="19E32C4D" w:rsidR="0070418B" w:rsidRPr="00C36B84" w:rsidRDefault="007E7193" w:rsidP="007E7193">
      <w:pPr>
        <w:pStyle w:val="NormalNonumber"/>
        <w:ind w:left="2381" w:hanging="1134"/>
        <w:rPr>
          <w:i/>
        </w:rPr>
      </w:pPr>
      <w:r w:rsidRPr="00C36B84">
        <w:rPr>
          <w:i/>
        </w:rPr>
        <w:tab/>
      </w:r>
      <w:r w:rsidR="0070418B" w:rsidRPr="00C36B84">
        <w:rPr>
          <w:i/>
        </w:rPr>
        <w:t>ii)</w:t>
      </w:r>
      <w:r w:rsidR="0070418B" w:rsidRPr="00C36B84">
        <w:rPr>
          <w:i/>
        </w:rPr>
        <w:tab/>
        <w:t>Ces données ont été analysées et corroborées selon des principes et des procédures scientifiques largement reconnus ;</w:t>
      </w:r>
    </w:p>
    <w:p w14:paraId="277F346A" w14:textId="61C6B837" w:rsidR="0070418B" w:rsidRPr="00C36B84" w:rsidRDefault="0070418B" w:rsidP="00AD11DC">
      <w:pPr>
        <w:pStyle w:val="Normalnumber"/>
        <w:numPr>
          <w:ilvl w:val="0"/>
          <w:numId w:val="8"/>
        </w:numPr>
        <w:rPr>
          <w:lang w:val="fr-FR"/>
        </w:rPr>
      </w:pPr>
      <w:r w:rsidRPr="00C36B84">
        <w:rPr>
          <w:lang w:val="fr-FR"/>
        </w:rPr>
        <w:t xml:space="preserve">La notification indique que la mesure de réglementation finale est fondée sur une évaluation des risques. </w:t>
      </w:r>
      <w:r w:rsidR="004F7DB0" w:rsidRPr="00C36B84">
        <w:rPr>
          <w:lang w:val="fr-FR"/>
        </w:rPr>
        <w:t>Elle</w:t>
      </w:r>
      <w:r w:rsidRPr="00C36B84">
        <w:rPr>
          <w:lang w:val="fr-FR"/>
        </w:rPr>
        <w:t xml:space="preserve"> fait référence aux documents suivants, fournis à titre de documentation à l</w:t>
      </w:r>
      <w:r w:rsidR="00263978" w:rsidRPr="00C36B84">
        <w:rPr>
          <w:lang w:val="fr-FR"/>
        </w:rPr>
        <w:t>’</w:t>
      </w:r>
      <w:r w:rsidRPr="00C36B84">
        <w:rPr>
          <w:lang w:val="fr-FR"/>
        </w:rPr>
        <w:t>appui dans le document UNEP/FAO/RC/CRC.17/INF/19/Rev.1 :</w:t>
      </w:r>
    </w:p>
    <w:p w14:paraId="560A86CC" w14:textId="2BBFFAC7" w:rsidR="0070418B" w:rsidRPr="00C36B84" w:rsidRDefault="004F7DB0" w:rsidP="00AD11DC">
      <w:pPr>
        <w:pStyle w:val="Normalnumber"/>
        <w:numPr>
          <w:ilvl w:val="1"/>
          <w:numId w:val="8"/>
        </w:numPr>
        <w:rPr>
          <w:rFonts w:eastAsia="MS Mincho"/>
          <w:iCs/>
          <w:lang w:val="fr-FR"/>
        </w:rPr>
      </w:pPr>
      <w:r w:rsidRPr="00C36B84">
        <w:rPr>
          <w:lang w:val="fr-FR"/>
        </w:rPr>
        <w:t xml:space="preserve">Agence de réglementation de la lutte antiparasitaire, Santé Canada, </w:t>
      </w:r>
      <w:r w:rsidR="00AE69FB" w:rsidRPr="00C36B84">
        <w:rPr>
          <w:lang w:val="fr-FR"/>
        </w:rPr>
        <w:t>« Projet d</w:t>
      </w:r>
      <w:r w:rsidR="00263978" w:rsidRPr="00C36B84">
        <w:rPr>
          <w:lang w:val="fr-FR"/>
        </w:rPr>
        <w:t>’</w:t>
      </w:r>
      <w:r w:rsidR="00AE69FB" w:rsidRPr="00C36B84">
        <w:rPr>
          <w:lang w:val="fr-FR"/>
        </w:rPr>
        <w:t xml:space="preserve">acceptabilité </w:t>
      </w:r>
      <w:r w:rsidR="00395575" w:rsidRPr="00C36B84">
        <w:rPr>
          <w:lang w:val="fr-FR"/>
        </w:rPr>
        <w:t>d</w:t>
      </w:r>
      <w:r w:rsidR="00263978" w:rsidRPr="00C36B84">
        <w:rPr>
          <w:lang w:val="fr-FR"/>
        </w:rPr>
        <w:t>’</w:t>
      </w:r>
      <w:r w:rsidR="00395575" w:rsidRPr="00C36B84">
        <w:rPr>
          <w:lang w:val="fr-FR"/>
        </w:rPr>
        <w:t>homologation continue</w:t>
      </w:r>
      <w:r w:rsidR="00AE69FB" w:rsidRPr="00C36B84">
        <w:rPr>
          <w:lang w:val="fr-FR"/>
        </w:rPr>
        <w:t xml:space="preserve"> (PACR2003-02) : Réévaluation du </w:t>
      </w:r>
      <w:proofErr w:type="spellStart"/>
      <w:r w:rsidR="00AE69FB" w:rsidRPr="00C36B84">
        <w:rPr>
          <w:lang w:val="fr-FR"/>
        </w:rPr>
        <w:t>terbufos</w:t>
      </w:r>
      <w:proofErr w:type="spellEnd"/>
      <w:r w:rsidR="00AE69FB" w:rsidRPr="00C36B84">
        <w:rPr>
          <w:lang w:val="fr-FR"/>
        </w:rPr>
        <w:t xml:space="preserve"> » </w:t>
      </w:r>
      <w:r w:rsidRPr="00C36B84">
        <w:rPr>
          <w:lang w:val="fr-FR"/>
        </w:rPr>
        <w:t>(</w:t>
      </w:r>
      <w:r w:rsidR="00AE69FB" w:rsidRPr="00C36B84">
        <w:rPr>
          <w:lang w:val="fr-FR"/>
        </w:rPr>
        <w:t>24 janvier 2003</w:t>
      </w:r>
      <w:r w:rsidRPr="00C36B84">
        <w:rPr>
          <w:lang w:val="fr-FR"/>
        </w:rPr>
        <w:t>)</w:t>
      </w:r>
      <w:r w:rsidR="00AE69FB" w:rsidRPr="00C36B84">
        <w:rPr>
          <w:lang w:val="fr-FR"/>
        </w:rPr>
        <w:t> ;</w:t>
      </w:r>
    </w:p>
    <w:p w14:paraId="6CE2141A" w14:textId="1DACD841" w:rsidR="0070418B" w:rsidRPr="00C36B84" w:rsidRDefault="004F7DB0" w:rsidP="00AD11DC">
      <w:pPr>
        <w:pStyle w:val="Normalnumber"/>
        <w:numPr>
          <w:ilvl w:val="1"/>
          <w:numId w:val="8"/>
        </w:numPr>
        <w:rPr>
          <w:rFonts w:eastAsia="MS Mincho"/>
          <w:iCs/>
          <w:lang w:val="fr-FR"/>
        </w:rPr>
      </w:pPr>
      <w:r w:rsidRPr="00C36B84">
        <w:rPr>
          <w:lang w:val="fr-FR"/>
        </w:rPr>
        <w:t xml:space="preserve">Agence de réglementation de la lutte antiparasitaire, Santé Canada, </w:t>
      </w:r>
      <w:r w:rsidR="00AE69FB" w:rsidRPr="00C36B84">
        <w:rPr>
          <w:lang w:val="fr-FR"/>
        </w:rPr>
        <w:t>« Décision de réévaluation (RRD</w:t>
      </w:r>
      <w:r w:rsidR="007E7193" w:rsidRPr="00C36B84">
        <w:rPr>
          <w:lang w:val="fr-FR"/>
        </w:rPr>
        <w:t xml:space="preserve"> </w:t>
      </w:r>
      <w:r w:rsidR="00AE69FB" w:rsidRPr="00C36B84">
        <w:rPr>
          <w:lang w:val="fr-FR"/>
        </w:rPr>
        <w:t xml:space="preserve">2004-04) : Réévaluation du </w:t>
      </w:r>
      <w:proofErr w:type="spellStart"/>
      <w:r w:rsidR="00AE69FB" w:rsidRPr="00C36B84">
        <w:rPr>
          <w:lang w:val="fr-FR"/>
        </w:rPr>
        <w:t>terbufos</w:t>
      </w:r>
      <w:proofErr w:type="spellEnd"/>
      <w:r w:rsidR="00AE69FB" w:rsidRPr="00C36B84">
        <w:rPr>
          <w:lang w:val="fr-FR"/>
        </w:rPr>
        <w:t> »</w:t>
      </w:r>
      <w:r w:rsidRPr="00C36B84">
        <w:rPr>
          <w:lang w:val="fr-FR"/>
        </w:rPr>
        <w:t xml:space="preserve"> (</w:t>
      </w:r>
      <w:r w:rsidR="00AE69FB" w:rsidRPr="00C36B84">
        <w:rPr>
          <w:lang w:val="fr-FR"/>
        </w:rPr>
        <w:t>23 mars 2004</w:t>
      </w:r>
      <w:r w:rsidRPr="00C36B84">
        <w:rPr>
          <w:lang w:val="fr-FR"/>
        </w:rPr>
        <w:t>)</w:t>
      </w:r>
      <w:r w:rsidR="00AE69FB" w:rsidRPr="00C36B84">
        <w:rPr>
          <w:lang w:val="fr-FR"/>
        </w:rPr>
        <w:t> ;</w:t>
      </w:r>
    </w:p>
    <w:p w14:paraId="1DC08898" w14:textId="5AF67D50" w:rsidR="00F23195" w:rsidRPr="00C36B84" w:rsidRDefault="004F7DB0" w:rsidP="00AD11DC">
      <w:pPr>
        <w:pStyle w:val="Normalnumber"/>
        <w:numPr>
          <w:ilvl w:val="1"/>
          <w:numId w:val="8"/>
        </w:numPr>
        <w:rPr>
          <w:lang w:val="fr-FR"/>
        </w:rPr>
      </w:pPr>
      <w:r w:rsidRPr="00C36B84">
        <w:rPr>
          <w:lang w:val="fr-FR"/>
        </w:rPr>
        <w:t xml:space="preserve">Agence de réglementation de la lutte antiparasitaire, Santé Canada, </w:t>
      </w:r>
      <w:r w:rsidR="00AE69FB" w:rsidRPr="00C36B84">
        <w:rPr>
          <w:lang w:val="fr-FR"/>
        </w:rPr>
        <w:t>« Note de réévaluation REV2008-06 : Mise à jour concernant la réévaluation de l</w:t>
      </w:r>
      <w:r w:rsidR="00263978" w:rsidRPr="00C36B84">
        <w:rPr>
          <w:lang w:val="fr-FR"/>
        </w:rPr>
        <w:t>’</w:t>
      </w:r>
      <w:r w:rsidR="00AE69FB" w:rsidRPr="00C36B84">
        <w:rPr>
          <w:lang w:val="fr-FR"/>
        </w:rPr>
        <w:t xml:space="preserve">utilisation du </w:t>
      </w:r>
      <w:proofErr w:type="spellStart"/>
      <w:r w:rsidR="00AE69FB" w:rsidRPr="00C36B84">
        <w:rPr>
          <w:lang w:val="fr-FR"/>
        </w:rPr>
        <w:t>terbufos</w:t>
      </w:r>
      <w:proofErr w:type="spellEnd"/>
      <w:r w:rsidR="00AE69FB" w:rsidRPr="00C36B84">
        <w:rPr>
          <w:lang w:val="fr-FR"/>
        </w:rPr>
        <w:t xml:space="preserve"> sur les</w:t>
      </w:r>
      <w:r w:rsidR="007E7193" w:rsidRPr="00C36B84">
        <w:rPr>
          <w:lang w:val="fr-FR"/>
        </w:rPr>
        <w:t> </w:t>
      </w:r>
      <w:r w:rsidR="00AE69FB" w:rsidRPr="00C36B84">
        <w:rPr>
          <w:lang w:val="fr-FR"/>
        </w:rPr>
        <w:t>betteraves à sucre »</w:t>
      </w:r>
      <w:r w:rsidRPr="00C36B84">
        <w:rPr>
          <w:lang w:val="fr-FR"/>
        </w:rPr>
        <w:t xml:space="preserve"> (</w:t>
      </w:r>
      <w:r w:rsidR="00AE69FB" w:rsidRPr="00C36B84">
        <w:rPr>
          <w:lang w:val="fr-FR"/>
        </w:rPr>
        <w:t>26 mars 2008</w:t>
      </w:r>
      <w:r w:rsidRPr="00C36B84">
        <w:rPr>
          <w:lang w:val="fr-FR"/>
        </w:rPr>
        <w:t>)</w:t>
      </w:r>
      <w:r w:rsidR="00AE69FB" w:rsidRPr="00C36B84">
        <w:rPr>
          <w:lang w:val="fr-FR"/>
        </w:rPr>
        <w:t> ;</w:t>
      </w:r>
    </w:p>
    <w:p w14:paraId="425C1032" w14:textId="0D7CFAD6" w:rsidR="0070418B" w:rsidRPr="00C36B84" w:rsidRDefault="004F7DB0" w:rsidP="00AD11DC">
      <w:pPr>
        <w:pStyle w:val="Normalnumber"/>
        <w:numPr>
          <w:ilvl w:val="1"/>
          <w:numId w:val="8"/>
        </w:numPr>
        <w:rPr>
          <w:rFonts w:eastAsia="MS Mincho"/>
          <w:iCs/>
          <w:lang w:val="fr-FR"/>
        </w:rPr>
      </w:pPr>
      <w:r w:rsidRPr="00C36B84">
        <w:rPr>
          <w:lang w:val="fr-FR"/>
        </w:rPr>
        <w:t xml:space="preserve">Agence de réglementation de la lutte antiparasitaire, Santé Canada, </w:t>
      </w:r>
      <w:r w:rsidR="00AE69FB" w:rsidRPr="00C36B84">
        <w:rPr>
          <w:lang w:val="fr-FR"/>
        </w:rPr>
        <w:t>« Rapport concernant les ventes de produits antiparasitaires en 2011 »</w:t>
      </w:r>
      <w:r w:rsidRPr="00C36B84">
        <w:rPr>
          <w:lang w:val="fr-FR"/>
        </w:rPr>
        <w:t xml:space="preserve"> (</w:t>
      </w:r>
      <w:r w:rsidR="00AE69FB" w:rsidRPr="00C36B84">
        <w:rPr>
          <w:lang w:val="fr-FR"/>
        </w:rPr>
        <w:t>2011</w:t>
      </w:r>
      <w:r w:rsidRPr="00C36B84">
        <w:rPr>
          <w:lang w:val="fr-FR"/>
        </w:rPr>
        <w:t>)</w:t>
      </w:r>
      <w:r w:rsidR="00AE69FB" w:rsidRPr="00C36B84">
        <w:rPr>
          <w:lang w:val="fr-FR"/>
        </w:rPr>
        <w:t> ;</w:t>
      </w:r>
    </w:p>
    <w:p w14:paraId="60E62587" w14:textId="13873633" w:rsidR="0070418B" w:rsidRPr="002F581B" w:rsidRDefault="004F7DB0" w:rsidP="00AD11DC">
      <w:pPr>
        <w:pStyle w:val="Normalnumber"/>
        <w:numPr>
          <w:ilvl w:val="1"/>
          <w:numId w:val="8"/>
        </w:numPr>
        <w:rPr>
          <w:rFonts w:eastAsia="MS Mincho"/>
          <w:lang w:val="en-US"/>
        </w:rPr>
      </w:pPr>
      <w:r w:rsidRPr="002F581B">
        <w:rPr>
          <w:lang w:val="en-US"/>
        </w:rPr>
        <w:t xml:space="preserve">Colin </w:t>
      </w:r>
      <w:proofErr w:type="spellStart"/>
      <w:r w:rsidRPr="002F581B">
        <w:rPr>
          <w:lang w:val="en-US"/>
        </w:rPr>
        <w:t>Macbean</w:t>
      </w:r>
      <w:proofErr w:type="spellEnd"/>
      <w:r w:rsidRPr="002F581B">
        <w:rPr>
          <w:lang w:val="en-US"/>
        </w:rPr>
        <w:t xml:space="preserve">, </w:t>
      </w:r>
      <w:r w:rsidRPr="002F581B">
        <w:rPr>
          <w:i/>
          <w:lang w:val="en-US"/>
        </w:rPr>
        <w:t>The pesticide manual: a world compendium</w:t>
      </w:r>
      <w:r w:rsidRPr="002F581B">
        <w:rPr>
          <w:lang w:val="en-US"/>
        </w:rPr>
        <w:t xml:space="preserve">, </w:t>
      </w:r>
      <w:proofErr w:type="spellStart"/>
      <w:r w:rsidRPr="002F581B">
        <w:rPr>
          <w:lang w:val="en-US"/>
        </w:rPr>
        <w:t>seizième</w:t>
      </w:r>
      <w:proofErr w:type="spellEnd"/>
      <w:r w:rsidR="007E7193" w:rsidRPr="002F581B">
        <w:rPr>
          <w:lang w:val="en-US"/>
        </w:rPr>
        <w:t> </w:t>
      </w:r>
      <w:proofErr w:type="spellStart"/>
      <w:r w:rsidRPr="002F581B">
        <w:rPr>
          <w:lang w:val="en-US"/>
        </w:rPr>
        <w:t>édition</w:t>
      </w:r>
      <w:proofErr w:type="spellEnd"/>
      <w:r w:rsidRPr="002F581B">
        <w:rPr>
          <w:lang w:val="en-US"/>
        </w:rPr>
        <w:t xml:space="preserve"> (extrait) (British Crop Protection Council, 2012)</w:t>
      </w:r>
      <w:r w:rsidR="007E7193" w:rsidRPr="002F581B">
        <w:rPr>
          <w:lang w:val="en-US"/>
        </w:rPr>
        <w:t>.</w:t>
      </w:r>
    </w:p>
    <w:p w14:paraId="38C43E45" w14:textId="1F2A1E38" w:rsidR="00F23195" w:rsidRPr="00C36B84" w:rsidRDefault="0070418B" w:rsidP="00AD11DC">
      <w:pPr>
        <w:pStyle w:val="Normalnumber"/>
        <w:numPr>
          <w:ilvl w:val="0"/>
          <w:numId w:val="8"/>
        </w:numPr>
        <w:rPr>
          <w:lang w:val="fr-FR"/>
        </w:rPr>
      </w:pPr>
      <w:r w:rsidRPr="00C36B84">
        <w:rPr>
          <w:lang w:val="fr-FR"/>
        </w:rPr>
        <w:t xml:space="preserve">Il a été procédé à une réévaluation de </w:t>
      </w:r>
      <w:r w:rsidR="00FB4F20" w:rsidRPr="00C36B84">
        <w:rPr>
          <w:lang w:val="fr-FR"/>
        </w:rPr>
        <w:t>la matière active</w:t>
      </w:r>
      <w:r w:rsidRPr="00C36B84">
        <w:rPr>
          <w:lang w:val="fr-FR"/>
        </w:rPr>
        <w:t xml:space="preserve"> </w:t>
      </w:r>
      <w:proofErr w:type="spellStart"/>
      <w:r w:rsidRPr="00C36B84">
        <w:rPr>
          <w:lang w:val="fr-FR"/>
        </w:rPr>
        <w:t>terbufos</w:t>
      </w:r>
      <w:proofErr w:type="spellEnd"/>
      <w:r w:rsidRPr="00C36B84">
        <w:rPr>
          <w:lang w:val="fr-FR"/>
        </w:rPr>
        <w:t xml:space="preserve"> et de ses préparations commerciales destinées à une utilisation sur le canola, le maïs, la moutarde et les rutabagas en vertu de</w:t>
      </w:r>
      <w:r w:rsidR="007E7193" w:rsidRPr="00C36B84">
        <w:rPr>
          <w:lang w:val="fr-FR"/>
        </w:rPr>
        <w:t> </w:t>
      </w:r>
      <w:r w:rsidRPr="00C36B84">
        <w:rPr>
          <w:lang w:val="fr-FR"/>
        </w:rPr>
        <w:t>la section 1</w:t>
      </w:r>
      <w:r w:rsidR="007E7193" w:rsidRPr="00C36B84">
        <w:rPr>
          <w:lang w:val="fr-FR"/>
        </w:rPr>
        <w:t>9</w:t>
      </w:r>
      <w:r w:rsidRPr="00C36B84">
        <w:rPr>
          <w:lang w:val="fr-FR"/>
        </w:rPr>
        <w:t xml:space="preserve"> du Règlement sur les produits antiparasitaires</w:t>
      </w:r>
      <w:r w:rsidR="00F834B5" w:rsidRPr="00C36B84">
        <w:rPr>
          <w:lang w:val="fr-FR"/>
        </w:rPr>
        <w:t xml:space="preserve"> du Canada</w:t>
      </w:r>
      <w:r w:rsidRPr="00C36B84">
        <w:rPr>
          <w:lang w:val="fr-FR"/>
        </w:rPr>
        <w:t>.</w:t>
      </w:r>
    </w:p>
    <w:p w14:paraId="7CBE0C44" w14:textId="43E5A650" w:rsidR="0070418B" w:rsidRPr="00C36B84" w:rsidRDefault="0070418B" w:rsidP="00AD11DC">
      <w:pPr>
        <w:pStyle w:val="Normalnumber"/>
        <w:numPr>
          <w:ilvl w:val="0"/>
          <w:numId w:val="8"/>
        </w:numPr>
        <w:rPr>
          <w:lang w:val="fr-FR"/>
        </w:rPr>
      </w:pPr>
      <w:r w:rsidRPr="00C36B84">
        <w:rPr>
          <w:lang w:val="fr-FR"/>
        </w:rPr>
        <w:t>Le document relatif au projet d</w:t>
      </w:r>
      <w:r w:rsidR="00263978" w:rsidRPr="00C36B84">
        <w:rPr>
          <w:lang w:val="fr-FR"/>
        </w:rPr>
        <w:t>’</w:t>
      </w:r>
      <w:r w:rsidRPr="00C36B84">
        <w:rPr>
          <w:lang w:val="fr-FR"/>
        </w:rPr>
        <w:t>acceptabilité d</w:t>
      </w:r>
      <w:r w:rsidR="00263978" w:rsidRPr="00C36B84">
        <w:rPr>
          <w:lang w:val="fr-FR"/>
        </w:rPr>
        <w:t>’</w:t>
      </w:r>
      <w:r w:rsidRPr="00C36B84">
        <w:rPr>
          <w:lang w:val="fr-FR"/>
        </w:rPr>
        <w:t>homologation continue (PACR2003-02) comprend une évaluation des risques pour la santé humaine, une évaluation des risques pour l</w:t>
      </w:r>
      <w:r w:rsidR="00263978" w:rsidRPr="00C36B84">
        <w:rPr>
          <w:lang w:val="fr-FR"/>
        </w:rPr>
        <w:t>’</w:t>
      </w:r>
      <w:r w:rsidRPr="00C36B84">
        <w:rPr>
          <w:lang w:val="fr-FR"/>
        </w:rPr>
        <w:t>environnement et des informations sur l</w:t>
      </w:r>
      <w:r w:rsidR="00263978" w:rsidRPr="00C36B84">
        <w:rPr>
          <w:lang w:val="fr-FR"/>
        </w:rPr>
        <w:t>’</w:t>
      </w:r>
      <w:r w:rsidRPr="00C36B84">
        <w:rPr>
          <w:lang w:val="fr-FR"/>
        </w:rPr>
        <w:t xml:space="preserve">intérêt du </w:t>
      </w:r>
      <w:proofErr w:type="spellStart"/>
      <w:r w:rsidRPr="00C36B84">
        <w:rPr>
          <w:lang w:val="fr-FR"/>
        </w:rPr>
        <w:t>terbufos</w:t>
      </w:r>
      <w:proofErr w:type="spellEnd"/>
      <w:r w:rsidRPr="00C36B84">
        <w:rPr>
          <w:lang w:val="fr-FR"/>
        </w:rPr>
        <w:t xml:space="preserve"> pour la lutte antiparasitaire au Canada. Il</w:t>
      </w:r>
      <w:r w:rsidR="007E7193" w:rsidRPr="00C36B84">
        <w:rPr>
          <w:lang w:val="fr-FR"/>
        </w:rPr>
        <w:t> </w:t>
      </w:r>
      <w:r w:rsidRPr="00C36B84">
        <w:rPr>
          <w:lang w:val="fr-FR"/>
        </w:rPr>
        <w:t xml:space="preserve">y est précisé que la base de données toxicologiques qui a été prise en considération </w:t>
      </w:r>
      <w:r w:rsidR="001B3D3E" w:rsidRPr="00C36B84">
        <w:rPr>
          <w:lang w:val="fr-FR"/>
        </w:rPr>
        <w:t>s</w:t>
      </w:r>
      <w:r w:rsidR="00263978" w:rsidRPr="00C36B84">
        <w:rPr>
          <w:lang w:val="fr-FR"/>
        </w:rPr>
        <w:t>’</w:t>
      </w:r>
      <w:r w:rsidR="001B3D3E" w:rsidRPr="00C36B84">
        <w:rPr>
          <w:lang w:val="fr-FR"/>
        </w:rPr>
        <w:t>agissant du</w:t>
      </w:r>
      <w:r w:rsidRPr="00C36B84">
        <w:rPr>
          <w:lang w:val="fr-FR"/>
        </w:rPr>
        <w:t xml:space="preserve"> </w:t>
      </w:r>
      <w:proofErr w:type="spellStart"/>
      <w:r w:rsidRPr="00C36B84">
        <w:rPr>
          <w:lang w:val="fr-FR"/>
        </w:rPr>
        <w:t>terbufos</w:t>
      </w:r>
      <w:proofErr w:type="spellEnd"/>
      <w:r w:rsidRPr="00C36B84">
        <w:rPr>
          <w:lang w:val="fr-FR"/>
        </w:rPr>
        <w:t xml:space="preserve"> se fonde principalement sur des études mises à disposition par le déclarant. Les données concernent les critères indicatifs de la toxicité, la dose sans effet nocif observé (NOAEL), la dose aiguë de référence (</w:t>
      </w:r>
      <w:proofErr w:type="spellStart"/>
      <w:r w:rsidRPr="00C36B84">
        <w:rPr>
          <w:lang w:val="fr-FR"/>
        </w:rPr>
        <w:t>DARf</w:t>
      </w:r>
      <w:proofErr w:type="spellEnd"/>
      <w:r w:rsidRPr="00C36B84">
        <w:rPr>
          <w:lang w:val="fr-FR"/>
        </w:rPr>
        <w:t>), des déterminations de la dose journalière admissible (DJA) et des</w:t>
      </w:r>
      <w:r w:rsidR="007E7193" w:rsidRPr="00C36B84">
        <w:rPr>
          <w:lang w:val="fr-FR"/>
        </w:rPr>
        <w:t> </w:t>
      </w:r>
      <w:r w:rsidRPr="00C36B84">
        <w:rPr>
          <w:lang w:val="fr-FR"/>
        </w:rPr>
        <w:t>comparaisons par rapport aux effets attendus de l</w:t>
      </w:r>
      <w:r w:rsidR="00263978" w:rsidRPr="00C36B84">
        <w:rPr>
          <w:lang w:val="fr-FR"/>
        </w:rPr>
        <w:t>’</w:t>
      </w:r>
      <w:r w:rsidRPr="00C36B84">
        <w:rPr>
          <w:lang w:val="fr-FR"/>
        </w:rPr>
        <w:t>exposition chez l</w:t>
      </w:r>
      <w:r w:rsidR="00263978" w:rsidRPr="00C36B84">
        <w:rPr>
          <w:lang w:val="fr-FR"/>
        </w:rPr>
        <w:t>’</w:t>
      </w:r>
      <w:r w:rsidRPr="00C36B84">
        <w:rPr>
          <w:lang w:val="fr-FR"/>
        </w:rPr>
        <w:t xml:space="preserve">être humain. </w:t>
      </w:r>
      <w:r w:rsidR="00A650F9" w:rsidRPr="00C36B84">
        <w:rPr>
          <w:lang w:val="fr-FR"/>
        </w:rPr>
        <w:t>S</w:t>
      </w:r>
      <w:r w:rsidR="00263978" w:rsidRPr="00C36B84">
        <w:rPr>
          <w:lang w:val="fr-FR"/>
        </w:rPr>
        <w:t>’</w:t>
      </w:r>
      <w:r w:rsidR="00A650F9" w:rsidRPr="00C36B84">
        <w:rPr>
          <w:lang w:val="fr-FR"/>
        </w:rPr>
        <w:t>agissant de la</w:t>
      </w:r>
      <w:r w:rsidR="007E7193" w:rsidRPr="00C36B84">
        <w:rPr>
          <w:lang w:val="fr-FR"/>
        </w:rPr>
        <w:t> </w:t>
      </w:r>
      <w:r w:rsidRPr="00C36B84">
        <w:rPr>
          <w:lang w:val="fr-FR"/>
        </w:rPr>
        <w:t>santé humaine, des évaluations des risques professionnels, alimentaires et globaux (expositions dues à l</w:t>
      </w:r>
      <w:r w:rsidR="00263978" w:rsidRPr="00C36B84">
        <w:rPr>
          <w:lang w:val="fr-FR"/>
        </w:rPr>
        <w:t>’</w:t>
      </w:r>
      <w:r w:rsidRPr="00C36B84">
        <w:rPr>
          <w:lang w:val="fr-FR"/>
        </w:rPr>
        <w:t>alimentation et à l</w:t>
      </w:r>
      <w:r w:rsidR="00263978" w:rsidRPr="00C36B84">
        <w:rPr>
          <w:lang w:val="fr-FR"/>
        </w:rPr>
        <w:t>’</w:t>
      </w:r>
      <w:r w:rsidRPr="00C36B84">
        <w:rPr>
          <w:lang w:val="fr-FR"/>
        </w:rPr>
        <w:t>eau potable) ont été réalisées. Une évaluation déterministe des risques pour l</w:t>
      </w:r>
      <w:r w:rsidR="00263978" w:rsidRPr="00C36B84">
        <w:rPr>
          <w:lang w:val="fr-FR"/>
        </w:rPr>
        <w:t>’</w:t>
      </w:r>
      <w:r w:rsidRPr="00C36B84">
        <w:rPr>
          <w:lang w:val="fr-FR"/>
        </w:rPr>
        <w:t>environnement associés aux produits antiparasitaires a également été réalisée. Les risques pour l</w:t>
      </w:r>
      <w:r w:rsidR="00263978" w:rsidRPr="00C36B84">
        <w:rPr>
          <w:lang w:val="fr-FR"/>
        </w:rPr>
        <w:t>’</w:t>
      </w:r>
      <w:r w:rsidRPr="00C36B84">
        <w:rPr>
          <w:lang w:val="fr-FR"/>
        </w:rPr>
        <w:t>environnement ont été déterminés selon la méthode du quotient, qui consiste à calculer le rapport entre la concentration prévue dans l</w:t>
      </w:r>
      <w:r w:rsidR="00263978" w:rsidRPr="00C36B84">
        <w:rPr>
          <w:lang w:val="fr-FR"/>
        </w:rPr>
        <w:t>’</w:t>
      </w:r>
      <w:r w:rsidRPr="00C36B84">
        <w:rPr>
          <w:lang w:val="fr-FR"/>
        </w:rPr>
        <w:t>environnement et le critère d</w:t>
      </w:r>
      <w:r w:rsidR="00263978" w:rsidRPr="00C36B84">
        <w:rPr>
          <w:lang w:val="fr-FR"/>
        </w:rPr>
        <w:t>’</w:t>
      </w:r>
      <w:r w:rsidRPr="00C36B84">
        <w:rPr>
          <w:lang w:val="fr-FR"/>
        </w:rPr>
        <w:t>effet toxicologique préoccupant pour les organismes non ciblés. Il est considéré que les valeurs de quotient inférieures à 1 indiquent un</w:t>
      </w:r>
      <w:r w:rsidR="007E7193" w:rsidRPr="00C36B84">
        <w:rPr>
          <w:lang w:val="fr-FR"/>
        </w:rPr>
        <w:t> </w:t>
      </w:r>
      <w:r w:rsidRPr="00C36B84">
        <w:rPr>
          <w:lang w:val="fr-FR"/>
        </w:rPr>
        <w:t>faible niveau de danger pour les organismes non ciblés, tandis que les valeurs supérieures à 1 indiquent l</w:t>
      </w:r>
      <w:r w:rsidR="00263978" w:rsidRPr="00C36B84">
        <w:rPr>
          <w:lang w:val="fr-FR"/>
        </w:rPr>
        <w:t>’</w:t>
      </w:r>
      <w:r w:rsidRPr="00C36B84">
        <w:rPr>
          <w:lang w:val="fr-FR"/>
        </w:rPr>
        <w:t>existence d</w:t>
      </w:r>
      <w:r w:rsidR="00263978" w:rsidRPr="00C36B84">
        <w:rPr>
          <w:lang w:val="fr-FR"/>
        </w:rPr>
        <w:t>’</w:t>
      </w:r>
      <w:r w:rsidRPr="00C36B84">
        <w:rPr>
          <w:lang w:val="fr-FR"/>
        </w:rPr>
        <w:t>un certain niveau de danger pour ce qui est des effets sur les organismes non</w:t>
      </w:r>
      <w:r w:rsidR="007E7193" w:rsidRPr="00C36B84">
        <w:rPr>
          <w:lang w:val="fr-FR"/>
        </w:rPr>
        <w:t> </w:t>
      </w:r>
      <w:r w:rsidRPr="00C36B84">
        <w:rPr>
          <w:lang w:val="fr-FR"/>
        </w:rPr>
        <w:t>ciblés. Par ailleurs, les évaluations des risques ont fait l</w:t>
      </w:r>
      <w:r w:rsidR="00263978" w:rsidRPr="00C36B84">
        <w:rPr>
          <w:lang w:val="fr-FR"/>
        </w:rPr>
        <w:t>’</w:t>
      </w:r>
      <w:r w:rsidRPr="00C36B84">
        <w:rPr>
          <w:lang w:val="fr-FR"/>
        </w:rPr>
        <w:t>objet de consultations publiques pendant 60 jours, afin de donner aux parties intéressées l</w:t>
      </w:r>
      <w:r w:rsidR="00263978" w:rsidRPr="00C36B84">
        <w:rPr>
          <w:lang w:val="fr-FR"/>
        </w:rPr>
        <w:t>’</w:t>
      </w:r>
      <w:r w:rsidRPr="00C36B84">
        <w:rPr>
          <w:lang w:val="fr-FR"/>
        </w:rPr>
        <w:t>occasion de contribuer à la décision de réévaluation.</w:t>
      </w:r>
    </w:p>
    <w:p w14:paraId="183243FE" w14:textId="670BFDDB" w:rsidR="00F23195" w:rsidRPr="00C36B84" w:rsidRDefault="0070418B" w:rsidP="00AD11DC">
      <w:pPr>
        <w:pStyle w:val="Normalnumber"/>
        <w:numPr>
          <w:ilvl w:val="0"/>
          <w:numId w:val="8"/>
        </w:numPr>
        <w:rPr>
          <w:lang w:val="fr-FR"/>
        </w:rPr>
      </w:pPr>
      <w:r w:rsidRPr="00C36B84">
        <w:rPr>
          <w:lang w:val="fr-FR"/>
        </w:rPr>
        <w:t xml:space="preserve">Il est </w:t>
      </w:r>
      <w:r w:rsidR="00395575" w:rsidRPr="00C36B84">
        <w:rPr>
          <w:lang w:val="fr-FR"/>
        </w:rPr>
        <w:t>estim</w:t>
      </w:r>
      <w:r w:rsidRPr="00C36B84">
        <w:rPr>
          <w:lang w:val="fr-FR"/>
        </w:rPr>
        <w:t>é que les données figurant dans la notification et dans la documentation à l</w:t>
      </w:r>
      <w:r w:rsidR="00263978" w:rsidRPr="00C36B84">
        <w:rPr>
          <w:lang w:val="fr-FR"/>
        </w:rPr>
        <w:t>’</w:t>
      </w:r>
      <w:r w:rsidRPr="00C36B84">
        <w:rPr>
          <w:lang w:val="fr-FR"/>
        </w:rPr>
        <w:t>appui sont scientifiquement fondées, qu</w:t>
      </w:r>
      <w:r w:rsidR="00263978" w:rsidRPr="00C36B84">
        <w:rPr>
          <w:lang w:val="fr-FR"/>
        </w:rPr>
        <w:t>’</w:t>
      </w:r>
      <w:r w:rsidRPr="00C36B84">
        <w:rPr>
          <w:lang w:val="fr-FR"/>
        </w:rPr>
        <w:t>elles ont été obtenues selon des méthodes scientifiquement reconnues, et qu</w:t>
      </w:r>
      <w:r w:rsidR="00263978" w:rsidRPr="00C36B84">
        <w:rPr>
          <w:lang w:val="fr-FR"/>
        </w:rPr>
        <w:t>’</w:t>
      </w:r>
      <w:r w:rsidRPr="00C36B84">
        <w:rPr>
          <w:lang w:val="fr-FR"/>
        </w:rPr>
        <w:t>elles ont été analysées et corroborées selon des principes et des procédures scientifiques largement reconnus.</w:t>
      </w:r>
    </w:p>
    <w:p w14:paraId="14379B6A" w14:textId="49A0A3B2" w:rsidR="0070418B" w:rsidRPr="00C36B84" w:rsidRDefault="0070418B" w:rsidP="00AD11DC">
      <w:pPr>
        <w:pStyle w:val="Normalnumber"/>
        <w:numPr>
          <w:ilvl w:val="0"/>
          <w:numId w:val="8"/>
        </w:numPr>
        <w:rPr>
          <w:lang w:val="fr-FR"/>
        </w:rPr>
      </w:pPr>
      <w:r w:rsidRPr="00C36B84">
        <w:rPr>
          <w:lang w:val="fr-FR"/>
        </w:rPr>
        <w:t>Le Comité confirme que les critères énoncés au paragraphe b), alinéas i) et ii), de l</w:t>
      </w:r>
      <w:r w:rsidR="00263978" w:rsidRPr="00C36B84">
        <w:rPr>
          <w:lang w:val="fr-FR"/>
        </w:rPr>
        <w:t>’</w:t>
      </w:r>
      <w:r w:rsidRPr="00C36B84">
        <w:rPr>
          <w:lang w:val="fr-FR"/>
        </w:rPr>
        <w:t>Annexe II sont remplis.</w:t>
      </w:r>
    </w:p>
    <w:p w14:paraId="3451F9E4" w14:textId="76DE38C7" w:rsidR="0070418B" w:rsidRPr="00C36B84" w:rsidRDefault="007E7193" w:rsidP="007E7193">
      <w:pPr>
        <w:pStyle w:val="NormalNonumber"/>
        <w:ind w:left="2381" w:hanging="1134"/>
        <w:rPr>
          <w:i/>
        </w:rPr>
      </w:pPr>
      <w:r w:rsidRPr="00C36B84">
        <w:rPr>
          <w:i/>
        </w:rPr>
        <w:tab/>
      </w:r>
      <w:r w:rsidR="0070418B" w:rsidRPr="00C36B84">
        <w:rPr>
          <w:i/>
        </w:rPr>
        <w:t>iii)</w:t>
      </w:r>
      <w:r w:rsidR="0070418B" w:rsidRPr="00C36B84">
        <w:rPr>
          <w:i/>
        </w:rPr>
        <w:tab/>
        <w:t>La mesure de réglementation finale est fondée sur une évaluation des risques qui tient compte des circonstances propres à la Partie qui a pris la mesure ;</w:t>
      </w:r>
    </w:p>
    <w:p w14:paraId="47EC6523" w14:textId="042AB92D" w:rsidR="0070418B" w:rsidRPr="00C36B84" w:rsidRDefault="0070418B" w:rsidP="00AD11DC">
      <w:pPr>
        <w:pStyle w:val="Normalnumber"/>
        <w:numPr>
          <w:ilvl w:val="0"/>
          <w:numId w:val="8"/>
        </w:numPr>
        <w:rPr>
          <w:lang w:val="fr-FR"/>
        </w:rPr>
      </w:pPr>
      <w:r w:rsidRPr="00C36B84">
        <w:rPr>
          <w:lang w:val="fr-FR"/>
        </w:rPr>
        <w:t xml:space="preserve">La mesure de réglementation finale interdisant le </w:t>
      </w:r>
      <w:proofErr w:type="spellStart"/>
      <w:r w:rsidRPr="00C36B84">
        <w:rPr>
          <w:lang w:val="fr-FR"/>
        </w:rPr>
        <w:t>terbufos</w:t>
      </w:r>
      <w:proofErr w:type="spellEnd"/>
      <w:r w:rsidRPr="00C36B84">
        <w:rPr>
          <w:lang w:val="fr-FR"/>
        </w:rPr>
        <w:t xml:space="preserve"> et les préparations commerciales qui lui sont associées au Canada est fondée sur une évaluation des risques et est pertinente sur le plan de l</w:t>
      </w:r>
      <w:r w:rsidR="00263978" w:rsidRPr="00C36B84">
        <w:rPr>
          <w:lang w:val="fr-FR"/>
        </w:rPr>
        <w:t>’</w:t>
      </w:r>
      <w:r w:rsidRPr="00C36B84">
        <w:rPr>
          <w:lang w:val="fr-FR"/>
        </w:rPr>
        <w:t>environnement. Les conditions d</w:t>
      </w:r>
      <w:r w:rsidR="00263978" w:rsidRPr="00C36B84">
        <w:rPr>
          <w:lang w:val="fr-FR"/>
        </w:rPr>
        <w:t>’</w:t>
      </w:r>
      <w:r w:rsidRPr="00C36B84">
        <w:rPr>
          <w:lang w:val="fr-FR"/>
        </w:rPr>
        <w:t xml:space="preserve">utilisation au Canada, notamment les utilisations homologuées, </w:t>
      </w:r>
      <w:r w:rsidRPr="00C36B84">
        <w:rPr>
          <w:lang w:val="fr-FR"/>
        </w:rPr>
        <w:lastRenderedPageBreak/>
        <w:t>les</w:t>
      </w:r>
      <w:r w:rsidR="007E7193" w:rsidRPr="00C36B84">
        <w:rPr>
          <w:lang w:val="fr-FR"/>
        </w:rPr>
        <w:t> </w:t>
      </w:r>
      <w:r w:rsidRPr="00C36B84">
        <w:rPr>
          <w:lang w:val="fr-FR"/>
        </w:rPr>
        <w:t>taux d</w:t>
      </w:r>
      <w:r w:rsidR="00263978" w:rsidRPr="00C36B84">
        <w:rPr>
          <w:lang w:val="fr-FR"/>
        </w:rPr>
        <w:t>’</w:t>
      </w:r>
      <w:r w:rsidRPr="00C36B84">
        <w:rPr>
          <w:lang w:val="fr-FR"/>
        </w:rPr>
        <w:t>application et les pratiques agricoles, ont été prises en considération dans le cadre des</w:t>
      </w:r>
      <w:r w:rsidR="007E7193" w:rsidRPr="00C36B84">
        <w:rPr>
          <w:lang w:val="fr-FR"/>
        </w:rPr>
        <w:t> </w:t>
      </w:r>
      <w:r w:rsidRPr="00C36B84">
        <w:rPr>
          <w:lang w:val="fr-FR"/>
        </w:rPr>
        <w:t>évaluations des risques. La décision de réévaluation prise par l</w:t>
      </w:r>
      <w:r w:rsidR="00263978" w:rsidRPr="00C36B84">
        <w:rPr>
          <w:lang w:val="fr-FR"/>
        </w:rPr>
        <w:t>’</w:t>
      </w:r>
      <w:r w:rsidRPr="00C36B84">
        <w:rPr>
          <w:lang w:val="fr-FR"/>
        </w:rPr>
        <w:t>Agence de réglementation de la</w:t>
      </w:r>
      <w:r w:rsidR="007E7193" w:rsidRPr="00C36B84">
        <w:rPr>
          <w:lang w:val="fr-FR"/>
        </w:rPr>
        <w:t> </w:t>
      </w:r>
      <w:r w:rsidRPr="00C36B84">
        <w:rPr>
          <w:lang w:val="fr-FR"/>
        </w:rPr>
        <w:t>lutte antiparasitaire (ARLA) du Canada a été fondée sur l</w:t>
      </w:r>
      <w:r w:rsidR="00263978" w:rsidRPr="00C36B84">
        <w:rPr>
          <w:lang w:val="fr-FR"/>
        </w:rPr>
        <w:t>’</w:t>
      </w:r>
      <w:r w:rsidRPr="00C36B84">
        <w:rPr>
          <w:lang w:val="fr-FR"/>
        </w:rPr>
        <w:t>évaluation des utilisations homologuées dans le pays.</w:t>
      </w:r>
    </w:p>
    <w:p w14:paraId="52F0CA3A" w14:textId="46C64747" w:rsidR="0070418B" w:rsidRPr="00C36B84" w:rsidRDefault="0070418B" w:rsidP="00AD11DC">
      <w:pPr>
        <w:pStyle w:val="Normalnumber"/>
        <w:numPr>
          <w:ilvl w:val="0"/>
          <w:numId w:val="8"/>
        </w:numPr>
        <w:rPr>
          <w:bCs/>
          <w:lang w:val="fr-FR"/>
        </w:rPr>
      </w:pPr>
      <w:r w:rsidRPr="00C36B84">
        <w:rPr>
          <w:lang w:val="fr-FR"/>
        </w:rPr>
        <w:t>Au moment de l</w:t>
      </w:r>
      <w:r w:rsidR="00263978" w:rsidRPr="00C36B84">
        <w:rPr>
          <w:lang w:val="fr-FR"/>
        </w:rPr>
        <w:t>’</w:t>
      </w:r>
      <w:r w:rsidRPr="00C36B84">
        <w:rPr>
          <w:lang w:val="fr-FR"/>
        </w:rPr>
        <w:t xml:space="preserve">adoption de la mesure de réglementation, des produits à base de </w:t>
      </w:r>
      <w:proofErr w:type="spellStart"/>
      <w:r w:rsidRPr="00C36B84">
        <w:rPr>
          <w:lang w:val="fr-FR"/>
        </w:rPr>
        <w:t>terbufos</w:t>
      </w:r>
      <w:proofErr w:type="spellEnd"/>
      <w:r w:rsidRPr="00C36B84">
        <w:rPr>
          <w:lang w:val="fr-FR"/>
        </w:rPr>
        <w:t xml:space="preserve"> étaient homologués au Canada et vendus comme insecticides et nématicides granulaires pour sol destinés à être utilisés sur le canola, sur le maïs, sur la moutarde, sur les rutabagas et sur les betteraves à sucre. Le </w:t>
      </w:r>
      <w:proofErr w:type="spellStart"/>
      <w:r w:rsidRPr="00C36B84">
        <w:rPr>
          <w:lang w:val="fr-FR"/>
        </w:rPr>
        <w:t>terbufos</w:t>
      </w:r>
      <w:proofErr w:type="spellEnd"/>
      <w:r w:rsidRPr="00C36B84">
        <w:rPr>
          <w:lang w:val="fr-FR"/>
        </w:rPr>
        <w:t xml:space="preserve"> a une action systémique et par contact sur les insectes. À l</w:t>
      </w:r>
      <w:r w:rsidR="00263978" w:rsidRPr="00C36B84">
        <w:rPr>
          <w:lang w:val="fr-FR"/>
        </w:rPr>
        <w:t>’</w:t>
      </w:r>
      <w:r w:rsidRPr="00C36B84">
        <w:rPr>
          <w:lang w:val="fr-FR"/>
        </w:rPr>
        <w:t>instar d</w:t>
      </w:r>
      <w:r w:rsidR="00263978" w:rsidRPr="00C36B84">
        <w:rPr>
          <w:lang w:val="fr-FR"/>
        </w:rPr>
        <w:t>’</w:t>
      </w:r>
      <w:r w:rsidRPr="00C36B84">
        <w:rPr>
          <w:lang w:val="fr-FR"/>
        </w:rPr>
        <w:t xml:space="preserve">autres composés organophosphorés, </w:t>
      </w:r>
      <w:r w:rsidR="007A4721" w:rsidRPr="00C36B84">
        <w:rPr>
          <w:lang w:val="fr-FR"/>
        </w:rPr>
        <w:t>il</w:t>
      </w:r>
      <w:r w:rsidRPr="00C36B84">
        <w:rPr>
          <w:lang w:val="fr-FR"/>
        </w:rPr>
        <w:t xml:space="preserve"> inhibe l</w:t>
      </w:r>
      <w:r w:rsidR="00263978" w:rsidRPr="00C36B84">
        <w:rPr>
          <w:lang w:val="fr-FR"/>
        </w:rPr>
        <w:t>’</w:t>
      </w:r>
      <w:r w:rsidRPr="00C36B84">
        <w:rPr>
          <w:lang w:val="fr-FR"/>
        </w:rPr>
        <w:t>enzyme acétylcholinestérase, interrompant ainsi la</w:t>
      </w:r>
      <w:r w:rsidR="007E7193" w:rsidRPr="00C36B84">
        <w:rPr>
          <w:lang w:val="fr-FR"/>
        </w:rPr>
        <w:t> </w:t>
      </w:r>
      <w:r w:rsidRPr="00C36B84">
        <w:rPr>
          <w:lang w:val="fr-FR"/>
        </w:rPr>
        <w:t>transmission de l</w:t>
      </w:r>
      <w:r w:rsidR="00263978" w:rsidRPr="00C36B84">
        <w:rPr>
          <w:lang w:val="fr-FR"/>
        </w:rPr>
        <w:t>’</w:t>
      </w:r>
      <w:r w:rsidRPr="00C36B84">
        <w:rPr>
          <w:lang w:val="fr-FR"/>
        </w:rPr>
        <w:t>influx nerveux</w:t>
      </w:r>
      <w:r w:rsidR="007E7193" w:rsidRPr="00C36B84">
        <w:rPr>
          <w:lang w:val="fr-FR"/>
        </w:rPr>
        <w:t xml:space="preserve"> (</w:t>
      </w:r>
      <w:r w:rsidRPr="00C36B84">
        <w:rPr>
          <w:lang w:val="fr-FR"/>
        </w:rPr>
        <w:t>UNEP/FAO/RC/CRC.17/8/Rev.1, section</w:t>
      </w:r>
      <w:r w:rsidR="007E7193" w:rsidRPr="00C36B84">
        <w:rPr>
          <w:lang w:val="fr-FR"/>
        </w:rPr>
        <w:t> </w:t>
      </w:r>
      <w:r w:rsidRPr="00C36B84">
        <w:rPr>
          <w:lang w:val="fr-FR"/>
        </w:rPr>
        <w:t xml:space="preserve">2.3.1 de la </w:t>
      </w:r>
      <w:r w:rsidR="009A49D0" w:rsidRPr="00C36B84">
        <w:rPr>
          <w:lang w:val="fr-FR"/>
        </w:rPr>
        <w:t>notification reçue d</w:t>
      </w:r>
      <w:r w:rsidRPr="00C36B84">
        <w:rPr>
          <w:lang w:val="fr-FR"/>
        </w:rPr>
        <w:t>u Canada et UNEP/FAO/RC/CRC.17/INF/19/Rev.1, annexe, section</w:t>
      </w:r>
      <w:r w:rsidR="007E7193" w:rsidRPr="00C36B84">
        <w:rPr>
          <w:lang w:val="fr-FR"/>
        </w:rPr>
        <w:t> </w:t>
      </w:r>
      <w:r w:rsidRPr="00C36B84">
        <w:rPr>
          <w:lang w:val="fr-FR"/>
        </w:rPr>
        <w:t>1, « Projet d</w:t>
      </w:r>
      <w:r w:rsidR="00263978" w:rsidRPr="00C36B84">
        <w:rPr>
          <w:lang w:val="fr-FR"/>
        </w:rPr>
        <w:t>’</w:t>
      </w:r>
      <w:r w:rsidRPr="00C36B84">
        <w:rPr>
          <w:lang w:val="fr-FR"/>
        </w:rPr>
        <w:t>acceptabilité d</w:t>
      </w:r>
      <w:r w:rsidR="00263978" w:rsidRPr="00C36B84">
        <w:rPr>
          <w:lang w:val="fr-FR"/>
        </w:rPr>
        <w:t>’</w:t>
      </w:r>
      <w:r w:rsidRPr="00C36B84">
        <w:rPr>
          <w:lang w:val="fr-FR"/>
        </w:rPr>
        <w:t>homologation continue (PACR2003-02) »</w:t>
      </w:r>
      <w:r w:rsidR="007E7193" w:rsidRPr="00C36B84">
        <w:rPr>
          <w:lang w:val="fr-FR"/>
        </w:rPr>
        <w:t>)</w:t>
      </w:r>
      <w:r w:rsidRPr="00C36B84">
        <w:rPr>
          <w:lang w:val="fr-FR"/>
        </w:rPr>
        <w:t>.</w:t>
      </w:r>
    </w:p>
    <w:p w14:paraId="7A8AFD17" w14:textId="55C2A84D" w:rsidR="0070418B" w:rsidRPr="00C36B84" w:rsidRDefault="0070418B" w:rsidP="00AD11DC">
      <w:pPr>
        <w:pStyle w:val="Normalnumber"/>
        <w:numPr>
          <w:ilvl w:val="0"/>
          <w:numId w:val="8"/>
        </w:numPr>
        <w:rPr>
          <w:bCs/>
          <w:lang w:val="fr-FR"/>
        </w:rPr>
      </w:pPr>
      <w:r w:rsidRPr="00C36B84">
        <w:rPr>
          <w:lang w:val="fr-FR"/>
        </w:rPr>
        <w:t xml:space="preserve">Le </w:t>
      </w:r>
      <w:proofErr w:type="spellStart"/>
      <w:r w:rsidRPr="00C36B84">
        <w:rPr>
          <w:lang w:val="fr-FR"/>
        </w:rPr>
        <w:t>terbufos</w:t>
      </w:r>
      <w:proofErr w:type="spellEnd"/>
      <w:r w:rsidRPr="00C36B84">
        <w:rPr>
          <w:lang w:val="fr-FR"/>
        </w:rPr>
        <w:t xml:space="preserve"> est peu soluble dans l</w:t>
      </w:r>
      <w:r w:rsidR="00263978" w:rsidRPr="00C36B84">
        <w:rPr>
          <w:lang w:val="fr-FR"/>
        </w:rPr>
        <w:t>’</w:t>
      </w:r>
      <w:r w:rsidRPr="00C36B84">
        <w:rPr>
          <w:lang w:val="fr-FR"/>
        </w:rPr>
        <w:t>eau et son potentiel de volatilité à partir des surfaces humides du sol ou de l</w:t>
      </w:r>
      <w:r w:rsidR="00263978" w:rsidRPr="00C36B84">
        <w:rPr>
          <w:lang w:val="fr-FR"/>
        </w:rPr>
        <w:t>’</w:t>
      </w:r>
      <w:r w:rsidRPr="00C36B84">
        <w:rPr>
          <w:lang w:val="fr-FR"/>
        </w:rPr>
        <w:t xml:space="preserve">eau est modéré. Les coefficients de partage n-octanol/eau indiquent un potentiel de bioaccumulation du composé parent et un potentiel de bioaccumulation limité pour le </w:t>
      </w:r>
      <w:proofErr w:type="spellStart"/>
      <w:r w:rsidRPr="00C36B84">
        <w:rPr>
          <w:lang w:val="fr-FR"/>
        </w:rPr>
        <w:t>terbufos</w:t>
      </w:r>
      <w:proofErr w:type="spellEnd"/>
      <w:r w:rsidRPr="00C36B84">
        <w:rPr>
          <w:lang w:val="fr-FR"/>
        </w:rPr>
        <w:t xml:space="preserve">-sulfone </w:t>
      </w:r>
      <w:r w:rsidR="007A4721" w:rsidRPr="00C36B84">
        <w:rPr>
          <w:lang w:val="fr-FR"/>
        </w:rPr>
        <w:t>et</w:t>
      </w:r>
      <w:r w:rsidRPr="00C36B84">
        <w:rPr>
          <w:lang w:val="fr-FR"/>
        </w:rPr>
        <w:t xml:space="preserve"> le </w:t>
      </w:r>
      <w:proofErr w:type="spellStart"/>
      <w:r w:rsidRPr="00C36B84">
        <w:rPr>
          <w:lang w:val="fr-FR"/>
        </w:rPr>
        <w:t>terbufos-sulfoxyde</w:t>
      </w:r>
      <w:proofErr w:type="spellEnd"/>
      <w:r w:rsidRPr="00C36B84">
        <w:rPr>
          <w:lang w:val="fr-FR"/>
        </w:rPr>
        <w:t>. Les études de bioconcentration sur les poissons indiquent un potentiel de</w:t>
      </w:r>
      <w:r w:rsidR="007E7193" w:rsidRPr="00C36B84">
        <w:rPr>
          <w:lang w:val="fr-FR"/>
        </w:rPr>
        <w:t> </w:t>
      </w:r>
      <w:r w:rsidRPr="00C36B84">
        <w:rPr>
          <w:lang w:val="fr-FR"/>
        </w:rPr>
        <w:t>bioconcentration.</w:t>
      </w:r>
    </w:p>
    <w:p w14:paraId="411C5C62" w14:textId="3F9506B1" w:rsidR="0070418B" w:rsidRPr="00C36B84" w:rsidRDefault="0070418B" w:rsidP="00AD11DC">
      <w:pPr>
        <w:pStyle w:val="Normalnumber"/>
        <w:numPr>
          <w:ilvl w:val="0"/>
          <w:numId w:val="8"/>
        </w:numPr>
        <w:rPr>
          <w:bCs/>
          <w:lang w:val="fr-FR"/>
        </w:rPr>
      </w:pPr>
      <w:r w:rsidRPr="00C36B84">
        <w:rPr>
          <w:lang w:val="fr-FR"/>
        </w:rPr>
        <w:t xml:space="preserve">Le </w:t>
      </w:r>
      <w:proofErr w:type="spellStart"/>
      <w:r w:rsidRPr="00C36B84">
        <w:rPr>
          <w:lang w:val="fr-FR"/>
        </w:rPr>
        <w:t>terbufos</w:t>
      </w:r>
      <w:proofErr w:type="spellEnd"/>
      <w:r w:rsidRPr="00C36B84">
        <w:rPr>
          <w:lang w:val="fr-FR"/>
        </w:rPr>
        <w:t xml:space="preserve"> est susceptible d</w:t>
      </w:r>
      <w:r w:rsidR="00263978" w:rsidRPr="00C36B84">
        <w:rPr>
          <w:lang w:val="fr-FR"/>
        </w:rPr>
        <w:t>’</w:t>
      </w:r>
      <w:r w:rsidRPr="00C36B84">
        <w:rPr>
          <w:lang w:val="fr-FR"/>
        </w:rPr>
        <w:t>être transformé par des processus abiotiques et biotiques. L</w:t>
      </w:r>
      <w:r w:rsidR="00263978" w:rsidRPr="00C36B84">
        <w:rPr>
          <w:lang w:val="fr-FR"/>
        </w:rPr>
        <w:t>’</w:t>
      </w:r>
      <w:r w:rsidRPr="00C36B84">
        <w:rPr>
          <w:lang w:val="fr-FR"/>
        </w:rPr>
        <w:t xml:space="preserve">hydrolyse semble être une voie de transformation abiotique majeure pour le </w:t>
      </w:r>
      <w:proofErr w:type="spellStart"/>
      <w:r w:rsidRPr="00C36B84">
        <w:rPr>
          <w:lang w:val="fr-FR"/>
        </w:rPr>
        <w:t>terbufos</w:t>
      </w:r>
      <w:proofErr w:type="spellEnd"/>
      <w:r w:rsidRPr="00C36B84">
        <w:rPr>
          <w:lang w:val="fr-FR"/>
        </w:rPr>
        <w:t xml:space="preserve"> parent. L</w:t>
      </w:r>
      <w:r w:rsidR="00263978" w:rsidRPr="00C36B84">
        <w:rPr>
          <w:lang w:val="fr-FR"/>
        </w:rPr>
        <w:t>’</w:t>
      </w:r>
      <w:r w:rsidRPr="00C36B84">
        <w:rPr>
          <w:lang w:val="fr-FR"/>
        </w:rPr>
        <w:t xml:space="preserve">hydrolyse du </w:t>
      </w:r>
      <w:proofErr w:type="spellStart"/>
      <w:r w:rsidRPr="00C36B84">
        <w:rPr>
          <w:lang w:val="fr-FR"/>
        </w:rPr>
        <w:t>terbufos-sulfoxyde</w:t>
      </w:r>
      <w:proofErr w:type="spellEnd"/>
      <w:r w:rsidRPr="00C36B84">
        <w:rPr>
          <w:lang w:val="fr-FR"/>
        </w:rPr>
        <w:t xml:space="preserve"> et du </w:t>
      </w:r>
      <w:proofErr w:type="spellStart"/>
      <w:r w:rsidRPr="00C36B84">
        <w:rPr>
          <w:lang w:val="fr-FR"/>
        </w:rPr>
        <w:t>terbufos</w:t>
      </w:r>
      <w:proofErr w:type="spellEnd"/>
      <w:r w:rsidRPr="00C36B84">
        <w:rPr>
          <w:lang w:val="fr-FR"/>
        </w:rPr>
        <w:t>-sulfone dépend du pH et est plus lente que pour le</w:t>
      </w:r>
      <w:r w:rsidR="007E7193" w:rsidRPr="00C36B84">
        <w:rPr>
          <w:lang w:val="fr-FR"/>
        </w:rPr>
        <w:t> </w:t>
      </w:r>
      <w:r w:rsidRPr="00C36B84">
        <w:rPr>
          <w:lang w:val="fr-FR"/>
        </w:rPr>
        <w:t>composé parent. La principale voie de transformation biotique est la biotransformation aérobie, dont</w:t>
      </w:r>
      <w:r w:rsidR="007E7193" w:rsidRPr="00C36B84">
        <w:rPr>
          <w:lang w:val="fr-FR"/>
        </w:rPr>
        <w:t> </w:t>
      </w:r>
      <w:r w:rsidRPr="00C36B84">
        <w:rPr>
          <w:lang w:val="fr-FR"/>
        </w:rPr>
        <w:t xml:space="preserve">les principaux produits de transformation sont le </w:t>
      </w:r>
      <w:proofErr w:type="spellStart"/>
      <w:r w:rsidRPr="00C36B84">
        <w:rPr>
          <w:lang w:val="fr-FR"/>
        </w:rPr>
        <w:t>terbufos-sulfoxyde</w:t>
      </w:r>
      <w:proofErr w:type="spellEnd"/>
      <w:r w:rsidRPr="00C36B84">
        <w:rPr>
          <w:lang w:val="fr-FR"/>
        </w:rPr>
        <w:t xml:space="preserve">, le </w:t>
      </w:r>
      <w:proofErr w:type="spellStart"/>
      <w:r w:rsidRPr="00C36B84">
        <w:rPr>
          <w:lang w:val="fr-FR"/>
        </w:rPr>
        <w:t>terbufos</w:t>
      </w:r>
      <w:proofErr w:type="spellEnd"/>
      <w:r w:rsidRPr="00C36B84">
        <w:rPr>
          <w:lang w:val="fr-FR"/>
        </w:rPr>
        <w:t>-sulfone et le</w:t>
      </w:r>
      <w:r w:rsidR="007E7193" w:rsidRPr="00C36B84">
        <w:rPr>
          <w:lang w:val="fr-FR"/>
        </w:rPr>
        <w:t> </w:t>
      </w:r>
      <w:r w:rsidRPr="00C36B84">
        <w:rPr>
          <w:lang w:val="fr-FR"/>
        </w:rPr>
        <w:t>CO</w:t>
      </w:r>
      <w:r w:rsidRPr="00C36B84">
        <w:rPr>
          <w:vertAlign w:val="subscript"/>
          <w:lang w:val="fr-FR"/>
        </w:rPr>
        <w:t>2</w:t>
      </w:r>
      <w:r w:rsidRPr="00C36B84">
        <w:rPr>
          <w:lang w:val="fr-FR"/>
        </w:rPr>
        <w:t>. D</w:t>
      </w:r>
      <w:r w:rsidR="00263978" w:rsidRPr="00C36B84">
        <w:rPr>
          <w:lang w:val="fr-FR"/>
        </w:rPr>
        <w:t>’</w:t>
      </w:r>
      <w:r w:rsidRPr="00C36B84">
        <w:rPr>
          <w:lang w:val="fr-FR"/>
        </w:rPr>
        <w:t xml:space="preserve">après les données disponibles, le </w:t>
      </w:r>
      <w:proofErr w:type="spellStart"/>
      <w:r w:rsidRPr="00C36B84">
        <w:rPr>
          <w:lang w:val="fr-FR"/>
        </w:rPr>
        <w:t>terbufos</w:t>
      </w:r>
      <w:proofErr w:type="spellEnd"/>
      <w:r w:rsidRPr="00C36B84">
        <w:rPr>
          <w:lang w:val="fr-FR"/>
        </w:rPr>
        <w:t xml:space="preserve"> est légèrement à modérément persistant dans les</w:t>
      </w:r>
      <w:r w:rsidR="007E7193" w:rsidRPr="00C36B84">
        <w:rPr>
          <w:lang w:val="fr-FR"/>
        </w:rPr>
        <w:t> </w:t>
      </w:r>
      <w:r w:rsidRPr="00C36B84">
        <w:rPr>
          <w:lang w:val="fr-FR"/>
        </w:rPr>
        <w:t>sols terrestres, en fonction de leurs caractéristiques et de la température.</w:t>
      </w:r>
    </w:p>
    <w:p w14:paraId="7810ED58" w14:textId="3A917DF3" w:rsidR="0070418B" w:rsidRPr="00C36B84" w:rsidRDefault="0070418B" w:rsidP="00AD11DC">
      <w:pPr>
        <w:pStyle w:val="Normalnumber"/>
        <w:numPr>
          <w:ilvl w:val="0"/>
          <w:numId w:val="8"/>
        </w:numPr>
        <w:rPr>
          <w:bCs/>
          <w:lang w:val="fr-FR"/>
        </w:rPr>
      </w:pPr>
      <w:r w:rsidRPr="00C36B84">
        <w:rPr>
          <w:lang w:val="fr-FR"/>
        </w:rPr>
        <w:t>L</w:t>
      </w:r>
      <w:r w:rsidR="00263978" w:rsidRPr="00C36B84">
        <w:rPr>
          <w:lang w:val="fr-FR"/>
        </w:rPr>
        <w:t>’</w:t>
      </w:r>
      <w:r w:rsidRPr="00C36B84">
        <w:rPr>
          <w:lang w:val="fr-FR"/>
        </w:rPr>
        <w:t xml:space="preserve">ARLA a </w:t>
      </w:r>
      <w:r w:rsidR="00F270B1" w:rsidRPr="00C36B84">
        <w:rPr>
          <w:lang w:val="fr-FR"/>
        </w:rPr>
        <w:t>déterminé</w:t>
      </w:r>
      <w:r w:rsidRPr="00C36B84">
        <w:rPr>
          <w:lang w:val="fr-FR"/>
        </w:rPr>
        <w:t xml:space="preserve"> </w:t>
      </w:r>
      <w:r w:rsidR="007A4721" w:rsidRPr="00C36B84">
        <w:rPr>
          <w:lang w:val="fr-FR"/>
        </w:rPr>
        <w:t xml:space="preserve">que toutes les utilisations homologuées du </w:t>
      </w:r>
      <w:proofErr w:type="spellStart"/>
      <w:r w:rsidR="007A4721" w:rsidRPr="00C36B84">
        <w:rPr>
          <w:lang w:val="fr-FR"/>
        </w:rPr>
        <w:t>terbufos</w:t>
      </w:r>
      <w:proofErr w:type="spellEnd"/>
      <w:r w:rsidR="007A4721" w:rsidRPr="00C36B84">
        <w:rPr>
          <w:lang w:val="fr-FR"/>
        </w:rPr>
        <w:t xml:space="preserve"> conduisaient à des</w:t>
      </w:r>
      <w:r w:rsidR="007E7193" w:rsidRPr="00C36B84">
        <w:rPr>
          <w:lang w:val="fr-FR"/>
        </w:rPr>
        <w:t> </w:t>
      </w:r>
      <w:r w:rsidR="007A4721" w:rsidRPr="00C36B84">
        <w:rPr>
          <w:lang w:val="fr-FR"/>
        </w:rPr>
        <w:t>niveaux de danger extrêmement élevés pour les organismes terrestres</w:t>
      </w:r>
      <w:r w:rsidRPr="00C36B84">
        <w:rPr>
          <w:lang w:val="fr-FR"/>
        </w:rPr>
        <w:t xml:space="preserve">. Cette évaluation </w:t>
      </w:r>
      <w:r w:rsidR="00F270B1" w:rsidRPr="00C36B84">
        <w:rPr>
          <w:lang w:val="fr-FR"/>
        </w:rPr>
        <w:t>s</w:t>
      </w:r>
      <w:r w:rsidR="00263978" w:rsidRPr="00C36B84">
        <w:rPr>
          <w:lang w:val="fr-FR"/>
        </w:rPr>
        <w:t>’</w:t>
      </w:r>
      <w:r w:rsidR="00F270B1" w:rsidRPr="00C36B84">
        <w:rPr>
          <w:lang w:val="fr-FR"/>
        </w:rPr>
        <w:t>appuie sur</w:t>
      </w:r>
      <w:r w:rsidRPr="00C36B84">
        <w:rPr>
          <w:lang w:val="fr-FR"/>
        </w:rPr>
        <w:t xml:space="preserve"> des comptes rendus d</w:t>
      </w:r>
      <w:r w:rsidR="00263978" w:rsidRPr="00C36B84">
        <w:rPr>
          <w:lang w:val="fr-FR"/>
        </w:rPr>
        <w:t>’</w:t>
      </w:r>
      <w:r w:rsidRPr="00C36B84">
        <w:rPr>
          <w:lang w:val="fr-FR"/>
        </w:rPr>
        <w:t xml:space="preserve">incidents </w:t>
      </w:r>
      <w:r w:rsidR="00F270B1" w:rsidRPr="00C36B84">
        <w:rPr>
          <w:lang w:val="fr-FR"/>
        </w:rPr>
        <w:t xml:space="preserve">recueillis </w:t>
      </w:r>
      <w:r w:rsidRPr="00C36B84">
        <w:rPr>
          <w:lang w:val="fr-FR"/>
        </w:rPr>
        <w:t>au Canada et aux États-Unis.</w:t>
      </w:r>
    </w:p>
    <w:p w14:paraId="3C6E4FB1" w14:textId="530CD5AE" w:rsidR="0070418B" w:rsidRPr="00C36B84" w:rsidRDefault="0070418B" w:rsidP="00AD11DC">
      <w:pPr>
        <w:pStyle w:val="Normalnumber"/>
        <w:numPr>
          <w:ilvl w:val="0"/>
          <w:numId w:val="8"/>
        </w:numPr>
        <w:rPr>
          <w:bCs/>
          <w:lang w:val="fr-FR"/>
        </w:rPr>
      </w:pPr>
      <w:r w:rsidRPr="00C36B84">
        <w:rPr>
          <w:lang w:val="fr-FR"/>
        </w:rPr>
        <w:t>L</w:t>
      </w:r>
      <w:r w:rsidR="00263978" w:rsidRPr="00C36B84">
        <w:rPr>
          <w:lang w:val="fr-FR"/>
        </w:rPr>
        <w:t>’</w:t>
      </w:r>
      <w:r w:rsidRPr="00C36B84">
        <w:rPr>
          <w:lang w:val="fr-FR"/>
        </w:rPr>
        <w:t xml:space="preserve">ARLA a </w:t>
      </w:r>
      <w:r w:rsidR="007A4721" w:rsidRPr="00C36B84">
        <w:rPr>
          <w:lang w:val="fr-FR"/>
        </w:rPr>
        <w:t xml:space="preserve">également </w:t>
      </w:r>
      <w:r w:rsidR="00F270B1" w:rsidRPr="00C36B84">
        <w:rPr>
          <w:lang w:val="fr-FR"/>
        </w:rPr>
        <w:t>déterminé</w:t>
      </w:r>
      <w:r w:rsidRPr="00C36B84">
        <w:rPr>
          <w:lang w:val="fr-FR"/>
        </w:rPr>
        <w:t xml:space="preserve"> </w:t>
      </w:r>
      <w:r w:rsidR="007A4721" w:rsidRPr="00C36B84">
        <w:rPr>
          <w:lang w:val="fr-FR"/>
        </w:rPr>
        <w:t xml:space="preserve">que toutes les utilisations homologuées du </w:t>
      </w:r>
      <w:proofErr w:type="spellStart"/>
      <w:r w:rsidR="007A4721" w:rsidRPr="00C36B84">
        <w:rPr>
          <w:lang w:val="fr-FR"/>
        </w:rPr>
        <w:t>terbufos</w:t>
      </w:r>
      <w:proofErr w:type="spellEnd"/>
      <w:r w:rsidR="007A4721" w:rsidRPr="00C36B84">
        <w:rPr>
          <w:lang w:val="fr-FR"/>
        </w:rPr>
        <w:t xml:space="preserve"> conduisaient à des niveaux de danger extrêmement élevés pour les organismes </w:t>
      </w:r>
      <w:r w:rsidRPr="00C36B84">
        <w:rPr>
          <w:lang w:val="fr-FR"/>
        </w:rPr>
        <w:t>aquatiques. Cette</w:t>
      </w:r>
      <w:r w:rsidR="007E7193" w:rsidRPr="00C36B84">
        <w:rPr>
          <w:lang w:val="fr-FR"/>
        </w:rPr>
        <w:t> </w:t>
      </w:r>
      <w:r w:rsidRPr="00C36B84">
        <w:rPr>
          <w:lang w:val="fr-FR"/>
        </w:rPr>
        <w:t xml:space="preserve">évaluation </w:t>
      </w:r>
      <w:r w:rsidR="00F270B1" w:rsidRPr="00C36B84">
        <w:rPr>
          <w:lang w:val="fr-FR"/>
        </w:rPr>
        <w:t>s</w:t>
      </w:r>
      <w:r w:rsidR="00263978" w:rsidRPr="00C36B84">
        <w:rPr>
          <w:lang w:val="fr-FR"/>
        </w:rPr>
        <w:t>’</w:t>
      </w:r>
      <w:r w:rsidR="00F270B1" w:rsidRPr="00C36B84">
        <w:rPr>
          <w:lang w:val="fr-FR"/>
        </w:rPr>
        <w:t>appuie sur</w:t>
      </w:r>
      <w:r w:rsidRPr="00C36B84">
        <w:rPr>
          <w:lang w:val="fr-FR"/>
        </w:rPr>
        <w:t xml:space="preserve"> des comptes rendus d</w:t>
      </w:r>
      <w:r w:rsidR="00263978" w:rsidRPr="00C36B84">
        <w:rPr>
          <w:lang w:val="fr-FR"/>
        </w:rPr>
        <w:t>’</w:t>
      </w:r>
      <w:r w:rsidRPr="00C36B84">
        <w:rPr>
          <w:lang w:val="fr-FR"/>
        </w:rPr>
        <w:t>incidents faisant état d</w:t>
      </w:r>
      <w:r w:rsidR="00263978" w:rsidRPr="00C36B84">
        <w:rPr>
          <w:lang w:val="fr-FR"/>
        </w:rPr>
        <w:t>’</w:t>
      </w:r>
      <w:r w:rsidRPr="00C36B84">
        <w:rPr>
          <w:lang w:val="fr-FR"/>
        </w:rPr>
        <w:t xml:space="preserve">effets nocifs </w:t>
      </w:r>
      <w:r w:rsidR="00F270B1" w:rsidRPr="00C36B84">
        <w:rPr>
          <w:lang w:val="fr-FR"/>
        </w:rPr>
        <w:t xml:space="preserve">recueillis </w:t>
      </w:r>
      <w:r w:rsidRPr="00C36B84">
        <w:rPr>
          <w:lang w:val="fr-FR"/>
        </w:rPr>
        <w:t>aux</w:t>
      </w:r>
      <w:r w:rsidR="007E7193" w:rsidRPr="00C36B84">
        <w:rPr>
          <w:lang w:val="fr-FR"/>
        </w:rPr>
        <w:t> </w:t>
      </w:r>
      <w:r w:rsidRPr="00C36B84">
        <w:rPr>
          <w:lang w:val="fr-FR"/>
        </w:rPr>
        <w:t>États-Unis. Des effets similaires ont pu se produire au Canada, mais ce pays ne dispose pas d</w:t>
      </w:r>
      <w:r w:rsidR="00263978" w:rsidRPr="00C36B84">
        <w:rPr>
          <w:lang w:val="fr-FR"/>
        </w:rPr>
        <w:t>’</w:t>
      </w:r>
      <w:r w:rsidRPr="00C36B84">
        <w:rPr>
          <w:lang w:val="fr-FR"/>
        </w:rPr>
        <w:t>un</w:t>
      </w:r>
      <w:r w:rsidR="007E7193" w:rsidRPr="00C36B84">
        <w:rPr>
          <w:lang w:val="fr-FR"/>
        </w:rPr>
        <w:t> </w:t>
      </w:r>
      <w:r w:rsidRPr="00C36B84">
        <w:rPr>
          <w:lang w:val="fr-FR"/>
        </w:rPr>
        <w:t>système équivalent</w:t>
      </w:r>
      <w:r w:rsidR="007A4721" w:rsidRPr="00C36B84">
        <w:rPr>
          <w:lang w:val="fr-FR"/>
        </w:rPr>
        <w:t xml:space="preserve"> de communication d</w:t>
      </w:r>
      <w:r w:rsidR="00263978" w:rsidRPr="00C36B84">
        <w:rPr>
          <w:lang w:val="fr-FR"/>
        </w:rPr>
        <w:t>’</w:t>
      </w:r>
      <w:r w:rsidR="007A4721" w:rsidRPr="00C36B84">
        <w:rPr>
          <w:lang w:val="fr-FR"/>
        </w:rPr>
        <w:t>informations</w:t>
      </w:r>
      <w:r w:rsidRPr="00C36B84">
        <w:rPr>
          <w:lang w:val="fr-FR"/>
        </w:rPr>
        <w:t>.</w:t>
      </w:r>
    </w:p>
    <w:p w14:paraId="6EF4038D" w14:textId="269E91B3" w:rsidR="0070418B" w:rsidRPr="00C36B84" w:rsidRDefault="0070418B" w:rsidP="00AD11DC">
      <w:pPr>
        <w:pStyle w:val="Normalnumber"/>
        <w:numPr>
          <w:ilvl w:val="0"/>
          <w:numId w:val="8"/>
        </w:numPr>
        <w:rPr>
          <w:bCs/>
          <w:lang w:val="fr-FR"/>
        </w:rPr>
      </w:pPr>
      <w:r w:rsidRPr="00C36B84">
        <w:rPr>
          <w:lang w:val="fr-FR"/>
        </w:rPr>
        <w:t>Les quotients de risque déterminés pour les applications des formulations commerciales du</w:t>
      </w:r>
      <w:r w:rsidR="007E7193" w:rsidRPr="00C36B84">
        <w:rPr>
          <w:lang w:val="fr-FR"/>
        </w:rPr>
        <w:t> </w:t>
      </w:r>
      <w:proofErr w:type="spellStart"/>
      <w:r w:rsidRPr="00C36B84">
        <w:rPr>
          <w:lang w:val="fr-FR"/>
        </w:rPr>
        <w:t>terbufos</w:t>
      </w:r>
      <w:proofErr w:type="spellEnd"/>
      <w:r w:rsidRPr="00C36B84">
        <w:rPr>
          <w:lang w:val="fr-FR"/>
        </w:rPr>
        <w:t xml:space="preserve"> Counter 5-G et Counter 15-G indiquent des risques pour tous les groupes d</w:t>
      </w:r>
      <w:r w:rsidR="00263978" w:rsidRPr="00C36B84">
        <w:rPr>
          <w:lang w:val="fr-FR"/>
        </w:rPr>
        <w:t>’</w:t>
      </w:r>
      <w:r w:rsidRPr="00C36B84">
        <w:rPr>
          <w:lang w:val="fr-FR"/>
        </w:rPr>
        <w:t>organismes (à</w:t>
      </w:r>
      <w:r w:rsidR="007E7193" w:rsidRPr="00C36B84">
        <w:rPr>
          <w:lang w:val="fr-FR"/>
        </w:rPr>
        <w:t> </w:t>
      </w:r>
      <w:r w:rsidRPr="00C36B84">
        <w:rPr>
          <w:lang w:val="fr-FR"/>
        </w:rPr>
        <w:t>savoir les oiseaux, les mammifères, les poissons et les invertébrés aquatiques) dans tous les</w:t>
      </w:r>
      <w:r w:rsidR="007E7193" w:rsidRPr="00C36B84">
        <w:rPr>
          <w:lang w:val="fr-FR"/>
        </w:rPr>
        <w:t> </w:t>
      </w:r>
      <w:r w:rsidRPr="00C36B84">
        <w:rPr>
          <w:lang w:val="fr-FR"/>
        </w:rPr>
        <w:t>scénarios d</w:t>
      </w:r>
      <w:r w:rsidR="00263978" w:rsidRPr="00C36B84">
        <w:rPr>
          <w:lang w:val="fr-FR"/>
        </w:rPr>
        <w:t>’</w:t>
      </w:r>
      <w:r w:rsidRPr="00C36B84">
        <w:rPr>
          <w:lang w:val="fr-FR"/>
        </w:rPr>
        <w:t>application. D</w:t>
      </w:r>
      <w:r w:rsidR="00263978" w:rsidRPr="00C36B84">
        <w:rPr>
          <w:lang w:val="fr-FR"/>
        </w:rPr>
        <w:t>’</w:t>
      </w:r>
      <w:r w:rsidRPr="00C36B84">
        <w:rPr>
          <w:lang w:val="fr-FR"/>
        </w:rPr>
        <w:t>après les données de toxicité disponibles, les risques sont considérés comme élevés à extrêmement élevés pour les organismes aquatiques et, dans la plupart des cas, élevés à extrêmement élevés pour les oiseaux. De même, les risques sont considérés comme faibles pour les</w:t>
      </w:r>
      <w:r w:rsidR="007E7193" w:rsidRPr="00C36B84">
        <w:rPr>
          <w:lang w:val="fr-FR"/>
        </w:rPr>
        <w:t> </w:t>
      </w:r>
      <w:r w:rsidRPr="00C36B84">
        <w:rPr>
          <w:lang w:val="fr-FR"/>
        </w:rPr>
        <w:t>grands mammifères et élevés pour les petits mammifères (UNEP/FAO/RC/CRC.17/8/Rev.1, section</w:t>
      </w:r>
      <w:r w:rsidR="007E7193" w:rsidRPr="00C36B84">
        <w:rPr>
          <w:lang w:val="fr-FR"/>
        </w:rPr>
        <w:t> </w:t>
      </w:r>
      <w:r w:rsidRPr="00C36B84">
        <w:rPr>
          <w:lang w:val="fr-FR"/>
        </w:rPr>
        <w:t xml:space="preserve">3.2.3 de la </w:t>
      </w:r>
      <w:r w:rsidR="009A49D0" w:rsidRPr="00C36B84">
        <w:rPr>
          <w:lang w:val="fr-FR"/>
        </w:rPr>
        <w:t>notification reçue d</w:t>
      </w:r>
      <w:r w:rsidRPr="00C36B84">
        <w:rPr>
          <w:lang w:val="fr-FR"/>
        </w:rPr>
        <w:t>u Canada).</w:t>
      </w:r>
    </w:p>
    <w:p w14:paraId="223938A7" w14:textId="69514902" w:rsidR="0070418B" w:rsidRPr="00C36B84" w:rsidRDefault="0070418B" w:rsidP="00AD11DC">
      <w:pPr>
        <w:pStyle w:val="Normalnumber"/>
        <w:numPr>
          <w:ilvl w:val="0"/>
          <w:numId w:val="8"/>
        </w:numPr>
        <w:rPr>
          <w:lang w:val="fr-FR"/>
        </w:rPr>
      </w:pPr>
      <w:r w:rsidRPr="00C36B84">
        <w:rPr>
          <w:lang w:val="fr-FR"/>
        </w:rPr>
        <w:t>En conséquence, le Comité confirme que le critère énoncé au paragraphe b), alinéa iii), de</w:t>
      </w:r>
      <w:r w:rsidR="007E7193" w:rsidRPr="00C36B84">
        <w:rPr>
          <w:lang w:val="fr-FR"/>
        </w:rPr>
        <w:t> </w:t>
      </w:r>
      <w:r w:rsidRPr="00C36B84">
        <w:rPr>
          <w:lang w:val="fr-FR"/>
        </w:rPr>
        <w:t>l</w:t>
      </w:r>
      <w:r w:rsidR="00263978" w:rsidRPr="00C36B84">
        <w:rPr>
          <w:lang w:val="fr-FR"/>
        </w:rPr>
        <w:t>’</w:t>
      </w:r>
      <w:r w:rsidRPr="00C36B84">
        <w:rPr>
          <w:lang w:val="fr-FR"/>
        </w:rPr>
        <w:t>Annexe II est rempli.</w:t>
      </w:r>
    </w:p>
    <w:p w14:paraId="083F1F09" w14:textId="2B453DDC" w:rsidR="0070418B" w:rsidRPr="00C36B84" w:rsidRDefault="0070418B" w:rsidP="00AD11DC">
      <w:pPr>
        <w:pStyle w:val="Normalnumber"/>
        <w:numPr>
          <w:ilvl w:val="0"/>
          <w:numId w:val="8"/>
        </w:numPr>
        <w:rPr>
          <w:lang w:val="fr-FR"/>
        </w:rPr>
      </w:pPr>
      <w:r w:rsidRPr="00C36B84">
        <w:rPr>
          <w:lang w:val="fr-FR"/>
        </w:rPr>
        <w:t>Le Comité confirme que les critères énoncés au paragraphe b) de l</w:t>
      </w:r>
      <w:r w:rsidR="00263978" w:rsidRPr="00C36B84">
        <w:rPr>
          <w:lang w:val="fr-FR"/>
        </w:rPr>
        <w:t>’</w:t>
      </w:r>
      <w:r w:rsidRPr="00C36B84">
        <w:rPr>
          <w:lang w:val="fr-FR"/>
        </w:rPr>
        <w:t>Annexe II sont remplis.</w:t>
      </w:r>
    </w:p>
    <w:p w14:paraId="789650DE" w14:textId="60665197" w:rsidR="0070418B" w:rsidRPr="00C36B84" w:rsidRDefault="0070418B" w:rsidP="007E7193">
      <w:pPr>
        <w:pStyle w:val="CH3"/>
        <w:rPr>
          <w:snapToGrid w:val="0"/>
        </w:rPr>
      </w:pPr>
      <w:r w:rsidRPr="00C36B84">
        <w:rPr>
          <w:snapToGrid w:val="0"/>
        </w:rPr>
        <w:tab/>
        <w:t>d)</w:t>
      </w:r>
      <w:r w:rsidRPr="00C36B84">
        <w:rPr>
          <w:snapToGrid w:val="0"/>
        </w:rPr>
        <w:tab/>
        <w:t>Critères énoncés au paragraphe c) de l</w:t>
      </w:r>
      <w:r w:rsidR="00263978" w:rsidRPr="00C36B84">
        <w:rPr>
          <w:snapToGrid w:val="0"/>
        </w:rPr>
        <w:t>’</w:t>
      </w:r>
      <w:r w:rsidRPr="00C36B84">
        <w:rPr>
          <w:snapToGrid w:val="0"/>
        </w:rPr>
        <w:t>Annexe II</w:t>
      </w:r>
    </w:p>
    <w:p w14:paraId="39A9421F" w14:textId="151542D9" w:rsidR="0070418B" w:rsidRPr="00C36B84" w:rsidRDefault="007E7193" w:rsidP="007E7193">
      <w:pPr>
        <w:pStyle w:val="NormalNonumber"/>
        <w:rPr>
          <w:i/>
        </w:rPr>
      </w:pPr>
      <w:r w:rsidRPr="00C36B84">
        <w:rPr>
          <w:i/>
        </w:rPr>
        <w:tab/>
      </w:r>
      <w:r w:rsidR="0070418B" w:rsidRPr="00C36B84">
        <w:rPr>
          <w:i/>
        </w:rPr>
        <w:t>c)</w:t>
      </w:r>
      <w:r w:rsidR="0070418B" w:rsidRPr="00C36B84">
        <w:rPr>
          <w:i/>
        </w:rPr>
        <w:tab/>
        <w:t>Détermine si la mesure de réglementation finale fournit une base suffisante pour justifier l</w:t>
      </w:r>
      <w:r w:rsidR="00263978" w:rsidRPr="00C36B84">
        <w:rPr>
          <w:i/>
        </w:rPr>
        <w:t>’</w:t>
      </w:r>
      <w:r w:rsidR="0070418B" w:rsidRPr="00C36B84">
        <w:rPr>
          <w:i/>
        </w:rPr>
        <w:t>inscription du produit chimique considéré à l</w:t>
      </w:r>
      <w:r w:rsidR="00263978" w:rsidRPr="00C36B84">
        <w:rPr>
          <w:i/>
        </w:rPr>
        <w:t>’</w:t>
      </w:r>
      <w:r w:rsidR="0070418B" w:rsidRPr="00C36B84">
        <w:rPr>
          <w:i/>
        </w:rPr>
        <w:t>Annexe III</w:t>
      </w:r>
      <w:r w:rsidR="004C5942" w:rsidRPr="00C36B84">
        <w:rPr>
          <w:i/>
        </w:rPr>
        <w:t>, compte tenu</w:t>
      </w:r>
      <w:r w:rsidR="0070418B" w:rsidRPr="00C36B84">
        <w:rPr>
          <w:i/>
        </w:rPr>
        <w:t xml:space="preserve"> des éléments suivants :</w:t>
      </w:r>
    </w:p>
    <w:p w14:paraId="2D5A6146" w14:textId="7F9B1FFF" w:rsidR="0070418B" w:rsidRPr="00C36B84" w:rsidRDefault="007E7193" w:rsidP="007E7193">
      <w:pPr>
        <w:pStyle w:val="NormalNonumber"/>
        <w:ind w:left="2381" w:hanging="1134"/>
        <w:rPr>
          <w:i/>
        </w:rPr>
      </w:pPr>
      <w:r w:rsidRPr="00C36B84">
        <w:rPr>
          <w:i/>
        </w:rPr>
        <w:tab/>
      </w:r>
      <w:r w:rsidR="0070418B" w:rsidRPr="00C36B84">
        <w:rPr>
          <w:i/>
        </w:rPr>
        <w:t>i)</w:t>
      </w:r>
      <w:r w:rsidR="0070418B" w:rsidRPr="00C36B84">
        <w:rPr>
          <w:i/>
        </w:rPr>
        <w:tab/>
        <w:t>La mesure de réglementation finale a-t-elle entraîné, ou devrait-elle entraîner, une</w:t>
      </w:r>
      <w:r w:rsidRPr="00C36B84">
        <w:rPr>
          <w:i/>
        </w:rPr>
        <w:t> </w:t>
      </w:r>
      <w:r w:rsidR="0070418B" w:rsidRPr="00C36B84">
        <w:rPr>
          <w:i/>
        </w:rPr>
        <w:t>diminution sensible de la consommation du produit chimique ou du nombre de ses</w:t>
      </w:r>
      <w:r w:rsidRPr="00C36B84">
        <w:rPr>
          <w:i/>
        </w:rPr>
        <w:t> </w:t>
      </w:r>
      <w:r w:rsidR="0070418B" w:rsidRPr="00C36B84">
        <w:rPr>
          <w:i/>
        </w:rPr>
        <w:t>emplois ?</w:t>
      </w:r>
    </w:p>
    <w:p w14:paraId="7F52953D" w14:textId="4A7F4948" w:rsidR="0070418B" w:rsidRPr="00C36B84" w:rsidRDefault="0070418B" w:rsidP="00AD11DC">
      <w:pPr>
        <w:pStyle w:val="Normalnumber"/>
        <w:numPr>
          <w:ilvl w:val="0"/>
          <w:numId w:val="8"/>
        </w:numPr>
        <w:rPr>
          <w:bCs/>
          <w:lang w:val="fr-FR"/>
        </w:rPr>
      </w:pPr>
      <w:r w:rsidRPr="00C36B84">
        <w:rPr>
          <w:lang w:val="fr-FR"/>
        </w:rPr>
        <w:t xml:space="preserve">Les quantités estimées de </w:t>
      </w:r>
      <w:proofErr w:type="spellStart"/>
      <w:r w:rsidRPr="00C36B84">
        <w:rPr>
          <w:lang w:val="fr-FR"/>
        </w:rPr>
        <w:t>terbufos</w:t>
      </w:r>
      <w:proofErr w:type="spellEnd"/>
      <w:r w:rsidRPr="00C36B84">
        <w:rPr>
          <w:lang w:val="fr-FR"/>
        </w:rPr>
        <w:t xml:space="preserve"> produites, importées et exportées par le Canada avant l</w:t>
      </w:r>
      <w:r w:rsidR="00263978" w:rsidRPr="00C36B84">
        <w:rPr>
          <w:lang w:val="fr-FR"/>
        </w:rPr>
        <w:t>’</w:t>
      </w:r>
      <w:r w:rsidRPr="00C36B84">
        <w:rPr>
          <w:lang w:val="fr-FR"/>
        </w:rPr>
        <w:t>entrée en vigueur de la mesure de réglementation n</w:t>
      </w:r>
      <w:r w:rsidR="00263978" w:rsidRPr="00C36B84">
        <w:rPr>
          <w:lang w:val="fr-FR"/>
        </w:rPr>
        <w:t>’</w:t>
      </w:r>
      <w:r w:rsidRPr="00C36B84">
        <w:rPr>
          <w:lang w:val="fr-FR"/>
        </w:rPr>
        <w:t xml:space="preserve">ont pas été communiquées. Il a été indiqué que la quantité de </w:t>
      </w:r>
      <w:r w:rsidR="00FB4F20" w:rsidRPr="00C36B84">
        <w:rPr>
          <w:lang w:val="fr-FR"/>
        </w:rPr>
        <w:t>la matière active</w:t>
      </w:r>
      <w:r w:rsidRPr="00C36B84">
        <w:rPr>
          <w:lang w:val="fr-FR"/>
        </w:rPr>
        <w:t xml:space="preserve"> </w:t>
      </w:r>
      <w:proofErr w:type="spellStart"/>
      <w:r w:rsidRPr="00C36B84">
        <w:rPr>
          <w:lang w:val="fr-FR"/>
        </w:rPr>
        <w:t>terbufos</w:t>
      </w:r>
      <w:proofErr w:type="spellEnd"/>
      <w:r w:rsidRPr="00C36B84">
        <w:rPr>
          <w:lang w:val="fr-FR"/>
        </w:rPr>
        <w:t xml:space="preserve"> utilisée en 2011, soit l</w:t>
      </w:r>
      <w:r w:rsidR="00263978" w:rsidRPr="00C36B84">
        <w:rPr>
          <w:lang w:val="fr-FR"/>
        </w:rPr>
        <w:t>’</w:t>
      </w:r>
      <w:r w:rsidRPr="00C36B84">
        <w:rPr>
          <w:lang w:val="fr-FR"/>
        </w:rPr>
        <w:t>année précédant l</w:t>
      </w:r>
      <w:r w:rsidR="00263978" w:rsidRPr="00C36B84">
        <w:rPr>
          <w:lang w:val="fr-FR"/>
        </w:rPr>
        <w:t>’</w:t>
      </w:r>
      <w:r w:rsidRPr="00C36B84">
        <w:rPr>
          <w:lang w:val="fr-FR"/>
        </w:rPr>
        <w:t>entrée en vigueur de l</w:t>
      </w:r>
      <w:r w:rsidR="00263978" w:rsidRPr="00C36B84">
        <w:rPr>
          <w:lang w:val="fr-FR"/>
        </w:rPr>
        <w:t>’</w:t>
      </w:r>
      <w:r w:rsidRPr="00C36B84">
        <w:rPr>
          <w:lang w:val="fr-FR"/>
        </w:rPr>
        <w:t>interdiction d</w:t>
      </w:r>
      <w:r w:rsidR="00F270B1" w:rsidRPr="00C36B84">
        <w:rPr>
          <w:lang w:val="fr-FR"/>
        </w:rPr>
        <w:t>e cette substance</w:t>
      </w:r>
      <w:r w:rsidRPr="00C36B84">
        <w:rPr>
          <w:lang w:val="fr-FR"/>
        </w:rPr>
        <w:t xml:space="preserve">, était inférieure à 50 000 kg (UNEP/FAO/RC/CRC.17/8/Rev.1, section 2.5.1 de la </w:t>
      </w:r>
      <w:r w:rsidR="009A49D0" w:rsidRPr="00C36B84">
        <w:rPr>
          <w:lang w:val="fr-FR"/>
        </w:rPr>
        <w:t>notification reçue d</w:t>
      </w:r>
      <w:r w:rsidRPr="00C36B84">
        <w:rPr>
          <w:lang w:val="fr-FR"/>
        </w:rPr>
        <w:t>u Canada).</w:t>
      </w:r>
    </w:p>
    <w:p w14:paraId="1F4034FE" w14:textId="5068F28D" w:rsidR="00F23195" w:rsidRPr="00C36B84" w:rsidRDefault="0070418B" w:rsidP="00AD11DC">
      <w:pPr>
        <w:pStyle w:val="Normalnumber"/>
        <w:numPr>
          <w:ilvl w:val="0"/>
          <w:numId w:val="8"/>
        </w:numPr>
        <w:rPr>
          <w:lang w:val="fr-FR"/>
        </w:rPr>
      </w:pPr>
      <w:r w:rsidRPr="00C36B84">
        <w:rPr>
          <w:lang w:val="fr-FR"/>
        </w:rPr>
        <w:lastRenderedPageBreak/>
        <w:t>La mesure de réglementation finale prévoyait l</w:t>
      </w:r>
      <w:r w:rsidR="00263978" w:rsidRPr="00C36B84">
        <w:rPr>
          <w:lang w:val="fr-FR"/>
        </w:rPr>
        <w:t>’</w:t>
      </w:r>
      <w:r w:rsidRPr="00C36B84">
        <w:rPr>
          <w:lang w:val="fr-FR"/>
        </w:rPr>
        <w:t xml:space="preserve">abandon définitif de toutes les utilisations du </w:t>
      </w:r>
      <w:proofErr w:type="spellStart"/>
      <w:r w:rsidRPr="00C36B84">
        <w:rPr>
          <w:lang w:val="fr-FR"/>
        </w:rPr>
        <w:t>terbufos</w:t>
      </w:r>
      <w:proofErr w:type="spellEnd"/>
      <w:r w:rsidRPr="00C36B84">
        <w:rPr>
          <w:lang w:val="fr-FR"/>
        </w:rPr>
        <w:t xml:space="preserve"> en tant que produit antiparasitaire au Canada en 2012 (UNEP/FAO/RC/CRC.17/8/Rev.1, section</w:t>
      </w:r>
      <w:r w:rsidR="00533754">
        <w:rPr>
          <w:lang w:val="fr-FR"/>
        </w:rPr>
        <w:t> </w:t>
      </w:r>
      <w:r w:rsidRPr="00C36B84">
        <w:rPr>
          <w:lang w:val="fr-FR"/>
        </w:rPr>
        <w:t xml:space="preserve">2.2.1 de la </w:t>
      </w:r>
      <w:r w:rsidR="009A49D0" w:rsidRPr="00C36B84">
        <w:rPr>
          <w:lang w:val="fr-FR"/>
        </w:rPr>
        <w:t>notification reçue d</w:t>
      </w:r>
      <w:r w:rsidRPr="00C36B84">
        <w:rPr>
          <w:lang w:val="fr-FR"/>
        </w:rPr>
        <w:t xml:space="preserve">u Canada) et selon les prévisions, </w:t>
      </w:r>
      <w:r w:rsidR="00F270B1" w:rsidRPr="00C36B84">
        <w:rPr>
          <w:lang w:val="fr-FR"/>
        </w:rPr>
        <w:t>la consommation de</w:t>
      </w:r>
      <w:r w:rsidRPr="00C36B84">
        <w:rPr>
          <w:lang w:val="fr-FR"/>
        </w:rPr>
        <w:t xml:space="preserve"> produit</w:t>
      </w:r>
      <w:r w:rsidR="00F270B1" w:rsidRPr="00C36B84">
        <w:rPr>
          <w:lang w:val="fr-FR"/>
        </w:rPr>
        <w:t>s</w:t>
      </w:r>
      <w:r w:rsidRPr="00C36B84">
        <w:rPr>
          <w:lang w:val="fr-FR"/>
        </w:rPr>
        <w:t xml:space="preserve"> antiparasitaire</w:t>
      </w:r>
      <w:r w:rsidR="00F270B1" w:rsidRPr="00C36B84">
        <w:rPr>
          <w:lang w:val="fr-FR"/>
        </w:rPr>
        <w:t>s</w:t>
      </w:r>
      <w:r w:rsidRPr="00C36B84">
        <w:rPr>
          <w:lang w:val="fr-FR"/>
        </w:rPr>
        <w:t xml:space="preserve"> </w:t>
      </w:r>
      <w:r w:rsidR="00F270B1" w:rsidRPr="00C36B84">
        <w:rPr>
          <w:lang w:val="fr-FR"/>
        </w:rPr>
        <w:t>contenant cette substance tomb</w:t>
      </w:r>
      <w:r w:rsidRPr="00C36B84">
        <w:rPr>
          <w:lang w:val="fr-FR"/>
        </w:rPr>
        <w:t>era donc à zéro.</w:t>
      </w:r>
    </w:p>
    <w:p w14:paraId="41704163" w14:textId="77777777" w:rsidR="00F23195" w:rsidRPr="00C36B84" w:rsidRDefault="0070418B" w:rsidP="00AD11DC">
      <w:pPr>
        <w:pStyle w:val="Normalnumber"/>
        <w:numPr>
          <w:ilvl w:val="0"/>
          <w:numId w:val="8"/>
        </w:numPr>
        <w:rPr>
          <w:lang w:val="fr-FR"/>
        </w:rPr>
      </w:pPr>
      <w:r w:rsidRPr="00C36B84">
        <w:rPr>
          <w:lang w:val="fr-FR"/>
        </w:rPr>
        <w:t>En conséquence, le Comité confirme que le critère énoncé au paragraphe c), alinéa i), est rempli.</w:t>
      </w:r>
    </w:p>
    <w:p w14:paraId="7261FB74" w14:textId="76D5146A" w:rsidR="0070418B" w:rsidRPr="00C36B84" w:rsidRDefault="007E7193" w:rsidP="007E7193">
      <w:pPr>
        <w:pStyle w:val="NormalNonumber"/>
        <w:ind w:left="2381" w:hanging="1134"/>
        <w:rPr>
          <w:i/>
        </w:rPr>
      </w:pPr>
      <w:r w:rsidRPr="00C36B84">
        <w:rPr>
          <w:i/>
        </w:rPr>
        <w:tab/>
      </w:r>
      <w:r w:rsidR="0070418B" w:rsidRPr="00C36B84">
        <w:rPr>
          <w:i/>
        </w:rPr>
        <w:t>ii)</w:t>
      </w:r>
      <w:r w:rsidR="0070418B" w:rsidRPr="00C36B84">
        <w:rPr>
          <w:i/>
        </w:rPr>
        <w:tab/>
        <w:t>La mesure de réglementation finale s</w:t>
      </w:r>
      <w:r w:rsidR="00263978" w:rsidRPr="00C36B84">
        <w:rPr>
          <w:i/>
        </w:rPr>
        <w:t>’</w:t>
      </w:r>
      <w:r w:rsidR="0070418B" w:rsidRPr="00C36B84">
        <w:rPr>
          <w:i/>
        </w:rPr>
        <w:t>est-elle effectivement traduite par une diminution des risques, ou devrait-elle entraîner une diminution importante des risques, pour la</w:t>
      </w:r>
      <w:r w:rsidRPr="00C36B84">
        <w:rPr>
          <w:i/>
        </w:rPr>
        <w:t> </w:t>
      </w:r>
      <w:r w:rsidR="0070418B" w:rsidRPr="00C36B84">
        <w:rPr>
          <w:i/>
        </w:rPr>
        <w:t>santé des personnes ou l</w:t>
      </w:r>
      <w:r w:rsidR="00263978" w:rsidRPr="00C36B84">
        <w:rPr>
          <w:i/>
        </w:rPr>
        <w:t>’</w:t>
      </w:r>
      <w:r w:rsidR="0070418B" w:rsidRPr="00C36B84">
        <w:rPr>
          <w:i/>
        </w:rPr>
        <w:t>environnement dans la Partie qui a soumis la notification ?</w:t>
      </w:r>
    </w:p>
    <w:p w14:paraId="5117C3B7" w14:textId="2B4C58E9" w:rsidR="00F23195" w:rsidRPr="00C36B84" w:rsidRDefault="0070418B" w:rsidP="00AD11DC">
      <w:pPr>
        <w:pStyle w:val="Normalnumber"/>
        <w:numPr>
          <w:ilvl w:val="0"/>
          <w:numId w:val="8"/>
        </w:numPr>
        <w:rPr>
          <w:lang w:val="fr-FR"/>
        </w:rPr>
      </w:pPr>
      <w:r w:rsidRPr="00C36B84">
        <w:rPr>
          <w:lang w:val="fr-FR"/>
        </w:rPr>
        <w:t>Selon la notification, l</w:t>
      </w:r>
      <w:r w:rsidR="00F270B1" w:rsidRPr="00C36B84">
        <w:rPr>
          <w:lang w:val="fr-FR"/>
        </w:rPr>
        <w:t>a prévention de</w:t>
      </w:r>
      <w:r w:rsidRPr="00C36B84">
        <w:rPr>
          <w:lang w:val="fr-FR"/>
        </w:rPr>
        <w:t xml:space="preserve"> l</w:t>
      </w:r>
      <w:r w:rsidR="00263978" w:rsidRPr="00C36B84">
        <w:rPr>
          <w:lang w:val="fr-FR"/>
        </w:rPr>
        <w:t>’</w:t>
      </w:r>
      <w:r w:rsidRPr="00C36B84">
        <w:rPr>
          <w:lang w:val="fr-FR"/>
        </w:rPr>
        <w:t>utilisation d</w:t>
      </w:r>
      <w:r w:rsidR="00F270B1" w:rsidRPr="00C36B84">
        <w:rPr>
          <w:lang w:val="fr-FR"/>
        </w:rPr>
        <w:t>e</w:t>
      </w:r>
      <w:r w:rsidRPr="00C36B84">
        <w:rPr>
          <w:lang w:val="fr-FR"/>
        </w:rPr>
        <w:t xml:space="preserve"> </w:t>
      </w:r>
      <w:proofErr w:type="spellStart"/>
      <w:r w:rsidRPr="00C36B84">
        <w:rPr>
          <w:lang w:val="fr-FR"/>
        </w:rPr>
        <w:t>terbufos</w:t>
      </w:r>
      <w:proofErr w:type="spellEnd"/>
      <w:r w:rsidRPr="00C36B84">
        <w:rPr>
          <w:lang w:val="fr-FR"/>
        </w:rPr>
        <w:t xml:space="preserve"> permet de protéger l</w:t>
      </w:r>
      <w:r w:rsidR="00263978" w:rsidRPr="00C36B84">
        <w:rPr>
          <w:lang w:val="fr-FR"/>
        </w:rPr>
        <w:t>’</w:t>
      </w:r>
      <w:r w:rsidRPr="00C36B84">
        <w:rPr>
          <w:lang w:val="fr-FR"/>
        </w:rPr>
        <w:t>environnement et les organismes non ciblés contre les risques d</w:t>
      </w:r>
      <w:r w:rsidR="00263978" w:rsidRPr="00C36B84">
        <w:rPr>
          <w:lang w:val="fr-FR"/>
        </w:rPr>
        <w:t>’</w:t>
      </w:r>
      <w:r w:rsidRPr="00C36B84">
        <w:rPr>
          <w:lang w:val="fr-FR"/>
        </w:rPr>
        <w:t>exposition et, par conséquent, le résultat attendu de la mesure de réglementation finale est une réduction des risques pour l</w:t>
      </w:r>
      <w:r w:rsidR="00263978" w:rsidRPr="00C36B84">
        <w:rPr>
          <w:lang w:val="fr-FR"/>
        </w:rPr>
        <w:t>’</w:t>
      </w:r>
      <w:r w:rsidRPr="00C36B84">
        <w:rPr>
          <w:lang w:val="fr-FR"/>
        </w:rPr>
        <w:t>environnement liés à l</w:t>
      </w:r>
      <w:r w:rsidR="00263978" w:rsidRPr="00C36B84">
        <w:rPr>
          <w:lang w:val="fr-FR"/>
        </w:rPr>
        <w:t>’</w:t>
      </w:r>
      <w:r w:rsidRPr="00C36B84">
        <w:rPr>
          <w:lang w:val="fr-FR"/>
        </w:rPr>
        <w:t xml:space="preserve">utilisation de produits phytosanitaires contenant </w:t>
      </w:r>
      <w:r w:rsidR="000510AD" w:rsidRPr="00C36B84">
        <w:rPr>
          <w:lang w:val="fr-FR"/>
        </w:rPr>
        <w:t xml:space="preserve">cette substance </w:t>
      </w:r>
      <w:r w:rsidRPr="00C36B84">
        <w:rPr>
          <w:lang w:val="fr-FR"/>
        </w:rPr>
        <w:t>(UNEP/FAO/RC/CRC.17/8/Rev.1, section</w:t>
      </w:r>
      <w:r w:rsidR="00533754">
        <w:rPr>
          <w:lang w:val="fr-FR"/>
        </w:rPr>
        <w:t> </w:t>
      </w:r>
      <w:r w:rsidRPr="00C36B84">
        <w:rPr>
          <w:lang w:val="fr-FR"/>
        </w:rPr>
        <w:t xml:space="preserve">2.4.2.2 de la </w:t>
      </w:r>
      <w:r w:rsidR="009A49D0" w:rsidRPr="00C36B84">
        <w:rPr>
          <w:lang w:val="fr-FR"/>
        </w:rPr>
        <w:t>notification reçue d</w:t>
      </w:r>
      <w:r w:rsidRPr="00C36B84">
        <w:rPr>
          <w:lang w:val="fr-FR"/>
        </w:rPr>
        <w:t>u Canada).</w:t>
      </w:r>
    </w:p>
    <w:p w14:paraId="24EBF96A" w14:textId="5A25B29D" w:rsidR="00F23195" w:rsidRPr="00C36B84" w:rsidRDefault="0070418B" w:rsidP="00AD11DC">
      <w:pPr>
        <w:pStyle w:val="Normalnumber"/>
        <w:numPr>
          <w:ilvl w:val="0"/>
          <w:numId w:val="8"/>
        </w:numPr>
        <w:rPr>
          <w:lang w:val="fr-FR"/>
        </w:rPr>
      </w:pPr>
      <w:r w:rsidRPr="00C36B84">
        <w:rPr>
          <w:lang w:val="fr-FR"/>
        </w:rPr>
        <w:t>L</w:t>
      </w:r>
      <w:r w:rsidR="00263978" w:rsidRPr="00C36B84">
        <w:rPr>
          <w:lang w:val="fr-FR"/>
        </w:rPr>
        <w:t>’</w:t>
      </w:r>
      <w:r w:rsidRPr="00C36B84">
        <w:rPr>
          <w:lang w:val="fr-FR"/>
        </w:rPr>
        <w:t xml:space="preserve">abandon définitif de toutes les utilisations du </w:t>
      </w:r>
      <w:proofErr w:type="spellStart"/>
      <w:r w:rsidRPr="00C36B84">
        <w:rPr>
          <w:lang w:val="fr-FR"/>
        </w:rPr>
        <w:t>terbufos</w:t>
      </w:r>
      <w:proofErr w:type="spellEnd"/>
      <w:r w:rsidRPr="00C36B84">
        <w:rPr>
          <w:lang w:val="fr-FR"/>
        </w:rPr>
        <w:t xml:space="preserve"> au 1</w:t>
      </w:r>
      <w:r w:rsidRPr="00C36B84">
        <w:rPr>
          <w:vertAlign w:val="superscript"/>
          <w:lang w:val="fr-FR"/>
        </w:rPr>
        <w:t>er</w:t>
      </w:r>
      <w:r w:rsidRPr="00C36B84">
        <w:rPr>
          <w:lang w:val="fr-FR"/>
        </w:rPr>
        <w:t> août 2012 devrait avoir entraîné une réduction importante de la quantité de produit chimique utilisée au Canada et, par conséquent, les risques pour l</w:t>
      </w:r>
      <w:r w:rsidR="00263978" w:rsidRPr="00C36B84">
        <w:rPr>
          <w:lang w:val="fr-FR"/>
        </w:rPr>
        <w:t>’</w:t>
      </w:r>
      <w:r w:rsidRPr="00C36B84">
        <w:rPr>
          <w:lang w:val="fr-FR"/>
        </w:rPr>
        <w:t>environnement devraient s</w:t>
      </w:r>
      <w:r w:rsidR="00263978" w:rsidRPr="00C36B84">
        <w:rPr>
          <w:lang w:val="fr-FR"/>
        </w:rPr>
        <w:t>’</w:t>
      </w:r>
      <w:r w:rsidRPr="00C36B84">
        <w:rPr>
          <w:lang w:val="fr-FR"/>
        </w:rPr>
        <w:t>en trouver considérablement réduits.</w:t>
      </w:r>
    </w:p>
    <w:p w14:paraId="300D1D5B" w14:textId="77777777" w:rsidR="00F23195" w:rsidRPr="00C36B84" w:rsidRDefault="0070418B" w:rsidP="00AD11DC">
      <w:pPr>
        <w:pStyle w:val="Normalnumber"/>
        <w:numPr>
          <w:ilvl w:val="0"/>
          <w:numId w:val="8"/>
        </w:numPr>
        <w:rPr>
          <w:lang w:val="fr-FR"/>
        </w:rPr>
      </w:pPr>
      <w:r w:rsidRPr="00C36B84">
        <w:rPr>
          <w:lang w:val="fr-FR"/>
        </w:rPr>
        <w:t>Le Comité confirme que le critère énoncé au paragraphe c), alinéa ii), est rempli.</w:t>
      </w:r>
    </w:p>
    <w:p w14:paraId="7D7016DC" w14:textId="46E1ADF8" w:rsidR="0070418B" w:rsidRPr="00C36B84" w:rsidRDefault="0070418B" w:rsidP="00955908">
      <w:pPr>
        <w:snapToGrid w:val="0"/>
        <w:spacing w:after="120"/>
        <w:ind w:left="2438" w:hanging="624"/>
        <w:rPr>
          <w:i/>
        </w:rPr>
      </w:pPr>
      <w:r w:rsidRPr="00C36B84">
        <w:rPr>
          <w:i/>
        </w:rPr>
        <w:t>iii)</w:t>
      </w:r>
      <w:r w:rsidRPr="00C36B84">
        <w:rPr>
          <w:i/>
        </w:rPr>
        <w:tab/>
        <w:t>Les considérations qui ont mené à la mesure de réglementation finale sont-elles valables uniquement dans une zone géographique restreinte ou dans d</w:t>
      </w:r>
      <w:r w:rsidR="00263978" w:rsidRPr="00C36B84">
        <w:rPr>
          <w:i/>
        </w:rPr>
        <w:t>’</w:t>
      </w:r>
      <w:r w:rsidRPr="00C36B84">
        <w:rPr>
          <w:i/>
        </w:rPr>
        <w:t>autres circonstances particulières ?</w:t>
      </w:r>
    </w:p>
    <w:p w14:paraId="6B10FB13" w14:textId="5578CE09" w:rsidR="00F23195" w:rsidRPr="00C36B84" w:rsidRDefault="0070418B" w:rsidP="00AD11DC">
      <w:pPr>
        <w:pStyle w:val="Normalnumber"/>
        <w:numPr>
          <w:ilvl w:val="0"/>
          <w:numId w:val="8"/>
        </w:numPr>
        <w:rPr>
          <w:lang w:val="fr-FR"/>
        </w:rPr>
      </w:pPr>
      <w:r w:rsidRPr="00C36B84">
        <w:rPr>
          <w:lang w:val="fr-FR"/>
        </w:rPr>
        <w:t xml:space="preserve">Des risques associés aux formulations commerciales du </w:t>
      </w:r>
      <w:proofErr w:type="spellStart"/>
      <w:r w:rsidRPr="00C36B84">
        <w:rPr>
          <w:lang w:val="fr-FR"/>
        </w:rPr>
        <w:t>terbufos</w:t>
      </w:r>
      <w:proofErr w:type="spellEnd"/>
      <w:r w:rsidRPr="00C36B84">
        <w:rPr>
          <w:lang w:val="fr-FR"/>
        </w:rPr>
        <w:t xml:space="preserve"> ont été recensés pour tous les groupes d</w:t>
      </w:r>
      <w:r w:rsidR="00263978" w:rsidRPr="00C36B84">
        <w:rPr>
          <w:lang w:val="fr-FR"/>
        </w:rPr>
        <w:t>’</w:t>
      </w:r>
      <w:r w:rsidRPr="00C36B84">
        <w:rPr>
          <w:lang w:val="fr-FR"/>
        </w:rPr>
        <w:t>organismes (à savoir les oiseaux, les mammifères, les poissons et les invertébrés aquatiques) dans tous les scénarios d</w:t>
      </w:r>
      <w:r w:rsidR="00263978" w:rsidRPr="00C36B84">
        <w:rPr>
          <w:lang w:val="fr-FR"/>
        </w:rPr>
        <w:t>’</w:t>
      </w:r>
      <w:r w:rsidRPr="00C36B84">
        <w:rPr>
          <w:lang w:val="fr-FR"/>
        </w:rPr>
        <w:t>application.</w:t>
      </w:r>
    </w:p>
    <w:p w14:paraId="247F8C98" w14:textId="145B6B2A" w:rsidR="00F23195" w:rsidRPr="00C36B84" w:rsidRDefault="0070418B" w:rsidP="00AD11DC">
      <w:pPr>
        <w:pStyle w:val="Normalnumber"/>
        <w:numPr>
          <w:ilvl w:val="0"/>
          <w:numId w:val="8"/>
        </w:numPr>
        <w:rPr>
          <w:lang w:val="fr-FR"/>
        </w:rPr>
      </w:pPr>
      <w:r w:rsidRPr="00C36B84">
        <w:rPr>
          <w:lang w:val="fr-FR"/>
        </w:rPr>
        <w:t>La notification indique que les risques pour l</w:t>
      </w:r>
      <w:r w:rsidR="00263978" w:rsidRPr="00C36B84">
        <w:rPr>
          <w:lang w:val="fr-FR"/>
        </w:rPr>
        <w:t>’</w:t>
      </w:r>
      <w:r w:rsidRPr="00C36B84">
        <w:rPr>
          <w:lang w:val="fr-FR"/>
        </w:rPr>
        <w:t xml:space="preserve">environnement posés par le </w:t>
      </w:r>
      <w:proofErr w:type="spellStart"/>
      <w:r w:rsidRPr="00C36B84">
        <w:rPr>
          <w:lang w:val="fr-FR"/>
        </w:rPr>
        <w:t>terbufos</w:t>
      </w:r>
      <w:proofErr w:type="spellEnd"/>
      <w:r w:rsidRPr="00C36B84">
        <w:rPr>
          <w:lang w:val="fr-FR"/>
        </w:rPr>
        <w:t xml:space="preserve"> peuvent vraisemblablement concerner des pays où </w:t>
      </w:r>
      <w:r w:rsidR="000510AD" w:rsidRPr="00C36B84">
        <w:rPr>
          <w:lang w:val="fr-FR"/>
        </w:rPr>
        <w:t xml:space="preserve">celui-ci </w:t>
      </w:r>
      <w:r w:rsidRPr="00C36B84">
        <w:rPr>
          <w:lang w:val="fr-FR"/>
        </w:rPr>
        <w:t>est utilisé selon des modalités similaires (UNEP/FAO/RC/CRC.17/8/Rev.1, section</w:t>
      </w:r>
      <w:r w:rsidR="00533754">
        <w:rPr>
          <w:lang w:val="fr-FR"/>
        </w:rPr>
        <w:t> </w:t>
      </w:r>
      <w:r w:rsidRPr="00C36B84">
        <w:rPr>
          <w:lang w:val="fr-FR"/>
        </w:rPr>
        <w:t xml:space="preserve">2.5.2 de la </w:t>
      </w:r>
      <w:r w:rsidR="009A49D0" w:rsidRPr="00C36B84">
        <w:rPr>
          <w:lang w:val="fr-FR"/>
        </w:rPr>
        <w:t>notification reçue d</w:t>
      </w:r>
      <w:r w:rsidRPr="00C36B84">
        <w:rPr>
          <w:lang w:val="fr-FR"/>
        </w:rPr>
        <w:t>u Canada).</w:t>
      </w:r>
    </w:p>
    <w:p w14:paraId="05C0ED23" w14:textId="4264F0F2" w:rsidR="00F23195" w:rsidRPr="00C36B84" w:rsidRDefault="0070418B" w:rsidP="00AD11DC">
      <w:pPr>
        <w:pStyle w:val="Normalnumber"/>
        <w:numPr>
          <w:ilvl w:val="0"/>
          <w:numId w:val="8"/>
        </w:numPr>
        <w:rPr>
          <w:lang w:val="fr-FR"/>
        </w:rPr>
      </w:pPr>
      <w:r w:rsidRPr="00C36B84">
        <w:rPr>
          <w:lang w:val="fr-FR"/>
        </w:rPr>
        <w:t>En conséquence, le Comité confirme que le critère énoncé au paragraphe c), alinéa iii), est</w:t>
      </w:r>
      <w:r w:rsidR="00D6688D" w:rsidRPr="00C36B84">
        <w:rPr>
          <w:lang w:val="fr-FR"/>
        </w:rPr>
        <w:t> </w:t>
      </w:r>
      <w:r w:rsidRPr="00C36B84">
        <w:rPr>
          <w:lang w:val="fr-FR"/>
        </w:rPr>
        <w:t>rempli.</w:t>
      </w:r>
    </w:p>
    <w:p w14:paraId="3BE4B852" w14:textId="677D2F66" w:rsidR="0070418B" w:rsidRPr="00C36B84" w:rsidRDefault="007E7193" w:rsidP="007E7193">
      <w:pPr>
        <w:pStyle w:val="NormalNonumber"/>
        <w:ind w:left="2381" w:hanging="1134"/>
        <w:rPr>
          <w:i/>
        </w:rPr>
      </w:pPr>
      <w:r w:rsidRPr="00C36B84">
        <w:rPr>
          <w:i/>
        </w:rPr>
        <w:tab/>
      </w:r>
      <w:r w:rsidR="0070418B" w:rsidRPr="00C36B84">
        <w:rPr>
          <w:i/>
        </w:rPr>
        <w:t>iv)</w:t>
      </w:r>
      <w:r w:rsidR="0070418B" w:rsidRPr="00C36B84">
        <w:rPr>
          <w:i/>
        </w:rPr>
        <w:tab/>
        <w:t>Apparaît-il que le produit chimique considéré fait l</w:t>
      </w:r>
      <w:r w:rsidR="00263978" w:rsidRPr="00C36B84">
        <w:rPr>
          <w:i/>
        </w:rPr>
        <w:t>’</w:t>
      </w:r>
      <w:r w:rsidR="0070418B" w:rsidRPr="00C36B84">
        <w:rPr>
          <w:i/>
        </w:rPr>
        <w:t>objet d</w:t>
      </w:r>
      <w:r w:rsidR="00263978" w:rsidRPr="00C36B84">
        <w:rPr>
          <w:i/>
        </w:rPr>
        <w:t>’</w:t>
      </w:r>
      <w:r w:rsidR="0070418B" w:rsidRPr="00C36B84">
        <w:rPr>
          <w:i/>
        </w:rPr>
        <w:t>échanges commerciaux internationaux ?</w:t>
      </w:r>
    </w:p>
    <w:p w14:paraId="50800225" w14:textId="2C705F73" w:rsidR="0070418B" w:rsidRPr="00C36B84" w:rsidRDefault="0070418B" w:rsidP="00AD11DC">
      <w:pPr>
        <w:pStyle w:val="Normalnumber"/>
        <w:numPr>
          <w:ilvl w:val="0"/>
          <w:numId w:val="8"/>
        </w:numPr>
        <w:rPr>
          <w:lang w:val="fr-FR"/>
        </w:rPr>
      </w:pPr>
      <w:r w:rsidRPr="00C36B84">
        <w:rPr>
          <w:lang w:val="fr-FR"/>
        </w:rPr>
        <w:t xml:space="preserve">En réponse à la demande du Secrétariat </w:t>
      </w:r>
      <w:r w:rsidR="000510AD" w:rsidRPr="00C36B84">
        <w:rPr>
          <w:lang w:val="fr-FR"/>
        </w:rPr>
        <w:t xml:space="preserve">que des informations sur le commerce international des produits chimiques candidats soient </w:t>
      </w:r>
      <w:proofErr w:type="gramStart"/>
      <w:r w:rsidRPr="00C36B84">
        <w:rPr>
          <w:lang w:val="fr-FR"/>
        </w:rPr>
        <w:t>fourni</w:t>
      </w:r>
      <w:r w:rsidR="000510AD" w:rsidRPr="00C36B84">
        <w:rPr>
          <w:lang w:val="fr-FR"/>
        </w:rPr>
        <w:t>es</w:t>
      </w:r>
      <w:proofErr w:type="gramEnd"/>
      <w:r w:rsidRPr="00C36B84">
        <w:rPr>
          <w:lang w:val="fr-FR"/>
        </w:rPr>
        <w:t xml:space="preserve"> au Comité d</w:t>
      </w:r>
      <w:r w:rsidR="00263978" w:rsidRPr="00C36B84">
        <w:rPr>
          <w:lang w:val="fr-FR"/>
        </w:rPr>
        <w:t>’</w:t>
      </w:r>
      <w:r w:rsidRPr="00C36B84">
        <w:rPr>
          <w:lang w:val="fr-FR"/>
        </w:rPr>
        <w:t xml:space="preserve">étude des produits chimiques </w:t>
      </w:r>
      <w:r w:rsidR="000510AD" w:rsidRPr="00C36B84">
        <w:rPr>
          <w:lang w:val="fr-FR"/>
        </w:rPr>
        <w:t>à</w:t>
      </w:r>
      <w:r w:rsidRPr="00C36B84">
        <w:rPr>
          <w:lang w:val="fr-FR"/>
        </w:rPr>
        <w:t xml:space="preserve"> sa dix-septième réunion, </w:t>
      </w:r>
      <w:proofErr w:type="spellStart"/>
      <w:r w:rsidRPr="00C36B84">
        <w:rPr>
          <w:lang w:val="fr-FR"/>
        </w:rPr>
        <w:t>CropLife</w:t>
      </w:r>
      <w:proofErr w:type="spellEnd"/>
      <w:r w:rsidRPr="00C36B84">
        <w:rPr>
          <w:lang w:val="fr-FR"/>
        </w:rPr>
        <w:t xml:space="preserve"> International a </w:t>
      </w:r>
      <w:r w:rsidR="00F815DA" w:rsidRPr="00C36B84">
        <w:rPr>
          <w:lang w:val="fr-FR"/>
        </w:rPr>
        <w:t>confirmé que le</w:t>
      </w:r>
      <w:r w:rsidRPr="00C36B84">
        <w:rPr>
          <w:lang w:val="fr-FR"/>
        </w:rPr>
        <w:t xml:space="preserve"> </w:t>
      </w:r>
      <w:proofErr w:type="spellStart"/>
      <w:r w:rsidRPr="00C36B84">
        <w:rPr>
          <w:lang w:val="fr-FR"/>
        </w:rPr>
        <w:t>terbufos</w:t>
      </w:r>
      <w:proofErr w:type="spellEnd"/>
      <w:r w:rsidRPr="00C36B84">
        <w:rPr>
          <w:lang w:val="fr-FR"/>
        </w:rPr>
        <w:t xml:space="preserve"> </w:t>
      </w:r>
      <w:r w:rsidR="00F815DA" w:rsidRPr="00C36B84">
        <w:rPr>
          <w:lang w:val="fr-FR"/>
        </w:rPr>
        <w:t xml:space="preserve">fait </w:t>
      </w:r>
      <w:r w:rsidR="000510AD" w:rsidRPr="00C36B84">
        <w:rPr>
          <w:lang w:val="fr-FR"/>
        </w:rPr>
        <w:t xml:space="preserve">actuellement </w:t>
      </w:r>
      <w:r w:rsidR="00F815DA" w:rsidRPr="00C36B84">
        <w:rPr>
          <w:lang w:val="fr-FR"/>
        </w:rPr>
        <w:t>l</w:t>
      </w:r>
      <w:r w:rsidR="00263978" w:rsidRPr="00C36B84">
        <w:rPr>
          <w:lang w:val="fr-FR"/>
        </w:rPr>
        <w:t>’</w:t>
      </w:r>
      <w:r w:rsidR="00F815DA" w:rsidRPr="00C36B84">
        <w:rPr>
          <w:lang w:val="fr-FR"/>
        </w:rPr>
        <w:t>objet d</w:t>
      </w:r>
      <w:r w:rsidR="00263978" w:rsidRPr="00C36B84">
        <w:rPr>
          <w:lang w:val="fr-FR"/>
        </w:rPr>
        <w:t>’</w:t>
      </w:r>
      <w:r w:rsidR="00F815DA" w:rsidRPr="00C36B84">
        <w:rPr>
          <w:lang w:val="fr-FR"/>
        </w:rPr>
        <w:t xml:space="preserve">un tel commerce par des entreprises qui ne lui </w:t>
      </w:r>
      <w:r w:rsidR="000510AD" w:rsidRPr="00C36B84">
        <w:rPr>
          <w:lang w:val="fr-FR"/>
        </w:rPr>
        <w:t>so</w:t>
      </w:r>
      <w:r w:rsidR="00F815DA" w:rsidRPr="00C36B84">
        <w:rPr>
          <w:lang w:val="fr-FR"/>
        </w:rPr>
        <w:t>nt pas affiliées</w:t>
      </w:r>
      <w:r w:rsidRPr="00C36B84">
        <w:rPr>
          <w:lang w:val="fr-FR"/>
        </w:rPr>
        <w:t xml:space="preserve"> (UNEP/FAO/RC/CRC.17/INF/5).</w:t>
      </w:r>
    </w:p>
    <w:p w14:paraId="59DF35E8" w14:textId="77777777" w:rsidR="0070418B" w:rsidRPr="00C36B84" w:rsidRDefault="0070418B" w:rsidP="00AD11DC">
      <w:pPr>
        <w:pStyle w:val="Normalnumber"/>
        <w:numPr>
          <w:ilvl w:val="0"/>
          <w:numId w:val="8"/>
        </w:numPr>
        <w:rPr>
          <w:lang w:val="fr-FR"/>
        </w:rPr>
      </w:pPr>
      <w:r w:rsidRPr="00C36B84">
        <w:rPr>
          <w:lang w:val="fr-FR"/>
        </w:rPr>
        <w:t>En conséquence, le Comité confirme que le critère énoncé au paragraphe c), alinéa iv), est rempli.</w:t>
      </w:r>
    </w:p>
    <w:p w14:paraId="6323F7C5" w14:textId="22BF6E6D" w:rsidR="0070418B" w:rsidRPr="00C36B84" w:rsidRDefault="0070418B" w:rsidP="00AD11DC">
      <w:pPr>
        <w:pStyle w:val="Normalnumber"/>
        <w:numPr>
          <w:ilvl w:val="0"/>
          <w:numId w:val="8"/>
        </w:numPr>
        <w:rPr>
          <w:lang w:val="fr-FR"/>
        </w:rPr>
      </w:pPr>
      <w:r w:rsidRPr="00C36B84">
        <w:rPr>
          <w:lang w:val="fr-FR"/>
        </w:rPr>
        <w:t>Le Comité confirme que les critères énoncés au paragraphe c) de l</w:t>
      </w:r>
      <w:r w:rsidR="00263978" w:rsidRPr="00C36B84">
        <w:rPr>
          <w:lang w:val="fr-FR"/>
        </w:rPr>
        <w:t>’</w:t>
      </w:r>
      <w:r w:rsidRPr="00C36B84">
        <w:rPr>
          <w:lang w:val="fr-FR"/>
        </w:rPr>
        <w:t>Annexe II sont remplis.</w:t>
      </w:r>
    </w:p>
    <w:p w14:paraId="75E52F62" w14:textId="72474FA4" w:rsidR="0070418B" w:rsidRPr="00C36B84" w:rsidRDefault="0070418B" w:rsidP="007E7193">
      <w:pPr>
        <w:pStyle w:val="CH3"/>
        <w:rPr>
          <w:snapToGrid w:val="0"/>
        </w:rPr>
      </w:pPr>
      <w:r w:rsidRPr="00C36B84">
        <w:rPr>
          <w:snapToGrid w:val="0"/>
        </w:rPr>
        <w:tab/>
        <w:t>e)</w:t>
      </w:r>
      <w:r w:rsidRPr="00C36B84">
        <w:rPr>
          <w:snapToGrid w:val="0"/>
        </w:rPr>
        <w:tab/>
        <w:t>Critère énoncé au paragraphe d) de l</w:t>
      </w:r>
      <w:r w:rsidR="00263978" w:rsidRPr="00C36B84">
        <w:rPr>
          <w:snapToGrid w:val="0"/>
        </w:rPr>
        <w:t>’</w:t>
      </w:r>
      <w:r w:rsidRPr="00C36B84">
        <w:rPr>
          <w:snapToGrid w:val="0"/>
        </w:rPr>
        <w:t>Annexe II</w:t>
      </w:r>
    </w:p>
    <w:p w14:paraId="7457B53D" w14:textId="489056DD" w:rsidR="0070418B" w:rsidRPr="00C36B84" w:rsidRDefault="007E7193" w:rsidP="007E7193">
      <w:pPr>
        <w:pStyle w:val="NormalNonumber"/>
        <w:rPr>
          <w:i/>
        </w:rPr>
      </w:pPr>
      <w:r w:rsidRPr="00C36B84">
        <w:rPr>
          <w:i/>
        </w:rPr>
        <w:tab/>
      </w:r>
      <w:r w:rsidR="0070418B" w:rsidRPr="00C36B84">
        <w:rPr>
          <w:i/>
        </w:rPr>
        <w:t>d)</w:t>
      </w:r>
      <w:r w:rsidR="0070418B" w:rsidRPr="00C36B84">
        <w:rPr>
          <w:i/>
        </w:rPr>
        <w:tab/>
        <w:t>Tient compte du fait qu</w:t>
      </w:r>
      <w:r w:rsidR="00263978" w:rsidRPr="00C36B84">
        <w:rPr>
          <w:i/>
        </w:rPr>
        <w:t>’</w:t>
      </w:r>
      <w:r w:rsidR="0070418B" w:rsidRPr="00C36B84">
        <w:rPr>
          <w:i/>
        </w:rPr>
        <w:t>un abus intentionnel ne constitue pas en soi une raison suffisante pour inscrire un produit chimique à l</w:t>
      </w:r>
      <w:r w:rsidR="00263978" w:rsidRPr="00C36B84">
        <w:rPr>
          <w:i/>
        </w:rPr>
        <w:t>’</w:t>
      </w:r>
      <w:r w:rsidR="0070418B" w:rsidRPr="00C36B84">
        <w:rPr>
          <w:i/>
        </w:rPr>
        <w:t>Annexe III.</w:t>
      </w:r>
    </w:p>
    <w:p w14:paraId="63D0E210" w14:textId="107BDF70" w:rsidR="0070418B" w:rsidRPr="00C36B84" w:rsidRDefault="0070418B" w:rsidP="00AD11DC">
      <w:pPr>
        <w:pStyle w:val="Normalnumber"/>
        <w:numPr>
          <w:ilvl w:val="0"/>
          <w:numId w:val="8"/>
        </w:numPr>
        <w:rPr>
          <w:lang w:val="fr-FR"/>
        </w:rPr>
      </w:pPr>
      <w:r w:rsidRPr="00C36B84">
        <w:rPr>
          <w:lang w:val="fr-FR"/>
        </w:rPr>
        <w:t>Aucun élément de la notification n</w:t>
      </w:r>
      <w:r w:rsidR="00263978" w:rsidRPr="00C36B84">
        <w:rPr>
          <w:lang w:val="fr-FR"/>
        </w:rPr>
        <w:t>’</w:t>
      </w:r>
      <w:r w:rsidRPr="00C36B84">
        <w:rPr>
          <w:lang w:val="fr-FR"/>
        </w:rPr>
        <w:t>indique que la mesure de réglementation a été motivée par des préoccupations concernant un abus intentionnel.</w:t>
      </w:r>
    </w:p>
    <w:p w14:paraId="5FB35716" w14:textId="1C5288B6" w:rsidR="00F23195" w:rsidRPr="00C36B84" w:rsidRDefault="0070418B" w:rsidP="00AD11DC">
      <w:pPr>
        <w:pStyle w:val="Normalnumber"/>
        <w:numPr>
          <w:ilvl w:val="0"/>
          <w:numId w:val="8"/>
        </w:numPr>
        <w:rPr>
          <w:lang w:val="fr-FR"/>
        </w:rPr>
      </w:pPr>
      <w:r w:rsidRPr="00C36B84">
        <w:rPr>
          <w:lang w:val="fr-FR"/>
        </w:rPr>
        <w:t xml:space="preserve">Compte tenu des considérations </w:t>
      </w:r>
      <w:r w:rsidR="006F6FB2" w:rsidRPr="00C36B84">
        <w:rPr>
          <w:lang w:val="fr-FR"/>
        </w:rPr>
        <w:t>précédentes</w:t>
      </w:r>
      <w:r w:rsidRPr="00C36B84">
        <w:rPr>
          <w:lang w:val="fr-FR"/>
        </w:rPr>
        <w:t>, le Comité confirme que le critère énoncé au paragraphe d) de l</w:t>
      </w:r>
      <w:r w:rsidR="00263978" w:rsidRPr="00C36B84">
        <w:rPr>
          <w:lang w:val="fr-FR"/>
        </w:rPr>
        <w:t>’</w:t>
      </w:r>
      <w:r w:rsidRPr="00C36B84">
        <w:rPr>
          <w:lang w:val="fr-FR"/>
        </w:rPr>
        <w:t>Annexe II est rempli.</w:t>
      </w:r>
    </w:p>
    <w:p w14:paraId="6B79F893" w14:textId="555602B9" w:rsidR="0070418B" w:rsidRPr="00C36B84" w:rsidRDefault="0070418B" w:rsidP="007E7193">
      <w:pPr>
        <w:pStyle w:val="CH3"/>
        <w:rPr>
          <w:snapToGrid w:val="0"/>
        </w:rPr>
      </w:pPr>
      <w:r w:rsidRPr="00C36B84">
        <w:rPr>
          <w:snapToGrid w:val="0"/>
        </w:rPr>
        <w:tab/>
        <w:t>f)</w:t>
      </w:r>
      <w:r w:rsidRPr="00C36B84">
        <w:rPr>
          <w:snapToGrid w:val="0"/>
        </w:rPr>
        <w:tab/>
        <w:t>Conclusions</w:t>
      </w:r>
    </w:p>
    <w:p w14:paraId="4A4D54A5" w14:textId="0A77DA08" w:rsidR="00F23195" w:rsidRPr="00C36B84" w:rsidRDefault="0070418B" w:rsidP="00AD11DC">
      <w:pPr>
        <w:pStyle w:val="Normalnumber"/>
        <w:numPr>
          <w:ilvl w:val="0"/>
          <w:numId w:val="8"/>
        </w:numPr>
        <w:rPr>
          <w:lang w:val="fr-FR"/>
        </w:rPr>
      </w:pPr>
      <w:r w:rsidRPr="00C36B84">
        <w:rPr>
          <w:lang w:val="fr-FR"/>
        </w:rPr>
        <w:t xml:space="preserve">Le Comité conclut que la </w:t>
      </w:r>
      <w:r w:rsidR="009A49D0" w:rsidRPr="00C36B84">
        <w:rPr>
          <w:lang w:val="fr-FR"/>
        </w:rPr>
        <w:t>notification de mesure</w:t>
      </w:r>
      <w:r w:rsidRPr="00C36B84">
        <w:rPr>
          <w:lang w:val="fr-FR"/>
        </w:rPr>
        <w:t xml:space="preserve"> de réglementation finale </w:t>
      </w:r>
      <w:r w:rsidR="00326E4C" w:rsidRPr="00C36B84">
        <w:rPr>
          <w:lang w:val="fr-FR"/>
        </w:rPr>
        <w:t>présentée par</w:t>
      </w:r>
      <w:r w:rsidRPr="00C36B84">
        <w:rPr>
          <w:lang w:val="fr-FR"/>
        </w:rPr>
        <w:t xml:space="preserve"> le Canada satisfait aux critères énoncés dans l</w:t>
      </w:r>
      <w:r w:rsidR="00263978" w:rsidRPr="00C36B84">
        <w:rPr>
          <w:lang w:val="fr-FR"/>
        </w:rPr>
        <w:t>’</w:t>
      </w:r>
      <w:r w:rsidRPr="00C36B84">
        <w:rPr>
          <w:lang w:val="fr-FR"/>
        </w:rPr>
        <w:t>Annexe II de la Convention.</w:t>
      </w:r>
    </w:p>
    <w:p w14:paraId="1BEF46AB" w14:textId="7E20C5B3" w:rsidR="0070418B" w:rsidRPr="00C36B84" w:rsidRDefault="0070418B" w:rsidP="00955908">
      <w:pPr>
        <w:keepNext/>
        <w:keepLines/>
        <w:tabs>
          <w:tab w:val="right" w:pos="851"/>
          <w:tab w:val="left" w:pos="4082"/>
        </w:tabs>
        <w:spacing w:before="240" w:after="120"/>
        <w:ind w:left="1247" w:right="284" w:hanging="1247"/>
        <w:jc w:val="both"/>
        <w:rPr>
          <w:b/>
          <w:sz w:val="28"/>
          <w:szCs w:val="28"/>
        </w:rPr>
      </w:pPr>
      <w:r w:rsidRPr="00C36B84">
        <w:rPr>
          <w:b/>
          <w:sz w:val="28"/>
        </w:rPr>
        <w:lastRenderedPageBreak/>
        <w:tab/>
        <w:t>II.</w:t>
      </w:r>
      <w:r w:rsidRPr="00C36B84">
        <w:rPr>
          <w:b/>
          <w:sz w:val="28"/>
        </w:rPr>
        <w:tab/>
        <w:t>Mozambique</w:t>
      </w:r>
    </w:p>
    <w:p w14:paraId="4576CF75" w14:textId="77777777" w:rsidR="0070418B" w:rsidRPr="00C36B84" w:rsidRDefault="0070418B" w:rsidP="007E7193">
      <w:pPr>
        <w:pStyle w:val="CH3"/>
        <w:rPr>
          <w:snapToGrid w:val="0"/>
        </w:rPr>
      </w:pPr>
      <w:r w:rsidRPr="00C36B84">
        <w:rPr>
          <w:snapToGrid w:val="0"/>
        </w:rPr>
        <w:tab/>
        <w:t>a)</w:t>
      </w:r>
      <w:r w:rsidRPr="00C36B84">
        <w:rPr>
          <w:snapToGrid w:val="0"/>
        </w:rPr>
        <w:tab/>
        <w:t>Portée de la mesure de réglementation notifiée par le Mozambique</w:t>
      </w:r>
    </w:p>
    <w:p w14:paraId="7A01A453" w14:textId="75D03C35" w:rsidR="0070418B" w:rsidRPr="00C36B84" w:rsidRDefault="0070418B" w:rsidP="00AD11DC">
      <w:pPr>
        <w:pStyle w:val="Normalnumber"/>
        <w:numPr>
          <w:ilvl w:val="0"/>
          <w:numId w:val="8"/>
        </w:numPr>
        <w:rPr>
          <w:lang w:val="fr-FR"/>
        </w:rPr>
      </w:pPr>
      <w:r w:rsidRPr="00C36B84">
        <w:rPr>
          <w:lang w:val="fr-FR"/>
        </w:rPr>
        <w:t xml:space="preserve">La mesure de réglementation notifiée par le Mozambique concerne le </w:t>
      </w:r>
      <w:proofErr w:type="spellStart"/>
      <w:r w:rsidRPr="00C36B84">
        <w:rPr>
          <w:lang w:val="fr-FR"/>
        </w:rPr>
        <w:t>terbufos</w:t>
      </w:r>
      <w:proofErr w:type="spellEnd"/>
      <w:r w:rsidRPr="00C36B84">
        <w:rPr>
          <w:lang w:val="fr-FR"/>
        </w:rPr>
        <w:t xml:space="preserve"> (nº CAS </w:t>
      </w:r>
      <w:r w:rsidRPr="00C36B84">
        <w:rPr>
          <w:snapToGrid w:val="0"/>
          <w:lang w:val="fr-FR"/>
        </w:rPr>
        <w:t>13071</w:t>
      </w:r>
      <w:r w:rsidR="00D6688D" w:rsidRPr="00C36B84">
        <w:rPr>
          <w:snapToGrid w:val="0"/>
          <w:lang w:val="fr-FR"/>
        </w:rPr>
        <w:noBreakHyphen/>
      </w:r>
      <w:r w:rsidRPr="00C36B84">
        <w:rPr>
          <w:snapToGrid w:val="0"/>
          <w:lang w:val="fr-FR"/>
        </w:rPr>
        <w:t>79</w:t>
      </w:r>
      <w:r w:rsidR="00D6688D" w:rsidRPr="00C36B84">
        <w:rPr>
          <w:snapToGrid w:val="0"/>
          <w:lang w:val="fr-FR"/>
        </w:rPr>
        <w:noBreakHyphen/>
      </w:r>
      <w:r w:rsidRPr="00C36B84">
        <w:rPr>
          <w:snapToGrid w:val="0"/>
          <w:lang w:val="fr-FR"/>
        </w:rPr>
        <w:t>9</w:t>
      </w:r>
      <w:r w:rsidRPr="00C36B84">
        <w:rPr>
          <w:lang w:val="fr-FR"/>
        </w:rPr>
        <w:t>) en tant que pesticide. Avant l</w:t>
      </w:r>
      <w:r w:rsidR="00263978" w:rsidRPr="00C36B84">
        <w:rPr>
          <w:lang w:val="fr-FR"/>
        </w:rPr>
        <w:t>’</w:t>
      </w:r>
      <w:r w:rsidRPr="00C36B84">
        <w:rPr>
          <w:lang w:val="fr-FR"/>
        </w:rPr>
        <w:t xml:space="preserve">entrée en vigueur de la mesure de réglementation finale, le </w:t>
      </w:r>
      <w:proofErr w:type="spellStart"/>
      <w:r w:rsidRPr="00C36B84">
        <w:rPr>
          <w:lang w:val="fr-FR"/>
        </w:rPr>
        <w:t>terbufos</w:t>
      </w:r>
      <w:proofErr w:type="spellEnd"/>
      <w:r w:rsidRPr="00C36B84">
        <w:rPr>
          <w:lang w:val="fr-FR"/>
        </w:rPr>
        <w:t xml:space="preserve"> était homologué au Mozambique en tant qu</w:t>
      </w:r>
      <w:r w:rsidR="00263978" w:rsidRPr="00C36B84">
        <w:rPr>
          <w:lang w:val="fr-FR"/>
        </w:rPr>
        <w:t>’</w:t>
      </w:r>
      <w:r w:rsidRPr="00C36B84">
        <w:rPr>
          <w:lang w:val="fr-FR"/>
        </w:rPr>
        <w:t>insecticide destiné à être utilisé sur le</w:t>
      </w:r>
      <w:r w:rsidR="00D6688D" w:rsidRPr="00C36B84">
        <w:rPr>
          <w:lang w:val="fr-FR"/>
        </w:rPr>
        <w:t> </w:t>
      </w:r>
      <w:r w:rsidRPr="00C36B84">
        <w:rPr>
          <w:lang w:val="fr-FR"/>
        </w:rPr>
        <w:t>maïs, le sorgho, la pomme de terre et les haricots (UNEP/FAO/RC/CRC.17/8/Rev.1, section</w:t>
      </w:r>
      <w:r w:rsidR="00D6688D" w:rsidRPr="00C36B84">
        <w:rPr>
          <w:lang w:val="fr-FR"/>
        </w:rPr>
        <w:t> </w:t>
      </w:r>
      <w:r w:rsidRPr="00C36B84">
        <w:rPr>
          <w:lang w:val="fr-FR"/>
        </w:rPr>
        <w:t xml:space="preserve">2.3.1 de la </w:t>
      </w:r>
      <w:r w:rsidR="009A49D0" w:rsidRPr="00C36B84">
        <w:rPr>
          <w:lang w:val="fr-FR"/>
        </w:rPr>
        <w:t>notification reçue d</w:t>
      </w:r>
      <w:r w:rsidRPr="00C36B84">
        <w:rPr>
          <w:lang w:val="fr-FR"/>
        </w:rPr>
        <w:t>u Mozambique).</w:t>
      </w:r>
    </w:p>
    <w:p w14:paraId="2C0A08C7" w14:textId="1E7A0554" w:rsidR="0070418B" w:rsidRPr="00C36B84" w:rsidRDefault="0070418B" w:rsidP="00AD11DC">
      <w:pPr>
        <w:pStyle w:val="Normalnumber"/>
        <w:numPr>
          <w:ilvl w:val="0"/>
          <w:numId w:val="8"/>
        </w:numPr>
        <w:rPr>
          <w:lang w:val="fr-FR"/>
        </w:rPr>
      </w:pPr>
      <w:r w:rsidRPr="00C36B84">
        <w:rPr>
          <w:lang w:val="fr-FR"/>
        </w:rPr>
        <w:t>La Direction nationale des services agraires, par sa décision 001/DNSA/2014, a interdit la</w:t>
      </w:r>
      <w:r w:rsidR="00D6688D" w:rsidRPr="00C36B84">
        <w:rPr>
          <w:lang w:val="fr-FR"/>
        </w:rPr>
        <w:t> </w:t>
      </w:r>
      <w:r w:rsidRPr="00C36B84">
        <w:rPr>
          <w:lang w:val="fr-FR"/>
        </w:rPr>
        <w:t>poursuite de l</w:t>
      </w:r>
      <w:r w:rsidR="00263978" w:rsidRPr="00C36B84">
        <w:rPr>
          <w:lang w:val="fr-FR"/>
        </w:rPr>
        <w:t>’</w:t>
      </w:r>
      <w:r w:rsidRPr="00C36B84">
        <w:rPr>
          <w:lang w:val="fr-FR"/>
        </w:rPr>
        <w:t>importation et de l</w:t>
      </w:r>
      <w:r w:rsidR="00263978" w:rsidRPr="00C36B84">
        <w:rPr>
          <w:lang w:val="fr-FR"/>
        </w:rPr>
        <w:t>’</w:t>
      </w:r>
      <w:r w:rsidRPr="00C36B84">
        <w:rPr>
          <w:lang w:val="fr-FR"/>
        </w:rPr>
        <w:t xml:space="preserve">utilisation du </w:t>
      </w:r>
      <w:proofErr w:type="spellStart"/>
      <w:r w:rsidRPr="00C36B84">
        <w:rPr>
          <w:lang w:val="fr-FR"/>
        </w:rPr>
        <w:t>terbufos</w:t>
      </w:r>
      <w:proofErr w:type="spellEnd"/>
      <w:r w:rsidRPr="00C36B84">
        <w:rPr>
          <w:lang w:val="fr-FR"/>
        </w:rPr>
        <w:t xml:space="preserve"> au Mozambique. La mesure de réglementation est entrée en vigueur le 15 juillet 2014. L</w:t>
      </w:r>
      <w:r w:rsidR="00263978" w:rsidRPr="00C36B84">
        <w:rPr>
          <w:lang w:val="fr-FR"/>
        </w:rPr>
        <w:t>’</w:t>
      </w:r>
      <w:r w:rsidRPr="00C36B84">
        <w:rPr>
          <w:lang w:val="fr-FR"/>
        </w:rPr>
        <w:t>interdiction de toute utilisation et l</w:t>
      </w:r>
      <w:r w:rsidR="00263978" w:rsidRPr="00C36B84">
        <w:rPr>
          <w:lang w:val="fr-FR"/>
        </w:rPr>
        <w:t>’</w:t>
      </w:r>
      <w:r w:rsidRPr="00C36B84">
        <w:rPr>
          <w:lang w:val="fr-FR"/>
        </w:rPr>
        <w:t>annulation de l</w:t>
      </w:r>
      <w:r w:rsidR="00263978" w:rsidRPr="00C36B84">
        <w:rPr>
          <w:lang w:val="fr-FR"/>
        </w:rPr>
        <w:t>’</w:t>
      </w:r>
      <w:r w:rsidRPr="00C36B84">
        <w:rPr>
          <w:lang w:val="fr-FR"/>
        </w:rPr>
        <w:t xml:space="preserve">homologation des produits contenant du </w:t>
      </w:r>
      <w:proofErr w:type="spellStart"/>
      <w:r w:rsidRPr="00C36B84">
        <w:rPr>
          <w:lang w:val="fr-FR"/>
        </w:rPr>
        <w:t>terbufos</w:t>
      </w:r>
      <w:proofErr w:type="spellEnd"/>
      <w:r w:rsidRPr="00C36B84">
        <w:rPr>
          <w:lang w:val="fr-FR"/>
        </w:rPr>
        <w:t xml:space="preserve"> dans le pays ont été décidées en</w:t>
      </w:r>
      <w:r w:rsidR="00D6688D" w:rsidRPr="00C36B84">
        <w:rPr>
          <w:lang w:val="fr-FR"/>
        </w:rPr>
        <w:t> </w:t>
      </w:r>
      <w:r w:rsidRPr="00C36B84">
        <w:rPr>
          <w:lang w:val="fr-FR"/>
        </w:rPr>
        <w:t>raison de la toxicité et des propriétés dangereuses de cette substance active qui, conjuguées à sa</w:t>
      </w:r>
      <w:r w:rsidR="00D6688D" w:rsidRPr="00C36B84">
        <w:rPr>
          <w:lang w:val="fr-FR"/>
        </w:rPr>
        <w:t> </w:t>
      </w:r>
      <w:r w:rsidRPr="00C36B84">
        <w:rPr>
          <w:lang w:val="fr-FR"/>
        </w:rPr>
        <w:t>mauvaise utilisation dans le pays du fait des conditions d</w:t>
      </w:r>
      <w:r w:rsidR="00263978" w:rsidRPr="00C36B84">
        <w:rPr>
          <w:lang w:val="fr-FR"/>
        </w:rPr>
        <w:t>’</w:t>
      </w:r>
      <w:r w:rsidRPr="00C36B84">
        <w:rPr>
          <w:lang w:val="fr-FR"/>
        </w:rPr>
        <w:t>utilisation particulières au niveau local, peuvent nuire à la santé humaine et animale.</w:t>
      </w:r>
    </w:p>
    <w:p w14:paraId="17FF8141" w14:textId="746052E4" w:rsidR="0070418B" w:rsidRPr="00C36B84" w:rsidRDefault="0070418B" w:rsidP="00AD11DC">
      <w:pPr>
        <w:pStyle w:val="Normalnumber"/>
        <w:numPr>
          <w:ilvl w:val="0"/>
          <w:numId w:val="8"/>
        </w:numPr>
        <w:rPr>
          <w:lang w:val="fr-FR"/>
        </w:rPr>
      </w:pPr>
      <w:r w:rsidRPr="00C36B84">
        <w:rPr>
          <w:lang w:val="fr-FR"/>
        </w:rPr>
        <w:t>La décision d</w:t>
      </w:r>
      <w:r w:rsidR="00263978" w:rsidRPr="00C36B84">
        <w:rPr>
          <w:lang w:val="fr-FR"/>
        </w:rPr>
        <w:t>’</w:t>
      </w:r>
      <w:r w:rsidRPr="00C36B84">
        <w:rPr>
          <w:lang w:val="fr-FR"/>
        </w:rPr>
        <w:t>interdire l</w:t>
      </w:r>
      <w:r w:rsidR="00263978" w:rsidRPr="00C36B84">
        <w:rPr>
          <w:lang w:val="fr-FR"/>
        </w:rPr>
        <w:t>’</w:t>
      </w:r>
      <w:r w:rsidRPr="00C36B84">
        <w:rPr>
          <w:lang w:val="fr-FR"/>
        </w:rPr>
        <w:t xml:space="preserve">homologation du </w:t>
      </w:r>
      <w:proofErr w:type="spellStart"/>
      <w:r w:rsidRPr="00C36B84">
        <w:rPr>
          <w:lang w:val="fr-FR"/>
        </w:rPr>
        <w:t>terbufos</w:t>
      </w:r>
      <w:proofErr w:type="spellEnd"/>
      <w:r w:rsidRPr="00C36B84">
        <w:rPr>
          <w:lang w:val="fr-FR"/>
        </w:rPr>
        <w:t xml:space="preserve"> constituait la dernière étape du projet </w:t>
      </w:r>
      <w:r w:rsidR="000510AD" w:rsidRPr="00C36B84">
        <w:rPr>
          <w:lang w:val="fr-FR"/>
        </w:rPr>
        <w:t>de réduction des risques présentés par les pesticides très dangereux</w:t>
      </w:r>
      <w:r w:rsidRPr="00C36B84">
        <w:rPr>
          <w:lang w:val="fr-FR"/>
        </w:rPr>
        <w:t>, qui a permis de recenser les</w:t>
      </w:r>
      <w:r w:rsidR="00D6688D" w:rsidRPr="00C36B84">
        <w:rPr>
          <w:lang w:val="fr-FR"/>
        </w:rPr>
        <w:t> </w:t>
      </w:r>
      <w:r w:rsidRPr="00C36B84">
        <w:rPr>
          <w:lang w:val="fr-FR"/>
        </w:rPr>
        <w:t xml:space="preserve">pesticides très dangereux et autres homologués </w:t>
      </w:r>
      <w:r w:rsidR="000510AD" w:rsidRPr="00C36B84">
        <w:rPr>
          <w:lang w:val="fr-FR"/>
        </w:rPr>
        <w:t>dans le pays</w:t>
      </w:r>
      <w:r w:rsidRPr="00C36B84">
        <w:rPr>
          <w:lang w:val="fr-FR"/>
        </w:rPr>
        <w:t>. À l</w:t>
      </w:r>
      <w:r w:rsidR="00263978" w:rsidRPr="00C36B84">
        <w:rPr>
          <w:lang w:val="fr-FR"/>
        </w:rPr>
        <w:t>’</w:t>
      </w:r>
      <w:r w:rsidRPr="00C36B84">
        <w:rPr>
          <w:lang w:val="fr-FR"/>
        </w:rPr>
        <w:t>issue de consultations avec différents acteurs (secteur public, secteur privé, société civile et autres), l</w:t>
      </w:r>
      <w:r w:rsidR="00263978" w:rsidRPr="00C36B84">
        <w:rPr>
          <w:lang w:val="fr-FR"/>
        </w:rPr>
        <w:t>’</w:t>
      </w:r>
      <w:r w:rsidRPr="00C36B84">
        <w:rPr>
          <w:lang w:val="fr-FR"/>
        </w:rPr>
        <w:t>annulation des</w:t>
      </w:r>
      <w:r w:rsidR="00D6688D" w:rsidRPr="00C36B84">
        <w:rPr>
          <w:lang w:val="fr-FR"/>
        </w:rPr>
        <w:t> </w:t>
      </w:r>
      <w:r w:rsidRPr="00C36B84">
        <w:rPr>
          <w:lang w:val="fr-FR"/>
        </w:rPr>
        <w:t>homologations et, partant, l</w:t>
      </w:r>
      <w:r w:rsidR="00263978" w:rsidRPr="00C36B84">
        <w:rPr>
          <w:lang w:val="fr-FR"/>
        </w:rPr>
        <w:t>’</w:t>
      </w:r>
      <w:r w:rsidRPr="00C36B84">
        <w:rPr>
          <w:lang w:val="fr-FR"/>
        </w:rPr>
        <w:t>interdiction et la non-approbation de son utilisation au Mozambique ont été approuvées (UNEP/FAO/RC/CRC.17/8/Rev.1, sections</w:t>
      </w:r>
      <w:r w:rsidR="00D6688D" w:rsidRPr="00C36B84">
        <w:rPr>
          <w:lang w:val="fr-FR"/>
        </w:rPr>
        <w:t> </w:t>
      </w:r>
      <w:r w:rsidRPr="00C36B84">
        <w:rPr>
          <w:lang w:val="fr-FR"/>
        </w:rPr>
        <w:t xml:space="preserve">2.2.1 et 2.2.3 de la </w:t>
      </w:r>
      <w:r w:rsidR="009A49D0" w:rsidRPr="00C36B84">
        <w:rPr>
          <w:lang w:val="fr-FR"/>
        </w:rPr>
        <w:t>notification reçue d</w:t>
      </w:r>
      <w:r w:rsidRPr="00C36B84">
        <w:rPr>
          <w:lang w:val="fr-FR"/>
        </w:rPr>
        <w:t>u Mozambique).</w:t>
      </w:r>
    </w:p>
    <w:p w14:paraId="400E4E9D" w14:textId="7DE22A20" w:rsidR="0070418B" w:rsidRPr="00C36B84" w:rsidRDefault="0070418B" w:rsidP="00AD11DC">
      <w:pPr>
        <w:pStyle w:val="Normalnumber"/>
        <w:numPr>
          <w:ilvl w:val="0"/>
          <w:numId w:val="8"/>
        </w:numPr>
        <w:rPr>
          <w:lang w:val="fr-FR"/>
        </w:rPr>
      </w:pPr>
      <w:r w:rsidRPr="00C36B84">
        <w:rPr>
          <w:lang w:val="fr-FR"/>
        </w:rPr>
        <w:t>La</w:t>
      </w:r>
      <w:r w:rsidRPr="00C36B84">
        <w:rPr>
          <w:snapToGrid w:val="0"/>
          <w:lang w:val="fr-FR"/>
        </w:rPr>
        <w:t xml:space="preserve"> notification contient les informations demandées dans l</w:t>
      </w:r>
      <w:r w:rsidR="00263978" w:rsidRPr="00C36B84">
        <w:rPr>
          <w:snapToGrid w:val="0"/>
          <w:lang w:val="fr-FR"/>
        </w:rPr>
        <w:t>’</w:t>
      </w:r>
      <w:r w:rsidRPr="00C36B84">
        <w:rPr>
          <w:snapToGrid w:val="0"/>
          <w:lang w:val="fr-FR"/>
        </w:rPr>
        <w:t>Annexe I.</w:t>
      </w:r>
    </w:p>
    <w:p w14:paraId="7FEAB91E" w14:textId="395D5B25" w:rsidR="0070418B" w:rsidRPr="00C36B84" w:rsidRDefault="0070418B" w:rsidP="007E7193">
      <w:pPr>
        <w:pStyle w:val="CH3"/>
        <w:rPr>
          <w:snapToGrid w:val="0"/>
        </w:rPr>
      </w:pPr>
      <w:r w:rsidRPr="00C36B84">
        <w:rPr>
          <w:snapToGrid w:val="0"/>
        </w:rPr>
        <w:tab/>
        <w:t>b)</w:t>
      </w:r>
      <w:r w:rsidRPr="00C36B84">
        <w:rPr>
          <w:snapToGrid w:val="0"/>
        </w:rPr>
        <w:tab/>
        <w:t>Critère énoncé au paragraphe a) de l</w:t>
      </w:r>
      <w:r w:rsidR="00263978" w:rsidRPr="00C36B84">
        <w:rPr>
          <w:snapToGrid w:val="0"/>
        </w:rPr>
        <w:t>’</w:t>
      </w:r>
      <w:r w:rsidRPr="00C36B84">
        <w:rPr>
          <w:snapToGrid w:val="0"/>
        </w:rPr>
        <w:t>Annexe II</w:t>
      </w:r>
    </w:p>
    <w:p w14:paraId="6ACCBD2A" w14:textId="28DB04D8" w:rsidR="0070418B" w:rsidRPr="00C36B84" w:rsidRDefault="007E7193" w:rsidP="007E7193">
      <w:pPr>
        <w:pStyle w:val="NormalNonumber"/>
        <w:rPr>
          <w:i/>
        </w:rPr>
      </w:pPr>
      <w:r w:rsidRPr="00C36B84">
        <w:rPr>
          <w:i/>
        </w:rPr>
        <w:tab/>
      </w:r>
      <w:r w:rsidR="0070418B" w:rsidRPr="00C36B84">
        <w:rPr>
          <w:i/>
        </w:rPr>
        <w:t>a)</w:t>
      </w:r>
      <w:r w:rsidR="0070418B" w:rsidRPr="00C36B84">
        <w:rPr>
          <w:i/>
        </w:rPr>
        <w:tab/>
        <w:t>Confirme que la mesure de réglementation finale a été prise pour protéger la santé humaine ou l</w:t>
      </w:r>
      <w:r w:rsidR="00263978" w:rsidRPr="00C36B84">
        <w:rPr>
          <w:i/>
        </w:rPr>
        <w:t>’</w:t>
      </w:r>
      <w:r w:rsidR="0070418B" w:rsidRPr="00C36B84">
        <w:rPr>
          <w:i/>
        </w:rPr>
        <w:t>environnement ;</w:t>
      </w:r>
    </w:p>
    <w:p w14:paraId="2569A4D0" w14:textId="709C0FF3" w:rsidR="00F23195" w:rsidRPr="00C36B84" w:rsidRDefault="0070418B" w:rsidP="00AD11DC">
      <w:pPr>
        <w:pStyle w:val="Normalnumber"/>
        <w:numPr>
          <w:ilvl w:val="0"/>
          <w:numId w:val="8"/>
        </w:numPr>
        <w:rPr>
          <w:lang w:val="fr-FR"/>
        </w:rPr>
      </w:pPr>
      <w:r w:rsidRPr="00C36B84">
        <w:rPr>
          <w:lang w:val="fr-FR"/>
        </w:rPr>
        <w:t xml:space="preserve">Le Comité confirme que la mesure de réglementation a été prise pour réduire les risques que présente le </w:t>
      </w:r>
      <w:proofErr w:type="spellStart"/>
      <w:r w:rsidRPr="00C36B84">
        <w:rPr>
          <w:lang w:val="fr-FR"/>
        </w:rPr>
        <w:t>terbufos</w:t>
      </w:r>
      <w:proofErr w:type="spellEnd"/>
      <w:r w:rsidRPr="00C36B84">
        <w:rPr>
          <w:lang w:val="fr-FR"/>
        </w:rPr>
        <w:t xml:space="preserve"> pour la santé humaine (</w:t>
      </w:r>
      <w:bookmarkStart w:id="2" w:name="_Hlk82547114"/>
      <w:r w:rsidRPr="00C36B84">
        <w:rPr>
          <w:lang w:val="fr-FR"/>
        </w:rPr>
        <w:t>UNEP/FAO/RC/CRC.17/8/Rev.1, section</w:t>
      </w:r>
      <w:r w:rsidR="00DF6DC7">
        <w:rPr>
          <w:lang w:val="fr-FR"/>
        </w:rPr>
        <w:t> </w:t>
      </w:r>
      <w:r w:rsidRPr="00C36B84">
        <w:rPr>
          <w:lang w:val="fr-FR"/>
        </w:rPr>
        <w:t>2.4.2.1 de la</w:t>
      </w:r>
      <w:r w:rsidR="00D6688D" w:rsidRPr="00C36B84">
        <w:rPr>
          <w:lang w:val="fr-FR"/>
        </w:rPr>
        <w:t> </w:t>
      </w:r>
      <w:r w:rsidR="009A49D0" w:rsidRPr="00C36B84">
        <w:rPr>
          <w:lang w:val="fr-FR"/>
        </w:rPr>
        <w:t>notification reçue d</w:t>
      </w:r>
      <w:r w:rsidRPr="00C36B84">
        <w:rPr>
          <w:lang w:val="fr-FR"/>
        </w:rPr>
        <w:t>u Mozambique</w:t>
      </w:r>
      <w:bookmarkEnd w:id="2"/>
      <w:r w:rsidRPr="00C36B84">
        <w:rPr>
          <w:lang w:val="fr-FR"/>
        </w:rPr>
        <w:t>).</w:t>
      </w:r>
    </w:p>
    <w:p w14:paraId="52333422" w14:textId="6BAD3CF3" w:rsidR="0070418B" w:rsidRPr="00C36B84" w:rsidRDefault="0070418B" w:rsidP="00AD11DC">
      <w:pPr>
        <w:pStyle w:val="Normalnumber"/>
        <w:numPr>
          <w:ilvl w:val="0"/>
          <w:numId w:val="8"/>
        </w:numPr>
        <w:rPr>
          <w:lang w:val="fr-FR"/>
        </w:rPr>
      </w:pPr>
      <w:r w:rsidRPr="00C36B84">
        <w:rPr>
          <w:lang w:val="fr-FR"/>
        </w:rPr>
        <w:t>La notification indique que l</w:t>
      </w:r>
      <w:r w:rsidR="00263978" w:rsidRPr="00C36B84">
        <w:rPr>
          <w:lang w:val="fr-FR"/>
        </w:rPr>
        <w:t>’</w:t>
      </w:r>
      <w:r w:rsidRPr="00C36B84">
        <w:rPr>
          <w:lang w:val="fr-FR"/>
        </w:rPr>
        <w:t>interdiction de toute utilisation et l</w:t>
      </w:r>
      <w:r w:rsidR="00263978" w:rsidRPr="00C36B84">
        <w:rPr>
          <w:lang w:val="fr-FR"/>
        </w:rPr>
        <w:t>’</w:t>
      </w:r>
      <w:r w:rsidRPr="00C36B84">
        <w:rPr>
          <w:lang w:val="fr-FR"/>
        </w:rPr>
        <w:t>annulation de l</w:t>
      </w:r>
      <w:r w:rsidR="00263978" w:rsidRPr="00C36B84">
        <w:rPr>
          <w:lang w:val="fr-FR"/>
        </w:rPr>
        <w:t>’</w:t>
      </w:r>
      <w:r w:rsidRPr="00C36B84">
        <w:rPr>
          <w:lang w:val="fr-FR"/>
        </w:rPr>
        <w:t xml:space="preserve">homologation des produits contenant du </w:t>
      </w:r>
      <w:proofErr w:type="spellStart"/>
      <w:r w:rsidRPr="00C36B84">
        <w:rPr>
          <w:lang w:val="fr-FR"/>
        </w:rPr>
        <w:t>terbufos</w:t>
      </w:r>
      <w:proofErr w:type="spellEnd"/>
      <w:r w:rsidRPr="00C36B84">
        <w:rPr>
          <w:lang w:val="fr-FR"/>
        </w:rPr>
        <w:t xml:space="preserve"> au Mozambique ont été décidées en raison de la toxicité et des</w:t>
      </w:r>
      <w:r w:rsidR="00D6688D" w:rsidRPr="00C36B84">
        <w:rPr>
          <w:lang w:val="fr-FR"/>
        </w:rPr>
        <w:t> </w:t>
      </w:r>
      <w:r w:rsidRPr="00C36B84">
        <w:rPr>
          <w:lang w:val="fr-FR"/>
        </w:rPr>
        <w:t>propriétés dangereuses de cette substance qui, conjuguées à sa mauvaise utilisation dans le pays du</w:t>
      </w:r>
      <w:r w:rsidR="00D6688D" w:rsidRPr="00C36B84">
        <w:rPr>
          <w:lang w:val="fr-FR"/>
        </w:rPr>
        <w:t> </w:t>
      </w:r>
      <w:r w:rsidRPr="00C36B84">
        <w:rPr>
          <w:lang w:val="fr-FR"/>
        </w:rPr>
        <w:t>fait des conditions d</w:t>
      </w:r>
      <w:r w:rsidR="00263978" w:rsidRPr="00C36B84">
        <w:rPr>
          <w:lang w:val="fr-FR"/>
        </w:rPr>
        <w:t>’</w:t>
      </w:r>
      <w:r w:rsidRPr="00C36B84">
        <w:rPr>
          <w:lang w:val="fr-FR"/>
        </w:rPr>
        <w:t>utilisation particulières au niveau local, peuvent nuire à la santé humaine et</w:t>
      </w:r>
      <w:r w:rsidR="00D6688D" w:rsidRPr="00C36B84">
        <w:rPr>
          <w:lang w:val="fr-FR"/>
        </w:rPr>
        <w:t> </w:t>
      </w:r>
      <w:r w:rsidRPr="00C36B84">
        <w:rPr>
          <w:lang w:val="fr-FR"/>
        </w:rPr>
        <w:t>animale.</w:t>
      </w:r>
    </w:p>
    <w:p w14:paraId="1163D884" w14:textId="0311019C" w:rsidR="0070418B" w:rsidRPr="00C36B84" w:rsidRDefault="0070418B" w:rsidP="00AD11DC">
      <w:pPr>
        <w:pStyle w:val="Normalnumber"/>
        <w:numPr>
          <w:ilvl w:val="0"/>
          <w:numId w:val="8"/>
        </w:numPr>
        <w:rPr>
          <w:rFonts w:eastAsia="MS Mincho"/>
          <w:iCs/>
          <w:lang w:val="fr-FR"/>
        </w:rPr>
      </w:pPr>
      <w:r w:rsidRPr="00C36B84">
        <w:rPr>
          <w:lang w:val="fr-FR"/>
        </w:rPr>
        <w:t>La notification fait référence à un rapport d</w:t>
      </w:r>
      <w:r w:rsidR="00263978" w:rsidRPr="00C36B84">
        <w:rPr>
          <w:lang w:val="fr-FR"/>
        </w:rPr>
        <w:t>’</w:t>
      </w:r>
      <w:r w:rsidRPr="00C36B84">
        <w:rPr>
          <w:lang w:val="fr-FR"/>
        </w:rPr>
        <w:t>expertise établi par des consultants, intitulé « </w:t>
      </w:r>
      <w:proofErr w:type="spellStart"/>
      <w:r w:rsidRPr="00C36B84">
        <w:rPr>
          <w:lang w:val="fr-FR"/>
        </w:rPr>
        <w:t>Reducing</w:t>
      </w:r>
      <w:proofErr w:type="spellEnd"/>
      <w:r w:rsidRPr="00C36B84">
        <w:rPr>
          <w:lang w:val="fr-FR"/>
        </w:rPr>
        <w:t xml:space="preserve"> Risks of </w:t>
      </w:r>
      <w:proofErr w:type="spellStart"/>
      <w:r w:rsidRPr="00C36B84">
        <w:rPr>
          <w:lang w:val="fr-FR"/>
        </w:rPr>
        <w:t>Highly</w:t>
      </w:r>
      <w:proofErr w:type="spellEnd"/>
      <w:r w:rsidRPr="00C36B84">
        <w:rPr>
          <w:lang w:val="fr-FR"/>
        </w:rPr>
        <w:t xml:space="preserve"> </w:t>
      </w:r>
      <w:proofErr w:type="spellStart"/>
      <w:r w:rsidRPr="00C36B84">
        <w:rPr>
          <w:lang w:val="fr-FR"/>
        </w:rPr>
        <w:t>Hazardous</w:t>
      </w:r>
      <w:proofErr w:type="spellEnd"/>
      <w:r w:rsidRPr="00C36B84">
        <w:rPr>
          <w:lang w:val="fr-FR"/>
        </w:rPr>
        <w:t xml:space="preserve"> Pesticides in </w:t>
      </w:r>
      <w:proofErr w:type="gramStart"/>
      <w:r w:rsidRPr="00C36B84">
        <w:rPr>
          <w:lang w:val="fr-FR"/>
        </w:rPr>
        <w:t>Mozambique:</w:t>
      </w:r>
      <w:proofErr w:type="gramEnd"/>
      <w:r w:rsidRPr="00C36B84">
        <w:rPr>
          <w:lang w:val="fr-FR"/>
        </w:rPr>
        <w:t xml:space="preserve"> </w:t>
      </w:r>
      <w:proofErr w:type="spellStart"/>
      <w:r w:rsidRPr="00C36B84">
        <w:rPr>
          <w:lang w:val="fr-FR"/>
        </w:rPr>
        <w:t>Step</w:t>
      </w:r>
      <w:proofErr w:type="spellEnd"/>
      <w:r w:rsidRPr="00C36B84">
        <w:rPr>
          <w:lang w:val="fr-FR"/>
        </w:rPr>
        <w:t> 1 – </w:t>
      </w:r>
      <w:proofErr w:type="spellStart"/>
      <w:r w:rsidRPr="00C36B84">
        <w:rPr>
          <w:lang w:val="fr-FR"/>
        </w:rPr>
        <w:t>Shortlisting</w:t>
      </w:r>
      <w:proofErr w:type="spellEnd"/>
      <w:r w:rsidRPr="00C36B84">
        <w:rPr>
          <w:lang w:val="fr-FR"/>
        </w:rPr>
        <w:t xml:space="preserve"> </w:t>
      </w:r>
      <w:proofErr w:type="spellStart"/>
      <w:r w:rsidRPr="00C36B84">
        <w:rPr>
          <w:lang w:val="fr-FR"/>
        </w:rPr>
        <w:t>highly</w:t>
      </w:r>
      <w:proofErr w:type="spellEnd"/>
      <w:r w:rsidRPr="00C36B84">
        <w:rPr>
          <w:lang w:val="fr-FR"/>
        </w:rPr>
        <w:t xml:space="preserve"> </w:t>
      </w:r>
      <w:proofErr w:type="spellStart"/>
      <w:r w:rsidRPr="00C36B84">
        <w:rPr>
          <w:lang w:val="fr-FR"/>
        </w:rPr>
        <w:t>hazardous</w:t>
      </w:r>
      <w:proofErr w:type="spellEnd"/>
      <w:r w:rsidRPr="00C36B84">
        <w:rPr>
          <w:lang w:val="fr-FR"/>
        </w:rPr>
        <w:t xml:space="preserve"> pesticides » (</w:t>
      </w:r>
      <w:r w:rsidR="00FB4F20" w:rsidRPr="00C36B84">
        <w:rPr>
          <w:lang w:val="fr-FR"/>
        </w:rPr>
        <w:t>Come</w:t>
      </w:r>
      <w:r w:rsidRPr="00C36B84">
        <w:rPr>
          <w:lang w:val="fr-FR"/>
        </w:rPr>
        <w:t xml:space="preserve"> et van der </w:t>
      </w:r>
      <w:proofErr w:type="spellStart"/>
      <w:r w:rsidRPr="00C36B84">
        <w:rPr>
          <w:lang w:val="fr-FR"/>
        </w:rPr>
        <w:t>Valk</w:t>
      </w:r>
      <w:proofErr w:type="spellEnd"/>
      <w:r w:rsidR="00FB4F20" w:rsidRPr="00C36B84">
        <w:rPr>
          <w:lang w:val="fr-FR"/>
        </w:rPr>
        <w:t>,</w:t>
      </w:r>
      <w:r w:rsidRPr="00C36B84">
        <w:rPr>
          <w:lang w:val="fr-FR"/>
        </w:rPr>
        <w:t xml:space="preserve"> 2014), dans lequel les formulations du </w:t>
      </w:r>
      <w:proofErr w:type="spellStart"/>
      <w:r w:rsidRPr="00C36B84">
        <w:rPr>
          <w:lang w:val="fr-FR"/>
        </w:rPr>
        <w:t>terbufos</w:t>
      </w:r>
      <w:proofErr w:type="spellEnd"/>
      <w:r w:rsidRPr="00C36B84">
        <w:rPr>
          <w:lang w:val="fr-FR"/>
        </w:rPr>
        <w:t xml:space="preserve"> ont été classées comme extrêmement dangereuses (classe Ia) selon les critères de la </w:t>
      </w:r>
      <w:r w:rsidR="009B3FEC" w:rsidRPr="00C36B84">
        <w:rPr>
          <w:lang w:val="fr-FR"/>
        </w:rPr>
        <w:t>JMPM</w:t>
      </w:r>
      <w:r w:rsidRPr="00C36B84">
        <w:rPr>
          <w:lang w:val="fr-FR"/>
        </w:rPr>
        <w:t xml:space="preserve"> relatifs aux</w:t>
      </w:r>
      <w:r w:rsidR="00D6688D" w:rsidRPr="00C36B84">
        <w:rPr>
          <w:lang w:val="fr-FR"/>
        </w:rPr>
        <w:t> </w:t>
      </w:r>
      <w:r w:rsidRPr="00C36B84">
        <w:rPr>
          <w:lang w:val="fr-FR"/>
        </w:rPr>
        <w:t xml:space="preserve">pesticides très dangereux, établis sur la base de la </w:t>
      </w:r>
      <w:r w:rsidR="000510AD" w:rsidRPr="00C36B84">
        <w:rPr>
          <w:lang w:val="fr-FR"/>
        </w:rPr>
        <w:t>Classification des pesticides par risque recommandée par l</w:t>
      </w:r>
      <w:r w:rsidR="00263978" w:rsidRPr="00C36B84">
        <w:rPr>
          <w:lang w:val="fr-FR"/>
        </w:rPr>
        <w:t>’</w:t>
      </w:r>
      <w:r w:rsidR="000510AD" w:rsidRPr="00C36B84">
        <w:rPr>
          <w:lang w:val="fr-FR"/>
        </w:rPr>
        <w:t>OMS</w:t>
      </w:r>
      <w:r w:rsidRPr="00C36B84">
        <w:rPr>
          <w:lang w:val="fr-FR"/>
        </w:rPr>
        <w:t>.</w:t>
      </w:r>
    </w:p>
    <w:p w14:paraId="3E760377" w14:textId="3E778022" w:rsidR="0070418B" w:rsidRPr="00C36B84" w:rsidRDefault="0070418B" w:rsidP="00AD11DC">
      <w:pPr>
        <w:pStyle w:val="Normalnumber"/>
        <w:numPr>
          <w:ilvl w:val="0"/>
          <w:numId w:val="8"/>
        </w:numPr>
        <w:rPr>
          <w:rFonts w:eastAsia="MS Mincho"/>
          <w:iCs/>
          <w:lang w:val="fr-FR"/>
        </w:rPr>
      </w:pPr>
      <w:r w:rsidRPr="00C36B84">
        <w:rPr>
          <w:lang w:val="fr-FR"/>
        </w:rPr>
        <w:t>Les résultats d</w:t>
      </w:r>
      <w:r w:rsidR="00263978" w:rsidRPr="00C36B84">
        <w:rPr>
          <w:lang w:val="fr-FR"/>
        </w:rPr>
        <w:t>’</w:t>
      </w:r>
      <w:r w:rsidRPr="00C36B84">
        <w:rPr>
          <w:lang w:val="fr-FR"/>
        </w:rPr>
        <w:t xml:space="preserve">une enquête menée auprès de 325 agriculteurs de subsistance </w:t>
      </w:r>
      <w:r w:rsidR="00EC0B3B" w:rsidRPr="00C36B84">
        <w:rPr>
          <w:lang w:val="fr-FR"/>
        </w:rPr>
        <w:t>d</w:t>
      </w:r>
      <w:r w:rsidRPr="00C36B84">
        <w:rPr>
          <w:lang w:val="fr-FR"/>
        </w:rPr>
        <w:t>u Mozambique ont fait apparaître que l</w:t>
      </w:r>
      <w:r w:rsidR="00263978" w:rsidRPr="00C36B84">
        <w:rPr>
          <w:lang w:val="fr-FR"/>
        </w:rPr>
        <w:t>’</w:t>
      </w:r>
      <w:r w:rsidRPr="00C36B84">
        <w:rPr>
          <w:lang w:val="fr-FR"/>
        </w:rPr>
        <w:t>utilisation de pesticides en général, et de pesticides très dangereux en particulier, était susceptible d</w:t>
      </w:r>
      <w:r w:rsidR="00263978" w:rsidRPr="00C36B84">
        <w:rPr>
          <w:lang w:val="fr-FR"/>
        </w:rPr>
        <w:t>’</w:t>
      </w:r>
      <w:r w:rsidRPr="00C36B84">
        <w:rPr>
          <w:lang w:val="fr-FR"/>
        </w:rPr>
        <w:t>entraîner une exposition excessive des agriculteurs. Dès lors, l</w:t>
      </w:r>
      <w:r w:rsidR="00263978" w:rsidRPr="00C36B84">
        <w:rPr>
          <w:lang w:val="fr-FR"/>
        </w:rPr>
        <w:t>’</w:t>
      </w:r>
      <w:r w:rsidRPr="00C36B84">
        <w:rPr>
          <w:lang w:val="fr-FR"/>
        </w:rPr>
        <w:t>application de mesures d</w:t>
      </w:r>
      <w:r w:rsidR="00263978" w:rsidRPr="00C36B84">
        <w:rPr>
          <w:lang w:val="fr-FR"/>
        </w:rPr>
        <w:t>’</w:t>
      </w:r>
      <w:r w:rsidRPr="00C36B84">
        <w:rPr>
          <w:lang w:val="fr-FR"/>
        </w:rPr>
        <w:t>atténuation des risques reposant uniquement sur le port d</w:t>
      </w:r>
      <w:r w:rsidR="00263978" w:rsidRPr="00C36B84">
        <w:rPr>
          <w:lang w:val="fr-FR"/>
        </w:rPr>
        <w:t>’</w:t>
      </w:r>
      <w:r w:rsidRPr="00C36B84">
        <w:rPr>
          <w:lang w:val="fr-FR"/>
        </w:rPr>
        <w:t>un EPI approprié dans les conditions locales d</w:t>
      </w:r>
      <w:r w:rsidR="00263978" w:rsidRPr="00C36B84">
        <w:rPr>
          <w:lang w:val="fr-FR"/>
        </w:rPr>
        <w:t>’</w:t>
      </w:r>
      <w:r w:rsidRPr="00C36B84">
        <w:rPr>
          <w:lang w:val="fr-FR"/>
        </w:rPr>
        <w:t xml:space="preserve">utilisation serait difficile à mettre en œuvre et peu susceptible de </w:t>
      </w:r>
      <w:r w:rsidR="00EC0B3B" w:rsidRPr="00C36B84">
        <w:rPr>
          <w:lang w:val="fr-FR"/>
        </w:rPr>
        <w:t xml:space="preserve">produire </w:t>
      </w:r>
      <w:r w:rsidRPr="00C36B84">
        <w:rPr>
          <w:lang w:val="fr-FR"/>
        </w:rPr>
        <w:t>des résultats.</w:t>
      </w:r>
    </w:p>
    <w:p w14:paraId="506FB8F5" w14:textId="24836832" w:rsidR="0070418B" w:rsidRPr="00C36B84" w:rsidRDefault="0070418B" w:rsidP="00AD11DC">
      <w:pPr>
        <w:pStyle w:val="Normalnumber"/>
        <w:numPr>
          <w:ilvl w:val="0"/>
          <w:numId w:val="8"/>
        </w:numPr>
        <w:rPr>
          <w:rFonts w:eastAsia="MS Mincho"/>
          <w:iCs/>
          <w:lang w:val="fr-FR"/>
        </w:rPr>
      </w:pPr>
      <w:r w:rsidRPr="00C36B84">
        <w:rPr>
          <w:lang w:val="fr-FR"/>
        </w:rPr>
        <w:t xml:space="preserve">Il a été considéré que le </w:t>
      </w:r>
      <w:proofErr w:type="spellStart"/>
      <w:r w:rsidRPr="00C36B84">
        <w:rPr>
          <w:snapToGrid w:val="0"/>
          <w:lang w:val="fr-FR"/>
        </w:rPr>
        <w:t>terbufos</w:t>
      </w:r>
      <w:proofErr w:type="spellEnd"/>
      <w:r w:rsidRPr="00C36B84">
        <w:rPr>
          <w:lang w:val="fr-FR"/>
        </w:rPr>
        <w:t xml:space="preserve"> et les produits contenant </w:t>
      </w:r>
      <w:r w:rsidR="00FB4F20" w:rsidRPr="00C36B84">
        <w:rPr>
          <w:lang w:val="fr-FR"/>
        </w:rPr>
        <w:t>cette matière active</w:t>
      </w:r>
      <w:r w:rsidRPr="00C36B84">
        <w:rPr>
          <w:lang w:val="fr-FR"/>
        </w:rPr>
        <w:t xml:space="preserve"> étaient nocifs pour la santé humaine</w:t>
      </w:r>
      <w:r w:rsidR="004C5942" w:rsidRPr="00C36B84">
        <w:rPr>
          <w:lang w:val="fr-FR"/>
        </w:rPr>
        <w:t>,</w:t>
      </w:r>
      <w:r w:rsidRPr="00C36B84">
        <w:rPr>
          <w:lang w:val="fr-FR"/>
        </w:rPr>
        <w:t xml:space="preserve"> compte tenu des conditions locales d</w:t>
      </w:r>
      <w:r w:rsidR="00263978" w:rsidRPr="00C36B84">
        <w:rPr>
          <w:lang w:val="fr-FR"/>
        </w:rPr>
        <w:t>’</w:t>
      </w:r>
      <w:r w:rsidRPr="00C36B84">
        <w:rPr>
          <w:lang w:val="fr-FR"/>
        </w:rPr>
        <w:t>utilisation au Mozambique et nécessitaient des mesures d</w:t>
      </w:r>
      <w:r w:rsidR="00263978" w:rsidRPr="00C36B84">
        <w:rPr>
          <w:lang w:val="fr-FR"/>
        </w:rPr>
        <w:t>’</w:t>
      </w:r>
      <w:r w:rsidRPr="00C36B84">
        <w:rPr>
          <w:lang w:val="fr-FR"/>
        </w:rPr>
        <w:t>atténuation des risques.</w:t>
      </w:r>
      <w:r w:rsidRPr="00C36B84">
        <w:rPr>
          <w:rFonts w:ascii="Calibri" w:hAnsi="Calibri"/>
          <w:lang w:val="fr-FR"/>
        </w:rPr>
        <w:t xml:space="preserve"> </w:t>
      </w:r>
      <w:r w:rsidRPr="00C36B84">
        <w:rPr>
          <w:lang w:val="fr-FR"/>
        </w:rPr>
        <w:t>La décision d</w:t>
      </w:r>
      <w:r w:rsidR="00263978" w:rsidRPr="00C36B84">
        <w:rPr>
          <w:lang w:val="fr-FR"/>
        </w:rPr>
        <w:t>’</w:t>
      </w:r>
      <w:r w:rsidRPr="00C36B84">
        <w:rPr>
          <w:lang w:val="fr-FR"/>
        </w:rPr>
        <w:t>annuler l</w:t>
      </w:r>
      <w:r w:rsidR="00263978" w:rsidRPr="00C36B84">
        <w:rPr>
          <w:lang w:val="fr-FR"/>
        </w:rPr>
        <w:t>’</w:t>
      </w:r>
      <w:r w:rsidRPr="00C36B84">
        <w:rPr>
          <w:lang w:val="fr-FR"/>
        </w:rPr>
        <w:t>homologation d</w:t>
      </w:r>
      <w:r w:rsidR="00EC0B3B" w:rsidRPr="00C36B84">
        <w:rPr>
          <w:lang w:val="fr-FR"/>
        </w:rPr>
        <w:t>e cette</w:t>
      </w:r>
      <w:r w:rsidR="00D6688D" w:rsidRPr="00C36B84">
        <w:rPr>
          <w:lang w:val="fr-FR"/>
        </w:rPr>
        <w:t> </w:t>
      </w:r>
      <w:r w:rsidR="00EC0B3B" w:rsidRPr="00C36B84">
        <w:rPr>
          <w:lang w:val="fr-FR"/>
        </w:rPr>
        <w:t>substance</w:t>
      </w:r>
      <w:r w:rsidRPr="00C36B84">
        <w:rPr>
          <w:lang w:val="fr-FR"/>
        </w:rPr>
        <w:t xml:space="preserve"> constituait la dernière étape du projet </w:t>
      </w:r>
      <w:r w:rsidR="00EC0B3B" w:rsidRPr="00C36B84">
        <w:rPr>
          <w:lang w:val="fr-FR"/>
        </w:rPr>
        <w:t>de</w:t>
      </w:r>
      <w:r w:rsidRPr="00C36B84">
        <w:rPr>
          <w:lang w:val="fr-FR"/>
        </w:rPr>
        <w:t xml:space="preserve"> rédu</w:t>
      </w:r>
      <w:r w:rsidR="00EC0B3B" w:rsidRPr="00C36B84">
        <w:rPr>
          <w:lang w:val="fr-FR"/>
        </w:rPr>
        <w:t>ction d</w:t>
      </w:r>
      <w:r w:rsidRPr="00C36B84">
        <w:rPr>
          <w:lang w:val="fr-FR"/>
        </w:rPr>
        <w:t xml:space="preserve">es risques </w:t>
      </w:r>
      <w:r w:rsidR="00EC0B3B" w:rsidRPr="00C36B84">
        <w:rPr>
          <w:lang w:val="fr-FR"/>
        </w:rPr>
        <w:t>présentés par les</w:t>
      </w:r>
      <w:r w:rsidR="00D6688D" w:rsidRPr="00C36B84">
        <w:rPr>
          <w:lang w:val="fr-FR"/>
        </w:rPr>
        <w:t> </w:t>
      </w:r>
      <w:r w:rsidRPr="00C36B84">
        <w:rPr>
          <w:lang w:val="fr-FR"/>
        </w:rPr>
        <w:t>pesticides très dangereux. L</w:t>
      </w:r>
      <w:r w:rsidR="00263978" w:rsidRPr="00C36B84">
        <w:rPr>
          <w:lang w:val="fr-FR"/>
        </w:rPr>
        <w:t>’</w:t>
      </w:r>
      <w:r w:rsidRPr="00C36B84">
        <w:rPr>
          <w:lang w:val="fr-FR"/>
        </w:rPr>
        <w:t>effet attendu de la mesure de réglementation finale était la réduction des risques pour la santé humaine posés par l</w:t>
      </w:r>
      <w:r w:rsidR="00263978" w:rsidRPr="00C36B84">
        <w:rPr>
          <w:lang w:val="fr-FR"/>
        </w:rPr>
        <w:t>’</w:t>
      </w:r>
      <w:r w:rsidRPr="00C36B84">
        <w:rPr>
          <w:lang w:val="fr-FR"/>
        </w:rPr>
        <w:t xml:space="preserve">utilisation du </w:t>
      </w:r>
      <w:proofErr w:type="spellStart"/>
      <w:r w:rsidRPr="00C36B84">
        <w:rPr>
          <w:lang w:val="fr-FR"/>
        </w:rPr>
        <w:t>terbufos</w:t>
      </w:r>
      <w:proofErr w:type="spellEnd"/>
      <w:r w:rsidRPr="00C36B84">
        <w:rPr>
          <w:lang w:val="fr-FR"/>
        </w:rPr>
        <w:t xml:space="preserve"> </w:t>
      </w:r>
      <w:r w:rsidR="00EC0B3B" w:rsidRPr="00C36B84">
        <w:rPr>
          <w:lang w:val="fr-FR"/>
        </w:rPr>
        <w:t xml:space="preserve">dans le pays </w:t>
      </w:r>
      <w:r w:rsidRPr="00C36B84">
        <w:rPr>
          <w:snapToGrid w:val="0"/>
          <w:lang w:val="fr-FR"/>
        </w:rPr>
        <w:t>(</w:t>
      </w:r>
      <w:r w:rsidRPr="00C36B84">
        <w:rPr>
          <w:lang w:val="fr-FR"/>
        </w:rPr>
        <w:t>UNEP/FAO/RC/CRC.17/8/Rev.1,</w:t>
      </w:r>
      <w:r w:rsidRPr="00C36B84">
        <w:rPr>
          <w:snapToGrid w:val="0"/>
          <w:lang w:val="fr-FR"/>
        </w:rPr>
        <w:t xml:space="preserve"> s</w:t>
      </w:r>
      <w:r w:rsidRPr="00C36B84">
        <w:rPr>
          <w:lang w:val="fr-FR"/>
        </w:rPr>
        <w:t>ections</w:t>
      </w:r>
      <w:r w:rsidR="00DF6DC7">
        <w:rPr>
          <w:lang w:val="fr-FR"/>
        </w:rPr>
        <w:t> </w:t>
      </w:r>
      <w:r w:rsidRPr="00C36B84">
        <w:rPr>
          <w:lang w:val="fr-FR"/>
        </w:rPr>
        <w:t xml:space="preserve">2.2.1 et 2.4.2.1 de la </w:t>
      </w:r>
      <w:r w:rsidR="009A49D0" w:rsidRPr="00C36B84">
        <w:rPr>
          <w:lang w:val="fr-FR"/>
        </w:rPr>
        <w:t>notification reçue d</w:t>
      </w:r>
      <w:r w:rsidRPr="00C36B84">
        <w:rPr>
          <w:lang w:val="fr-FR"/>
        </w:rPr>
        <w:t>u Mozambique).</w:t>
      </w:r>
    </w:p>
    <w:p w14:paraId="691768D7" w14:textId="7D426883" w:rsidR="0070418B" w:rsidRPr="00C36B84" w:rsidRDefault="0070418B" w:rsidP="00AD11DC">
      <w:pPr>
        <w:pStyle w:val="Normalnumber"/>
        <w:numPr>
          <w:ilvl w:val="0"/>
          <w:numId w:val="8"/>
        </w:numPr>
        <w:rPr>
          <w:lang w:val="fr-FR"/>
        </w:rPr>
      </w:pPr>
      <w:r w:rsidRPr="00C36B84">
        <w:rPr>
          <w:lang w:val="fr-FR"/>
        </w:rPr>
        <w:t>En conséquence, le Comité confirme que le critère énoncé au paragraphe a) de l</w:t>
      </w:r>
      <w:r w:rsidR="00263978" w:rsidRPr="00C36B84">
        <w:rPr>
          <w:lang w:val="fr-FR"/>
        </w:rPr>
        <w:t>’</w:t>
      </w:r>
      <w:r w:rsidRPr="00C36B84">
        <w:rPr>
          <w:lang w:val="fr-FR"/>
        </w:rPr>
        <w:t>Annexe II est</w:t>
      </w:r>
      <w:r w:rsidR="00D6688D" w:rsidRPr="00C36B84">
        <w:rPr>
          <w:lang w:val="fr-FR"/>
        </w:rPr>
        <w:t> </w:t>
      </w:r>
      <w:r w:rsidRPr="00C36B84">
        <w:rPr>
          <w:lang w:val="fr-FR"/>
        </w:rPr>
        <w:t>rempli.</w:t>
      </w:r>
    </w:p>
    <w:p w14:paraId="3A543351" w14:textId="7799AC1C" w:rsidR="00F23195" w:rsidRPr="00C36B84" w:rsidRDefault="0070418B" w:rsidP="007E7193">
      <w:pPr>
        <w:pStyle w:val="CH3"/>
        <w:rPr>
          <w:snapToGrid w:val="0"/>
        </w:rPr>
      </w:pPr>
      <w:r w:rsidRPr="00C36B84">
        <w:rPr>
          <w:snapToGrid w:val="0"/>
        </w:rPr>
        <w:lastRenderedPageBreak/>
        <w:tab/>
        <w:t>c)</w:t>
      </w:r>
      <w:r w:rsidRPr="00C36B84">
        <w:rPr>
          <w:snapToGrid w:val="0"/>
        </w:rPr>
        <w:tab/>
        <w:t>Critères énoncés au paragraphe b) de l</w:t>
      </w:r>
      <w:r w:rsidR="00263978" w:rsidRPr="00C36B84">
        <w:rPr>
          <w:snapToGrid w:val="0"/>
        </w:rPr>
        <w:t>’</w:t>
      </w:r>
      <w:r w:rsidRPr="00C36B84">
        <w:rPr>
          <w:snapToGrid w:val="0"/>
        </w:rPr>
        <w:t>Annexe II</w:t>
      </w:r>
    </w:p>
    <w:p w14:paraId="12C55678" w14:textId="461C5F64" w:rsidR="0070418B" w:rsidRPr="00C36B84" w:rsidRDefault="007E7193" w:rsidP="007E7193">
      <w:pPr>
        <w:pStyle w:val="NormalNonumber"/>
        <w:rPr>
          <w:i/>
        </w:rPr>
      </w:pPr>
      <w:r w:rsidRPr="00C36B84">
        <w:rPr>
          <w:i/>
        </w:rPr>
        <w:tab/>
      </w:r>
      <w:r w:rsidR="0070418B" w:rsidRPr="00C36B84">
        <w:rPr>
          <w:i/>
        </w:rPr>
        <w:t>b)</w:t>
      </w:r>
      <w:r w:rsidR="0070418B" w:rsidRPr="00C36B84">
        <w:rPr>
          <w:i/>
        </w:rPr>
        <w:tab/>
        <w:t>Vérifie que la mesure de réglementation finale a été prise à la suite d</w:t>
      </w:r>
      <w:r w:rsidR="00263978" w:rsidRPr="00C36B84">
        <w:rPr>
          <w:i/>
        </w:rPr>
        <w:t>’</w:t>
      </w:r>
      <w:r w:rsidR="0070418B" w:rsidRPr="00C36B84">
        <w:rPr>
          <w:i/>
        </w:rPr>
        <w:t>une évaluation des</w:t>
      </w:r>
      <w:r w:rsidR="00D6688D" w:rsidRPr="00C36B84">
        <w:rPr>
          <w:i/>
        </w:rPr>
        <w:t> </w:t>
      </w:r>
      <w:r w:rsidR="0070418B" w:rsidRPr="00C36B84">
        <w:rPr>
          <w:i/>
        </w:rPr>
        <w:t xml:space="preserve">risques. Cette évaluation doit reposer sur une étude des données scientifiques effectuée en tenant compte des circonstances propres à la Partie considérée. À cette fin, la documentation fournie </w:t>
      </w:r>
      <w:r w:rsidR="00646B54" w:rsidRPr="00C36B84">
        <w:rPr>
          <w:i/>
        </w:rPr>
        <w:t>doit démontrer</w:t>
      </w:r>
      <w:r w:rsidR="0070418B" w:rsidRPr="00C36B84">
        <w:rPr>
          <w:i/>
        </w:rPr>
        <w:t xml:space="preserve"> ce qui suit :</w:t>
      </w:r>
    </w:p>
    <w:p w14:paraId="379307D2" w14:textId="68E1EC6F" w:rsidR="0070418B" w:rsidRPr="00C36B84" w:rsidRDefault="007E7193" w:rsidP="007E7193">
      <w:pPr>
        <w:pStyle w:val="NormalNonumber"/>
        <w:ind w:left="2381" w:hanging="1134"/>
        <w:rPr>
          <w:i/>
        </w:rPr>
      </w:pPr>
      <w:r w:rsidRPr="00C36B84">
        <w:rPr>
          <w:i/>
        </w:rPr>
        <w:tab/>
      </w:r>
      <w:r w:rsidR="0070418B" w:rsidRPr="00C36B84">
        <w:rPr>
          <w:i/>
        </w:rPr>
        <w:t>i)</w:t>
      </w:r>
      <w:r w:rsidR="0070418B" w:rsidRPr="00C36B84">
        <w:rPr>
          <w:i/>
        </w:rPr>
        <w:tab/>
        <w:t>Les données étudiées ont été obtenues par des méthodes scientifiquement reconnues ;</w:t>
      </w:r>
    </w:p>
    <w:p w14:paraId="1E9FCF0B" w14:textId="3E384666" w:rsidR="0070418B" w:rsidRPr="00C36B84" w:rsidRDefault="007E7193" w:rsidP="007E7193">
      <w:pPr>
        <w:pStyle w:val="NormalNonumber"/>
        <w:ind w:left="2381" w:hanging="1134"/>
        <w:rPr>
          <w:i/>
        </w:rPr>
      </w:pPr>
      <w:r w:rsidRPr="00C36B84">
        <w:rPr>
          <w:i/>
        </w:rPr>
        <w:tab/>
      </w:r>
      <w:r w:rsidR="0070418B" w:rsidRPr="00C36B84">
        <w:rPr>
          <w:i/>
        </w:rPr>
        <w:t>ii)</w:t>
      </w:r>
      <w:r w:rsidR="0070418B" w:rsidRPr="00C36B84">
        <w:rPr>
          <w:i/>
        </w:rPr>
        <w:tab/>
        <w:t>Ces données ont été analysées et corroborées selon des principes et des procédures scientifiques largement reconnus ;</w:t>
      </w:r>
    </w:p>
    <w:p w14:paraId="44C470FD" w14:textId="4EF6989B" w:rsidR="006F6FB2" w:rsidRPr="00C36B84" w:rsidRDefault="0070418B" w:rsidP="00AD11DC">
      <w:pPr>
        <w:pStyle w:val="Normalnumber"/>
        <w:numPr>
          <w:ilvl w:val="0"/>
          <w:numId w:val="8"/>
        </w:numPr>
        <w:rPr>
          <w:lang w:val="fr-FR"/>
        </w:rPr>
      </w:pPr>
      <w:r w:rsidRPr="00C36B84">
        <w:rPr>
          <w:lang w:val="fr-FR"/>
        </w:rPr>
        <w:t xml:space="preserve">La notification fait référence </w:t>
      </w:r>
      <w:r w:rsidR="006F6FB2" w:rsidRPr="00C36B84">
        <w:rPr>
          <w:lang w:val="fr-FR"/>
        </w:rPr>
        <w:t>aux rapports d</w:t>
      </w:r>
      <w:r w:rsidR="00263978" w:rsidRPr="00C36B84">
        <w:rPr>
          <w:lang w:val="fr-FR"/>
        </w:rPr>
        <w:t>’</w:t>
      </w:r>
      <w:r w:rsidR="006F6FB2" w:rsidRPr="00C36B84">
        <w:rPr>
          <w:lang w:val="fr-FR"/>
        </w:rPr>
        <w:t>expertise, établis à partir d</w:t>
      </w:r>
      <w:r w:rsidR="00263978" w:rsidRPr="00C36B84">
        <w:rPr>
          <w:lang w:val="fr-FR"/>
        </w:rPr>
        <w:t>’</w:t>
      </w:r>
      <w:r w:rsidR="006F6FB2" w:rsidRPr="00C36B84">
        <w:rPr>
          <w:lang w:val="fr-FR"/>
        </w:rPr>
        <w:t>évaluations internationales et de données concernant les propriétés, et au rapport de réunion suivants :</w:t>
      </w:r>
    </w:p>
    <w:p w14:paraId="55EF5ECB" w14:textId="0AD08532" w:rsidR="006F6FB2" w:rsidRPr="004B08E7" w:rsidRDefault="006F6FB2" w:rsidP="00AD11DC">
      <w:pPr>
        <w:pStyle w:val="Normalnumber"/>
        <w:numPr>
          <w:ilvl w:val="1"/>
          <w:numId w:val="8"/>
        </w:numPr>
        <w:rPr>
          <w:lang w:val="en-US"/>
        </w:rPr>
      </w:pPr>
      <w:r w:rsidRPr="004B08E7">
        <w:rPr>
          <w:lang w:val="en-US"/>
        </w:rPr>
        <w:t>A. M.</w:t>
      </w:r>
      <w:r w:rsidR="00FE6FB5" w:rsidRPr="004B08E7">
        <w:rPr>
          <w:lang w:val="en-US"/>
        </w:rPr>
        <w:t> </w:t>
      </w:r>
      <w:r w:rsidRPr="004B08E7">
        <w:rPr>
          <w:lang w:val="en-US"/>
        </w:rPr>
        <w:t xml:space="preserve">Come et H. van der </w:t>
      </w:r>
      <w:proofErr w:type="spellStart"/>
      <w:r w:rsidRPr="004B08E7">
        <w:rPr>
          <w:lang w:val="en-US"/>
        </w:rPr>
        <w:t>Valk</w:t>
      </w:r>
      <w:proofErr w:type="spellEnd"/>
      <w:r w:rsidRPr="004B08E7">
        <w:rPr>
          <w:lang w:val="en-US"/>
        </w:rPr>
        <w:t xml:space="preserve">, « Reducing Risks of Highly Hazardous Pesticides in Mozambique: Step 1 – Shortlisting highly hazardous pesticides », rapport </w:t>
      </w:r>
      <w:proofErr w:type="spellStart"/>
      <w:r w:rsidRPr="004B08E7">
        <w:rPr>
          <w:lang w:val="en-US"/>
        </w:rPr>
        <w:t>d</w:t>
      </w:r>
      <w:r w:rsidR="00263978" w:rsidRPr="004B08E7">
        <w:rPr>
          <w:lang w:val="en-US"/>
        </w:rPr>
        <w:t>’</w:t>
      </w:r>
      <w:r w:rsidRPr="004B08E7">
        <w:rPr>
          <w:lang w:val="en-US"/>
        </w:rPr>
        <w:t>expertise</w:t>
      </w:r>
      <w:proofErr w:type="spellEnd"/>
      <w:r w:rsidRPr="004B08E7">
        <w:rPr>
          <w:lang w:val="en-US"/>
        </w:rPr>
        <w:t xml:space="preserve"> dans le cadre du</w:t>
      </w:r>
      <w:r w:rsidR="00D6688D" w:rsidRPr="004B08E7">
        <w:rPr>
          <w:lang w:val="en-US"/>
        </w:rPr>
        <w:t> </w:t>
      </w:r>
      <w:proofErr w:type="spellStart"/>
      <w:r w:rsidRPr="004B08E7">
        <w:rPr>
          <w:lang w:val="en-US"/>
        </w:rPr>
        <w:t>projet</w:t>
      </w:r>
      <w:proofErr w:type="spellEnd"/>
      <w:r w:rsidRPr="004B08E7">
        <w:rPr>
          <w:lang w:val="en-US"/>
        </w:rPr>
        <w:t> EP/MOZ/101/UEP (2014</w:t>
      </w:r>
      <w:proofErr w:type="gramStart"/>
      <w:r w:rsidRPr="004B08E7">
        <w:rPr>
          <w:lang w:val="en-US"/>
        </w:rPr>
        <w:t>) ;</w:t>
      </w:r>
      <w:proofErr w:type="gramEnd"/>
    </w:p>
    <w:p w14:paraId="5B14697C" w14:textId="22593F3C" w:rsidR="006F6FB2" w:rsidRPr="002F581B" w:rsidRDefault="006F6FB2" w:rsidP="00AD11DC">
      <w:pPr>
        <w:pStyle w:val="Normalnumber"/>
        <w:numPr>
          <w:ilvl w:val="1"/>
          <w:numId w:val="8"/>
        </w:numPr>
        <w:rPr>
          <w:lang w:val="en-US"/>
        </w:rPr>
      </w:pPr>
      <w:r w:rsidRPr="002F581B">
        <w:rPr>
          <w:lang w:val="en-US"/>
        </w:rPr>
        <w:t>A. M.</w:t>
      </w:r>
      <w:r w:rsidR="00FE6FB5">
        <w:rPr>
          <w:lang w:val="en-US"/>
        </w:rPr>
        <w:t> </w:t>
      </w:r>
      <w:r w:rsidRPr="002F581B">
        <w:rPr>
          <w:lang w:val="en-US"/>
        </w:rPr>
        <w:t xml:space="preserve">Come et consorts, « Reducing Risks of Highly Hazardous Pesticides in Mozambique: Step 2 – Survey of pesticide use practices in selected cropping systems », rapport </w:t>
      </w:r>
      <w:proofErr w:type="spellStart"/>
      <w:r w:rsidRPr="002F581B">
        <w:rPr>
          <w:lang w:val="en-US"/>
        </w:rPr>
        <w:t>d</w:t>
      </w:r>
      <w:r w:rsidR="00263978" w:rsidRPr="002F581B">
        <w:rPr>
          <w:lang w:val="en-US"/>
        </w:rPr>
        <w:t>’</w:t>
      </w:r>
      <w:r w:rsidRPr="002F581B">
        <w:rPr>
          <w:lang w:val="en-US"/>
        </w:rPr>
        <w:t>expertise</w:t>
      </w:r>
      <w:proofErr w:type="spellEnd"/>
      <w:r w:rsidRPr="002F581B">
        <w:rPr>
          <w:lang w:val="en-US"/>
        </w:rPr>
        <w:t xml:space="preserve"> dans le cadre du </w:t>
      </w:r>
      <w:proofErr w:type="spellStart"/>
      <w:r w:rsidRPr="002F581B">
        <w:rPr>
          <w:lang w:val="en-US"/>
        </w:rPr>
        <w:t>projet</w:t>
      </w:r>
      <w:proofErr w:type="spellEnd"/>
      <w:r w:rsidRPr="002F581B">
        <w:rPr>
          <w:lang w:val="en-US"/>
        </w:rPr>
        <w:t> EP/MOZ/101/UEP (2014</w:t>
      </w:r>
      <w:proofErr w:type="gramStart"/>
      <w:r w:rsidRPr="002F581B">
        <w:rPr>
          <w:lang w:val="en-US"/>
        </w:rPr>
        <w:t>) ;</w:t>
      </w:r>
      <w:proofErr w:type="gramEnd"/>
    </w:p>
    <w:p w14:paraId="1B947E52" w14:textId="183809AE" w:rsidR="006F6FB2" w:rsidRPr="00C36B84" w:rsidRDefault="006F6FB2" w:rsidP="00AD11DC">
      <w:pPr>
        <w:pStyle w:val="Normalnumber"/>
        <w:numPr>
          <w:ilvl w:val="1"/>
          <w:numId w:val="8"/>
        </w:numPr>
        <w:rPr>
          <w:lang w:val="fr-FR"/>
        </w:rPr>
      </w:pPr>
      <w:proofErr w:type="spellStart"/>
      <w:r w:rsidRPr="002F581B">
        <w:rPr>
          <w:lang w:val="en-US"/>
        </w:rPr>
        <w:t>Organisation</w:t>
      </w:r>
      <w:proofErr w:type="spellEnd"/>
      <w:r w:rsidRPr="002F581B">
        <w:rPr>
          <w:lang w:val="en-US"/>
        </w:rPr>
        <w:t xml:space="preserve"> des Nations </w:t>
      </w:r>
      <w:proofErr w:type="spellStart"/>
      <w:r w:rsidRPr="002F581B">
        <w:rPr>
          <w:lang w:val="en-US"/>
        </w:rPr>
        <w:t>Unies</w:t>
      </w:r>
      <w:proofErr w:type="spellEnd"/>
      <w:r w:rsidRPr="002F581B">
        <w:rPr>
          <w:lang w:val="en-US"/>
        </w:rPr>
        <w:t xml:space="preserve"> pour </w:t>
      </w:r>
      <w:proofErr w:type="spellStart"/>
      <w:r w:rsidRPr="002F581B">
        <w:rPr>
          <w:lang w:val="en-US"/>
        </w:rPr>
        <w:t>l</w:t>
      </w:r>
      <w:r w:rsidR="00263978" w:rsidRPr="002F581B">
        <w:rPr>
          <w:lang w:val="en-US"/>
        </w:rPr>
        <w:t>’</w:t>
      </w:r>
      <w:r w:rsidRPr="002F581B">
        <w:rPr>
          <w:lang w:val="en-US"/>
        </w:rPr>
        <w:t>alimentation</w:t>
      </w:r>
      <w:proofErr w:type="spellEnd"/>
      <w:r w:rsidRPr="002F581B">
        <w:rPr>
          <w:lang w:val="en-US"/>
        </w:rPr>
        <w:t xml:space="preserve"> et </w:t>
      </w:r>
      <w:proofErr w:type="spellStart"/>
      <w:r w:rsidRPr="002F581B">
        <w:rPr>
          <w:lang w:val="en-US"/>
        </w:rPr>
        <w:t>l</w:t>
      </w:r>
      <w:r w:rsidR="00263978" w:rsidRPr="002F581B">
        <w:rPr>
          <w:lang w:val="en-US"/>
        </w:rPr>
        <w:t>’</w:t>
      </w:r>
      <w:r w:rsidRPr="002F581B">
        <w:rPr>
          <w:lang w:val="en-US"/>
        </w:rPr>
        <w:t>agriculture</w:t>
      </w:r>
      <w:proofErr w:type="spellEnd"/>
      <w:r w:rsidRPr="002F581B">
        <w:rPr>
          <w:lang w:val="en-US"/>
        </w:rPr>
        <w:t xml:space="preserve"> (FAO)/</w:t>
      </w:r>
      <w:proofErr w:type="spellStart"/>
      <w:r w:rsidRPr="002F581B">
        <w:rPr>
          <w:lang w:val="en-US"/>
        </w:rPr>
        <w:t>Organisation</w:t>
      </w:r>
      <w:proofErr w:type="spellEnd"/>
      <w:r w:rsidRPr="002F581B">
        <w:rPr>
          <w:lang w:val="en-US"/>
        </w:rPr>
        <w:t xml:space="preserve"> </w:t>
      </w:r>
      <w:proofErr w:type="spellStart"/>
      <w:r w:rsidRPr="002F581B">
        <w:rPr>
          <w:lang w:val="en-US"/>
        </w:rPr>
        <w:t>mondiale</w:t>
      </w:r>
      <w:proofErr w:type="spellEnd"/>
      <w:r w:rsidRPr="002F581B">
        <w:rPr>
          <w:lang w:val="en-US"/>
        </w:rPr>
        <w:t xml:space="preserve"> de la </w:t>
      </w:r>
      <w:proofErr w:type="spellStart"/>
      <w:r w:rsidR="00D6688D" w:rsidRPr="002F581B">
        <w:rPr>
          <w:lang w:val="en-US"/>
        </w:rPr>
        <w:t>S</w:t>
      </w:r>
      <w:r w:rsidRPr="002F581B">
        <w:rPr>
          <w:lang w:val="en-US"/>
        </w:rPr>
        <w:t>anté</w:t>
      </w:r>
      <w:proofErr w:type="spellEnd"/>
      <w:r w:rsidRPr="002F581B">
        <w:rPr>
          <w:lang w:val="en-US"/>
        </w:rPr>
        <w:t xml:space="preserve"> (OMS), 2008, « Report of the second FAO/WHO Joint Meeting on Pesticide Management and the fourth session of the FAO Panel of Experts on Pesticide Management » (p. 14</w:t>
      </w:r>
      <w:r w:rsidR="00D6688D" w:rsidRPr="002F581B">
        <w:rPr>
          <w:lang w:val="en-US"/>
        </w:rPr>
        <w:t xml:space="preserve"> à</w:t>
      </w:r>
      <w:r w:rsidR="00C36B84" w:rsidRPr="002F581B">
        <w:rPr>
          <w:lang w:val="en-US"/>
        </w:rPr>
        <w:t> </w:t>
      </w:r>
      <w:r w:rsidRPr="002F581B">
        <w:rPr>
          <w:lang w:val="en-US"/>
        </w:rPr>
        <w:t>18), Genève (2008)</w:t>
      </w:r>
      <w:r w:rsidR="000C126C" w:rsidRPr="002F581B">
        <w:rPr>
          <w:lang w:val="en-US"/>
        </w:rPr>
        <w:t>.</w:t>
      </w:r>
      <w:r w:rsidRPr="002F581B">
        <w:rPr>
          <w:lang w:val="en-US"/>
        </w:rPr>
        <w:t xml:space="preserve"> </w:t>
      </w:r>
      <w:r w:rsidR="000C126C" w:rsidRPr="00C36B84">
        <w:rPr>
          <w:lang w:val="fr-FR"/>
        </w:rPr>
        <w:t xml:space="preserve">Disponible </w:t>
      </w:r>
      <w:r w:rsidRPr="00C36B84">
        <w:rPr>
          <w:lang w:val="fr-FR"/>
        </w:rPr>
        <w:t>à l</w:t>
      </w:r>
      <w:r w:rsidR="00263978" w:rsidRPr="00C36B84">
        <w:rPr>
          <w:lang w:val="fr-FR"/>
        </w:rPr>
        <w:t>’</w:t>
      </w:r>
      <w:r w:rsidRPr="00C36B84">
        <w:rPr>
          <w:lang w:val="fr-FR"/>
        </w:rPr>
        <w:t xml:space="preserve">adresse </w:t>
      </w:r>
      <w:hyperlink r:id="rId11" w:history="1">
        <w:r w:rsidR="00D6688D" w:rsidRPr="00C36B84">
          <w:rPr>
            <w:lang w:val="fr-FR"/>
          </w:rPr>
          <w:t>www.fao.org/fileadmin/templates/agphome/</w:t>
        </w:r>
        <w:r w:rsidR="00D6688D" w:rsidRPr="00C36B84">
          <w:rPr>
            <w:lang w:val="fr-FR"/>
          </w:rPr>
          <w:br/>
          <w:t>documents/</w:t>
        </w:r>
        <w:proofErr w:type="spellStart"/>
        <w:r w:rsidR="00D6688D" w:rsidRPr="00C36B84">
          <w:rPr>
            <w:lang w:val="fr-FR"/>
          </w:rPr>
          <w:t>Pests_Pesticides</w:t>
        </w:r>
        <w:proofErr w:type="spellEnd"/>
        <w:r w:rsidR="00D6688D" w:rsidRPr="00C36B84">
          <w:rPr>
            <w:lang w:val="fr-FR"/>
          </w:rPr>
          <w:t>/Code/Report.pdf</w:t>
        </w:r>
      </w:hyperlink>
      <w:r w:rsidR="00D6688D" w:rsidRPr="00C36B84">
        <w:rPr>
          <w:lang w:val="fr-FR"/>
        </w:rPr>
        <w:t> ;</w:t>
      </w:r>
    </w:p>
    <w:p w14:paraId="0E5B300A" w14:textId="73C1AA55" w:rsidR="0070418B" w:rsidRPr="002F581B" w:rsidRDefault="006F6FB2" w:rsidP="00AD11DC">
      <w:pPr>
        <w:pStyle w:val="Normalnumber"/>
        <w:numPr>
          <w:ilvl w:val="1"/>
          <w:numId w:val="8"/>
        </w:numPr>
        <w:rPr>
          <w:rFonts w:eastAsia="MS Mincho"/>
          <w:bCs/>
          <w:lang w:val="en-US"/>
        </w:rPr>
      </w:pPr>
      <w:r w:rsidRPr="002F581B">
        <w:rPr>
          <w:bCs/>
          <w:lang w:val="en-US"/>
        </w:rPr>
        <w:t>J. Lahr</w:t>
      </w:r>
      <w:r w:rsidRPr="002F581B">
        <w:rPr>
          <w:lang w:val="en-US"/>
        </w:rPr>
        <w:t xml:space="preserve">, R. </w:t>
      </w:r>
      <w:proofErr w:type="spellStart"/>
      <w:r w:rsidRPr="002F581B">
        <w:rPr>
          <w:lang w:val="en-US"/>
        </w:rPr>
        <w:t>Kruijne</w:t>
      </w:r>
      <w:proofErr w:type="spellEnd"/>
      <w:r w:rsidRPr="002F581B">
        <w:rPr>
          <w:lang w:val="en-US"/>
        </w:rPr>
        <w:t xml:space="preserve"> and J. </w:t>
      </w:r>
      <w:proofErr w:type="spellStart"/>
      <w:r w:rsidRPr="002F581B">
        <w:rPr>
          <w:lang w:val="en-US"/>
        </w:rPr>
        <w:t>Groenwold</w:t>
      </w:r>
      <w:proofErr w:type="spellEnd"/>
      <w:r w:rsidRPr="002F581B">
        <w:rPr>
          <w:lang w:val="en-US"/>
        </w:rPr>
        <w:t>, « Hazards of pesticides imported into Mozambique, 2002–2011 », Alterra Wageningen University and Research Centre (2014)</w:t>
      </w:r>
      <w:r w:rsidR="0070418B" w:rsidRPr="002F581B">
        <w:rPr>
          <w:lang w:val="en-US"/>
        </w:rPr>
        <w:t>.</w:t>
      </w:r>
    </w:p>
    <w:p w14:paraId="2D02E4CA" w14:textId="3D18D5B1" w:rsidR="00F23195" w:rsidRPr="00C36B84" w:rsidRDefault="0070418B" w:rsidP="00AD11DC">
      <w:pPr>
        <w:pStyle w:val="Normalnumber"/>
        <w:numPr>
          <w:ilvl w:val="0"/>
          <w:numId w:val="8"/>
        </w:numPr>
        <w:rPr>
          <w:lang w:val="fr-FR"/>
        </w:rPr>
      </w:pPr>
      <w:r w:rsidRPr="00C36B84">
        <w:rPr>
          <w:lang w:val="fr-FR"/>
        </w:rPr>
        <w:t>L</w:t>
      </w:r>
      <w:r w:rsidR="00263978" w:rsidRPr="00C36B84">
        <w:rPr>
          <w:lang w:val="fr-FR"/>
        </w:rPr>
        <w:t>’</w:t>
      </w:r>
      <w:r w:rsidRPr="00C36B84">
        <w:rPr>
          <w:lang w:val="fr-FR"/>
        </w:rPr>
        <w:t>objectif ultime du projet était d</w:t>
      </w:r>
      <w:r w:rsidR="00263978" w:rsidRPr="00C36B84">
        <w:rPr>
          <w:lang w:val="fr-FR"/>
        </w:rPr>
        <w:t>’</w:t>
      </w:r>
      <w:r w:rsidRPr="00C36B84">
        <w:rPr>
          <w:lang w:val="fr-FR"/>
        </w:rPr>
        <w:t>élaborer et de mettre en œuvre un plan d</w:t>
      </w:r>
      <w:r w:rsidR="00263978" w:rsidRPr="00C36B84">
        <w:rPr>
          <w:lang w:val="fr-FR"/>
        </w:rPr>
        <w:t>’</w:t>
      </w:r>
      <w:r w:rsidRPr="00C36B84">
        <w:rPr>
          <w:lang w:val="fr-FR"/>
        </w:rPr>
        <w:t>action pour la</w:t>
      </w:r>
      <w:r w:rsidR="00D6688D" w:rsidRPr="00C36B84">
        <w:rPr>
          <w:lang w:val="fr-FR"/>
        </w:rPr>
        <w:t> </w:t>
      </w:r>
      <w:r w:rsidRPr="00C36B84">
        <w:rPr>
          <w:lang w:val="fr-FR"/>
        </w:rPr>
        <w:t>réduction des risques liés aux pesticides très dangereux axé sur les pesticides et les situations d</w:t>
      </w:r>
      <w:r w:rsidR="00263978" w:rsidRPr="00C36B84">
        <w:rPr>
          <w:lang w:val="fr-FR"/>
        </w:rPr>
        <w:t>’</w:t>
      </w:r>
      <w:r w:rsidRPr="00C36B84">
        <w:rPr>
          <w:lang w:val="fr-FR"/>
        </w:rPr>
        <w:t>utilisation présentant le plus de danger, qui se traduirait au fil du temps par la mise en œuvre de diverses mesures de réduction des risques fondées sur un examen des conditions d</w:t>
      </w:r>
      <w:r w:rsidR="00263978" w:rsidRPr="00C36B84">
        <w:rPr>
          <w:lang w:val="fr-FR"/>
        </w:rPr>
        <w:t>’</w:t>
      </w:r>
      <w:r w:rsidRPr="00C36B84">
        <w:rPr>
          <w:lang w:val="fr-FR"/>
        </w:rPr>
        <w:t>utilisation (UNEP/FAO/RC/CRC.17/8/Rev.1, sections</w:t>
      </w:r>
      <w:r w:rsidR="009620CB">
        <w:rPr>
          <w:lang w:val="fr-FR"/>
        </w:rPr>
        <w:t> </w:t>
      </w:r>
      <w:r w:rsidRPr="00C36B84">
        <w:rPr>
          <w:lang w:val="fr-FR"/>
        </w:rPr>
        <w:t xml:space="preserve">2.4 et 2.4.1 de la </w:t>
      </w:r>
      <w:r w:rsidR="009A49D0" w:rsidRPr="00C36B84">
        <w:rPr>
          <w:lang w:val="fr-FR"/>
        </w:rPr>
        <w:t>notification reçue d</w:t>
      </w:r>
      <w:r w:rsidRPr="00C36B84">
        <w:rPr>
          <w:lang w:val="fr-FR"/>
        </w:rPr>
        <w:t>u Mozambique).</w:t>
      </w:r>
    </w:p>
    <w:p w14:paraId="56CF2F17" w14:textId="7FF9DE84" w:rsidR="0070418B" w:rsidRPr="00C36B84" w:rsidRDefault="0070418B" w:rsidP="00AD11DC">
      <w:pPr>
        <w:pStyle w:val="Normalnumber"/>
        <w:numPr>
          <w:ilvl w:val="0"/>
          <w:numId w:val="8"/>
        </w:numPr>
        <w:rPr>
          <w:rFonts w:eastAsia="MS Mincho"/>
          <w:iCs/>
          <w:lang w:val="fr-FR"/>
        </w:rPr>
      </w:pPr>
      <w:r w:rsidRPr="00C36B84">
        <w:rPr>
          <w:lang w:val="fr-FR"/>
        </w:rPr>
        <w:t>La décision d</w:t>
      </w:r>
      <w:r w:rsidR="00263978" w:rsidRPr="00C36B84">
        <w:rPr>
          <w:lang w:val="fr-FR"/>
        </w:rPr>
        <w:t>’</w:t>
      </w:r>
      <w:r w:rsidRPr="00C36B84">
        <w:rPr>
          <w:lang w:val="fr-FR"/>
        </w:rPr>
        <w:t>annuler l</w:t>
      </w:r>
      <w:r w:rsidR="00263978" w:rsidRPr="00C36B84">
        <w:rPr>
          <w:lang w:val="fr-FR"/>
        </w:rPr>
        <w:t>’</w:t>
      </w:r>
      <w:r w:rsidRPr="00C36B84">
        <w:rPr>
          <w:lang w:val="fr-FR"/>
        </w:rPr>
        <w:t xml:space="preserve">homologation du </w:t>
      </w:r>
      <w:proofErr w:type="spellStart"/>
      <w:r w:rsidRPr="00C36B84">
        <w:rPr>
          <w:lang w:val="fr-FR"/>
        </w:rPr>
        <w:t>terbufos</w:t>
      </w:r>
      <w:proofErr w:type="spellEnd"/>
      <w:r w:rsidRPr="00C36B84">
        <w:rPr>
          <w:lang w:val="fr-FR"/>
        </w:rPr>
        <w:t xml:space="preserve"> constituait la dernière étape du projet visant à réduire les risques liés aux pesticides très dangereux. L</w:t>
      </w:r>
      <w:r w:rsidR="00263978" w:rsidRPr="00C36B84">
        <w:rPr>
          <w:lang w:val="fr-FR"/>
        </w:rPr>
        <w:t>’</w:t>
      </w:r>
      <w:r w:rsidRPr="00C36B84">
        <w:rPr>
          <w:lang w:val="fr-FR"/>
        </w:rPr>
        <w:t>interdiction de toute utilisation et l</w:t>
      </w:r>
      <w:r w:rsidR="00263978" w:rsidRPr="00C36B84">
        <w:rPr>
          <w:lang w:val="fr-FR"/>
        </w:rPr>
        <w:t>’</w:t>
      </w:r>
      <w:r w:rsidRPr="00C36B84">
        <w:rPr>
          <w:lang w:val="fr-FR"/>
        </w:rPr>
        <w:t>annulation de l</w:t>
      </w:r>
      <w:r w:rsidR="00263978" w:rsidRPr="00C36B84">
        <w:rPr>
          <w:lang w:val="fr-FR"/>
        </w:rPr>
        <w:t>’</w:t>
      </w:r>
      <w:r w:rsidRPr="00C36B84">
        <w:rPr>
          <w:lang w:val="fr-FR"/>
        </w:rPr>
        <w:t xml:space="preserve">homologation des produits contenant </w:t>
      </w:r>
      <w:r w:rsidR="00F051DD" w:rsidRPr="00C36B84">
        <w:rPr>
          <w:lang w:val="fr-FR"/>
        </w:rPr>
        <w:t xml:space="preserve">du </w:t>
      </w:r>
      <w:proofErr w:type="spellStart"/>
      <w:r w:rsidR="00F051DD" w:rsidRPr="00C36B84">
        <w:rPr>
          <w:lang w:val="fr-FR"/>
        </w:rPr>
        <w:t>terbufos</w:t>
      </w:r>
      <w:proofErr w:type="spellEnd"/>
      <w:r w:rsidR="00F051DD" w:rsidRPr="00C36B84">
        <w:rPr>
          <w:lang w:val="fr-FR"/>
        </w:rPr>
        <w:t xml:space="preserve"> au Mozambique</w:t>
      </w:r>
      <w:r w:rsidRPr="00C36B84">
        <w:rPr>
          <w:lang w:val="fr-FR"/>
        </w:rPr>
        <w:t xml:space="preserve"> (décision 001/DNSA/2014) ont été décidées en raison de la toxicité et des propriétés dangereuses de cette substance active qui, conjuguées à sa mauvaise utilisation dans le pays du fait des conditions d</w:t>
      </w:r>
      <w:r w:rsidR="00263978" w:rsidRPr="00C36B84">
        <w:rPr>
          <w:lang w:val="fr-FR"/>
        </w:rPr>
        <w:t>’</w:t>
      </w:r>
      <w:r w:rsidRPr="00C36B84">
        <w:rPr>
          <w:lang w:val="fr-FR"/>
        </w:rPr>
        <w:t>utilisation particulières au</w:t>
      </w:r>
      <w:r w:rsidR="00D6688D" w:rsidRPr="00C36B84">
        <w:rPr>
          <w:lang w:val="fr-FR"/>
        </w:rPr>
        <w:t> </w:t>
      </w:r>
      <w:r w:rsidRPr="00C36B84">
        <w:rPr>
          <w:lang w:val="fr-FR"/>
        </w:rPr>
        <w:t>niveau local, peuvent nuire à la santé humaine et animale (UNEP/FAO/RC/CRC.17/8/Rev.1, sections</w:t>
      </w:r>
      <w:r w:rsidR="00D6688D" w:rsidRPr="00C36B84">
        <w:rPr>
          <w:lang w:val="fr-FR"/>
        </w:rPr>
        <w:t> </w:t>
      </w:r>
      <w:r w:rsidRPr="00C36B84">
        <w:rPr>
          <w:lang w:val="fr-FR"/>
        </w:rPr>
        <w:t xml:space="preserve">2.2.1 et 2.4.2.1 de la </w:t>
      </w:r>
      <w:r w:rsidR="009A49D0" w:rsidRPr="00C36B84">
        <w:rPr>
          <w:lang w:val="fr-FR"/>
        </w:rPr>
        <w:t>notification reçue d</w:t>
      </w:r>
      <w:r w:rsidRPr="00C36B84">
        <w:rPr>
          <w:lang w:val="fr-FR"/>
        </w:rPr>
        <w:t>u Mozambique).</w:t>
      </w:r>
      <w:r w:rsidR="00D6688D" w:rsidRPr="00C36B84">
        <w:rPr>
          <w:lang w:val="fr-FR"/>
        </w:rPr>
        <w:t xml:space="preserve"> </w:t>
      </w:r>
      <w:r w:rsidRPr="00C36B84">
        <w:rPr>
          <w:lang w:val="fr-FR"/>
        </w:rPr>
        <w:t>La documentation à l</w:t>
      </w:r>
      <w:r w:rsidR="00263978" w:rsidRPr="00C36B84">
        <w:rPr>
          <w:lang w:val="fr-FR"/>
        </w:rPr>
        <w:t>’</w:t>
      </w:r>
      <w:r w:rsidRPr="00C36B84">
        <w:rPr>
          <w:lang w:val="fr-FR"/>
        </w:rPr>
        <w:t>appui (UNEP/FAO/RC/CRC.17/INF/18) comprend également les documents suivants, auxquels il est fait référence dans la notification :</w:t>
      </w:r>
    </w:p>
    <w:p w14:paraId="654E7C90" w14:textId="6A47E046" w:rsidR="0070418B" w:rsidRPr="00C36B84" w:rsidRDefault="00030946" w:rsidP="00AD11DC">
      <w:pPr>
        <w:pStyle w:val="Normalnumber"/>
        <w:numPr>
          <w:ilvl w:val="1"/>
          <w:numId w:val="8"/>
        </w:numPr>
        <w:rPr>
          <w:lang w:val="fr-FR"/>
        </w:rPr>
      </w:pPr>
      <w:r w:rsidRPr="002F581B">
        <w:rPr>
          <w:bCs/>
          <w:iCs/>
          <w:lang w:val="en-US"/>
        </w:rPr>
        <w:t>University of Hertfordshire,</w:t>
      </w:r>
      <w:r w:rsidRPr="002F581B">
        <w:rPr>
          <w:lang w:val="en-US"/>
        </w:rPr>
        <w:t xml:space="preserve"> « </w:t>
      </w:r>
      <w:proofErr w:type="spellStart"/>
      <w:r w:rsidRPr="002F581B">
        <w:rPr>
          <w:lang w:val="en-US"/>
        </w:rPr>
        <w:t>Terbufos</w:t>
      </w:r>
      <w:proofErr w:type="spellEnd"/>
      <w:r w:rsidRPr="002F581B">
        <w:rPr>
          <w:lang w:val="en-US"/>
        </w:rPr>
        <w:t xml:space="preserve"> », </w:t>
      </w:r>
      <w:r w:rsidR="0070418B" w:rsidRPr="002F581B">
        <w:rPr>
          <w:lang w:val="en-US"/>
        </w:rPr>
        <w:t xml:space="preserve">Pesticides Properties </w:t>
      </w:r>
      <w:proofErr w:type="spellStart"/>
      <w:r w:rsidR="0070418B" w:rsidRPr="002F581B">
        <w:rPr>
          <w:lang w:val="en-US"/>
        </w:rPr>
        <w:t>DataBase</w:t>
      </w:r>
      <w:proofErr w:type="spellEnd"/>
      <w:r w:rsidRPr="002F581B">
        <w:rPr>
          <w:lang w:val="en-US"/>
        </w:rPr>
        <w:t xml:space="preserve">. </w:t>
      </w:r>
      <w:r w:rsidRPr="00C36B84">
        <w:rPr>
          <w:lang w:val="fr-FR"/>
        </w:rPr>
        <w:t xml:space="preserve">Disponible </w:t>
      </w:r>
      <w:r w:rsidR="00C85C50" w:rsidRPr="00C36B84">
        <w:rPr>
          <w:lang w:val="fr-FR"/>
        </w:rPr>
        <w:t>à</w:t>
      </w:r>
      <w:r w:rsidR="00D6688D" w:rsidRPr="00C36B84">
        <w:rPr>
          <w:lang w:val="fr-FR"/>
        </w:rPr>
        <w:t> </w:t>
      </w:r>
      <w:r w:rsidR="00C85C50" w:rsidRPr="00C36B84">
        <w:rPr>
          <w:lang w:val="fr-FR"/>
        </w:rPr>
        <w:t>l</w:t>
      </w:r>
      <w:r w:rsidR="00263978" w:rsidRPr="00C36B84">
        <w:rPr>
          <w:lang w:val="fr-FR"/>
        </w:rPr>
        <w:t>’</w:t>
      </w:r>
      <w:r w:rsidR="00C85C50" w:rsidRPr="00C36B84">
        <w:rPr>
          <w:lang w:val="fr-FR"/>
        </w:rPr>
        <w:t>adresse</w:t>
      </w:r>
      <w:r w:rsidR="0070418B" w:rsidRPr="00C36B84">
        <w:rPr>
          <w:lang w:val="fr-FR"/>
        </w:rPr>
        <w:t xml:space="preserve"> </w:t>
      </w:r>
      <w:hyperlink r:id="rId12" w:history="1">
        <w:r w:rsidR="0070418B" w:rsidRPr="00C36B84">
          <w:rPr>
            <w:lang w:val="fr-FR"/>
          </w:rPr>
          <w:t>https://sitem.herts.ac.uk/aeru/ppdb/en/Reports/621.htm</w:t>
        </w:r>
      </w:hyperlink>
      <w:r w:rsidR="0070418B" w:rsidRPr="00C36B84">
        <w:rPr>
          <w:lang w:val="fr-FR"/>
        </w:rPr>
        <w:t> ;</w:t>
      </w:r>
    </w:p>
    <w:p w14:paraId="72608C80" w14:textId="33A7BB49" w:rsidR="00F23195" w:rsidRPr="00C36B84" w:rsidRDefault="0070418B" w:rsidP="00AD11DC">
      <w:pPr>
        <w:pStyle w:val="Normalnumber"/>
        <w:numPr>
          <w:ilvl w:val="1"/>
          <w:numId w:val="8"/>
        </w:numPr>
        <w:rPr>
          <w:lang w:val="fr-FR"/>
        </w:rPr>
      </w:pPr>
      <w:r w:rsidRPr="00C36B84">
        <w:rPr>
          <w:lang w:val="fr-FR"/>
        </w:rPr>
        <w:t xml:space="preserve">Réunion conjointe FAO/OMS sur les résidus de pesticides (JMPR), </w:t>
      </w:r>
      <w:r w:rsidR="00030946" w:rsidRPr="00C36B84">
        <w:rPr>
          <w:lang w:val="fr-FR"/>
        </w:rPr>
        <w:t>« </w:t>
      </w:r>
      <w:proofErr w:type="spellStart"/>
      <w:r w:rsidR="00030946" w:rsidRPr="00C36B84">
        <w:rPr>
          <w:lang w:val="fr-FR"/>
        </w:rPr>
        <w:t>Terbufos</w:t>
      </w:r>
      <w:proofErr w:type="spellEnd"/>
      <w:r w:rsidR="00030946" w:rsidRPr="00C36B84">
        <w:rPr>
          <w:lang w:val="fr-FR"/>
        </w:rPr>
        <w:t xml:space="preserve"> </w:t>
      </w:r>
      <w:proofErr w:type="spellStart"/>
      <w:r w:rsidR="00030946" w:rsidRPr="00C36B84">
        <w:rPr>
          <w:lang w:val="fr-FR"/>
        </w:rPr>
        <w:t>evaluation</w:t>
      </w:r>
      <w:proofErr w:type="spellEnd"/>
      <w:r w:rsidR="00030946" w:rsidRPr="00C36B84">
        <w:rPr>
          <w:lang w:val="fr-FR"/>
        </w:rPr>
        <w:t> » (</w:t>
      </w:r>
      <w:r w:rsidRPr="00C36B84">
        <w:rPr>
          <w:lang w:val="fr-FR"/>
        </w:rPr>
        <w:t>2005</w:t>
      </w:r>
      <w:r w:rsidR="00030946" w:rsidRPr="00C36B84">
        <w:rPr>
          <w:lang w:val="fr-FR"/>
        </w:rPr>
        <w:t>).</w:t>
      </w:r>
      <w:r w:rsidRPr="00C36B84">
        <w:rPr>
          <w:lang w:val="fr-FR"/>
        </w:rPr>
        <w:t xml:space="preserve"> </w:t>
      </w:r>
      <w:r w:rsidR="00030946" w:rsidRPr="00C36B84">
        <w:rPr>
          <w:lang w:val="fr-FR"/>
        </w:rPr>
        <w:t xml:space="preserve">Disponible </w:t>
      </w:r>
      <w:r w:rsidR="00C85C50" w:rsidRPr="00C36B84">
        <w:rPr>
          <w:lang w:val="fr-FR"/>
        </w:rPr>
        <w:t>à l</w:t>
      </w:r>
      <w:r w:rsidR="00263978" w:rsidRPr="00C36B84">
        <w:rPr>
          <w:lang w:val="fr-FR"/>
        </w:rPr>
        <w:t>’</w:t>
      </w:r>
      <w:r w:rsidR="00C85C50" w:rsidRPr="00C36B84">
        <w:rPr>
          <w:lang w:val="fr-FR"/>
        </w:rPr>
        <w:t>adresse</w:t>
      </w:r>
      <w:r w:rsidRPr="00C36B84">
        <w:rPr>
          <w:lang w:val="fr-FR"/>
        </w:rPr>
        <w:t xml:space="preserve"> </w:t>
      </w:r>
      <w:hyperlink r:id="rId13" w:history="1">
        <w:r w:rsidR="00D6688D" w:rsidRPr="00C36B84">
          <w:rPr>
            <w:lang w:val="fr-FR"/>
          </w:rPr>
          <w:t>https://www.fao.org/fileadmin/templates/agphome/</w:t>
        </w:r>
        <w:r w:rsidR="00D6688D" w:rsidRPr="00C36B84">
          <w:rPr>
            <w:lang w:val="fr-FR"/>
          </w:rPr>
          <w:br/>
          <w:t>documents/Pests_Pesticides/JMPR/Evaluation05/2005_Terbufos1.pdf</w:t>
        </w:r>
      </w:hyperlink>
      <w:r w:rsidRPr="00C36B84">
        <w:rPr>
          <w:lang w:val="fr-FR"/>
        </w:rPr>
        <w:t> ;</w:t>
      </w:r>
    </w:p>
    <w:p w14:paraId="18C55A46" w14:textId="64FEA777" w:rsidR="0070418B" w:rsidRPr="00C36B84" w:rsidRDefault="00030946" w:rsidP="00AD11DC">
      <w:pPr>
        <w:pStyle w:val="Normalnumber"/>
        <w:numPr>
          <w:ilvl w:val="1"/>
          <w:numId w:val="8"/>
        </w:numPr>
        <w:rPr>
          <w:lang w:val="fr-FR"/>
        </w:rPr>
      </w:pPr>
      <w:r w:rsidRPr="00C36B84">
        <w:rPr>
          <w:lang w:val="fr-FR"/>
        </w:rPr>
        <w:t>Programme international sur la sécurité des substances chimiques</w:t>
      </w:r>
      <w:r w:rsidR="0070418B" w:rsidRPr="00C36B84">
        <w:rPr>
          <w:lang w:val="fr-FR"/>
        </w:rPr>
        <w:t xml:space="preserve">, « Pesticide </w:t>
      </w:r>
      <w:proofErr w:type="spellStart"/>
      <w:r w:rsidR="0070418B" w:rsidRPr="00C36B84">
        <w:rPr>
          <w:lang w:val="fr-FR"/>
        </w:rPr>
        <w:t>residues</w:t>
      </w:r>
      <w:proofErr w:type="spellEnd"/>
      <w:r w:rsidR="0070418B" w:rsidRPr="00C36B84">
        <w:rPr>
          <w:lang w:val="fr-FR"/>
        </w:rPr>
        <w:t xml:space="preserve"> in </w:t>
      </w:r>
      <w:proofErr w:type="spellStart"/>
      <w:r w:rsidR="0070418B" w:rsidRPr="00C36B84">
        <w:rPr>
          <w:lang w:val="fr-FR"/>
        </w:rPr>
        <w:t>food</w:t>
      </w:r>
      <w:proofErr w:type="spellEnd"/>
      <w:r w:rsidR="0070418B" w:rsidRPr="00C36B84">
        <w:rPr>
          <w:lang w:val="fr-FR"/>
        </w:rPr>
        <w:t xml:space="preserve"> – 2003 – Joint FAO/WHO </w:t>
      </w:r>
      <w:proofErr w:type="gramStart"/>
      <w:r w:rsidR="0070418B" w:rsidRPr="00C36B84">
        <w:rPr>
          <w:lang w:val="fr-FR"/>
        </w:rPr>
        <w:t>Meeting</w:t>
      </w:r>
      <w:proofErr w:type="gramEnd"/>
      <w:r w:rsidR="0070418B" w:rsidRPr="00C36B84">
        <w:rPr>
          <w:lang w:val="fr-FR"/>
        </w:rPr>
        <w:t xml:space="preserve"> on Pesticide </w:t>
      </w:r>
      <w:proofErr w:type="spellStart"/>
      <w:r w:rsidR="0070418B" w:rsidRPr="00C36B84">
        <w:rPr>
          <w:lang w:val="fr-FR"/>
        </w:rPr>
        <w:t>Residues</w:t>
      </w:r>
      <w:proofErr w:type="spellEnd"/>
      <w:r w:rsidR="0070418B" w:rsidRPr="00C36B84">
        <w:rPr>
          <w:lang w:val="fr-FR"/>
        </w:rPr>
        <w:t xml:space="preserve"> </w:t>
      </w:r>
      <w:r w:rsidR="00D6688D" w:rsidRPr="00C36B84">
        <w:rPr>
          <w:lang w:val="fr-FR"/>
        </w:rPr>
        <w:t>–</w:t>
      </w:r>
      <w:r w:rsidRPr="00C36B84">
        <w:rPr>
          <w:lang w:val="fr-FR"/>
        </w:rPr>
        <w:t xml:space="preserve"> </w:t>
      </w:r>
      <w:proofErr w:type="spellStart"/>
      <w:r w:rsidRPr="00C36B84">
        <w:rPr>
          <w:lang w:val="fr-FR"/>
        </w:rPr>
        <w:t>Terbufos</w:t>
      </w:r>
      <w:proofErr w:type="spellEnd"/>
      <w:r w:rsidRPr="00C36B84">
        <w:rPr>
          <w:lang w:val="fr-FR"/>
        </w:rPr>
        <w:t xml:space="preserve"> </w:t>
      </w:r>
      <w:r w:rsidR="00D6688D" w:rsidRPr="00C36B84">
        <w:rPr>
          <w:lang w:val="fr-FR"/>
        </w:rPr>
        <w:t>–</w:t>
      </w:r>
      <w:r w:rsidR="0070418B" w:rsidRPr="00C36B84">
        <w:rPr>
          <w:lang w:val="fr-FR"/>
        </w:rPr>
        <w:t xml:space="preserve"> </w:t>
      </w:r>
      <w:proofErr w:type="spellStart"/>
      <w:r w:rsidR="0070418B" w:rsidRPr="00C36B84">
        <w:rPr>
          <w:lang w:val="fr-FR"/>
        </w:rPr>
        <w:t>Toxicological</w:t>
      </w:r>
      <w:proofErr w:type="spellEnd"/>
      <w:r w:rsidR="0070418B" w:rsidRPr="00C36B84">
        <w:rPr>
          <w:lang w:val="fr-FR"/>
        </w:rPr>
        <w:t xml:space="preserve"> </w:t>
      </w:r>
      <w:proofErr w:type="spellStart"/>
      <w:r w:rsidR="0070418B" w:rsidRPr="00C36B84">
        <w:rPr>
          <w:lang w:val="fr-FR"/>
        </w:rPr>
        <w:t>studies</w:t>
      </w:r>
      <w:proofErr w:type="spellEnd"/>
      <w:r w:rsidR="0070418B" w:rsidRPr="00C36B84">
        <w:rPr>
          <w:lang w:val="fr-FR"/>
        </w:rPr>
        <w:t xml:space="preserve"> », </w:t>
      </w:r>
      <w:r w:rsidR="00091AC5" w:rsidRPr="00C36B84">
        <w:rPr>
          <w:lang w:val="fr-FR"/>
        </w:rPr>
        <w:t>informations vérifiées par des spécialistes internationaux sur la sécurité des substances chimiques</w:t>
      </w:r>
      <w:r w:rsidRPr="00C36B84">
        <w:rPr>
          <w:bCs/>
          <w:iCs/>
          <w:lang w:val="fr-FR"/>
        </w:rPr>
        <w:t>.</w:t>
      </w:r>
      <w:r w:rsidRPr="00C36B84">
        <w:rPr>
          <w:lang w:val="fr-FR"/>
        </w:rPr>
        <w:t xml:space="preserve"> Disponible </w:t>
      </w:r>
      <w:r w:rsidR="00C85C50" w:rsidRPr="00C36B84">
        <w:rPr>
          <w:lang w:val="fr-FR"/>
        </w:rPr>
        <w:t>à l</w:t>
      </w:r>
      <w:r w:rsidR="00263978" w:rsidRPr="00C36B84">
        <w:rPr>
          <w:lang w:val="fr-FR"/>
        </w:rPr>
        <w:t>’</w:t>
      </w:r>
      <w:r w:rsidR="00C85C50" w:rsidRPr="00C36B84">
        <w:rPr>
          <w:lang w:val="fr-FR"/>
        </w:rPr>
        <w:t>adresse</w:t>
      </w:r>
      <w:r w:rsidR="0070418B" w:rsidRPr="00C36B84">
        <w:rPr>
          <w:lang w:val="fr-FR"/>
        </w:rPr>
        <w:t xml:space="preserve"> </w:t>
      </w:r>
      <w:hyperlink r:id="rId14" w:history="1">
        <w:r w:rsidR="00A141F7" w:rsidRPr="00A141F7">
          <w:rPr>
            <w:rStyle w:val="Lienhypertexte"/>
            <w:color w:val="auto"/>
            <w:u w:val="none"/>
            <w:lang w:val="fr-FR" w:bidi="en-US"/>
          </w:rPr>
          <w:t>www.inchem.org/documents/jmpr/jmpmono/v2003pr13.htm#tox</w:t>
        </w:r>
      </w:hyperlink>
      <w:r w:rsidR="0070418B" w:rsidRPr="00C36B84">
        <w:rPr>
          <w:lang w:val="fr-FR"/>
        </w:rPr>
        <w:t>.</w:t>
      </w:r>
    </w:p>
    <w:p w14:paraId="3326ED2A" w14:textId="0D58E03F" w:rsidR="0070418B" w:rsidRPr="00C36B84" w:rsidRDefault="0070418B" w:rsidP="00AD11DC">
      <w:pPr>
        <w:pStyle w:val="Normalnumber"/>
        <w:numPr>
          <w:ilvl w:val="0"/>
          <w:numId w:val="8"/>
        </w:numPr>
        <w:rPr>
          <w:rFonts w:eastAsia="MS Mincho"/>
          <w:bCs/>
          <w:iCs/>
          <w:lang w:val="fr-FR"/>
        </w:rPr>
      </w:pPr>
      <w:r w:rsidRPr="00C36B84">
        <w:rPr>
          <w:lang w:val="fr-FR"/>
        </w:rPr>
        <w:t>Les rapports d</w:t>
      </w:r>
      <w:r w:rsidR="00263978" w:rsidRPr="00C36B84">
        <w:rPr>
          <w:lang w:val="fr-FR"/>
        </w:rPr>
        <w:t>’</w:t>
      </w:r>
      <w:r w:rsidRPr="00C36B84">
        <w:rPr>
          <w:lang w:val="fr-FR"/>
        </w:rPr>
        <w:t>expertise disponibles et les critères d</w:t>
      </w:r>
      <w:r w:rsidR="00263978" w:rsidRPr="00C36B84">
        <w:rPr>
          <w:lang w:val="fr-FR"/>
        </w:rPr>
        <w:t>’</w:t>
      </w:r>
      <w:r w:rsidRPr="00C36B84">
        <w:rPr>
          <w:lang w:val="fr-FR"/>
        </w:rPr>
        <w:t>évaluation des dangers établis par le</w:t>
      </w:r>
      <w:r w:rsidR="00D6688D" w:rsidRPr="00C36B84">
        <w:rPr>
          <w:lang w:val="fr-FR"/>
        </w:rPr>
        <w:t> </w:t>
      </w:r>
      <w:r w:rsidRPr="00C36B84">
        <w:rPr>
          <w:lang w:val="fr-FR"/>
        </w:rPr>
        <w:t>groupe d</w:t>
      </w:r>
      <w:r w:rsidR="00263978" w:rsidRPr="00C36B84">
        <w:rPr>
          <w:lang w:val="fr-FR"/>
        </w:rPr>
        <w:t>’</w:t>
      </w:r>
      <w:r w:rsidRPr="00C36B84">
        <w:rPr>
          <w:lang w:val="fr-FR"/>
        </w:rPr>
        <w:t>experts internationaux de la FAO et de l</w:t>
      </w:r>
      <w:r w:rsidR="00263978" w:rsidRPr="00C36B84">
        <w:rPr>
          <w:lang w:val="fr-FR"/>
        </w:rPr>
        <w:t>’</w:t>
      </w:r>
      <w:r w:rsidRPr="00C36B84">
        <w:rPr>
          <w:lang w:val="fr-FR"/>
        </w:rPr>
        <w:t>OMS sont considérés comme scientifiquement fondés, obtenus selon des méthodes scientifiquement reconnues et communiqués conformément à des</w:t>
      </w:r>
      <w:r w:rsidR="00D6688D" w:rsidRPr="00C36B84">
        <w:rPr>
          <w:lang w:val="fr-FR"/>
        </w:rPr>
        <w:t> </w:t>
      </w:r>
      <w:r w:rsidRPr="00C36B84">
        <w:rPr>
          <w:lang w:val="fr-FR"/>
        </w:rPr>
        <w:t>principes et procédures scientifiques largement reconnus.</w:t>
      </w:r>
    </w:p>
    <w:p w14:paraId="46B0E34F" w14:textId="68A549F8" w:rsidR="00F23195" w:rsidRPr="00C36B84" w:rsidRDefault="0070418B" w:rsidP="00AD11DC">
      <w:pPr>
        <w:pStyle w:val="Normalnumber"/>
        <w:numPr>
          <w:ilvl w:val="0"/>
          <w:numId w:val="8"/>
        </w:numPr>
        <w:rPr>
          <w:lang w:val="fr-FR"/>
        </w:rPr>
      </w:pPr>
      <w:r w:rsidRPr="00C36B84">
        <w:rPr>
          <w:lang w:val="fr-FR"/>
        </w:rPr>
        <w:t xml:space="preserve">Les rapports disponibles élaborés dans le cadre </w:t>
      </w:r>
      <w:r w:rsidR="00091AC5" w:rsidRPr="00C36B84">
        <w:rPr>
          <w:lang w:val="fr-FR"/>
        </w:rPr>
        <w:t>du projet de réduction des risques présentés par</w:t>
      </w:r>
      <w:r w:rsidR="00D6688D" w:rsidRPr="00C36B84">
        <w:rPr>
          <w:lang w:val="fr-FR"/>
        </w:rPr>
        <w:t> </w:t>
      </w:r>
      <w:r w:rsidR="00091AC5" w:rsidRPr="00C36B84">
        <w:rPr>
          <w:lang w:val="fr-FR"/>
        </w:rPr>
        <w:t xml:space="preserve">les pesticides très dangereux mené par le Mozambique </w:t>
      </w:r>
      <w:r w:rsidRPr="00C36B84">
        <w:rPr>
          <w:lang w:val="fr-FR"/>
        </w:rPr>
        <w:t>et inclus dans la documentation à l</w:t>
      </w:r>
      <w:r w:rsidR="00263978" w:rsidRPr="00C36B84">
        <w:rPr>
          <w:lang w:val="fr-FR"/>
        </w:rPr>
        <w:t>’</w:t>
      </w:r>
      <w:r w:rsidRPr="00C36B84">
        <w:rPr>
          <w:lang w:val="fr-FR"/>
        </w:rPr>
        <w:t>appui présentent des méthodes détaillées, précisant que des critères internationalement reconnus établis par</w:t>
      </w:r>
      <w:r w:rsidR="00D6688D" w:rsidRPr="00C36B84">
        <w:rPr>
          <w:lang w:val="fr-FR"/>
        </w:rPr>
        <w:t> </w:t>
      </w:r>
      <w:r w:rsidRPr="00C36B84">
        <w:rPr>
          <w:lang w:val="fr-FR"/>
        </w:rPr>
        <w:t xml:space="preserve">la </w:t>
      </w:r>
      <w:r w:rsidR="009B3FEC" w:rsidRPr="00C36B84">
        <w:rPr>
          <w:lang w:val="fr-FR"/>
        </w:rPr>
        <w:t>JMPM</w:t>
      </w:r>
      <w:r w:rsidRPr="00C36B84">
        <w:rPr>
          <w:lang w:val="fr-FR"/>
        </w:rPr>
        <w:t xml:space="preserve"> aux fins du recensement des pesticides très dangereux ont été utilisés pour répertorier le</w:t>
      </w:r>
      <w:r w:rsidR="00D6688D" w:rsidRPr="00C36B84">
        <w:rPr>
          <w:lang w:val="fr-FR"/>
        </w:rPr>
        <w:t> </w:t>
      </w:r>
      <w:proofErr w:type="spellStart"/>
      <w:r w:rsidRPr="00C36B84">
        <w:rPr>
          <w:lang w:val="fr-FR"/>
        </w:rPr>
        <w:t>terbufos</w:t>
      </w:r>
      <w:proofErr w:type="spellEnd"/>
      <w:r w:rsidRPr="00C36B84">
        <w:rPr>
          <w:lang w:val="fr-FR"/>
        </w:rPr>
        <w:t xml:space="preserve"> (UNEP/FAO/RC/CRC.17/INF/18, p. 15). En outre, dans le rapport de l</w:t>
      </w:r>
      <w:r w:rsidR="00263978" w:rsidRPr="00C36B84">
        <w:rPr>
          <w:lang w:val="fr-FR"/>
        </w:rPr>
        <w:t>’</w:t>
      </w:r>
      <w:r w:rsidRPr="00C36B84">
        <w:rPr>
          <w:lang w:val="fr-FR"/>
        </w:rPr>
        <w:t xml:space="preserve">enquête sur </w:t>
      </w:r>
      <w:r w:rsidRPr="00C36B84">
        <w:rPr>
          <w:lang w:val="fr-FR"/>
        </w:rPr>
        <w:lastRenderedPageBreak/>
        <w:t>les</w:t>
      </w:r>
      <w:r w:rsidR="00D6688D" w:rsidRPr="00C36B84">
        <w:rPr>
          <w:lang w:val="fr-FR"/>
        </w:rPr>
        <w:t> </w:t>
      </w:r>
      <w:r w:rsidRPr="00C36B84">
        <w:rPr>
          <w:lang w:val="fr-FR"/>
        </w:rPr>
        <w:t>pratiques en matière d</w:t>
      </w:r>
      <w:r w:rsidR="00263978" w:rsidRPr="00C36B84">
        <w:rPr>
          <w:lang w:val="fr-FR"/>
        </w:rPr>
        <w:t>’</w:t>
      </w:r>
      <w:r w:rsidRPr="00C36B84">
        <w:rPr>
          <w:lang w:val="fr-FR"/>
        </w:rPr>
        <w:t>utilisation des pesticides dans certains systèmes de culture, il est indiqué que la conception de l</w:t>
      </w:r>
      <w:r w:rsidR="00091AC5" w:rsidRPr="00C36B84">
        <w:rPr>
          <w:lang w:val="fr-FR"/>
        </w:rPr>
        <w:t xml:space="preserve">adite </w:t>
      </w:r>
      <w:r w:rsidRPr="00C36B84">
        <w:rPr>
          <w:lang w:val="fr-FR"/>
        </w:rPr>
        <w:t>enquête a été guidée par l</w:t>
      </w:r>
      <w:r w:rsidR="00263978" w:rsidRPr="00C36B84">
        <w:rPr>
          <w:lang w:val="fr-FR"/>
        </w:rPr>
        <w:t>’</w:t>
      </w:r>
      <w:r w:rsidRPr="00C36B84">
        <w:rPr>
          <w:lang w:val="fr-FR"/>
        </w:rPr>
        <w:t>examen de diverses enquêtes existantes sur l</w:t>
      </w:r>
      <w:r w:rsidR="00263978" w:rsidRPr="00C36B84">
        <w:rPr>
          <w:lang w:val="fr-FR"/>
        </w:rPr>
        <w:t>’</w:t>
      </w:r>
      <w:r w:rsidRPr="00C36B84">
        <w:rPr>
          <w:lang w:val="fr-FR"/>
        </w:rPr>
        <w:t>utilisation des pesticides ou sur l</w:t>
      </w:r>
      <w:r w:rsidR="00263978" w:rsidRPr="00C36B84">
        <w:rPr>
          <w:lang w:val="fr-FR"/>
        </w:rPr>
        <w:t>’</w:t>
      </w:r>
      <w:r w:rsidRPr="00C36B84">
        <w:rPr>
          <w:lang w:val="fr-FR"/>
        </w:rPr>
        <w:t>exposition aux pesticides menées pour le compte de l</w:t>
      </w:r>
      <w:r w:rsidR="00263978" w:rsidRPr="00C36B84">
        <w:rPr>
          <w:lang w:val="fr-FR"/>
        </w:rPr>
        <w:t>’</w:t>
      </w:r>
      <w:r w:rsidRPr="00C36B84">
        <w:rPr>
          <w:lang w:val="fr-FR"/>
        </w:rPr>
        <w:t>OMS et au</w:t>
      </w:r>
      <w:r w:rsidR="00D6688D" w:rsidRPr="00C36B84">
        <w:rPr>
          <w:lang w:val="fr-FR"/>
        </w:rPr>
        <w:t> </w:t>
      </w:r>
      <w:r w:rsidRPr="00C36B84">
        <w:rPr>
          <w:lang w:val="fr-FR"/>
        </w:rPr>
        <w:t>titre de la Convention de Rotterdam, ainsi que par les orientations générales de la FAO relatives à l</w:t>
      </w:r>
      <w:r w:rsidR="00263978" w:rsidRPr="00C36B84">
        <w:rPr>
          <w:lang w:val="fr-FR"/>
        </w:rPr>
        <w:t>’</w:t>
      </w:r>
      <w:r w:rsidRPr="00C36B84">
        <w:rPr>
          <w:lang w:val="fr-FR"/>
        </w:rPr>
        <w:t>élaboration de ce type de questionnaire. Les enquêteurs ont d</w:t>
      </w:r>
      <w:r w:rsidR="00263978" w:rsidRPr="00C36B84">
        <w:rPr>
          <w:lang w:val="fr-FR"/>
        </w:rPr>
        <w:t>’</w:t>
      </w:r>
      <w:r w:rsidRPr="00C36B84">
        <w:rPr>
          <w:lang w:val="fr-FR"/>
        </w:rPr>
        <w:t>ailleurs été formés aux techniques d</w:t>
      </w:r>
      <w:r w:rsidR="00263978" w:rsidRPr="00C36B84">
        <w:rPr>
          <w:lang w:val="fr-FR"/>
        </w:rPr>
        <w:t>’</w:t>
      </w:r>
      <w:r w:rsidRPr="00C36B84">
        <w:rPr>
          <w:lang w:val="fr-FR"/>
        </w:rPr>
        <w:t>enquête (UNEP/FAO/RC/CRC.17/INF/18, p. 57 et 58).</w:t>
      </w:r>
    </w:p>
    <w:p w14:paraId="029330AE" w14:textId="0229CFB1" w:rsidR="0070418B" w:rsidRPr="00C36B84" w:rsidRDefault="0070418B" w:rsidP="00AD11DC">
      <w:pPr>
        <w:pStyle w:val="Normalnumber"/>
        <w:numPr>
          <w:ilvl w:val="0"/>
          <w:numId w:val="8"/>
        </w:numPr>
        <w:rPr>
          <w:rFonts w:eastAsia="MS Mincho"/>
          <w:bCs/>
          <w:iCs/>
          <w:lang w:val="fr-FR"/>
        </w:rPr>
      </w:pPr>
      <w:r w:rsidRPr="00C36B84">
        <w:rPr>
          <w:lang w:val="fr-FR"/>
        </w:rPr>
        <w:t xml:space="preserve">Il est </w:t>
      </w:r>
      <w:r w:rsidR="0087783C" w:rsidRPr="00C36B84">
        <w:rPr>
          <w:lang w:val="fr-FR"/>
        </w:rPr>
        <w:t>estim</w:t>
      </w:r>
      <w:r w:rsidRPr="00C36B84">
        <w:rPr>
          <w:lang w:val="fr-FR"/>
        </w:rPr>
        <w:t>é que les données figurant dans la notification et dans la documentation à l</w:t>
      </w:r>
      <w:r w:rsidR="00263978" w:rsidRPr="00C36B84">
        <w:rPr>
          <w:lang w:val="fr-FR"/>
        </w:rPr>
        <w:t>’</w:t>
      </w:r>
      <w:r w:rsidRPr="00C36B84">
        <w:rPr>
          <w:lang w:val="fr-FR"/>
        </w:rPr>
        <w:t>appui sont scientifiquement fondées, qu</w:t>
      </w:r>
      <w:r w:rsidR="00263978" w:rsidRPr="00C36B84">
        <w:rPr>
          <w:lang w:val="fr-FR"/>
        </w:rPr>
        <w:t>’</w:t>
      </w:r>
      <w:r w:rsidRPr="00C36B84">
        <w:rPr>
          <w:lang w:val="fr-FR"/>
        </w:rPr>
        <w:t>elles ont été obtenues selon des méthodes scientifiquement reconnues, et qu</w:t>
      </w:r>
      <w:r w:rsidR="00263978" w:rsidRPr="00C36B84">
        <w:rPr>
          <w:lang w:val="fr-FR"/>
        </w:rPr>
        <w:t>’</w:t>
      </w:r>
      <w:r w:rsidRPr="00C36B84">
        <w:rPr>
          <w:lang w:val="fr-FR"/>
        </w:rPr>
        <w:t>elles ont été analysées et corroborées selon des principes et des procédures scientifiques largement reconnus.</w:t>
      </w:r>
    </w:p>
    <w:p w14:paraId="63BF3470" w14:textId="4DDFD073" w:rsidR="0070418B" w:rsidRPr="00C36B84" w:rsidRDefault="0070418B" w:rsidP="00AD11DC">
      <w:pPr>
        <w:pStyle w:val="Normalnumber"/>
        <w:numPr>
          <w:ilvl w:val="0"/>
          <w:numId w:val="8"/>
        </w:numPr>
        <w:rPr>
          <w:rFonts w:eastAsia="MS Mincho"/>
          <w:iCs/>
          <w:lang w:val="fr-FR"/>
        </w:rPr>
      </w:pPr>
      <w:r w:rsidRPr="00C36B84">
        <w:rPr>
          <w:lang w:val="fr-FR"/>
        </w:rPr>
        <w:t>En conséquence, le Comité confirme que les critères énoncés au paragraphe b), alinéas i) et ii), de l</w:t>
      </w:r>
      <w:r w:rsidR="00263978" w:rsidRPr="00C36B84">
        <w:rPr>
          <w:lang w:val="fr-FR"/>
        </w:rPr>
        <w:t>’</w:t>
      </w:r>
      <w:r w:rsidRPr="00C36B84">
        <w:rPr>
          <w:lang w:val="fr-FR"/>
        </w:rPr>
        <w:t>Annexe II sont remplis.</w:t>
      </w:r>
    </w:p>
    <w:p w14:paraId="394B937E" w14:textId="0FF19C5C" w:rsidR="0070418B" w:rsidRPr="00C36B84" w:rsidRDefault="007E7193" w:rsidP="007E7193">
      <w:pPr>
        <w:pStyle w:val="NormalNonumber"/>
        <w:ind w:left="2381" w:hanging="1134"/>
        <w:rPr>
          <w:i/>
        </w:rPr>
      </w:pPr>
      <w:r w:rsidRPr="00C36B84">
        <w:rPr>
          <w:i/>
        </w:rPr>
        <w:tab/>
      </w:r>
      <w:r w:rsidR="0070418B" w:rsidRPr="00C36B84">
        <w:rPr>
          <w:i/>
        </w:rPr>
        <w:t>iii)</w:t>
      </w:r>
      <w:r w:rsidR="0070418B" w:rsidRPr="00C36B84">
        <w:rPr>
          <w:i/>
        </w:rPr>
        <w:tab/>
        <w:t>La mesure de réglementation finale est fondée sur une évaluation des risques qui tient compte des circonstances propres à la Partie qui a pris la mesure ;</w:t>
      </w:r>
    </w:p>
    <w:p w14:paraId="23661B59" w14:textId="4A872E1E" w:rsidR="0070418B" w:rsidRPr="00C36B84" w:rsidRDefault="0070418B" w:rsidP="00AD11DC">
      <w:pPr>
        <w:pStyle w:val="Normalnumber"/>
        <w:numPr>
          <w:ilvl w:val="0"/>
          <w:numId w:val="8"/>
        </w:numPr>
        <w:rPr>
          <w:rFonts w:eastAsia="MS Mincho"/>
          <w:bCs/>
          <w:iCs/>
          <w:lang w:val="fr-FR"/>
        </w:rPr>
      </w:pPr>
      <w:r w:rsidRPr="00C36B84">
        <w:rPr>
          <w:lang w:val="fr-FR"/>
        </w:rPr>
        <w:t>La notification indique que la mesure de réglementation finale est fondée sur une évaluation des risques ou des dangers qui tient compte des circonstances propres à la Partie afin de protéger la</w:t>
      </w:r>
      <w:r w:rsidR="00F86F8E" w:rsidRPr="00C36B84">
        <w:rPr>
          <w:lang w:val="fr-FR"/>
        </w:rPr>
        <w:t> </w:t>
      </w:r>
      <w:r w:rsidRPr="00C36B84">
        <w:rPr>
          <w:lang w:val="fr-FR"/>
        </w:rPr>
        <w:t>santé humaine (UNEP/FAO/RC/CRC.17/8/Rev.1, section</w:t>
      </w:r>
      <w:r w:rsidR="00F86F8E" w:rsidRPr="00C36B84">
        <w:rPr>
          <w:lang w:val="fr-FR"/>
        </w:rPr>
        <w:t> </w:t>
      </w:r>
      <w:r w:rsidRPr="00C36B84">
        <w:rPr>
          <w:lang w:val="fr-FR"/>
        </w:rPr>
        <w:t xml:space="preserve">2.4 de la </w:t>
      </w:r>
      <w:r w:rsidR="009A49D0" w:rsidRPr="00C36B84">
        <w:rPr>
          <w:lang w:val="fr-FR"/>
        </w:rPr>
        <w:t>notification reçue d</w:t>
      </w:r>
      <w:r w:rsidRPr="00C36B84">
        <w:rPr>
          <w:lang w:val="fr-FR"/>
        </w:rPr>
        <w:t>u Mozambique). Dans le but de réduire les risques les plus importants liés à l</w:t>
      </w:r>
      <w:r w:rsidR="00263978" w:rsidRPr="00C36B84">
        <w:rPr>
          <w:lang w:val="fr-FR"/>
        </w:rPr>
        <w:t>’</w:t>
      </w:r>
      <w:r w:rsidRPr="00C36B84">
        <w:rPr>
          <w:lang w:val="fr-FR"/>
        </w:rPr>
        <w:t xml:space="preserve">utilisation des pesticides, le </w:t>
      </w:r>
      <w:r w:rsidR="0087783C" w:rsidRPr="00C36B84">
        <w:rPr>
          <w:lang w:val="fr-FR"/>
        </w:rPr>
        <w:t xml:space="preserve">Gouvernement mozambicain </w:t>
      </w:r>
      <w:r w:rsidRPr="00C36B84">
        <w:rPr>
          <w:lang w:val="fr-FR"/>
        </w:rPr>
        <w:t xml:space="preserve">a lancé </w:t>
      </w:r>
      <w:r w:rsidR="0087783C" w:rsidRPr="00C36B84">
        <w:rPr>
          <w:lang w:val="fr-FR"/>
        </w:rPr>
        <w:t>projet de réduction des risques présentés par les pesticides très dangereux avec l</w:t>
      </w:r>
      <w:r w:rsidR="00263978" w:rsidRPr="00C36B84">
        <w:rPr>
          <w:lang w:val="fr-FR"/>
        </w:rPr>
        <w:t>’</w:t>
      </w:r>
      <w:r w:rsidR="0087783C" w:rsidRPr="00C36B84">
        <w:rPr>
          <w:lang w:val="fr-FR"/>
        </w:rPr>
        <w:t>appui technique de l</w:t>
      </w:r>
      <w:r w:rsidR="00263978" w:rsidRPr="00C36B84">
        <w:rPr>
          <w:lang w:val="fr-FR"/>
        </w:rPr>
        <w:t>’</w:t>
      </w:r>
      <w:r w:rsidR="0087783C" w:rsidRPr="00C36B84">
        <w:rPr>
          <w:lang w:val="fr-FR"/>
        </w:rPr>
        <w:t>Unité de gestion des pesticides de la FAO et un financement du Fonds d</w:t>
      </w:r>
      <w:r w:rsidR="00263978" w:rsidRPr="00C36B84">
        <w:rPr>
          <w:lang w:val="fr-FR"/>
        </w:rPr>
        <w:t>’</w:t>
      </w:r>
      <w:r w:rsidR="0087783C" w:rsidRPr="00C36B84">
        <w:rPr>
          <w:lang w:val="fr-FR"/>
        </w:rPr>
        <w:t>affectation spéciale du Programme de démarrage rapide de l</w:t>
      </w:r>
      <w:r w:rsidR="00263978" w:rsidRPr="00C36B84">
        <w:rPr>
          <w:lang w:val="fr-FR"/>
        </w:rPr>
        <w:t>’</w:t>
      </w:r>
      <w:r w:rsidR="0087783C" w:rsidRPr="00C36B84">
        <w:rPr>
          <w:lang w:val="fr-FR"/>
        </w:rPr>
        <w:t>Approche stratégique de la</w:t>
      </w:r>
      <w:r w:rsidR="00F86F8E" w:rsidRPr="00C36B84">
        <w:rPr>
          <w:lang w:val="fr-FR"/>
        </w:rPr>
        <w:t> </w:t>
      </w:r>
      <w:r w:rsidR="0087783C" w:rsidRPr="00C36B84">
        <w:rPr>
          <w:lang w:val="fr-FR"/>
        </w:rPr>
        <w:t>gestion internationale des produits chimiques</w:t>
      </w:r>
      <w:r w:rsidRPr="00C36B84">
        <w:rPr>
          <w:lang w:val="fr-FR"/>
        </w:rPr>
        <w:t xml:space="preserve"> (SAICM). L</w:t>
      </w:r>
      <w:r w:rsidR="00263978" w:rsidRPr="00C36B84">
        <w:rPr>
          <w:lang w:val="fr-FR"/>
        </w:rPr>
        <w:t>’</w:t>
      </w:r>
      <w:r w:rsidRPr="00C36B84">
        <w:rPr>
          <w:lang w:val="fr-FR"/>
        </w:rPr>
        <w:t>objectif ultime du projet était d</w:t>
      </w:r>
      <w:r w:rsidR="00263978" w:rsidRPr="00C36B84">
        <w:rPr>
          <w:lang w:val="fr-FR"/>
        </w:rPr>
        <w:t>’</w:t>
      </w:r>
      <w:r w:rsidRPr="00C36B84">
        <w:rPr>
          <w:lang w:val="fr-FR"/>
        </w:rPr>
        <w:t>élaborer et de mettre en œuvre un plan d</w:t>
      </w:r>
      <w:r w:rsidR="00263978" w:rsidRPr="00C36B84">
        <w:rPr>
          <w:lang w:val="fr-FR"/>
        </w:rPr>
        <w:t>’</w:t>
      </w:r>
      <w:r w:rsidRPr="00C36B84">
        <w:rPr>
          <w:lang w:val="fr-FR"/>
        </w:rPr>
        <w:t>action pour la réduction des risques liés aux pesticides très dangereux axé sur les pesticides et les situations d</w:t>
      </w:r>
      <w:r w:rsidR="00263978" w:rsidRPr="00C36B84">
        <w:rPr>
          <w:lang w:val="fr-FR"/>
        </w:rPr>
        <w:t>’</w:t>
      </w:r>
      <w:r w:rsidRPr="00C36B84">
        <w:rPr>
          <w:lang w:val="fr-FR"/>
        </w:rPr>
        <w:t>utilisation présentant le plus de danger, qui se traduirait au fil du temps par la mise en œuvre de diverses mesures de réduction des risques fondées sur un examen des conditions d</w:t>
      </w:r>
      <w:r w:rsidR="00263978" w:rsidRPr="00C36B84">
        <w:rPr>
          <w:lang w:val="fr-FR"/>
        </w:rPr>
        <w:t>’</w:t>
      </w:r>
      <w:r w:rsidRPr="00C36B84">
        <w:rPr>
          <w:lang w:val="fr-FR"/>
        </w:rPr>
        <w:t>utilisation. Ces mesures pouvaient comprendre l</w:t>
      </w:r>
      <w:r w:rsidR="00263978" w:rsidRPr="00C36B84">
        <w:rPr>
          <w:lang w:val="fr-FR"/>
        </w:rPr>
        <w:t>’</w:t>
      </w:r>
      <w:r w:rsidRPr="00C36B84">
        <w:rPr>
          <w:lang w:val="fr-FR"/>
        </w:rPr>
        <w:t>annulation de certaines homologations de pesticides très dangereux, la mise en œuvre de mesures d</w:t>
      </w:r>
      <w:r w:rsidR="00263978" w:rsidRPr="00C36B84">
        <w:rPr>
          <w:lang w:val="fr-FR"/>
        </w:rPr>
        <w:t>’</w:t>
      </w:r>
      <w:r w:rsidRPr="00C36B84">
        <w:rPr>
          <w:lang w:val="fr-FR"/>
        </w:rPr>
        <w:t>atténuation des risques, des restrictions d</w:t>
      </w:r>
      <w:r w:rsidR="00263978" w:rsidRPr="00C36B84">
        <w:rPr>
          <w:lang w:val="fr-FR"/>
        </w:rPr>
        <w:t>’</w:t>
      </w:r>
      <w:r w:rsidRPr="00C36B84">
        <w:rPr>
          <w:lang w:val="fr-FR"/>
        </w:rPr>
        <w:t>utilisation appropriées, l</w:t>
      </w:r>
      <w:r w:rsidR="00263978" w:rsidRPr="00C36B84">
        <w:rPr>
          <w:lang w:val="fr-FR"/>
        </w:rPr>
        <w:t>’</w:t>
      </w:r>
      <w:r w:rsidRPr="00C36B84">
        <w:rPr>
          <w:lang w:val="fr-FR"/>
        </w:rPr>
        <w:t>élaboration d</w:t>
      </w:r>
      <w:r w:rsidR="00263978" w:rsidRPr="00C36B84">
        <w:rPr>
          <w:lang w:val="fr-FR"/>
        </w:rPr>
        <w:t>’</w:t>
      </w:r>
      <w:r w:rsidRPr="00C36B84">
        <w:rPr>
          <w:lang w:val="fr-FR"/>
        </w:rPr>
        <w:t>autres stratégies de lutte antiparasitaire, la</w:t>
      </w:r>
      <w:r w:rsidR="00F86F8E" w:rsidRPr="00C36B84">
        <w:rPr>
          <w:lang w:val="fr-FR"/>
        </w:rPr>
        <w:t> </w:t>
      </w:r>
      <w:r w:rsidRPr="00C36B84">
        <w:rPr>
          <w:lang w:val="fr-FR"/>
        </w:rPr>
        <w:t xml:space="preserve">promotion de bonnes pratiques agricoles et </w:t>
      </w:r>
      <w:r w:rsidR="0087783C" w:rsidRPr="00C36B84">
        <w:rPr>
          <w:lang w:val="fr-FR"/>
        </w:rPr>
        <w:t>l</w:t>
      </w:r>
      <w:r w:rsidR="00263978" w:rsidRPr="00C36B84">
        <w:rPr>
          <w:lang w:val="fr-FR"/>
        </w:rPr>
        <w:t>’</w:t>
      </w:r>
      <w:r w:rsidR="0087783C" w:rsidRPr="00C36B84">
        <w:rPr>
          <w:lang w:val="fr-FR"/>
        </w:rPr>
        <w:t>éventuel abandon progressif de certains pesticides</w:t>
      </w:r>
      <w:r w:rsidRPr="00C36B84">
        <w:rPr>
          <w:lang w:val="fr-FR"/>
        </w:rPr>
        <w:t xml:space="preserve"> (UNEP/FAO/RC/CRC.17/INF/1</w:t>
      </w:r>
      <w:r w:rsidR="00F86F8E" w:rsidRPr="00C36B84">
        <w:rPr>
          <w:lang w:val="fr-FR"/>
        </w:rPr>
        <w:t>8, p. 11</w:t>
      </w:r>
      <w:r w:rsidRPr="00C36B84">
        <w:rPr>
          <w:lang w:val="fr-FR"/>
        </w:rPr>
        <w:t>).</w:t>
      </w:r>
    </w:p>
    <w:p w14:paraId="1F33DF41" w14:textId="29DB1516" w:rsidR="0070418B" w:rsidRPr="00C36B84" w:rsidRDefault="0070418B" w:rsidP="00AD11DC">
      <w:pPr>
        <w:pStyle w:val="Normalnumber"/>
        <w:keepLines/>
        <w:numPr>
          <w:ilvl w:val="0"/>
          <w:numId w:val="8"/>
        </w:numPr>
        <w:rPr>
          <w:rFonts w:eastAsia="MS Mincho"/>
          <w:bCs/>
          <w:iCs/>
          <w:lang w:val="fr-FR"/>
        </w:rPr>
      </w:pPr>
      <w:r w:rsidRPr="00C36B84">
        <w:rPr>
          <w:lang w:val="fr-FR"/>
        </w:rPr>
        <w:t xml:space="preserve">Le projet </w:t>
      </w:r>
      <w:r w:rsidR="0087783C" w:rsidRPr="00C36B84">
        <w:rPr>
          <w:lang w:val="fr-FR"/>
        </w:rPr>
        <w:t>comprenait</w:t>
      </w:r>
      <w:r w:rsidRPr="00C36B84">
        <w:rPr>
          <w:lang w:val="fr-FR"/>
        </w:rPr>
        <w:t xml:space="preserve"> trois étapes, dont la première a consisté à passer en revue tous les</w:t>
      </w:r>
      <w:r w:rsidR="00F86F8E" w:rsidRPr="00C36B84">
        <w:rPr>
          <w:lang w:val="fr-FR"/>
        </w:rPr>
        <w:t> </w:t>
      </w:r>
      <w:r w:rsidRPr="00C36B84">
        <w:rPr>
          <w:lang w:val="fr-FR"/>
        </w:rPr>
        <w:t>pesticides homologués au Mozambique et à établir une liste restreinte des pesticides très dangereux. Ladite liste restreinte a été établie à partir d</w:t>
      </w:r>
      <w:r w:rsidR="00263978" w:rsidRPr="00C36B84">
        <w:rPr>
          <w:lang w:val="fr-FR"/>
        </w:rPr>
        <w:t>’</w:t>
      </w:r>
      <w:r w:rsidRPr="00C36B84">
        <w:rPr>
          <w:lang w:val="fr-FR"/>
        </w:rPr>
        <w:t>une évaluation des dangers liés aux pesticides</w:t>
      </w:r>
      <w:r w:rsidR="0087783C" w:rsidRPr="00C36B84">
        <w:rPr>
          <w:lang w:val="fr-FR"/>
        </w:rPr>
        <w:t xml:space="preserve"> considérés</w:t>
      </w:r>
      <w:r w:rsidRPr="00C36B84">
        <w:rPr>
          <w:lang w:val="fr-FR"/>
        </w:rPr>
        <w:t xml:space="preserve">, sur la base de critères établis par la </w:t>
      </w:r>
      <w:r w:rsidR="009B3FEC" w:rsidRPr="00C36B84">
        <w:rPr>
          <w:lang w:val="fr-FR"/>
        </w:rPr>
        <w:t>JMPM</w:t>
      </w:r>
      <w:r w:rsidRPr="00C36B84">
        <w:rPr>
          <w:lang w:val="fr-FR"/>
        </w:rPr>
        <w:t xml:space="preserve"> (FAO et OMS, 2008).</w:t>
      </w:r>
    </w:p>
    <w:p w14:paraId="12BE2A4A" w14:textId="2B1C7E69" w:rsidR="00F23195" w:rsidRPr="00C36B84" w:rsidRDefault="0070418B" w:rsidP="00AD11DC">
      <w:pPr>
        <w:pStyle w:val="Normalnumber"/>
        <w:numPr>
          <w:ilvl w:val="0"/>
          <w:numId w:val="8"/>
        </w:numPr>
        <w:rPr>
          <w:lang w:val="fr-FR"/>
        </w:rPr>
      </w:pPr>
      <w:r w:rsidRPr="00C36B84">
        <w:rPr>
          <w:lang w:val="fr-FR"/>
        </w:rPr>
        <w:t xml:space="preserve">Les formulations du </w:t>
      </w:r>
      <w:proofErr w:type="spellStart"/>
      <w:r w:rsidRPr="00C36B84">
        <w:rPr>
          <w:lang w:val="fr-FR"/>
        </w:rPr>
        <w:t>terbufos</w:t>
      </w:r>
      <w:proofErr w:type="spellEnd"/>
      <w:r w:rsidRPr="00C36B84">
        <w:rPr>
          <w:lang w:val="fr-FR"/>
        </w:rPr>
        <w:t xml:space="preserve"> homologuées à l</w:t>
      </w:r>
      <w:r w:rsidR="00263978" w:rsidRPr="00C36B84">
        <w:rPr>
          <w:lang w:val="fr-FR"/>
        </w:rPr>
        <w:t>’</w:t>
      </w:r>
      <w:r w:rsidRPr="00C36B84">
        <w:rPr>
          <w:lang w:val="fr-FR"/>
        </w:rPr>
        <w:t>époque au Mozambique étaient</w:t>
      </w:r>
      <w:r w:rsidR="00931976" w:rsidRPr="00C36B84">
        <w:rPr>
          <w:lang w:val="fr-FR"/>
        </w:rPr>
        <w:t xml:space="preserve"> </w:t>
      </w:r>
      <w:r w:rsidR="002C51AE" w:rsidRPr="00C36B84">
        <w:rPr>
          <w:lang w:val="fr-FR"/>
        </w:rPr>
        <w:t>celles appelées</w:t>
      </w:r>
      <w:r w:rsidRPr="00C36B84">
        <w:rPr>
          <w:lang w:val="fr-FR"/>
        </w:rPr>
        <w:t xml:space="preserve"> </w:t>
      </w:r>
      <w:proofErr w:type="spellStart"/>
      <w:r w:rsidRPr="00C36B84">
        <w:rPr>
          <w:lang w:val="fr-FR"/>
        </w:rPr>
        <w:t>Moz</w:t>
      </w:r>
      <w:proofErr w:type="spellEnd"/>
      <w:r w:rsidRPr="00C36B84">
        <w:rPr>
          <w:lang w:val="fr-FR"/>
        </w:rPr>
        <w:t xml:space="preserve"> </w:t>
      </w:r>
      <w:proofErr w:type="spellStart"/>
      <w:r w:rsidRPr="00C36B84">
        <w:rPr>
          <w:lang w:val="fr-FR"/>
        </w:rPr>
        <w:t>Terbufos</w:t>
      </w:r>
      <w:proofErr w:type="spellEnd"/>
      <w:r w:rsidRPr="00C36B84">
        <w:rPr>
          <w:lang w:val="fr-FR"/>
        </w:rPr>
        <w:t xml:space="preserve"> 15 % GR, </w:t>
      </w:r>
      <w:proofErr w:type="spellStart"/>
      <w:r w:rsidRPr="00C36B84">
        <w:rPr>
          <w:lang w:val="fr-FR"/>
        </w:rPr>
        <w:t>Rotam</w:t>
      </w:r>
      <w:proofErr w:type="spellEnd"/>
      <w:r w:rsidRPr="00C36B84">
        <w:rPr>
          <w:lang w:val="fr-FR"/>
        </w:rPr>
        <w:t xml:space="preserve"> </w:t>
      </w:r>
      <w:proofErr w:type="spellStart"/>
      <w:r w:rsidRPr="00C36B84">
        <w:rPr>
          <w:lang w:val="fr-FR"/>
        </w:rPr>
        <w:t>Terbufos</w:t>
      </w:r>
      <w:proofErr w:type="spellEnd"/>
      <w:r w:rsidRPr="00C36B84">
        <w:rPr>
          <w:lang w:val="fr-FR"/>
        </w:rPr>
        <w:t xml:space="preserve"> 15 % GR et Bongo (UNEP/FAO/RC/CRC.17/8/Rev.1, section</w:t>
      </w:r>
      <w:r w:rsidR="00F86F8E" w:rsidRPr="00C36B84">
        <w:rPr>
          <w:lang w:val="fr-FR"/>
        </w:rPr>
        <w:t> </w:t>
      </w:r>
      <w:r w:rsidRPr="00C36B84">
        <w:rPr>
          <w:lang w:val="fr-FR"/>
        </w:rPr>
        <w:t xml:space="preserve">1.3 de la </w:t>
      </w:r>
      <w:r w:rsidR="009A49D0" w:rsidRPr="00C36B84">
        <w:rPr>
          <w:lang w:val="fr-FR"/>
        </w:rPr>
        <w:t>notification reçue d</w:t>
      </w:r>
      <w:r w:rsidRPr="00C36B84">
        <w:rPr>
          <w:lang w:val="fr-FR"/>
        </w:rPr>
        <w:t>u Mozambique et UNEP/FAO/RC/CRC.17/INF/18, p. 203). Ces</w:t>
      </w:r>
      <w:r w:rsidR="00F86F8E" w:rsidRPr="00C36B84">
        <w:rPr>
          <w:lang w:val="fr-FR"/>
        </w:rPr>
        <w:t> </w:t>
      </w:r>
      <w:r w:rsidRPr="00C36B84">
        <w:rPr>
          <w:lang w:val="fr-FR"/>
        </w:rPr>
        <w:t xml:space="preserve">formulations ont été évaluées par rapport au critère suivant de la </w:t>
      </w:r>
      <w:r w:rsidR="009B3FEC" w:rsidRPr="00C36B84">
        <w:rPr>
          <w:lang w:val="fr-FR"/>
        </w:rPr>
        <w:t>JMPM</w:t>
      </w:r>
      <w:r w:rsidRPr="00C36B84">
        <w:rPr>
          <w:lang w:val="fr-FR"/>
        </w:rPr>
        <w:t xml:space="preserve"> permettant le recensement des pesticides très dangereux : formulations de pesticides répondant aux critères des classes Ia ou </w:t>
      </w:r>
      <w:proofErr w:type="spellStart"/>
      <w:r w:rsidRPr="00C36B84">
        <w:rPr>
          <w:lang w:val="fr-FR"/>
        </w:rPr>
        <w:t>Ib</w:t>
      </w:r>
      <w:proofErr w:type="spellEnd"/>
      <w:r w:rsidRPr="00C36B84">
        <w:rPr>
          <w:lang w:val="fr-FR"/>
        </w:rPr>
        <w:t xml:space="preserve"> de</w:t>
      </w:r>
      <w:r w:rsidR="00F86F8E" w:rsidRPr="00C36B84">
        <w:rPr>
          <w:lang w:val="fr-FR"/>
        </w:rPr>
        <w:t> </w:t>
      </w:r>
      <w:r w:rsidRPr="00C36B84">
        <w:rPr>
          <w:lang w:val="fr-FR"/>
        </w:rPr>
        <w:t xml:space="preserve">la </w:t>
      </w:r>
      <w:r w:rsidR="00EC0B3B" w:rsidRPr="00C36B84">
        <w:rPr>
          <w:lang w:val="fr-FR"/>
        </w:rPr>
        <w:t>Classification des pesticides par risque recommandée par l</w:t>
      </w:r>
      <w:r w:rsidR="00263978" w:rsidRPr="00C36B84">
        <w:rPr>
          <w:lang w:val="fr-FR"/>
        </w:rPr>
        <w:t>’</w:t>
      </w:r>
      <w:r w:rsidR="00EC0B3B" w:rsidRPr="00C36B84">
        <w:rPr>
          <w:lang w:val="fr-FR"/>
        </w:rPr>
        <w:t>OMS</w:t>
      </w:r>
      <w:r w:rsidRPr="00C36B84">
        <w:rPr>
          <w:lang w:val="fr-FR"/>
        </w:rPr>
        <w:t>. Les valeurs de</w:t>
      </w:r>
      <w:r w:rsidR="002C51AE" w:rsidRPr="00C36B84">
        <w:rPr>
          <w:lang w:val="fr-FR"/>
        </w:rPr>
        <w:t xml:space="preserve"> leur</w:t>
      </w:r>
      <w:r w:rsidRPr="00C36B84">
        <w:rPr>
          <w:lang w:val="fr-FR"/>
        </w:rPr>
        <w:t>s DL</w:t>
      </w:r>
      <w:r w:rsidRPr="00C36B84">
        <w:rPr>
          <w:vertAlign w:val="subscript"/>
          <w:lang w:val="fr-FR"/>
        </w:rPr>
        <w:t>50</w:t>
      </w:r>
      <w:r w:rsidRPr="00C36B84">
        <w:rPr>
          <w:lang w:val="fr-FR"/>
        </w:rPr>
        <w:t xml:space="preserve"> orale et dermique (indiquées dans le dossier d</w:t>
      </w:r>
      <w:r w:rsidR="00263978" w:rsidRPr="00C36B84">
        <w:rPr>
          <w:lang w:val="fr-FR"/>
        </w:rPr>
        <w:t>’</w:t>
      </w:r>
      <w:r w:rsidRPr="00C36B84">
        <w:rPr>
          <w:lang w:val="fr-FR"/>
        </w:rPr>
        <w:t>homologation) ont servi de point de départ pour le</w:t>
      </w:r>
      <w:r w:rsidR="00F86F8E" w:rsidRPr="00C36B84">
        <w:rPr>
          <w:lang w:val="fr-FR"/>
        </w:rPr>
        <w:t> </w:t>
      </w:r>
      <w:r w:rsidRPr="00C36B84">
        <w:rPr>
          <w:lang w:val="fr-FR"/>
        </w:rPr>
        <w:t>classement. Les valeurs des DL</w:t>
      </w:r>
      <w:r w:rsidRPr="00C36B84">
        <w:rPr>
          <w:vertAlign w:val="subscript"/>
          <w:lang w:val="fr-FR"/>
        </w:rPr>
        <w:t>50</w:t>
      </w:r>
      <w:r w:rsidRPr="00C36B84">
        <w:rPr>
          <w:lang w:val="fr-FR"/>
        </w:rPr>
        <w:t xml:space="preserve"> étaient disponibles ou ont pu être estimées. </w:t>
      </w:r>
      <w:r w:rsidR="00C83835" w:rsidRPr="00C36B84">
        <w:rPr>
          <w:lang w:val="fr-FR"/>
        </w:rPr>
        <w:t>Il a été établi</w:t>
      </w:r>
      <w:r w:rsidR="003313E8" w:rsidRPr="00C36B84">
        <w:rPr>
          <w:lang w:val="fr-FR"/>
        </w:rPr>
        <w:t xml:space="preserve">, </w:t>
      </w:r>
      <w:r w:rsidRPr="00C36B84">
        <w:rPr>
          <w:lang w:val="fr-FR"/>
        </w:rPr>
        <w:t>selon les</w:t>
      </w:r>
      <w:r w:rsidR="00F86F8E" w:rsidRPr="00C36B84">
        <w:rPr>
          <w:lang w:val="fr-FR"/>
        </w:rPr>
        <w:t> </w:t>
      </w:r>
      <w:r w:rsidRPr="00C36B84">
        <w:rPr>
          <w:lang w:val="fr-FR"/>
        </w:rPr>
        <w:t xml:space="preserve">critères de la JMPM relatifs aux pesticides très dangereux, établis sur la base de la </w:t>
      </w:r>
      <w:r w:rsidR="00EC0B3B" w:rsidRPr="00C36B84">
        <w:rPr>
          <w:lang w:val="fr-FR"/>
        </w:rPr>
        <w:t>Classification des pesticides par risque recommandée par l</w:t>
      </w:r>
      <w:r w:rsidR="00263978" w:rsidRPr="00C36B84">
        <w:rPr>
          <w:lang w:val="fr-FR"/>
        </w:rPr>
        <w:t>’</w:t>
      </w:r>
      <w:r w:rsidR="00EC0B3B" w:rsidRPr="00C36B84">
        <w:rPr>
          <w:lang w:val="fr-FR"/>
        </w:rPr>
        <w:t>OMS</w:t>
      </w:r>
      <w:r w:rsidR="003313E8" w:rsidRPr="00C36B84">
        <w:rPr>
          <w:lang w:val="fr-FR"/>
        </w:rPr>
        <w:t xml:space="preserve"> que les formulations du </w:t>
      </w:r>
      <w:proofErr w:type="spellStart"/>
      <w:r w:rsidR="003313E8" w:rsidRPr="00C36B84">
        <w:rPr>
          <w:lang w:val="fr-FR"/>
        </w:rPr>
        <w:t>terbufos</w:t>
      </w:r>
      <w:proofErr w:type="spellEnd"/>
      <w:r w:rsidR="003313E8" w:rsidRPr="00C36B84">
        <w:rPr>
          <w:lang w:val="fr-FR"/>
        </w:rPr>
        <w:t xml:space="preserve"> </w:t>
      </w:r>
      <w:r w:rsidR="00C83835" w:rsidRPr="00C36B84">
        <w:rPr>
          <w:lang w:val="fr-FR"/>
        </w:rPr>
        <w:t>s</w:t>
      </w:r>
      <w:r w:rsidR="003313E8" w:rsidRPr="00C36B84">
        <w:rPr>
          <w:lang w:val="fr-FR"/>
        </w:rPr>
        <w:t>ont extrêmement dangereuses (classe Ia)</w:t>
      </w:r>
      <w:r w:rsidRPr="00C36B84">
        <w:rPr>
          <w:lang w:val="fr-FR"/>
        </w:rPr>
        <w:t>. Elles ont donc été considérées comme des pesticides très dangereux et inscrites en tant que telles sur la liste restreinte.</w:t>
      </w:r>
    </w:p>
    <w:p w14:paraId="75B32CFF" w14:textId="15EF918B" w:rsidR="0070418B" w:rsidRPr="00C36B84" w:rsidRDefault="0070418B" w:rsidP="00AD11DC">
      <w:pPr>
        <w:pStyle w:val="Normalnumber"/>
        <w:numPr>
          <w:ilvl w:val="0"/>
          <w:numId w:val="8"/>
        </w:numPr>
        <w:rPr>
          <w:rFonts w:eastAsia="MS Mincho"/>
          <w:bCs/>
          <w:iCs/>
          <w:lang w:val="fr-FR"/>
        </w:rPr>
      </w:pPr>
      <w:r w:rsidRPr="00C36B84">
        <w:rPr>
          <w:lang w:val="fr-FR"/>
        </w:rPr>
        <w:t>Au cours de la deuxième étape du projet, une enquête sur l</w:t>
      </w:r>
      <w:r w:rsidR="00263978" w:rsidRPr="00C36B84">
        <w:rPr>
          <w:lang w:val="fr-FR"/>
        </w:rPr>
        <w:t>’</w:t>
      </w:r>
      <w:r w:rsidRPr="00C36B84">
        <w:rPr>
          <w:lang w:val="fr-FR"/>
        </w:rPr>
        <w:t xml:space="preserve">utilisation a été réalisée dans certaines régions et certains systèmes de culture du Mozambique. Cette enquête visait principalement à déterminer </w:t>
      </w:r>
      <w:r w:rsidR="00C83835" w:rsidRPr="00C36B84">
        <w:rPr>
          <w:lang w:val="fr-FR"/>
        </w:rPr>
        <w:t>les conditions d</w:t>
      </w:r>
      <w:r w:rsidR="00263978" w:rsidRPr="00C36B84">
        <w:rPr>
          <w:lang w:val="fr-FR"/>
        </w:rPr>
        <w:t>’</w:t>
      </w:r>
      <w:r w:rsidR="00C83835" w:rsidRPr="00C36B84">
        <w:rPr>
          <w:lang w:val="fr-FR"/>
        </w:rPr>
        <w:t>utilisation des pesticides dans le pays et la mesure dans laquelle elles</w:t>
      </w:r>
      <w:r w:rsidR="00F86F8E" w:rsidRPr="00C36B84">
        <w:rPr>
          <w:lang w:val="fr-FR"/>
        </w:rPr>
        <w:t> </w:t>
      </w:r>
      <w:r w:rsidR="00C83835" w:rsidRPr="00C36B84">
        <w:rPr>
          <w:lang w:val="fr-FR"/>
        </w:rPr>
        <w:t xml:space="preserve">influent sur les </w:t>
      </w:r>
      <w:proofErr w:type="gramStart"/>
      <w:r w:rsidR="00C83835" w:rsidRPr="00C36B84">
        <w:rPr>
          <w:lang w:val="fr-FR"/>
        </w:rPr>
        <w:t>risques potentiels</w:t>
      </w:r>
      <w:proofErr w:type="gramEnd"/>
      <w:r w:rsidR="00C83835" w:rsidRPr="00C36B84">
        <w:rPr>
          <w:lang w:val="fr-FR"/>
        </w:rPr>
        <w:t xml:space="preserve"> pour la santé humaine et pour l</w:t>
      </w:r>
      <w:r w:rsidR="00263978" w:rsidRPr="00C36B84">
        <w:rPr>
          <w:lang w:val="fr-FR"/>
        </w:rPr>
        <w:t>’</w:t>
      </w:r>
      <w:r w:rsidR="00C83835" w:rsidRPr="00C36B84">
        <w:rPr>
          <w:lang w:val="fr-FR"/>
        </w:rPr>
        <w:t>environnement</w:t>
      </w:r>
      <w:r w:rsidRPr="00C36B84">
        <w:rPr>
          <w:lang w:val="fr-FR"/>
        </w:rPr>
        <w:t>.</w:t>
      </w:r>
    </w:p>
    <w:p w14:paraId="75D22114" w14:textId="168F9225" w:rsidR="0070418B" w:rsidRPr="00C36B84" w:rsidRDefault="0070418B" w:rsidP="00AD11DC">
      <w:pPr>
        <w:pStyle w:val="Normalnumber"/>
        <w:numPr>
          <w:ilvl w:val="0"/>
          <w:numId w:val="8"/>
        </w:numPr>
        <w:rPr>
          <w:rFonts w:eastAsia="MS Mincho"/>
          <w:bCs/>
          <w:iCs/>
          <w:lang w:val="fr-FR"/>
        </w:rPr>
      </w:pPr>
      <w:r w:rsidRPr="00C36B84">
        <w:rPr>
          <w:lang w:val="fr-FR"/>
        </w:rPr>
        <w:t>L</w:t>
      </w:r>
      <w:r w:rsidR="00263978" w:rsidRPr="00C36B84">
        <w:rPr>
          <w:lang w:val="fr-FR"/>
        </w:rPr>
        <w:t>’</w:t>
      </w:r>
      <w:r w:rsidRPr="00C36B84">
        <w:rPr>
          <w:lang w:val="fr-FR"/>
        </w:rPr>
        <w:t xml:space="preserve">enquête (menée auprès de 325 agriculteurs de subsistance) </w:t>
      </w:r>
      <w:r w:rsidR="00C83835" w:rsidRPr="00C36B84">
        <w:rPr>
          <w:lang w:val="fr-FR"/>
        </w:rPr>
        <w:t>a fait apparaître que la plupart des</w:t>
      </w:r>
      <w:r w:rsidR="00F86F8E" w:rsidRPr="00C36B84">
        <w:rPr>
          <w:lang w:val="fr-FR"/>
        </w:rPr>
        <w:t> </w:t>
      </w:r>
      <w:r w:rsidR="00C83835" w:rsidRPr="00C36B84">
        <w:rPr>
          <w:lang w:val="fr-FR"/>
        </w:rPr>
        <w:t>agriculteurs (95 %) utilisaient des pesticides et que les conditions d</w:t>
      </w:r>
      <w:r w:rsidR="00263978" w:rsidRPr="00C36B84">
        <w:rPr>
          <w:lang w:val="fr-FR"/>
        </w:rPr>
        <w:t>’</w:t>
      </w:r>
      <w:r w:rsidR="00C83835" w:rsidRPr="00C36B84">
        <w:rPr>
          <w:lang w:val="fr-FR"/>
        </w:rPr>
        <w:t>utilisation étaient susceptibles d</w:t>
      </w:r>
      <w:r w:rsidR="00263978" w:rsidRPr="00C36B84">
        <w:rPr>
          <w:lang w:val="fr-FR"/>
        </w:rPr>
        <w:t>’</w:t>
      </w:r>
      <w:r w:rsidR="00C83835" w:rsidRPr="00C36B84">
        <w:rPr>
          <w:lang w:val="fr-FR"/>
        </w:rPr>
        <w:t>entraîner une exposition excessive. La moitié des agriculteurs interrogés n</w:t>
      </w:r>
      <w:r w:rsidR="00263978" w:rsidRPr="00C36B84">
        <w:rPr>
          <w:lang w:val="fr-FR"/>
        </w:rPr>
        <w:t>’</w:t>
      </w:r>
      <w:r w:rsidR="00C83835" w:rsidRPr="00C36B84">
        <w:rPr>
          <w:lang w:val="fr-FR"/>
        </w:rPr>
        <w:t>avaient jamais reçu de formation en matière d</w:t>
      </w:r>
      <w:r w:rsidR="00263978" w:rsidRPr="00C36B84">
        <w:rPr>
          <w:lang w:val="fr-FR"/>
        </w:rPr>
        <w:t>’</w:t>
      </w:r>
      <w:r w:rsidR="00C83835" w:rsidRPr="00C36B84">
        <w:rPr>
          <w:lang w:val="fr-FR"/>
        </w:rPr>
        <w:t>utilisation des pesticides et souvent les autres, qui avaient reçu une telle formation, ne comprenaient pas les risques encourus. Les agriculteurs pulvérisaient les cultures maraîchères au moins 14 fois par campagne. Une pulvérisation sur trois se faisait avec une préparation contenant un pesticide très dangereux (près de 30 % des agriculteurs interrogés utilisaient des</w:t>
      </w:r>
      <w:r w:rsidR="00F86F8E" w:rsidRPr="00C36B84">
        <w:rPr>
          <w:lang w:val="fr-FR"/>
        </w:rPr>
        <w:t> </w:t>
      </w:r>
      <w:r w:rsidR="00C83835" w:rsidRPr="00C36B84">
        <w:rPr>
          <w:lang w:val="fr-FR"/>
        </w:rPr>
        <w:t>pesticides très dangereux)</w:t>
      </w:r>
      <w:r w:rsidRPr="00C36B84">
        <w:rPr>
          <w:lang w:val="fr-FR"/>
        </w:rPr>
        <w:t>.</w:t>
      </w:r>
    </w:p>
    <w:p w14:paraId="194BF295" w14:textId="3243E7DC" w:rsidR="0070418B" w:rsidRPr="00C36B84" w:rsidRDefault="001B60ED" w:rsidP="00AD11DC">
      <w:pPr>
        <w:pStyle w:val="Normalnumber"/>
        <w:numPr>
          <w:ilvl w:val="0"/>
          <w:numId w:val="8"/>
        </w:numPr>
        <w:rPr>
          <w:rFonts w:eastAsia="MS Mincho"/>
          <w:bCs/>
          <w:iCs/>
          <w:lang w:val="fr-FR"/>
        </w:rPr>
      </w:pPr>
      <w:r w:rsidRPr="00C36B84">
        <w:rPr>
          <w:lang w:val="fr-FR"/>
        </w:rPr>
        <w:lastRenderedPageBreak/>
        <w:t>En outre, la quasi-totalité des agriculteurs (93 %) ne possédait pas d</w:t>
      </w:r>
      <w:r w:rsidR="00263978" w:rsidRPr="00C36B84">
        <w:rPr>
          <w:lang w:val="fr-FR"/>
        </w:rPr>
        <w:t>’</w:t>
      </w:r>
      <w:r w:rsidRPr="00C36B84">
        <w:rPr>
          <w:lang w:val="fr-FR"/>
        </w:rPr>
        <w:t>équipement de protection individuelle (EPI), n</w:t>
      </w:r>
      <w:r w:rsidR="00263978" w:rsidRPr="00C36B84">
        <w:rPr>
          <w:lang w:val="fr-FR"/>
        </w:rPr>
        <w:t>’</w:t>
      </w:r>
      <w:r w:rsidRPr="00C36B84">
        <w:rPr>
          <w:lang w:val="fr-FR"/>
        </w:rPr>
        <w:t>en utilisait pas, ou n</w:t>
      </w:r>
      <w:r w:rsidR="00263978" w:rsidRPr="00C36B84">
        <w:rPr>
          <w:lang w:val="fr-FR"/>
        </w:rPr>
        <w:t>’</w:t>
      </w:r>
      <w:r w:rsidRPr="00C36B84">
        <w:rPr>
          <w:lang w:val="fr-FR"/>
        </w:rPr>
        <w:t>utilisait qu</w:t>
      </w:r>
      <w:r w:rsidR="00263978" w:rsidRPr="00C36B84">
        <w:rPr>
          <w:lang w:val="fr-FR"/>
        </w:rPr>
        <w:t>’</w:t>
      </w:r>
      <w:r w:rsidRPr="00C36B84">
        <w:rPr>
          <w:lang w:val="fr-FR"/>
        </w:rPr>
        <w:t>un seul élément de protection. Seuls 2 % de ceux qui se servaient de pesticides très dangereux portaient un EPI adéquat offrant une protection intégrale. Environ la moitié des agriculteurs n</w:t>
      </w:r>
      <w:r w:rsidR="00263978" w:rsidRPr="00C36B84">
        <w:rPr>
          <w:lang w:val="fr-FR"/>
        </w:rPr>
        <w:t>’</w:t>
      </w:r>
      <w:r w:rsidRPr="00C36B84">
        <w:rPr>
          <w:lang w:val="fr-FR"/>
        </w:rPr>
        <w:t>avaient reçu aucune formation en matière d</w:t>
      </w:r>
      <w:r w:rsidR="00263978" w:rsidRPr="00C36B84">
        <w:rPr>
          <w:lang w:val="fr-FR"/>
        </w:rPr>
        <w:t>’</w:t>
      </w:r>
      <w:r w:rsidRPr="00C36B84">
        <w:rPr>
          <w:lang w:val="fr-FR"/>
        </w:rPr>
        <w:t>utilisation des</w:t>
      </w:r>
      <w:r w:rsidR="00F86F8E" w:rsidRPr="00C36B84">
        <w:rPr>
          <w:lang w:val="fr-FR"/>
        </w:rPr>
        <w:t> </w:t>
      </w:r>
      <w:r w:rsidRPr="00C36B84">
        <w:rPr>
          <w:lang w:val="fr-FR"/>
        </w:rPr>
        <w:t>pesticides. La majorité des préposés à l</w:t>
      </w:r>
      <w:r w:rsidR="00263978" w:rsidRPr="00C36B84">
        <w:rPr>
          <w:lang w:val="fr-FR"/>
        </w:rPr>
        <w:t>’</w:t>
      </w:r>
      <w:r w:rsidRPr="00C36B84">
        <w:rPr>
          <w:lang w:val="fr-FR"/>
        </w:rPr>
        <w:t>application de pesticides utilisaient des pulvérisateurs manuels (36 %). Venaient ensuite les pulvérisateurs électriques à batterie (33 %) et des équipements inappropriés tels que des arrosoirs (13,5 %) ou d</w:t>
      </w:r>
      <w:r w:rsidR="00263978" w:rsidRPr="00C36B84">
        <w:rPr>
          <w:lang w:val="fr-FR"/>
        </w:rPr>
        <w:t>’</w:t>
      </w:r>
      <w:r w:rsidRPr="00C36B84">
        <w:rPr>
          <w:lang w:val="fr-FR"/>
        </w:rPr>
        <w:t>autres moyens (non précisés) (12,5 %). Environ la</w:t>
      </w:r>
      <w:r w:rsidR="00F86F8E" w:rsidRPr="00C36B84">
        <w:rPr>
          <w:lang w:val="fr-FR"/>
        </w:rPr>
        <w:t> </w:t>
      </w:r>
      <w:r w:rsidRPr="00C36B84">
        <w:rPr>
          <w:lang w:val="fr-FR"/>
        </w:rPr>
        <w:t>moitié des agriculteurs interrogés ont dit avoir remarqué des projections de pesticide sur leurs</w:t>
      </w:r>
      <w:r w:rsidR="00F86F8E" w:rsidRPr="00C36B84">
        <w:rPr>
          <w:lang w:val="fr-FR"/>
        </w:rPr>
        <w:t> </w:t>
      </w:r>
      <w:r w:rsidRPr="00C36B84">
        <w:rPr>
          <w:lang w:val="fr-FR"/>
        </w:rPr>
        <w:t>vêtements, sur leur peau nue ou dans leurs yeux lors des traitements. Sur le plan de la santé, les</w:t>
      </w:r>
      <w:r w:rsidR="00F86F8E" w:rsidRPr="00C36B84">
        <w:rPr>
          <w:lang w:val="fr-FR"/>
        </w:rPr>
        <w:t> </w:t>
      </w:r>
      <w:r w:rsidRPr="00C36B84">
        <w:rPr>
          <w:lang w:val="fr-FR"/>
        </w:rPr>
        <w:t>principaux symptômes associés à l</w:t>
      </w:r>
      <w:r w:rsidR="00263978" w:rsidRPr="00C36B84">
        <w:rPr>
          <w:lang w:val="fr-FR"/>
        </w:rPr>
        <w:t>’</w:t>
      </w:r>
      <w:r w:rsidRPr="00C36B84">
        <w:rPr>
          <w:lang w:val="fr-FR"/>
        </w:rPr>
        <w:t>utilisation de pesticides, selon les agriculteurs qui en avaient observé, étaient les suivants : maux de tête, éruptions cutanées, irritation des yeux, vomissements, irritation des narines, troubles de la vision, vertiges et transpiration excessive. Près de la moitié des</w:t>
      </w:r>
      <w:r w:rsidR="00F86F8E" w:rsidRPr="00C36B84">
        <w:rPr>
          <w:lang w:val="fr-FR"/>
        </w:rPr>
        <w:t> </w:t>
      </w:r>
      <w:r w:rsidRPr="00C36B84">
        <w:rPr>
          <w:lang w:val="fr-FR"/>
        </w:rPr>
        <w:t>agriculteurs ont indiqué qu</w:t>
      </w:r>
      <w:r w:rsidR="00263978" w:rsidRPr="00C36B84">
        <w:rPr>
          <w:lang w:val="fr-FR"/>
        </w:rPr>
        <w:t>’</w:t>
      </w:r>
      <w:r w:rsidRPr="00C36B84">
        <w:rPr>
          <w:lang w:val="fr-FR"/>
        </w:rPr>
        <w:t>ils ne lisaient pas les étiquettes des pesticides, y compris les</w:t>
      </w:r>
      <w:r w:rsidR="00F86F8E" w:rsidRPr="00C36B84">
        <w:rPr>
          <w:lang w:val="fr-FR"/>
        </w:rPr>
        <w:t> </w:t>
      </w:r>
      <w:r w:rsidRPr="00C36B84">
        <w:rPr>
          <w:lang w:val="fr-FR"/>
        </w:rPr>
        <w:t>instructions d</w:t>
      </w:r>
      <w:r w:rsidR="00263978" w:rsidRPr="00C36B84">
        <w:rPr>
          <w:lang w:val="fr-FR"/>
        </w:rPr>
        <w:t>’</w:t>
      </w:r>
      <w:r w:rsidRPr="00C36B84">
        <w:rPr>
          <w:lang w:val="fr-FR"/>
        </w:rPr>
        <w:t>utilisation concernant par exemple le dosage approprié et les mesures de protection, principalement pour des raisons d</w:t>
      </w:r>
      <w:r w:rsidR="00263978" w:rsidRPr="00C36B84">
        <w:rPr>
          <w:lang w:val="fr-FR"/>
        </w:rPr>
        <w:t>’</w:t>
      </w:r>
      <w:r w:rsidRPr="00C36B84">
        <w:rPr>
          <w:lang w:val="fr-FR"/>
        </w:rPr>
        <w:t>analphabétisme. Un agriculteur sur quatre ne comprenait pas bien le</w:t>
      </w:r>
      <w:r w:rsidR="00F86F8E" w:rsidRPr="00C36B84">
        <w:rPr>
          <w:lang w:val="fr-FR"/>
        </w:rPr>
        <w:t> </w:t>
      </w:r>
      <w:r w:rsidRPr="00C36B84">
        <w:rPr>
          <w:lang w:val="fr-FR"/>
        </w:rPr>
        <w:t>code couleur indicatif de la toxicité aiguë sur les étiquettes des pesticides.</w:t>
      </w:r>
    </w:p>
    <w:p w14:paraId="11A5EA6A" w14:textId="39C7557A" w:rsidR="0070418B" w:rsidRPr="00C36B84" w:rsidRDefault="0070418B" w:rsidP="00AD11DC">
      <w:pPr>
        <w:pStyle w:val="Normalnumber"/>
        <w:numPr>
          <w:ilvl w:val="0"/>
          <w:numId w:val="8"/>
        </w:numPr>
        <w:rPr>
          <w:rFonts w:eastAsia="MS Mincho"/>
          <w:bCs/>
          <w:iCs/>
          <w:lang w:val="fr-FR"/>
        </w:rPr>
      </w:pPr>
      <w:r w:rsidRPr="00C36B84">
        <w:rPr>
          <w:lang w:val="fr-FR"/>
        </w:rPr>
        <w:t>Les résultats de l</w:t>
      </w:r>
      <w:r w:rsidR="00263978" w:rsidRPr="00C36B84">
        <w:rPr>
          <w:lang w:val="fr-FR"/>
        </w:rPr>
        <w:t>’</w:t>
      </w:r>
      <w:r w:rsidRPr="00C36B84">
        <w:rPr>
          <w:lang w:val="fr-FR"/>
        </w:rPr>
        <w:t xml:space="preserve">enquête ont </w:t>
      </w:r>
      <w:r w:rsidR="001B60ED" w:rsidRPr="00C36B84">
        <w:rPr>
          <w:lang w:val="fr-FR"/>
        </w:rPr>
        <w:t>montré</w:t>
      </w:r>
      <w:r w:rsidRPr="00C36B84">
        <w:rPr>
          <w:lang w:val="fr-FR"/>
        </w:rPr>
        <w:t xml:space="preserve"> qu</w:t>
      </w:r>
      <w:r w:rsidR="00263978" w:rsidRPr="00C36B84">
        <w:rPr>
          <w:lang w:val="fr-FR"/>
        </w:rPr>
        <w:t>’</w:t>
      </w:r>
      <w:r w:rsidRPr="00C36B84">
        <w:rPr>
          <w:lang w:val="fr-FR"/>
        </w:rPr>
        <w:t>au Mozambique, l</w:t>
      </w:r>
      <w:r w:rsidR="00263978" w:rsidRPr="00C36B84">
        <w:rPr>
          <w:lang w:val="fr-FR"/>
        </w:rPr>
        <w:t>’</w:t>
      </w:r>
      <w:r w:rsidRPr="00C36B84">
        <w:rPr>
          <w:lang w:val="fr-FR"/>
        </w:rPr>
        <w:t>utilisation de pesticides en général, et de pesticides très dangereux en particulier, était susceptible d</w:t>
      </w:r>
      <w:r w:rsidR="00263978" w:rsidRPr="00C36B84">
        <w:rPr>
          <w:lang w:val="fr-FR"/>
        </w:rPr>
        <w:t>’</w:t>
      </w:r>
      <w:r w:rsidRPr="00C36B84">
        <w:rPr>
          <w:lang w:val="fr-FR"/>
        </w:rPr>
        <w:t>entraîner une exposition excessive des</w:t>
      </w:r>
      <w:r w:rsidR="00F86F8E" w:rsidRPr="00C36B84">
        <w:rPr>
          <w:lang w:val="fr-FR"/>
        </w:rPr>
        <w:t> </w:t>
      </w:r>
      <w:r w:rsidRPr="00C36B84">
        <w:rPr>
          <w:lang w:val="fr-FR"/>
        </w:rPr>
        <w:t>agriculteurs. Dès lors, l</w:t>
      </w:r>
      <w:r w:rsidR="00263978" w:rsidRPr="00C36B84">
        <w:rPr>
          <w:lang w:val="fr-FR"/>
        </w:rPr>
        <w:t>’</w:t>
      </w:r>
      <w:r w:rsidRPr="00C36B84">
        <w:rPr>
          <w:lang w:val="fr-FR"/>
        </w:rPr>
        <w:t>application de mesures d</w:t>
      </w:r>
      <w:r w:rsidR="00263978" w:rsidRPr="00C36B84">
        <w:rPr>
          <w:lang w:val="fr-FR"/>
        </w:rPr>
        <w:t>’</w:t>
      </w:r>
      <w:r w:rsidRPr="00C36B84">
        <w:rPr>
          <w:lang w:val="fr-FR"/>
        </w:rPr>
        <w:t>atténuation des risques reposant uniquement sur le port d</w:t>
      </w:r>
      <w:r w:rsidR="00263978" w:rsidRPr="00C36B84">
        <w:rPr>
          <w:lang w:val="fr-FR"/>
        </w:rPr>
        <w:t>’</w:t>
      </w:r>
      <w:r w:rsidRPr="00C36B84">
        <w:rPr>
          <w:lang w:val="fr-FR"/>
        </w:rPr>
        <w:t>un EPI approprié dans les conditions locales d</w:t>
      </w:r>
      <w:r w:rsidR="00263978" w:rsidRPr="00C36B84">
        <w:rPr>
          <w:lang w:val="fr-FR"/>
        </w:rPr>
        <w:t>’</w:t>
      </w:r>
      <w:r w:rsidRPr="00C36B84">
        <w:rPr>
          <w:lang w:val="fr-FR"/>
        </w:rPr>
        <w:t>utilisation serait difficile à mettre en œuvre et peu susceptible de donner des résultats.</w:t>
      </w:r>
    </w:p>
    <w:p w14:paraId="251EA566" w14:textId="456C71FB" w:rsidR="0070418B" w:rsidRPr="00C36B84" w:rsidRDefault="0070418B" w:rsidP="00AD11DC">
      <w:pPr>
        <w:pStyle w:val="Normalnumber"/>
        <w:numPr>
          <w:ilvl w:val="0"/>
          <w:numId w:val="8"/>
        </w:numPr>
        <w:rPr>
          <w:rFonts w:eastAsia="MS Mincho"/>
          <w:bCs/>
          <w:iCs/>
          <w:lang w:val="fr-FR"/>
        </w:rPr>
      </w:pPr>
      <w:r w:rsidRPr="00C36B84">
        <w:rPr>
          <w:lang w:val="fr-FR"/>
        </w:rPr>
        <w:t xml:space="preserve">La troisième étape du projet </w:t>
      </w:r>
      <w:r w:rsidR="001B60ED" w:rsidRPr="00C36B84">
        <w:rPr>
          <w:lang w:val="fr-FR"/>
        </w:rPr>
        <w:t>a consisté à consulter les parties prenantes, afin d</w:t>
      </w:r>
      <w:r w:rsidR="00263978" w:rsidRPr="00C36B84">
        <w:rPr>
          <w:lang w:val="fr-FR"/>
        </w:rPr>
        <w:t>’</w:t>
      </w:r>
      <w:r w:rsidR="001B60ED" w:rsidRPr="00C36B84">
        <w:rPr>
          <w:lang w:val="fr-FR"/>
        </w:rPr>
        <w:t>examiner plus avant l</w:t>
      </w:r>
      <w:r w:rsidR="00263978" w:rsidRPr="00C36B84">
        <w:rPr>
          <w:lang w:val="fr-FR"/>
        </w:rPr>
        <w:t>’</w:t>
      </w:r>
      <w:r w:rsidR="001B60ED" w:rsidRPr="00C36B84">
        <w:rPr>
          <w:lang w:val="fr-FR"/>
        </w:rPr>
        <w:t>utilisation des pesticides très dangereux et les risques qui y sont associés au Mozambique, et d</w:t>
      </w:r>
      <w:r w:rsidR="00263978" w:rsidRPr="00C36B84">
        <w:rPr>
          <w:lang w:val="fr-FR"/>
        </w:rPr>
        <w:t>’</w:t>
      </w:r>
      <w:r w:rsidR="001B60ED" w:rsidRPr="00C36B84">
        <w:rPr>
          <w:lang w:val="fr-FR"/>
        </w:rPr>
        <w:t>affiner la liste restreinte sur la base des résultats de l</w:t>
      </w:r>
      <w:r w:rsidR="00263978" w:rsidRPr="00C36B84">
        <w:rPr>
          <w:lang w:val="fr-FR"/>
        </w:rPr>
        <w:t>’</w:t>
      </w:r>
      <w:r w:rsidR="001B60ED" w:rsidRPr="00C36B84">
        <w:rPr>
          <w:lang w:val="fr-FR"/>
        </w:rPr>
        <w:t>enquête, ainsi que des compétences et de l</w:t>
      </w:r>
      <w:r w:rsidR="00263978" w:rsidRPr="00C36B84">
        <w:rPr>
          <w:lang w:val="fr-FR"/>
        </w:rPr>
        <w:t>’</w:t>
      </w:r>
      <w:r w:rsidR="001B60ED" w:rsidRPr="00C36B84">
        <w:rPr>
          <w:lang w:val="fr-FR"/>
        </w:rPr>
        <w:t>expérience des parties prenantes</w:t>
      </w:r>
      <w:r w:rsidRPr="00C36B84">
        <w:rPr>
          <w:lang w:val="fr-FR"/>
        </w:rPr>
        <w:t>.</w:t>
      </w:r>
    </w:p>
    <w:p w14:paraId="23BBF912" w14:textId="2378A131" w:rsidR="0070418B" w:rsidRPr="00C36B84" w:rsidRDefault="0070418B" w:rsidP="00AD11DC">
      <w:pPr>
        <w:pStyle w:val="Normalnumber"/>
        <w:numPr>
          <w:ilvl w:val="0"/>
          <w:numId w:val="8"/>
        </w:numPr>
        <w:rPr>
          <w:rFonts w:eastAsia="MS Mincho"/>
          <w:bCs/>
          <w:iCs/>
          <w:lang w:val="fr-FR"/>
        </w:rPr>
      </w:pPr>
      <w:r w:rsidRPr="00C36B84">
        <w:rPr>
          <w:lang w:val="fr-FR"/>
        </w:rPr>
        <w:t xml:space="preserve">Il a été </w:t>
      </w:r>
      <w:r w:rsidR="001B60ED" w:rsidRPr="00C36B84">
        <w:rPr>
          <w:lang w:val="fr-FR"/>
        </w:rPr>
        <w:t>estim</w:t>
      </w:r>
      <w:r w:rsidRPr="00C36B84">
        <w:rPr>
          <w:lang w:val="fr-FR"/>
        </w:rPr>
        <w:t xml:space="preserve">é que le </w:t>
      </w:r>
      <w:proofErr w:type="spellStart"/>
      <w:r w:rsidRPr="00C36B84">
        <w:rPr>
          <w:lang w:val="fr-FR"/>
        </w:rPr>
        <w:t>terbufos</w:t>
      </w:r>
      <w:proofErr w:type="spellEnd"/>
      <w:r w:rsidRPr="00C36B84">
        <w:rPr>
          <w:lang w:val="fr-FR"/>
        </w:rPr>
        <w:t xml:space="preserve"> et les produits contenant </w:t>
      </w:r>
      <w:r w:rsidR="00FB4F20" w:rsidRPr="00C36B84">
        <w:rPr>
          <w:lang w:val="fr-FR"/>
        </w:rPr>
        <w:t>cette matière active</w:t>
      </w:r>
      <w:r w:rsidRPr="00C36B84">
        <w:rPr>
          <w:lang w:val="fr-FR"/>
        </w:rPr>
        <w:t xml:space="preserve"> présentaient des</w:t>
      </w:r>
      <w:r w:rsidR="00F86F8E" w:rsidRPr="00C36B84">
        <w:rPr>
          <w:lang w:val="fr-FR"/>
        </w:rPr>
        <w:t> </w:t>
      </w:r>
      <w:r w:rsidRPr="00C36B84">
        <w:rPr>
          <w:lang w:val="fr-FR"/>
        </w:rPr>
        <w:t>risques inacceptables pour la santé humaine</w:t>
      </w:r>
      <w:r w:rsidR="004C5942" w:rsidRPr="00C36B84">
        <w:rPr>
          <w:lang w:val="fr-FR"/>
        </w:rPr>
        <w:t>, compte tenu</w:t>
      </w:r>
      <w:r w:rsidRPr="00C36B84">
        <w:rPr>
          <w:lang w:val="fr-FR"/>
        </w:rPr>
        <w:t xml:space="preserve"> des conditions locales d</w:t>
      </w:r>
      <w:r w:rsidR="00263978" w:rsidRPr="00C36B84">
        <w:rPr>
          <w:lang w:val="fr-FR"/>
        </w:rPr>
        <w:t>’</w:t>
      </w:r>
      <w:r w:rsidRPr="00C36B84">
        <w:rPr>
          <w:lang w:val="fr-FR"/>
        </w:rPr>
        <w:t>utilisation au</w:t>
      </w:r>
      <w:r w:rsidR="00F86F8E" w:rsidRPr="00C36B84">
        <w:rPr>
          <w:lang w:val="fr-FR"/>
        </w:rPr>
        <w:t> </w:t>
      </w:r>
      <w:r w:rsidRPr="00C36B84">
        <w:rPr>
          <w:lang w:val="fr-FR"/>
        </w:rPr>
        <w:t>Mozambique et nécessitaient des mesures d</w:t>
      </w:r>
      <w:r w:rsidR="00263978" w:rsidRPr="00C36B84">
        <w:rPr>
          <w:lang w:val="fr-FR"/>
        </w:rPr>
        <w:t>’</w:t>
      </w:r>
      <w:r w:rsidRPr="00C36B84">
        <w:rPr>
          <w:lang w:val="fr-FR"/>
        </w:rPr>
        <w:t>atténuation des risques. En conséquence, les autorités ont décidé d</w:t>
      </w:r>
      <w:r w:rsidR="00263978" w:rsidRPr="00C36B84">
        <w:rPr>
          <w:lang w:val="fr-FR"/>
        </w:rPr>
        <w:t>’</w:t>
      </w:r>
      <w:r w:rsidRPr="00C36B84">
        <w:rPr>
          <w:lang w:val="fr-FR"/>
        </w:rPr>
        <w:t xml:space="preserve">interdire toute utilisation future de </w:t>
      </w:r>
      <w:r w:rsidR="00FB4F20" w:rsidRPr="00C36B84">
        <w:rPr>
          <w:lang w:val="fr-FR"/>
        </w:rPr>
        <w:t>la matière active</w:t>
      </w:r>
      <w:r w:rsidRPr="00C36B84">
        <w:rPr>
          <w:lang w:val="fr-FR"/>
        </w:rPr>
        <w:t xml:space="preserve"> </w:t>
      </w:r>
      <w:proofErr w:type="spellStart"/>
      <w:r w:rsidRPr="00C36B84">
        <w:rPr>
          <w:lang w:val="fr-FR"/>
        </w:rPr>
        <w:t>terbufos</w:t>
      </w:r>
      <w:proofErr w:type="spellEnd"/>
      <w:r w:rsidRPr="00C36B84">
        <w:rPr>
          <w:lang w:val="fr-FR"/>
        </w:rPr>
        <w:t xml:space="preserve"> dans le pays et d</w:t>
      </w:r>
      <w:r w:rsidR="00263978" w:rsidRPr="00C36B84">
        <w:rPr>
          <w:lang w:val="fr-FR"/>
        </w:rPr>
        <w:t>’</w:t>
      </w:r>
      <w:r w:rsidRPr="00C36B84">
        <w:rPr>
          <w:lang w:val="fr-FR"/>
        </w:rPr>
        <w:t>annuler l</w:t>
      </w:r>
      <w:r w:rsidR="00263978" w:rsidRPr="00C36B84">
        <w:rPr>
          <w:lang w:val="fr-FR"/>
        </w:rPr>
        <w:t>’</w:t>
      </w:r>
      <w:r w:rsidRPr="00C36B84">
        <w:rPr>
          <w:lang w:val="fr-FR"/>
        </w:rPr>
        <w:t xml:space="preserve">homologation de tous les produits qui en contiennent (UNEP/FAO/RC/CRC.17/8/Rev.1, sections 1.3 et 2.4.2.1 de la </w:t>
      </w:r>
      <w:r w:rsidR="009A49D0" w:rsidRPr="00C36B84">
        <w:rPr>
          <w:lang w:val="fr-FR"/>
        </w:rPr>
        <w:t>notification reçue d</w:t>
      </w:r>
      <w:r w:rsidRPr="00C36B84">
        <w:rPr>
          <w:lang w:val="fr-FR"/>
        </w:rPr>
        <w:t xml:space="preserve">u Mozambique, et en particulier les informations concernant spécifiquement le </w:t>
      </w:r>
      <w:proofErr w:type="spellStart"/>
      <w:r w:rsidRPr="00C36B84">
        <w:rPr>
          <w:lang w:val="fr-FR"/>
        </w:rPr>
        <w:t>terbufos</w:t>
      </w:r>
      <w:proofErr w:type="spellEnd"/>
      <w:r w:rsidRPr="00C36B84">
        <w:rPr>
          <w:lang w:val="fr-FR"/>
        </w:rPr>
        <w:t xml:space="preserve"> contenues dans la documentation à l</w:t>
      </w:r>
      <w:r w:rsidR="00263978" w:rsidRPr="00C36B84">
        <w:rPr>
          <w:lang w:val="fr-FR"/>
        </w:rPr>
        <w:t>’</w:t>
      </w:r>
      <w:r w:rsidRPr="00C36B84">
        <w:rPr>
          <w:lang w:val="fr-FR"/>
        </w:rPr>
        <w:t>appui).</w:t>
      </w:r>
    </w:p>
    <w:p w14:paraId="7D4EF829" w14:textId="03AED0D3" w:rsidR="0070418B" w:rsidRPr="00C36B84" w:rsidRDefault="0070418B" w:rsidP="00AD11DC">
      <w:pPr>
        <w:pStyle w:val="Normalnumber"/>
        <w:numPr>
          <w:ilvl w:val="0"/>
          <w:numId w:val="8"/>
        </w:numPr>
        <w:rPr>
          <w:rFonts w:eastAsia="MS Mincho"/>
          <w:bCs/>
          <w:iCs/>
          <w:lang w:val="fr-FR"/>
        </w:rPr>
      </w:pPr>
      <w:r w:rsidRPr="00C36B84">
        <w:rPr>
          <w:lang w:val="fr-FR"/>
        </w:rPr>
        <w:t>Même si l</w:t>
      </w:r>
      <w:r w:rsidR="00263978" w:rsidRPr="00C36B84">
        <w:rPr>
          <w:lang w:val="fr-FR"/>
        </w:rPr>
        <w:t>’</w:t>
      </w:r>
      <w:r w:rsidRPr="00C36B84">
        <w:rPr>
          <w:lang w:val="fr-FR"/>
        </w:rPr>
        <w:t>évaluation des risques ne comprenait pas d</w:t>
      </w:r>
      <w:r w:rsidR="00263978" w:rsidRPr="00C36B84">
        <w:rPr>
          <w:lang w:val="fr-FR"/>
        </w:rPr>
        <w:t>’</w:t>
      </w:r>
      <w:r w:rsidRPr="00C36B84">
        <w:rPr>
          <w:lang w:val="fr-FR"/>
        </w:rPr>
        <w:t>informations spécifiques relatives à l</w:t>
      </w:r>
      <w:r w:rsidR="00263978" w:rsidRPr="00C36B84">
        <w:rPr>
          <w:lang w:val="fr-FR"/>
        </w:rPr>
        <w:t>’</w:t>
      </w:r>
      <w:r w:rsidRPr="00C36B84">
        <w:rPr>
          <w:lang w:val="fr-FR"/>
        </w:rPr>
        <w:t xml:space="preserve">exposition réelle ou mesurée des travailleurs agricoles du Mozambique au </w:t>
      </w:r>
      <w:proofErr w:type="spellStart"/>
      <w:r w:rsidRPr="00C36B84">
        <w:rPr>
          <w:lang w:val="fr-FR"/>
        </w:rPr>
        <w:t>terbufos</w:t>
      </w:r>
      <w:proofErr w:type="spellEnd"/>
      <w:r w:rsidRPr="00C36B84">
        <w:rPr>
          <w:lang w:val="fr-FR"/>
        </w:rPr>
        <w:t>, la notification et la documentation à l</w:t>
      </w:r>
      <w:r w:rsidR="00263978" w:rsidRPr="00C36B84">
        <w:rPr>
          <w:lang w:val="fr-FR"/>
        </w:rPr>
        <w:t>’</w:t>
      </w:r>
      <w:r w:rsidRPr="00C36B84">
        <w:rPr>
          <w:lang w:val="fr-FR"/>
        </w:rPr>
        <w:t>appui fournissent une évaluation des conditions d</w:t>
      </w:r>
      <w:r w:rsidR="00263978" w:rsidRPr="00C36B84">
        <w:rPr>
          <w:lang w:val="fr-FR"/>
        </w:rPr>
        <w:t>’</w:t>
      </w:r>
      <w:r w:rsidRPr="00C36B84">
        <w:rPr>
          <w:lang w:val="fr-FR"/>
        </w:rPr>
        <w:t>utilisation des pesticides prévalant dans ce pays. Alors qu</w:t>
      </w:r>
      <w:r w:rsidR="00263978" w:rsidRPr="00C36B84">
        <w:rPr>
          <w:lang w:val="fr-FR"/>
        </w:rPr>
        <w:t>’</w:t>
      </w:r>
      <w:r w:rsidRPr="00C36B84">
        <w:rPr>
          <w:lang w:val="fr-FR"/>
        </w:rPr>
        <w:t xml:space="preserve">aucune importation de formulations du </w:t>
      </w:r>
      <w:proofErr w:type="spellStart"/>
      <w:r w:rsidRPr="00C36B84">
        <w:rPr>
          <w:lang w:val="fr-FR"/>
        </w:rPr>
        <w:t>terbufos</w:t>
      </w:r>
      <w:proofErr w:type="spellEnd"/>
      <w:r w:rsidRPr="00C36B84">
        <w:rPr>
          <w:lang w:val="fr-FR"/>
        </w:rPr>
        <w:t xml:space="preserve"> n</w:t>
      </w:r>
      <w:r w:rsidR="00263978" w:rsidRPr="00C36B84">
        <w:rPr>
          <w:lang w:val="fr-FR"/>
        </w:rPr>
        <w:t>’</w:t>
      </w:r>
      <w:r w:rsidRPr="00C36B84">
        <w:rPr>
          <w:lang w:val="fr-FR"/>
        </w:rPr>
        <w:t>a été enregistrée au</w:t>
      </w:r>
      <w:r w:rsidR="00F86F8E" w:rsidRPr="00C36B84">
        <w:rPr>
          <w:lang w:val="fr-FR"/>
        </w:rPr>
        <w:t> </w:t>
      </w:r>
      <w:r w:rsidRPr="00C36B84">
        <w:rPr>
          <w:lang w:val="fr-FR"/>
        </w:rPr>
        <w:t>cours des quatre années (2010</w:t>
      </w:r>
      <w:r w:rsidR="00F86F8E" w:rsidRPr="00C36B84">
        <w:rPr>
          <w:lang w:val="fr-FR"/>
        </w:rPr>
        <w:t>–</w:t>
      </w:r>
      <w:r w:rsidRPr="00C36B84">
        <w:rPr>
          <w:lang w:val="fr-FR"/>
        </w:rPr>
        <w:t>2013) précédant et incluant la période où l</w:t>
      </w:r>
      <w:r w:rsidR="00263978" w:rsidRPr="00C36B84">
        <w:rPr>
          <w:lang w:val="fr-FR"/>
        </w:rPr>
        <w:t>’</w:t>
      </w:r>
      <w:r w:rsidRPr="00C36B84">
        <w:rPr>
          <w:lang w:val="fr-FR"/>
        </w:rPr>
        <w:t>enquête auprès des</w:t>
      </w:r>
      <w:r w:rsidR="00F86F8E" w:rsidRPr="00C36B84">
        <w:rPr>
          <w:lang w:val="fr-FR"/>
        </w:rPr>
        <w:t> </w:t>
      </w:r>
      <w:r w:rsidRPr="00C36B84">
        <w:rPr>
          <w:lang w:val="fr-FR"/>
        </w:rPr>
        <w:t>utilisateurs a été réalisée, les homologations de ces formulations sont restées valables ; dès lors, il</w:t>
      </w:r>
      <w:r w:rsidR="00F86F8E" w:rsidRPr="00C36B84">
        <w:rPr>
          <w:lang w:val="fr-FR"/>
        </w:rPr>
        <w:t> </w:t>
      </w:r>
      <w:r w:rsidRPr="00C36B84">
        <w:rPr>
          <w:lang w:val="fr-FR"/>
        </w:rPr>
        <w:t>n</w:t>
      </w:r>
      <w:r w:rsidR="00263978" w:rsidRPr="00C36B84">
        <w:rPr>
          <w:lang w:val="fr-FR"/>
        </w:rPr>
        <w:t>’</w:t>
      </w:r>
      <w:r w:rsidRPr="00C36B84">
        <w:rPr>
          <w:lang w:val="fr-FR"/>
        </w:rPr>
        <w:t>était pas possible d</w:t>
      </w:r>
      <w:r w:rsidR="00263978" w:rsidRPr="00C36B84">
        <w:rPr>
          <w:lang w:val="fr-FR"/>
        </w:rPr>
        <w:t>’</w:t>
      </w:r>
      <w:r w:rsidRPr="00C36B84">
        <w:rPr>
          <w:lang w:val="fr-FR"/>
        </w:rPr>
        <w:t>en exclure une utilisation future (UNEP/FAO/RC/CRC.17/INF/18, p. 33). Les</w:t>
      </w:r>
      <w:r w:rsidR="00F86F8E" w:rsidRPr="00C36B84">
        <w:rPr>
          <w:lang w:val="fr-FR"/>
        </w:rPr>
        <w:t> </w:t>
      </w:r>
      <w:r w:rsidRPr="00C36B84">
        <w:rPr>
          <w:lang w:val="fr-FR"/>
        </w:rPr>
        <w:t xml:space="preserve">utilisations homologuées pour les formulations du </w:t>
      </w:r>
      <w:proofErr w:type="spellStart"/>
      <w:r w:rsidRPr="00C36B84">
        <w:rPr>
          <w:lang w:val="fr-FR"/>
        </w:rPr>
        <w:t>terbufos</w:t>
      </w:r>
      <w:proofErr w:type="spellEnd"/>
      <w:r w:rsidRPr="00C36B84">
        <w:rPr>
          <w:lang w:val="fr-FR"/>
        </w:rPr>
        <w:t xml:space="preserve"> concernaient le maïs, le sorgho, la</w:t>
      </w:r>
      <w:r w:rsidR="00F86F8E" w:rsidRPr="00C36B84">
        <w:rPr>
          <w:lang w:val="fr-FR"/>
        </w:rPr>
        <w:t> </w:t>
      </w:r>
      <w:r w:rsidRPr="00C36B84">
        <w:rPr>
          <w:lang w:val="fr-FR"/>
        </w:rPr>
        <w:t>pomme de terre et les haricots. L</w:t>
      </w:r>
      <w:r w:rsidR="00263978" w:rsidRPr="00C36B84">
        <w:rPr>
          <w:lang w:val="fr-FR"/>
        </w:rPr>
        <w:t>’</w:t>
      </w:r>
      <w:r w:rsidRPr="00C36B84">
        <w:rPr>
          <w:lang w:val="fr-FR"/>
        </w:rPr>
        <w:t>enquête menée auprès des utilisateurs portait notamment sur ces</w:t>
      </w:r>
      <w:r w:rsidR="00F86F8E" w:rsidRPr="00C36B84">
        <w:rPr>
          <w:lang w:val="fr-FR"/>
        </w:rPr>
        <w:t> </w:t>
      </w:r>
      <w:r w:rsidRPr="00C36B84">
        <w:rPr>
          <w:lang w:val="fr-FR"/>
        </w:rPr>
        <w:t>systèmes de culture, qui constituaient les cultures prédominantes dans trois des régions du Mozambique étudiées. En outre, il a été signalé que les cultures maraîchères étaient celles qui étaient le plus souvent pulvérisées de manière excessive au moyen de pesticides très dangereux, ce qui constitue un risque pour la santé humaine</w:t>
      </w:r>
      <w:r w:rsidR="004C5942" w:rsidRPr="00C36B84">
        <w:rPr>
          <w:lang w:val="fr-FR"/>
        </w:rPr>
        <w:t>, compte tenu</w:t>
      </w:r>
      <w:r w:rsidRPr="00C36B84">
        <w:rPr>
          <w:lang w:val="fr-FR"/>
        </w:rPr>
        <w:t xml:space="preserve"> des conditions d</w:t>
      </w:r>
      <w:r w:rsidR="00263978" w:rsidRPr="00C36B84">
        <w:rPr>
          <w:lang w:val="fr-FR"/>
        </w:rPr>
        <w:t>’</w:t>
      </w:r>
      <w:r w:rsidRPr="00C36B84">
        <w:rPr>
          <w:lang w:val="fr-FR"/>
        </w:rPr>
        <w:t>utilisation au niveau local (jusqu</w:t>
      </w:r>
      <w:r w:rsidR="00263978" w:rsidRPr="00C36B84">
        <w:rPr>
          <w:lang w:val="fr-FR"/>
        </w:rPr>
        <w:t>’</w:t>
      </w:r>
      <w:r w:rsidRPr="00C36B84">
        <w:rPr>
          <w:lang w:val="fr-FR"/>
        </w:rPr>
        <w:t xml:space="preserve">à 14 applications par </w:t>
      </w:r>
      <w:r w:rsidR="001B60ED" w:rsidRPr="00C36B84">
        <w:rPr>
          <w:lang w:val="fr-FR"/>
        </w:rPr>
        <w:t>campagne</w:t>
      </w:r>
      <w:r w:rsidRPr="00C36B84">
        <w:rPr>
          <w:lang w:val="fr-FR"/>
        </w:rPr>
        <w:t>) (UNEP/FAO/RC/CRC.17/INF/18, p. 52</w:t>
      </w:r>
      <w:r w:rsidR="00F86F8E" w:rsidRPr="00C36B84">
        <w:rPr>
          <w:lang w:val="fr-FR"/>
        </w:rPr>
        <w:t xml:space="preserve"> à </w:t>
      </w:r>
      <w:r w:rsidRPr="00C36B84">
        <w:rPr>
          <w:lang w:val="fr-FR"/>
        </w:rPr>
        <w:t>77). La notification et la documentation à l</w:t>
      </w:r>
      <w:r w:rsidR="00263978" w:rsidRPr="00C36B84">
        <w:rPr>
          <w:lang w:val="fr-FR"/>
        </w:rPr>
        <w:t>’</w:t>
      </w:r>
      <w:r w:rsidRPr="00C36B84">
        <w:rPr>
          <w:lang w:val="fr-FR"/>
        </w:rPr>
        <w:t>appui indiquent que l</w:t>
      </w:r>
      <w:r w:rsidR="00263978" w:rsidRPr="00C36B84">
        <w:rPr>
          <w:lang w:val="fr-FR"/>
        </w:rPr>
        <w:t>’</w:t>
      </w:r>
      <w:r w:rsidRPr="00C36B84">
        <w:rPr>
          <w:lang w:val="fr-FR"/>
        </w:rPr>
        <w:t xml:space="preserve">utilisation des pesticides en général, et des pesticides très dangereux (comme le </w:t>
      </w:r>
      <w:proofErr w:type="spellStart"/>
      <w:r w:rsidRPr="00C36B84">
        <w:rPr>
          <w:lang w:val="fr-FR"/>
        </w:rPr>
        <w:t>terbufos</w:t>
      </w:r>
      <w:proofErr w:type="spellEnd"/>
      <w:r w:rsidRPr="00C36B84">
        <w:rPr>
          <w:lang w:val="fr-FR"/>
        </w:rPr>
        <w:t>) en particulier, était susceptible d</w:t>
      </w:r>
      <w:r w:rsidR="00263978" w:rsidRPr="00C36B84">
        <w:rPr>
          <w:lang w:val="fr-FR"/>
        </w:rPr>
        <w:t>’</w:t>
      </w:r>
      <w:r w:rsidRPr="00C36B84">
        <w:rPr>
          <w:lang w:val="fr-FR"/>
        </w:rPr>
        <w:t>entraîner une exposition excessive des agriculteurs</w:t>
      </w:r>
      <w:r w:rsidR="004C5942" w:rsidRPr="00C36B84">
        <w:rPr>
          <w:lang w:val="fr-FR"/>
        </w:rPr>
        <w:t>, compte tenu</w:t>
      </w:r>
      <w:r w:rsidRPr="00C36B84">
        <w:rPr>
          <w:lang w:val="fr-FR"/>
        </w:rPr>
        <w:t xml:space="preserve"> de la disponibilité, de la connaissance et de l</w:t>
      </w:r>
      <w:r w:rsidR="00263978" w:rsidRPr="00C36B84">
        <w:rPr>
          <w:lang w:val="fr-FR"/>
        </w:rPr>
        <w:t>’</w:t>
      </w:r>
      <w:r w:rsidRPr="00C36B84">
        <w:rPr>
          <w:lang w:val="fr-FR"/>
        </w:rPr>
        <w:t>utilisation des EPI chez ces</w:t>
      </w:r>
      <w:r w:rsidR="00F86F8E" w:rsidRPr="00C36B84">
        <w:rPr>
          <w:lang w:val="fr-FR"/>
        </w:rPr>
        <w:t> </w:t>
      </w:r>
      <w:r w:rsidRPr="00C36B84">
        <w:rPr>
          <w:lang w:val="fr-FR"/>
        </w:rPr>
        <w:t xml:space="preserve">derniers, ce dont témoignait le nombre élevé de </w:t>
      </w:r>
      <w:r w:rsidR="001B60ED" w:rsidRPr="00C36B84">
        <w:rPr>
          <w:lang w:val="fr-FR"/>
        </w:rPr>
        <w:t>déclaration</w:t>
      </w:r>
      <w:r w:rsidRPr="00C36B84">
        <w:rPr>
          <w:lang w:val="fr-FR"/>
        </w:rPr>
        <w:t>s d</w:t>
      </w:r>
      <w:r w:rsidR="00263978" w:rsidRPr="00C36B84">
        <w:rPr>
          <w:lang w:val="fr-FR"/>
        </w:rPr>
        <w:t>’</w:t>
      </w:r>
      <w:r w:rsidRPr="00C36B84">
        <w:rPr>
          <w:lang w:val="fr-FR"/>
        </w:rPr>
        <w:t xml:space="preserve">effets nocifs sur la santé. La mesure de réglementation finale a été prise </w:t>
      </w:r>
      <w:r w:rsidR="001B60ED" w:rsidRPr="00C36B84">
        <w:rPr>
          <w:lang w:val="fr-FR"/>
        </w:rPr>
        <w:t xml:space="preserve">comme </w:t>
      </w:r>
      <w:proofErr w:type="gramStart"/>
      <w:r w:rsidR="001B60ED" w:rsidRPr="00C36B84">
        <w:rPr>
          <w:lang w:val="fr-FR"/>
        </w:rPr>
        <w:t>suite</w:t>
      </w:r>
      <w:r w:rsidRPr="00C36B84">
        <w:rPr>
          <w:lang w:val="fr-FR"/>
        </w:rPr>
        <w:t xml:space="preserve"> à</w:t>
      </w:r>
      <w:proofErr w:type="gramEnd"/>
      <w:r w:rsidRPr="00C36B84">
        <w:rPr>
          <w:lang w:val="fr-FR"/>
        </w:rPr>
        <w:t xml:space="preserve"> l</w:t>
      </w:r>
      <w:r w:rsidR="00263978" w:rsidRPr="00C36B84">
        <w:rPr>
          <w:lang w:val="fr-FR"/>
        </w:rPr>
        <w:t>’</w:t>
      </w:r>
      <w:r w:rsidRPr="00C36B84">
        <w:rPr>
          <w:lang w:val="fr-FR"/>
        </w:rPr>
        <w:t>objectif national de réduction des risques les plus importants liés à l</w:t>
      </w:r>
      <w:r w:rsidR="00263978" w:rsidRPr="00C36B84">
        <w:rPr>
          <w:lang w:val="fr-FR"/>
        </w:rPr>
        <w:t>’</w:t>
      </w:r>
      <w:r w:rsidRPr="00C36B84">
        <w:rPr>
          <w:lang w:val="fr-FR"/>
        </w:rPr>
        <w:t>utilisation des pesticides que s</w:t>
      </w:r>
      <w:r w:rsidR="00263978" w:rsidRPr="00C36B84">
        <w:rPr>
          <w:lang w:val="fr-FR"/>
        </w:rPr>
        <w:t>’</w:t>
      </w:r>
      <w:r w:rsidRPr="00C36B84">
        <w:rPr>
          <w:lang w:val="fr-FR"/>
        </w:rPr>
        <w:t>était fixé le Mozambique.</w:t>
      </w:r>
    </w:p>
    <w:p w14:paraId="599327D1" w14:textId="2E05A516" w:rsidR="0070418B" w:rsidRPr="00C36B84" w:rsidRDefault="0070418B" w:rsidP="00AD11DC">
      <w:pPr>
        <w:pStyle w:val="Normalnumber"/>
        <w:numPr>
          <w:ilvl w:val="0"/>
          <w:numId w:val="8"/>
        </w:numPr>
        <w:rPr>
          <w:rFonts w:eastAsia="MS Mincho"/>
          <w:bCs/>
          <w:iCs/>
          <w:lang w:val="fr-FR"/>
        </w:rPr>
      </w:pPr>
      <w:r w:rsidRPr="00C36B84">
        <w:rPr>
          <w:lang w:val="fr-FR"/>
        </w:rPr>
        <w:t>Il pouvait être considéré que l</w:t>
      </w:r>
      <w:r w:rsidR="00263978" w:rsidRPr="00C36B84">
        <w:rPr>
          <w:lang w:val="fr-FR"/>
        </w:rPr>
        <w:t>’</w:t>
      </w:r>
      <w:r w:rsidRPr="00C36B84">
        <w:rPr>
          <w:lang w:val="fr-FR"/>
        </w:rPr>
        <w:t>objectif du Mozambique visant à élaborer et à mettre en œuvre un plan d</w:t>
      </w:r>
      <w:r w:rsidR="00263978" w:rsidRPr="00C36B84">
        <w:rPr>
          <w:lang w:val="fr-FR"/>
        </w:rPr>
        <w:t>’</w:t>
      </w:r>
      <w:r w:rsidRPr="00C36B84">
        <w:rPr>
          <w:lang w:val="fr-FR"/>
        </w:rPr>
        <w:t>action pour la réduction des risques liés aux pesticides très dangereux constituait une</w:t>
      </w:r>
      <w:r w:rsidR="00F86F8E" w:rsidRPr="00C36B84">
        <w:rPr>
          <w:lang w:val="fr-FR"/>
        </w:rPr>
        <w:t> </w:t>
      </w:r>
      <w:r w:rsidRPr="00C36B84">
        <w:rPr>
          <w:lang w:val="fr-FR"/>
        </w:rPr>
        <w:t>politique nationale en vertu de laquelle les pesticides en question ne devaient pas être homologués, partant du principe que les conditions d</w:t>
      </w:r>
      <w:r w:rsidR="00263978" w:rsidRPr="00C36B84">
        <w:rPr>
          <w:lang w:val="fr-FR"/>
        </w:rPr>
        <w:t>’</w:t>
      </w:r>
      <w:r w:rsidRPr="00C36B84">
        <w:rPr>
          <w:lang w:val="fr-FR"/>
        </w:rPr>
        <w:t xml:space="preserve">utilisation prévalant dans le pays entraîneraient des risques inacceptables pour les travailleurs agricoles. Le </w:t>
      </w:r>
      <w:proofErr w:type="spellStart"/>
      <w:r w:rsidRPr="00C36B84">
        <w:rPr>
          <w:lang w:val="fr-FR"/>
        </w:rPr>
        <w:t>terbufos</w:t>
      </w:r>
      <w:proofErr w:type="spellEnd"/>
      <w:r w:rsidRPr="00C36B84">
        <w:rPr>
          <w:lang w:val="fr-FR"/>
        </w:rPr>
        <w:t xml:space="preserve"> et les formulations du </w:t>
      </w:r>
      <w:proofErr w:type="spellStart"/>
      <w:r w:rsidRPr="00C36B84">
        <w:rPr>
          <w:lang w:val="fr-FR"/>
        </w:rPr>
        <w:t>terbufos</w:t>
      </w:r>
      <w:proofErr w:type="spellEnd"/>
      <w:r w:rsidRPr="00C36B84">
        <w:rPr>
          <w:lang w:val="fr-FR"/>
        </w:rPr>
        <w:t xml:space="preserve"> homologuées au Mozambique ont été répertoriés en tant que pesticides très dangereux puisqu</w:t>
      </w:r>
      <w:r w:rsidR="00263978" w:rsidRPr="00C36B84">
        <w:rPr>
          <w:lang w:val="fr-FR"/>
        </w:rPr>
        <w:t>’</w:t>
      </w:r>
      <w:r w:rsidRPr="00C36B84">
        <w:rPr>
          <w:lang w:val="fr-FR"/>
        </w:rPr>
        <w:t>ils sont classés dans la</w:t>
      </w:r>
      <w:r w:rsidR="00F86F8E" w:rsidRPr="00C36B84">
        <w:rPr>
          <w:lang w:val="fr-FR"/>
        </w:rPr>
        <w:t> </w:t>
      </w:r>
      <w:r w:rsidRPr="00C36B84">
        <w:rPr>
          <w:lang w:val="fr-FR"/>
        </w:rPr>
        <w:t>classe Ia « Extrêmement dangereux » de la Classification OMS. En conséquence, compte tenu de l</w:t>
      </w:r>
      <w:r w:rsidR="00263978" w:rsidRPr="00C36B84">
        <w:rPr>
          <w:lang w:val="fr-FR"/>
        </w:rPr>
        <w:t>’</w:t>
      </w:r>
      <w:r w:rsidRPr="00C36B84">
        <w:rPr>
          <w:lang w:val="fr-FR"/>
        </w:rPr>
        <w:t xml:space="preserve">objectif national de réduction des risques liés aux pesticides les plus dangereux, notamment </w:t>
      </w:r>
      <w:r w:rsidRPr="00C36B84">
        <w:rPr>
          <w:lang w:val="fr-FR"/>
        </w:rPr>
        <w:lastRenderedPageBreak/>
        <w:t>aux</w:t>
      </w:r>
      <w:r w:rsidR="00F86F8E" w:rsidRPr="00C36B84">
        <w:rPr>
          <w:lang w:val="fr-FR"/>
        </w:rPr>
        <w:t> </w:t>
      </w:r>
      <w:r w:rsidRPr="00C36B84">
        <w:rPr>
          <w:lang w:val="fr-FR"/>
        </w:rPr>
        <w:t>pesticides très dangereux, les résultats de l</w:t>
      </w:r>
      <w:r w:rsidR="00263978" w:rsidRPr="00C36B84">
        <w:rPr>
          <w:lang w:val="fr-FR"/>
        </w:rPr>
        <w:t>’</w:t>
      </w:r>
      <w:r w:rsidRPr="00C36B84">
        <w:rPr>
          <w:lang w:val="fr-FR"/>
        </w:rPr>
        <w:t>enquête sur les pratiques en matière d</w:t>
      </w:r>
      <w:r w:rsidR="00263978" w:rsidRPr="00C36B84">
        <w:rPr>
          <w:lang w:val="fr-FR"/>
        </w:rPr>
        <w:t>’</w:t>
      </w:r>
      <w:r w:rsidRPr="00C36B84">
        <w:rPr>
          <w:lang w:val="fr-FR"/>
        </w:rPr>
        <w:t>utilisation des</w:t>
      </w:r>
      <w:r w:rsidR="00F86F8E" w:rsidRPr="00C36B84">
        <w:rPr>
          <w:lang w:val="fr-FR"/>
        </w:rPr>
        <w:t> </w:t>
      </w:r>
      <w:r w:rsidRPr="00C36B84">
        <w:rPr>
          <w:lang w:val="fr-FR"/>
        </w:rPr>
        <w:t>pesticides dans certains systèmes de culture au Mozambique (dont certaines sont représentatives de l</w:t>
      </w:r>
      <w:r w:rsidR="00263978" w:rsidRPr="00C36B84">
        <w:rPr>
          <w:lang w:val="fr-FR"/>
        </w:rPr>
        <w:t>’</w:t>
      </w:r>
      <w:r w:rsidRPr="00C36B84">
        <w:rPr>
          <w:lang w:val="fr-FR"/>
        </w:rPr>
        <w:t xml:space="preserve">utilisation potentielle du </w:t>
      </w:r>
      <w:proofErr w:type="spellStart"/>
      <w:r w:rsidRPr="00C36B84">
        <w:rPr>
          <w:lang w:val="fr-FR"/>
        </w:rPr>
        <w:t>terbufos</w:t>
      </w:r>
      <w:proofErr w:type="spellEnd"/>
      <w:r w:rsidRPr="00C36B84">
        <w:rPr>
          <w:lang w:val="fr-FR"/>
        </w:rPr>
        <w:t xml:space="preserve">), qui ont notamment mis en évidence </w:t>
      </w:r>
      <w:r w:rsidR="001B60ED" w:rsidRPr="00C36B84">
        <w:rPr>
          <w:lang w:val="fr-FR"/>
        </w:rPr>
        <w:t>l</w:t>
      </w:r>
      <w:r w:rsidR="00263978" w:rsidRPr="00C36B84">
        <w:rPr>
          <w:lang w:val="fr-FR"/>
        </w:rPr>
        <w:t>’</w:t>
      </w:r>
      <w:r w:rsidR="001B60ED" w:rsidRPr="00C36B84">
        <w:rPr>
          <w:lang w:val="fr-FR"/>
        </w:rPr>
        <w:t>insuffisance de la</w:t>
      </w:r>
      <w:r w:rsidR="00F86F8E" w:rsidRPr="00C36B84">
        <w:rPr>
          <w:lang w:val="fr-FR"/>
        </w:rPr>
        <w:t> </w:t>
      </w:r>
      <w:r w:rsidRPr="00C36B84">
        <w:rPr>
          <w:lang w:val="fr-FR"/>
        </w:rPr>
        <w:t>dispo</w:t>
      </w:r>
      <w:r w:rsidR="001B60ED" w:rsidRPr="00C36B84">
        <w:rPr>
          <w:lang w:val="fr-FR"/>
        </w:rPr>
        <w:t>nibilité</w:t>
      </w:r>
      <w:r w:rsidRPr="00C36B84">
        <w:rPr>
          <w:lang w:val="fr-FR"/>
        </w:rPr>
        <w:t xml:space="preserve"> et </w:t>
      </w:r>
      <w:r w:rsidR="001B60ED" w:rsidRPr="00C36B84">
        <w:rPr>
          <w:lang w:val="fr-FR"/>
        </w:rPr>
        <w:t>de l</w:t>
      </w:r>
      <w:r w:rsidR="00263978" w:rsidRPr="00C36B84">
        <w:rPr>
          <w:lang w:val="fr-FR"/>
        </w:rPr>
        <w:t>’</w:t>
      </w:r>
      <w:r w:rsidRPr="00C36B84">
        <w:rPr>
          <w:lang w:val="fr-FR"/>
        </w:rPr>
        <w:t xml:space="preserve">utilisation </w:t>
      </w:r>
      <w:r w:rsidR="001B60ED" w:rsidRPr="00C36B84">
        <w:rPr>
          <w:lang w:val="fr-FR"/>
        </w:rPr>
        <w:t>d</w:t>
      </w:r>
      <w:r w:rsidR="00263978" w:rsidRPr="00C36B84">
        <w:rPr>
          <w:lang w:val="fr-FR"/>
        </w:rPr>
        <w:t>’</w:t>
      </w:r>
      <w:r w:rsidRPr="00C36B84">
        <w:rPr>
          <w:lang w:val="fr-FR"/>
        </w:rPr>
        <w:t xml:space="preserve">EPI, et la toxicité aiguë élevée du </w:t>
      </w:r>
      <w:proofErr w:type="spellStart"/>
      <w:r w:rsidRPr="00C36B84">
        <w:rPr>
          <w:lang w:val="fr-FR"/>
        </w:rPr>
        <w:t>terbufos</w:t>
      </w:r>
      <w:proofErr w:type="spellEnd"/>
      <w:r w:rsidRPr="00C36B84">
        <w:rPr>
          <w:lang w:val="fr-FR"/>
        </w:rPr>
        <w:t xml:space="preserve"> (classe Ia « Extrêmement dangereux » de la Classification OMS), il est conclu que la mesure de réglementation finale est fondée sur une évaluation des risques tenant compte des circonstances propres à la Partie qui a pris la mesure.</w:t>
      </w:r>
    </w:p>
    <w:p w14:paraId="7D6B5E8E" w14:textId="3B6096BA" w:rsidR="0070418B" w:rsidRPr="00C36B84" w:rsidRDefault="0070418B" w:rsidP="00AD11DC">
      <w:pPr>
        <w:pStyle w:val="Normalnumber"/>
        <w:numPr>
          <w:ilvl w:val="0"/>
          <w:numId w:val="8"/>
        </w:numPr>
        <w:rPr>
          <w:rFonts w:eastAsia="MS Mincho"/>
          <w:iCs/>
          <w:lang w:val="fr-FR"/>
        </w:rPr>
      </w:pPr>
      <w:r w:rsidRPr="00C36B84">
        <w:rPr>
          <w:lang w:val="fr-FR"/>
        </w:rPr>
        <w:t>En conséquence, le Comité confirme que le critère énoncé au paragraphe b), alinéa iii), de</w:t>
      </w:r>
      <w:r w:rsidR="00F86F8E" w:rsidRPr="00C36B84">
        <w:rPr>
          <w:lang w:val="fr-FR"/>
        </w:rPr>
        <w:t> </w:t>
      </w:r>
      <w:r w:rsidRPr="00C36B84">
        <w:rPr>
          <w:lang w:val="fr-FR"/>
        </w:rPr>
        <w:t>l</w:t>
      </w:r>
      <w:r w:rsidR="00263978" w:rsidRPr="00C36B84">
        <w:rPr>
          <w:lang w:val="fr-FR"/>
        </w:rPr>
        <w:t>’</w:t>
      </w:r>
      <w:r w:rsidRPr="00C36B84">
        <w:rPr>
          <w:lang w:val="fr-FR"/>
        </w:rPr>
        <w:t>Annexe II est rempli.</w:t>
      </w:r>
    </w:p>
    <w:p w14:paraId="1B17616D" w14:textId="4655B4D2" w:rsidR="0070418B" w:rsidRPr="00C36B84" w:rsidRDefault="0070418B" w:rsidP="00AD11DC">
      <w:pPr>
        <w:pStyle w:val="Normalnumber"/>
        <w:numPr>
          <w:ilvl w:val="0"/>
          <w:numId w:val="8"/>
        </w:numPr>
        <w:rPr>
          <w:rFonts w:eastAsia="MS Mincho"/>
          <w:iCs/>
          <w:lang w:val="fr-FR"/>
        </w:rPr>
      </w:pPr>
      <w:r w:rsidRPr="00C36B84">
        <w:rPr>
          <w:lang w:val="fr-FR"/>
        </w:rPr>
        <w:t>Le Comité confirme que les critères énoncés au paragraphe b) de l</w:t>
      </w:r>
      <w:r w:rsidR="00263978" w:rsidRPr="00C36B84">
        <w:rPr>
          <w:lang w:val="fr-FR"/>
        </w:rPr>
        <w:t>’</w:t>
      </w:r>
      <w:r w:rsidRPr="00C36B84">
        <w:rPr>
          <w:lang w:val="fr-FR"/>
        </w:rPr>
        <w:t>Annexe II sont remplis.</w:t>
      </w:r>
    </w:p>
    <w:p w14:paraId="6B01658A" w14:textId="5A96F55F" w:rsidR="0070418B" w:rsidRPr="00C36B84" w:rsidRDefault="0070418B" w:rsidP="007E7193">
      <w:pPr>
        <w:pStyle w:val="CH3"/>
        <w:rPr>
          <w:snapToGrid w:val="0"/>
        </w:rPr>
      </w:pPr>
      <w:r w:rsidRPr="00C36B84">
        <w:rPr>
          <w:snapToGrid w:val="0"/>
        </w:rPr>
        <w:tab/>
        <w:t>d)</w:t>
      </w:r>
      <w:r w:rsidRPr="00C36B84">
        <w:rPr>
          <w:snapToGrid w:val="0"/>
        </w:rPr>
        <w:tab/>
        <w:t>Critères énoncés au paragraphe c) de l</w:t>
      </w:r>
      <w:r w:rsidR="00263978" w:rsidRPr="00C36B84">
        <w:rPr>
          <w:snapToGrid w:val="0"/>
        </w:rPr>
        <w:t>’</w:t>
      </w:r>
      <w:r w:rsidRPr="00C36B84">
        <w:rPr>
          <w:snapToGrid w:val="0"/>
        </w:rPr>
        <w:t>Annexe II</w:t>
      </w:r>
    </w:p>
    <w:p w14:paraId="2FA16242" w14:textId="43083F14" w:rsidR="0070418B" w:rsidRPr="00C36B84" w:rsidRDefault="007E7193" w:rsidP="007E7193">
      <w:pPr>
        <w:pStyle w:val="NormalNonumber"/>
        <w:rPr>
          <w:i/>
        </w:rPr>
      </w:pPr>
      <w:r w:rsidRPr="00C36B84">
        <w:rPr>
          <w:i/>
        </w:rPr>
        <w:tab/>
      </w:r>
      <w:r w:rsidR="0070418B" w:rsidRPr="00C36B84">
        <w:rPr>
          <w:i/>
        </w:rPr>
        <w:t>c)</w:t>
      </w:r>
      <w:r w:rsidR="0070418B" w:rsidRPr="00C36B84">
        <w:rPr>
          <w:i/>
        </w:rPr>
        <w:tab/>
        <w:t>Détermine si la mesure de réglementation finale fournit une base suffisante pour justifier l</w:t>
      </w:r>
      <w:r w:rsidR="00263978" w:rsidRPr="00C36B84">
        <w:rPr>
          <w:i/>
        </w:rPr>
        <w:t>’</w:t>
      </w:r>
      <w:r w:rsidR="0070418B" w:rsidRPr="00C36B84">
        <w:rPr>
          <w:i/>
        </w:rPr>
        <w:t>inscription du produit chimique considéré à l</w:t>
      </w:r>
      <w:r w:rsidR="00263978" w:rsidRPr="00C36B84">
        <w:rPr>
          <w:i/>
        </w:rPr>
        <w:t>’</w:t>
      </w:r>
      <w:r w:rsidR="0070418B" w:rsidRPr="00C36B84">
        <w:rPr>
          <w:i/>
        </w:rPr>
        <w:t>Annexe III</w:t>
      </w:r>
      <w:r w:rsidR="004C5942" w:rsidRPr="00C36B84">
        <w:rPr>
          <w:i/>
        </w:rPr>
        <w:t>, compte tenu</w:t>
      </w:r>
      <w:r w:rsidR="0070418B" w:rsidRPr="00C36B84">
        <w:rPr>
          <w:i/>
        </w:rPr>
        <w:t xml:space="preserve"> des éléments suivants :</w:t>
      </w:r>
    </w:p>
    <w:p w14:paraId="5D435305" w14:textId="5556515C" w:rsidR="0070418B" w:rsidRPr="00C36B84" w:rsidRDefault="007E7193" w:rsidP="007E7193">
      <w:pPr>
        <w:pStyle w:val="NormalNonumber"/>
        <w:ind w:left="2381" w:hanging="1134"/>
        <w:rPr>
          <w:i/>
        </w:rPr>
      </w:pPr>
      <w:r w:rsidRPr="00C36B84">
        <w:rPr>
          <w:i/>
        </w:rPr>
        <w:tab/>
      </w:r>
      <w:r w:rsidR="0070418B" w:rsidRPr="00C36B84">
        <w:rPr>
          <w:i/>
        </w:rPr>
        <w:t>i)</w:t>
      </w:r>
      <w:r w:rsidR="0070418B" w:rsidRPr="00C36B84">
        <w:rPr>
          <w:i/>
        </w:rPr>
        <w:tab/>
        <w:t>La mesure de réglementation finale a-t-elle entraîné, ou devrait-elle entraîner, une</w:t>
      </w:r>
      <w:r w:rsidRPr="00C36B84">
        <w:rPr>
          <w:i/>
        </w:rPr>
        <w:t> </w:t>
      </w:r>
      <w:r w:rsidR="0070418B" w:rsidRPr="00C36B84">
        <w:rPr>
          <w:i/>
        </w:rPr>
        <w:t>diminution sensible de la consommation du produit chimique ou du nombre de ses</w:t>
      </w:r>
      <w:r w:rsidRPr="00C36B84">
        <w:rPr>
          <w:i/>
        </w:rPr>
        <w:t> </w:t>
      </w:r>
      <w:r w:rsidR="0070418B" w:rsidRPr="00C36B84">
        <w:rPr>
          <w:i/>
        </w:rPr>
        <w:t>emplois ?</w:t>
      </w:r>
    </w:p>
    <w:p w14:paraId="7AD4C6DF" w14:textId="2296C4AF" w:rsidR="0070418B" w:rsidRPr="00C36B84" w:rsidRDefault="00A61F04" w:rsidP="00AD11DC">
      <w:pPr>
        <w:pStyle w:val="Normalnumber"/>
        <w:numPr>
          <w:ilvl w:val="0"/>
          <w:numId w:val="8"/>
        </w:numPr>
        <w:rPr>
          <w:rFonts w:eastAsia="MS Mincho"/>
          <w:iCs/>
          <w:lang w:val="fr-FR"/>
        </w:rPr>
      </w:pPr>
      <w:r w:rsidRPr="00C36B84">
        <w:rPr>
          <w:lang w:val="fr-FR"/>
        </w:rPr>
        <w:t>La notification précise qu</w:t>
      </w:r>
      <w:r w:rsidR="00263978" w:rsidRPr="00C36B84">
        <w:rPr>
          <w:lang w:val="fr-FR"/>
        </w:rPr>
        <w:t>’</w:t>
      </w:r>
      <w:r w:rsidRPr="00C36B84">
        <w:rPr>
          <w:lang w:val="fr-FR"/>
        </w:rPr>
        <w:t>avant l</w:t>
      </w:r>
      <w:r w:rsidR="00263978" w:rsidRPr="00C36B84">
        <w:rPr>
          <w:lang w:val="fr-FR"/>
        </w:rPr>
        <w:t>’</w:t>
      </w:r>
      <w:r w:rsidRPr="00C36B84">
        <w:rPr>
          <w:lang w:val="fr-FR"/>
        </w:rPr>
        <w:t>entrée en vigueur de la mesure de réglementation le</w:t>
      </w:r>
      <w:r w:rsidR="00F86F8E" w:rsidRPr="00C36B84">
        <w:rPr>
          <w:lang w:val="fr-FR"/>
        </w:rPr>
        <w:t> </w:t>
      </w:r>
      <w:r w:rsidRPr="00C36B84">
        <w:rPr>
          <w:lang w:val="fr-FR"/>
        </w:rPr>
        <w:t xml:space="preserve">15 juillet 2014, le </w:t>
      </w:r>
      <w:proofErr w:type="spellStart"/>
      <w:r w:rsidRPr="00C36B84">
        <w:rPr>
          <w:lang w:val="fr-FR"/>
        </w:rPr>
        <w:t>terbufos</w:t>
      </w:r>
      <w:proofErr w:type="spellEnd"/>
      <w:r w:rsidRPr="00C36B84">
        <w:rPr>
          <w:lang w:val="fr-FR"/>
        </w:rPr>
        <w:t xml:space="preserve"> était homologué pour être utilisé en tant qu</w:t>
      </w:r>
      <w:r w:rsidR="00263978" w:rsidRPr="00C36B84">
        <w:rPr>
          <w:lang w:val="fr-FR"/>
        </w:rPr>
        <w:t>’</w:t>
      </w:r>
      <w:r w:rsidRPr="00C36B84">
        <w:rPr>
          <w:lang w:val="fr-FR"/>
        </w:rPr>
        <w:t>insecticide sur le maïs, le</w:t>
      </w:r>
      <w:r w:rsidR="00F86F8E" w:rsidRPr="00C36B84">
        <w:rPr>
          <w:lang w:val="fr-FR"/>
        </w:rPr>
        <w:t> </w:t>
      </w:r>
      <w:r w:rsidRPr="00C36B84">
        <w:rPr>
          <w:lang w:val="fr-FR"/>
        </w:rPr>
        <w:t>sorgho, la pomme de terre et les haricots. La notification indique également les quantités des</w:t>
      </w:r>
      <w:r w:rsidR="00F86F8E" w:rsidRPr="00C36B84">
        <w:rPr>
          <w:lang w:val="fr-FR"/>
        </w:rPr>
        <w:t> </w:t>
      </w:r>
      <w:r w:rsidRPr="00C36B84">
        <w:rPr>
          <w:lang w:val="fr-FR"/>
        </w:rPr>
        <w:t>formulations importées pour les années 2008 (4 650 kg) et 2009 (6 750 kg) (UNEP/FAO/RC/CRC.17/8/Rev.1, sections</w:t>
      </w:r>
      <w:r w:rsidR="00F86F8E" w:rsidRPr="00C36B84">
        <w:rPr>
          <w:lang w:val="fr-FR"/>
        </w:rPr>
        <w:t> </w:t>
      </w:r>
      <w:r w:rsidRPr="00C36B84">
        <w:rPr>
          <w:lang w:val="fr-FR"/>
        </w:rPr>
        <w:t xml:space="preserve">2.3.1 et 2.5.1 de la </w:t>
      </w:r>
      <w:r w:rsidR="009A49D0" w:rsidRPr="00C36B84">
        <w:rPr>
          <w:lang w:val="fr-FR"/>
        </w:rPr>
        <w:t>notification reçue d</w:t>
      </w:r>
      <w:r w:rsidRPr="00C36B84">
        <w:rPr>
          <w:lang w:val="fr-FR"/>
        </w:rPr>
        <w:t>u Mozambique).</w:t>
      </w:r>
    </w:p>
    <w:p w14:paraId="4FDE53F8" w14:textId="00C412D7" w:rsidR="0070418B" w:rsidRPr="00C36B84" w:rsidRDefault="0070418B" w:rsidP="00AD11DC">
      <w:pPr>
        <w:pStyle w:val="Normalnumber"/>
        <w:numPr>
          <w:ilvl w:val="0"/>
          <w:numId w:val="8"/>
        </w:numPr>
        <w:rPr>
          <w:rFonts w:eastAsia="MS Mincho"/>
          <w:iCs/>
          <w:lang w:val="fr-FR"/>
        </w:rPr>
      </w:pPr>
      <w:r w:rsidRPr="00C36B84">
        <w:rPr>
          <w:lang w:val="fr-FR"/>
        </w:rPr>
        <w:t>La mesure de réglementation finale a interdit l</w:t>
      </w:r>
      <w:r w:rsidR="00263978" w:rsidRPr="00C36B84">
        <w:rPr>
          <w:lang w:val="fr-FR"/>
        </w:rPr>
        <w:t>’</w:t>
      </w:r>
      <w:r w:rsidRPr="00C36B84">
        <w:rPr>
          <w:lang w:val="fr-FR"/>
        </w:rPr>
        <w:t>importation et l</w:t>
      </w:r>
      <w:r w:rsidR="00263978" w:rsidRPr="00C36B84">
        <w:rPr>
          <w:lang w:val="fr-FR"/>
        </w:rPr>
        <w:t>’</w:t>
      </w:r>
      <w:r w:rsidRPr="00C36B84">
        <w:rPr>
          <w:lang w:val="fr-FR"/>
        </w:rPr>
        <w:t xml:space="preserve">utilisation du </w:t>
      </w:r>
      <w:proofErr w:type="spellStart"/>
      <w:r w:rsidRPr="00C36B84">
        <w:rPr>
          <w:lang w:val="fr-FR"/>
        </w:rPr>
        <w:t>terbufos</w:t>
      </w:r>
      <w:proofErr w:type="spellEnd"/>
      <w:r w:rsidRPr="00C36B84">
        <w:rPr>
          <w:lang w:val="fr-FR"/>
        </w:rPr>
        <w:t xml:space="preserve"> au Mozambique et annulé l</w:t>
      </w:r>
      <w:r w:rsidR="00263978" w:rsidRPr="00C36B84">
        <w:rPr>
          <w:lang w:val="fr-FR"/>
        </w:rPr>
        <w:t>’</w:t>
      </w:r>
      <w:r w:rsidRPr="00C36B84">
        <w:rPr>
          <w:lang w:val="fr-FR"/>
        </w:rPr>
        <w:t xml:space="preserve">homologation de tous les produits </w:t>
      </w:r>
      <w:r w:rsidR="00722EF8" w:rsidRPr="00C36B84">
        <w:rPr>
          <w:lang w:val="fr-FR"/>
        </w:rPr>
        <w:t xml:space="preserve">en </w:t>
      </w:r>
      <w:r w:rsidRPr="00C36B84">
        <w:rPr>
          <w:lang w:val="fr-FR"/>
        </w:rPr>
        <w:t xml:space="preserve">contenant. </w:t>
      </w:r>
      <w:r w:rsidR="003179C9" w:rsidRPr="00C36B84">
        <w:rPr>
          <w:lang w:val="fr-FR"/>
        </w:rPr>
        <w:t xml:space="preserve">Elle </w:t>
      </w:r>
      <w:r w:rsidRPr="00C36B84">
        <w:rPr>
          <w:lang w:val="fr-FR"/>
        </w:rPr>
        <w:t xml:space="preserve">devrait donc entraîner une réduction importante de la </w:t>
      </w:r>
      <w:r w:rsidR="003179C9" w:rsidRPr="00C36B84">
        <w:rPr>
          <w:lang w:val="fr-FR"/>
        </w:rPr>
        <w:t>consommation de ce</w:t>
      </w:r>
      <w:r w:rsidRPr="00C36B84">
        <w:rPr>
          <w:lang w:val="fr-FR"/>
        </w:rPr>
        <w:t xml:space="preserve"> produit chimique.</w:t>
      </w:r>
    </w:p>
    <w:p w14:paraId="7042121B" w14:textId="77A4C5A5" w:rsidR="00F23195" w:rsidRPr="00C36B84" w:rsidRDefault="0070418B" w:rsidP="00AD11DC">
      <w:pPr>
        <w:pStyle w:val="Normalnumber"/>
        <w:numPr>
          <w:ilvl w:val="0"/>
          <w:numId w:val="8"/>
        </w:numPr>
        <w:rPr>
          <w:lang w:val="fr-FR"/>
        </w:rPr>
      </w:pPr>
      <w:r w:rsidRPr="00C36B84">
        <w:rPr>
          <w:lang w:val="fr-FR"/>
        </w:rPr>
        <w:t>En conséquence, le Comité confirme que le critère énoncé au paragraphe c), alinéa i), est</w:t>
      </w:r>
      <w:r w:rsidR="00F86F8E" w:rsidRPr="00C36B84">
        <w:rPr>
          <w:lang w:val="fr-FR"/>
        </w:rPr>
        <w:t> </w:t>
      </w:r>
      <w:r w:rsidRPr="00C36B84">
        <w:rPr>
          <w:lang w:val="fr-FR"/>
        </w:rPr>
        <w:t>rempli.</w:t>
      </w:r>
    </w:p>
    <w:p w14:paraId="2F111F95" w14:textId="40D87023" w:rsidR="0070418B" w:rsidRPr="00C36B84" w:rsidRDefault="007E7193" w:rsidP="007E7193">
      <w:pPr>
        <w:pStyle w:val="NormalNonumber"/>
        <w:ind w:left="2381" w:hanging="1134"/>
        <w:rPr>
          <w:i/>
        </w:rPr>
      </w:pPr>
      <w:r w:rsidRPr="00C36B84">
        <w:rPr>
          <w:i/>
        </w:rPr>
        <w:tab/>
      </w:r>
      <w:r w:rsidR="0070418B" w:rsidRPr="00C36B84">
        <w:rPr>
          <w:i/>
        </w:rPr>
        <w:t>ii)</w:t>
      </w:r>
      <w:r w:rsidR="0070418B" w:rsidRPr="00C36B84">
        <w:rPr>
          <w:i/>
        </w:rPr>
        <w:tab/>
        <w:t>La mesure de réglementation finale s</w:t>
      </w:r>
      <w:r w:rsidR="00263978" w:rsidRPr="00C36B84">
        <w:rPr>
          <w:i/>
        </w:rPr>
        <w:t>’</w:t>
      </w:r>
      <w:r w:rsidR="0070418B" w:rsidRPr="00C36B84">
        <w:rPr>
          <w:i/>
        </w:rPr>
        <w:t>est-elle effectivement traduite par une diminution des risques, ou devrait-elle entraîner une diminution importante des risques, pour la</w:t>
      </w:r>
      <w:r w:rsidRPr="00C36B84">
        <w:rPr>
          <w:i/>
        </w:rPr>
        <w:t> </w:t>
      </w:r>
      <w:r w:rsidR="0070418B" w:rsidRPr="00C36B84">
        <w:rPr>
          <w:i/>
        </w:rPr>
        <w:t>santé des personnes ou l</w:t>
      </w:r>
      <w:r w:rsidR="00263978" w:rsidRPr="00C36B84">
        <w:rPr>
          <w:i/>
        </w:rPr>
        <w:t>’</w:t>
      </w:r>
      <w:r w:rsidR="0070418B" w:rsidRPr="00C36B84">
        <w:rPr>
          <w:i/>
        </w:rPr>
        <w:t>environnement dans la Partie qui a soumis la notification ?</w:t>
      </w:r>
    </w:p>
    <w:p w14:paraId="3EF56D5F" w14:textId="4D1D42B5" w:rsidR="0070418B" w:rsidRPr="00C36B84" w:rsidRDefault="0070418B" w:rsidP="00AD11DC">
      <w:pPr>
        <w:pStyle w:val="Normalnumber"/>
        <w:numPr>
          <w:ilvl w:val="0"/>
          <w:numId w:val="8"/>
        </w:numPr>
        <w:rPr>
          <w:rFonts w:eastAsia="MS Mincho"/>
          <w:iCs/>
          <w:lang w:val="fr-FR"/>
        </w:rPr>
      </w:pPr>
      <w:r w:rsidRPr="00C36B84">
        <w:rPr>
          <w:lang w:val="fr-FR"/>
        </w:rPr>
        <w:t>Étant donné que l</w:t>
      </w:r>
      <w:r w:rsidR="00263978" w:rsidRPr="00C36B84">
        <w:rPr>
          <w:lang w:val="fr-FR"/>
        </w:rPr>
        <w:t>’</w:t>
      </w:r>
      <w:r w:rsidRPr="00C36B84">
        <w:rPr>
          <w:lang w:val="fr-FR"/>
        </w:rPr>
        <w:t>interdiction de l</w:t>
      </w:r>
      <w:r w:rsidR="00263978" w:rsidRPr="00C36B84">
        <w:rPr>
          <w:lang w:val="fr-FR"/>
        </w:rPr>
        <w:t>’</w:t>
      </w:r>
      <w:r w:rsidRPr="00C36B84">
        <w:rPr>
          <w:lang w:val="fr-FR"/>
        </w:rPr>
        <w:t>importation et de l</w:t>
      </w:r>
      <w:r w:rsidR="00263978" w:rsidRPr="00C36B84">
        <w:rPr>
          <w:lang w:val="fr-FR"/>
        </w:rPr>
        <w:t>’</w:t>
      </w:r>
      <w:r w:rsidRPr="00C36B84">
        <w:rPr>
          <w:lang w:val="fr-FR"/>
        </w:rPr>
        <w:t>utilisation des produits contenant du</w:t>
      </w:r>
      <w:r w:rsidR="00F86F8E" w:rsidRPr="00C36B84">
        <w:rPr>
          <w:lang w:val="fr-FR"/>
        </w:rPr>
        <w:t> </w:t>
      </w:r>
      <w:proofErr w:type="spellStart"/>
      <w:r w:rsidRPr="00C36B84">
        <w:rPr>
          <w:lang w:val="fr-FR"/>
        </w:rPr>
        <w:t>terbufos</w:t>
      </w:r>
      <w:proofErr w:type="spellEnd"/>
      <w:r w:rsidRPr="00C36B84">
        <w:rPr>
          <w:lang w:val="fr-FR"/>
        </w:rPr>
        <w:t>, ainsi que l</w:t>
      </w:r>
      <w:r w:rsidR="00263978" w:rsidRPr="00C36B84">
        <w:rPr>
          <w:lang w:val="fr-FR"/>
        </w:rPr>
        <w:t>’</w:t>
      </w:r>
      <w:r w:rsidRPr="00C36B84">
        <w:rPr>
          <w:lang w:val="fr-FR"/>
        </w:rPr>
        <w:t xml:space="preserve">annulation de leur homologation, devraient entraîner une réduction importante de la </w:t>
      </w:r>
      <w:r w:rsidR="003179C9" w:rsidRPr="00C36B84">
        <w:rPr>
          <w:lang w:val="fr-FR"/>
        </w:rPr>
        <w:t xml:space="preserve">consommation </w:t>
      </w:r>
      <w:r w:rsidRPr="00C36B84">
        <w:rPr>
          <w:lang w:val="fr-FR"/>
        </w:rPr>
        <w:t xml:space="preserve">de </w:t>
      </w:r>
      <w:r w:rsidR="003179C9" w:rsidRPr="00C36B84">
        <w:rPr>
          <w:lang w:val="fr-FR"/>
        </w:rPr>
        <w:t xml:space="preserve">ces </w:t>
      </w:r>
      <w:r w:rsidRPr="00C36B84">
        <w:rPr>
          <w:lang w:val="fr-FR"/>
        </w:rPr>
        <w:t>produit</w:t>
      </w:r>
      <w:r w:rsidR="003179C9" w:rsidRPr="00C36B84">
        <w:rPr>
          <w:lang w:val="fr-FR"/>
        </w:rPr>
        <w:t>s</w:t>
      </w:r>
      <w:r w:rsidRPr="00C36B84">
        <w:rPr>
          <w:lang w:val="fr-FR"/>
        </w:rPr>
        <w:t xml:space="preserve"> au Mozambique, les risques pour la santé humaine devraient s</w:t>
      </w:r>
      <w:r w:rsidR="00263978" w:rsidRPr="00C36B84">
        <w:rPr>
          <w:lang w:val="fr-FR"/>
        </w:rPr>
        <w:t>’</w:t>
      </w:r>
      <w:r w:rsidRPr="00C36B84">
        <w:rPr>
          <w:lang w:val="fr-FR"/>
        </w:rPr>
        <w:t>en</w:t>
      </w:r>
      <w:r w:rsidR="00F86F8E" w:rsidRPr="00C36B84">
        <w:rPr>
          <w:lang w:val="fr-FR"/>
        </w:rPr>
        <w:t> </w:t>
      </w:r>
      <w:r w:rsidRPr="00C36B84">
        <w:rPr>
          <w:lang w:val="fr-FR"/>
        </w:rPr>
        <w:t>trouver considérablement réduits.</w:t>
      </w:r>
    </w:p>
    <w:p w14:paraId="4CF7F376" w14:textId="49E4D051" w:rsidR="00F23195" w:rsidRPr="00C36B84" w:rsidRDefault="0070418B" w:rsidP="00AD11DC">
      <w:pPr>
        <w:pStyle w:val="Normalnumber"/>
        <w:numPr>
          <w:ilvl w:val="0"/>
          <w:numId w:val="8"/>
        </w:numPr>
        <w:rPr>
          <w:lang w:val="fr-FR"/>
        </w:rPr>
      </w:pPr>
      <w:r w:rsidRPr="00C36B84">
        <w:rPr>
          <w:lang w:val="fr-FR"/>
        </w:rPr>
        <w:t>En conséquence, le Comité confirme que le critère énoncé au paragraphe c), alinéa ii), est</w:t>
      </w:r>
      <w:r w:rsidR="00F86F8E" w:rsidRPr="00C36B84">
        <w:rPr>
          <w:lang w:val="fr-FR"/>
        </w:rPr>
        <w:t> </w:t>
      </w:r>
      <w:r w:rsidRPr="00C36B84">
        <w:rPr>
          <w:lang w:val="fr-FR"/>
        </w:rPr>
        <w:t>rempli.</w:t>
      </w:r>
    </w:p>
    <w:p w14:paraId="6CC57CD7" w14:textId="4A52D212" w:rsidR="0070418B" w:rsidRPr="00C36B84" w:rsidRDefault="007E7193" w:rsidP="007E7193">
      <w:pPr>
        <w:pStyle w:val="NormalNonumber"/>
        <w:ind w:left="2381" w:hanging="1134"/>
        <w:rPr>
          <w:i/>
        </w:rPr>
      </w:pPr>
      <w:r w:rsidRPr="00C36B84">
        <w:rPr>
          <w:i/>
        </w:rPr>
        <w:tab/>
      </w:r>
      <w:r w:rsidR="0070418B" w:rsidRPr="00C36B84">
        <w:rPr>
          <w:i/>
        </w:rPr>
        <w:t>iii)</w:t>
      </w:r>
      <w:r w:rsidR="0070418B" w:rsidRPr="00C36B84">
        <w:rPr>
          <w:i/>
        </w:rPr>
        <w:tab/>
        <w:t>Les considérations qui ont mené à la mesure de réglementation finale sont-elles valables uniquement dans une zone géographique restreinte ou dans d</w:t>
      </w:r>
      <w:r w:rsidR="00263978" w:rsidRPr="00C36B84">
        <w:rPr>
          <w:i/>
        </w:rPr>
        <w:t>’</w:t>
      </w:r>
      <w:r w:rsidR="0070418B" w:rsidRPr="00C36B84">
        <w:rPr>
          <w:i/>
        </w:rPr>
        <w:t>autres circonstances particulières ?</w:t>
      </w:r>
    </w:p>
    <w:p w14:paraId="6F5326B5" w14:textId="227D3338" w:rsidR="0070418B" w:rsidRPr="00C36B84" w:rsidRDefault="0070418B" w:rsidP="00AD11DC">
      <w:pPr>
        <w:pStyle w:val="Normalnumber"/>
        <w:numPr>
          <w:ilvl w:val="0"/>
          <w:numId w:val="8"/>
        </w:numPr>
        <w:rPr>
          <w:rFonts w:eastAsia="MS Mincho"/>
          <w:iCs/>
          <w:lang w:val="fr-FR"/>
        </w:rPr>
      </w:pPr>
      <w:r w:rsidRPr="00C36B84">
        <w:rPr>
          <w:lang w:val="fr-FR"/>
        </w:rPr>
        <w:t xml:space="preserve">La notification indique que dans les pays </w:t>
      </w:r>
      <w:r w:rsidR="00C545D1" w:rsidRPr="00C36B84">
        <w:rPr>
          <w:lang w:val="fr-FR"/>
        </w:rPr>
        <w:t>présentant des conditions similaires</w:t>
      </w:r>
      <w:r w:rsidRPr="00C36B84">
        <w:rPr>
          <w:lang w:val="fr-FR"/>
        </w:rPr>
        <w:t>, ainsi que dans ceux où les agriculteurs utilisent des pesticides sans EPI, une décision semblable pourrait être prise afin de protéger la santé humaine (UNEP/FAO/RC/CRC.17/8/Rev.1, section</w:t>
      </w:r>
      <w:r w:rsidR="00CE6B46">
        <w:rPr>
          <w:lang w:val="fr-FR"/>
        </w:rPr>
        <w:t> </w:t>
      </w:r>
      <w:r w:rsidRPr="00C36B84">
        <w:rPr>
          <w:lang w:val="fr-FR"/>
        </w:rPr>
        <w:t xml:space="preserve">2.5.2 de la </w:t>
      </w:r>
      <w:r w:rsidR="009A49D0" w:rsidRPr="00C36B84">
        <w:rPr>
          <w:lang w:val="fr-FR"/>
        </w:rPr>
        <w:t>notification reçue d</w:t>
      </w:r>
      <w:r w:rsidRPr="00C36B84">
        <w:rPr>
          <w:lang w:val="fr-FR"/>
        </w:rPr>
        <w:t>u Mozambique). Les considérations qui ont conduit à la mesure de réglementation finale sont généralement valables pour d</w:t>
      </w:r>
      <w:r w:rsidR="00263978" w:rsidRPr="00C36B84">
        <w:rPr>
          <w:lang w:val="fr-FR"/>
        </w:rPr>
        <w:t>’</w:t>
      </w:r>
      <w:r w:rsidRPr="00C36B84">
        <w:rPr>
          <w:lang w:val="fr-FR"/>
        </w:rPr>
        <w:t>autres pays et ont trait à l</w:t>
      </w:r>
      <w:r w:rsidR="00263978" w:rsidRPr="00C36B84">
        <w:rPr>
          <w:lang w:val="fr-FR"/>
        </w:rPr>
        <w:t>’</w:t>
      </w:r>
      <w:r w:rsidRPr="00C36B84">
        <w:rPr>
          <w:lang w:val="fr-FR"/>
        </w:rPr>
        <w:t xml:space="preserve">utilisation prévue du </w:t>
      </w:r>
      <w:proofErr w:type="spellStart"/>
      <w:r w:rsidRPr="00C36B84">
        <w:rPr>
          <w:lang w:val="fr-FR"/>
        </w:rPr>
        <w:t>terbufos</w:t>
      </w:r>
      <w:proofErr w:type="spellEnd"/>
      <w:r w:rsidRPr="00C36B84">
        <w:rPr>
          <w:lang w:val="fr-FR"/>
        </w:rPr>
        <w:t xml:space="preserve"> en tant que</w:t>
      </w:r>
      <w:r w:rsidR="00F86F8E" w:rsidRPr="00C36B84">
        <w:rPr>
          <w:lang w:val="fr-FR"/>
        </w:rPr>
        <w:t> </w:t>
      </w:r>
      <w:r w:rsidRPr="00C36B84">
        <w:rPr>
          <w:lang w:val="fr-FR"/>
        </w:rPr>
        <w:t>pesticide.</w:t>
      </w:r>
    </w:p>
    <w:p w14:paraId="4ABD1F4F" w14:textId="4A0637CF" w:rsidR="00F23195" w:rsidRPr="00C36B84" w:rsidRDefault="0070418B" w:rsidP="00AD11DC">
      <w:pPr>
        <w:pStyle w:val="Normalnumber"/>
        <w:numPr>
          <w:ilvl w:val="0"/>
          <w:numId w:val="8"/>
        </w:numPr>
        <w:rPr>
          <w:lang w:val="fr-FR"/>
        </w:rPr>
      </w:pPr>
      <w:r w:rsidRPr="00C36B84">
        <w:rPr>
          <w:lang w:val="fr-FR"/>
        </w:rPr>
        <w:t>En conséquence, le Comité confirme que le critère énoncé au paragraphe c), alinéa iii), est</w:t>
      </w:r>
      <w:r w:rsidR="00F86F8E" w:rsidRPr="00C36B84">
        <w:rPr>
          <w:lang w:val="fr-FR"/>
        </w:rPr>
        <w:t> </w:t>
      </w:r>
      <w:r w:rsidRPr="00C36B84">
        <w:rPr>
          <w:lang w:val="fr-FR"/>
        </w:rPr>
        <w:t>rempli.</w:t>
      </w:r>
    </w:p>
    <w:p w14:paraId="12EF1F2B" w14:textId="6651D0D5" w:rsidR="0070418B" w:rsidRPr="00C36B84" w:rsidRDefault="007E7193" w:rsidP="007E7193">
      <w:pPr>
        <w:pStyle w:val="NormalNonumber"/>
        <w:ind w:left="2381" w:hanging="1134"/>
        <w:rPr>
          <w:i/>
        </w:rPr>
      </w:pPr>
      <w:r w:rsidRPr="00C36B84">
        <w:rPr>
          <w:i/>
        </w:rPr>
        <w:tab/>
      </w:r>
      <w:r w:rsidR="0070418B" w:rsidRPr="00C36B84">
        <w:rPr>
          <w:i/>
        </w:rPr>
        <w:t>iv)</w:t>
      </w:r>
      <w:r w:rsidR="0070418B" w:rsidRPr="00C36B84">
        <w:rPr>
          <w:i/>
        </w:rPr>
        <w:tab/>
        <w:t>Apparaît-il que le produit chimique considéré fait l</w:t>
      </w:r>
      <w:r w:rsidR="00263978" w:rsidRPr="00C36B84">
        <w:rPr>
          <w:i/>
        </w:rPr>
        <w:t>’</w:t>
      </w:r>
      <w:r w:rsidR="0070418B" w:rsidRPr="00C36B84">
        <w:rPr>
          <w:i/>
        </w:rPr>
        <w:t>objet d</w:t>
      </w:r>
      <w:r w:rsidR="00263978" w:rsidRPr="00C36B84">
        <w:rPr>
          <w:i/>
        </w:rPr>
        <w:t>’</w:t>
      </w:r>
      <w:r w:rsidR="0070418B" w:rsidRPr="00C36B84">
        <w:rPr>
          <w:i/>
        </w:rPr>
        <w:t>échanges commerciaux internationaux ?</w:t>
      </w:r>
    </w:p>
    <w:p w14:paraId="7A8B68EB" w14:textId="5CEA8D3C" w:rsidR="0070418B" w:rsidRPr="00C36B84" w:rsidRDefault="0070418B" w:rsidP="00AD11DC">
      <w:pPr>
        <w:pStyle w:val="Normalnumber"/>
        <w:numPr>
          <w:ilvl w:val="0"/>
          <w:numId w:val="8"/>
        </w:numPr>
        <w:rPr>
          <w:rFonts w:eastAsia="MS Mincho"/>
          <w:iCs/>
          <w:lang w:val="fr-FR"/>
        </w:rPr>
      </w:pPr>
      <w:r w:rsidRPr="00C36B84">
        <w:rPr>
          <w:lang w:val="fr-FR"/>
        </w:rPr>
        <w:t xml:space="preserve">En réponse à la demande du Secrétariat </w:t>
      </w:r>
      <w:r w:rsidR="003179C9" w:rsidRPr="00C36B84">
        <w:rPr>
          <w:lang w:val="fr-FR"/>
        </w:rPr>
        <w:t>que des informations sur le commerce international des</w:t>
      </w:r>
      <w:r w:rsidR="00F86F8E" w:rsidRPr="00C36B84">
        <w:rPr>
          <w:lang w:val="fr-FR"/>
        </w:rPr>
        <w:t> </w:t>
      </w:r>
      <w:r w:rsidR="003179C9" w:rsidRPr="00C36B84">
        <w:rPr>
          <w:lang w:val="fr-FR"/>
        </w:rPr>
        <w:t xml:space="preserve">produits chimiques candidats soient </w:t>
      </w:r>
      <w:proofErr w:type="gramStart"/>
      <w:r w:rsidR="003179C9" w:rsidRPr="00C36B84">
        <w:rPr>
          <w:lang w:val="fr-FR"/>
        </w:rPr>
        <w:t>fournies</w:t>
      </w:r>
      <w:proofErr w:type="gramEnd"/>
      <w:r w:rsidR="003179C9" w:rsidRPr="00C36B84">
        <w:rPr>
          <w:lang w:val="fr-FR"/>
        </w:rPr>
        <w:t xml:space="preserve"> au Comité à sa dix-septième réunion,</w:t>
      </w:r>
      <w:r w:rsidRPr="00C36B84">
        <w:rPr>
          <w:lang w:val="fr-FR"/>
        </w:rPr>
        <w:t xml:space="preserve"> </w:t>
      </w:r>
      <w:proofErr w:type="spellStart"/>
      <w:r w:rsidRPr="00C36B84">
        <w:rPr>
          <w:lang w:val="fr-FR"/>
        </w:rPr>
        <w:t>CropLife</w:t>
      </w:r>
      <w:proofErr w:type="spellEnd"/>
      <w:r w:rsidR="00F86F8E" w:rsidRPr="00C36B84">
        <w:rPr>
          <w:lang w:val="fr-FR"/>
        </w:rPr>
        <w:t> </w:t>
      </w:r>
      <w:r w:rsidRPr="00C36B84">
        <w:rPr>
          <w:lang w:val="fr-FR"/>
        </w:rPr>
        <w:t xml:space="preserve">International a </w:t>
      </w:r>
      <w:r w:rsidR="00F815DA" w:rsidRPr="00C36B84">
        <w:rPr>
          <w:lang w:val="fr-FR"/>
        </w:rPr>
        <w:t>confirmé que le</w:t>
      </w:r>
      <w:r w:rsidRPr="00C36B84">
        <w:rPr>
          <w:lang w:val="fr-FR"/>
        </w:rPr>
        <w:t xml:space="preserve"> </w:t>
      </w:r>
      <w:proofErr w:type="spellStart"/>
      <w:r w:rsidRPr="00C36B84">
        <w:rPr>
          <w:lang w:val="fr-FR"/>
        </w:rPr>
        <w:t>terbufos</w:t>
      </w:r>
      <w:proofErr w:type="spellEnd"/>
      <w:r w:rsidRPr="00C36B84">
        <w:rPr>
          <w:lang w:val="fr-FR"/>
        </w:rPr>
        <w:t xml:space="preserve"> </w:t>
      </w:r>
      <w:r w:rsidR="00F815DA" w:rsidRPr="00C36B84">
        <w:rPr>
          <w:lang w:val="fr-FR"/>
        </w:rPr>
        <w:t>fai</w:t>
      </w:r>
      <w:r w:rsidR="003179C9" w:rsidRPr="00C36B84">
        <w:rPr>
          <w:lang w:val="fr-FR"/>
        </w:rPr>
        <w:t>t actuellement</w:t>
      </w:r>
      <w:r w:rsidR="00F815DA" w:rsidRPr="00C36B84">
        <w:rPr>
          <w:lang w:val="fr-FR"/>
        </w:rPr>
        <w:t xml:space="preserve"> l</w:t>
      </w:r>
      <w:r w:rsidR="00263978" w:rsidRPr="00C36B84">
        <w:rPr>
          <w:lang w:val="fr-FR"/>
        </w:rPr>
        <w:t>’</w:t>
      </w:r>
      <w:r w:rsidR="00F815DA" w:rsidRPr="00C36B84">
        <w:rPr>
          <w:lang w:val="fr-FR"/>
        </w:rPr>
        <w:t>objet d</w:t>
      </w:r>
      <w:r w:rsidR="00263978" w:rsidRPr="00C36B84">
        <w:rPr>
          <w:lang w:val="fr-FR"/>
        </w:rPr>
        <w:t>’</w:t>
      </w:r>
      <w:r w:rsidR="00F815DA" w:rsidRPr="00C36B84">
        <w:rPr>
          <w:lang w:val="fr-FR"/>
        </w:rPr>
        <w:t>un tel commerce par des</w:t>
      </w:r>
      <w:r w:rsidR="00F86F8E" w:rsidRPr="00C36B84">
        <w:rPr>
          <w:lang w:val="fr-FR"/>
        </w:rPr>
        <w:t> </w:t>
      </w:r>
      <w:r w:rsidR="00F815DA" w:rsidRPr="00C36B84">
        <w:rPr>
          <w:lang w:val="fr-FR"/>
        </w:rPr>
        <w:t xml:space="preserve">entreprises qui ne lui </w:t>
      </w:r>
      <w:r w:rsidR="003179C9" w:rsidRPr="00C36B84">
        <w:rPr>
          <w:lang w:val="fr-FR"/>
        </w:rPr>
        <w:t xml:space="preserve">sont </w:t>
      </w:r>
      <w:r w:rsidR="00F815DA" w:rsidRPr="00C36B84">
        <w:rPr>
          <w:lang w:val="fr-FR"/>
        </w:rPr>
        <w:t>pas affiliées</w:t>
      </w:r>
      <w:r w:rsidRPr="00C36B84">
        <w:rPr>
          <w:lang w:val="fr-FR"/>
        </w:rPr>
        <w:t xml:space="preserve"> (UNEP/FAO/RC/CRC.17/INF/5).</w:t>
      </w:r>
    </w:p>
    <w:p w14:paraId="5144F755" w14:textId="0353D6F7" w:rsidR="0070418B" w:rsidRPr="00C36B84" w:rsidRDefault="0070418B" w:rsidP="00AD11DC">
      <w:pPr>
        <w:pStyle w:val="Normalnumber"/>
        <w:numPr>
          <w:ilvl w:val="0"/>
          <w:numId w:val="8"/>
        </w:numPr>
        <w:rPr>
          <w:rFonts w:eastAsia="MS Mincho"/>
          <w:iCs/>
          <w:lang w:val="fr-FR"/>
        </w:rPr>
      </w:pPr>
      <w:r w:rsidRPr="00C36B84">
        <w:rPr>
          <w:lang w:val="fr-FR"/>
        </w:rPr>
        <w:lastRenderedPageBreak/>
        <w:t>En conséquence, le Comité confirme que le critère énoncé au paragraphe c), alinéa iv), est</w:t>
      </w:r>
      <w:r w:rsidR="00F86F8E" w:rsidRPr="00C36B84">
        <w:rPr>
          <w:lang w:val="fr-FR"/>
        </w:rPr>
        <w:t> </w:t>
      </w:r>
      <w:r w:rsidRPr="00C36B84">
        <w:rPr>
          <w:lang w:val="fr-FR"/>
        </w:rPr>
        <w:t>rempli.</w:t>
      </w:r>
    </w:p>
    <w:p w14:paraId="5DD14A60" w14:textId="6D90D5F0" w:rsidR="0070418B" w:rsidRPr="00C36B84" w:rsidRDefault="0070418B" w:rsidP="00AD11DC">
      <w:pPr>
        <w:pStyle w:val="Normalnumber"/>
        <w:numPr>
          <w:ilvl w:val="0"/>
          <w:numId w:val="8"/>
        </w:numPr>
        <w:rPr>
          <w:rFonts w:eastAsia="MS Mincho"/>
          <w:iCs/>
          <w:lang w:val="fr-FR"/>
        </w:rPr>
      </w:pPr>
      <w:r w:rsidRPr="00C36B84">
        <w:rPr>
          <w:lang w:val="fr-FR"/>
        </w:rPr>
        <w:t>Le Comité confirme que les critères énoncés au paragraphe c) de l</w:t>
      </w:r>
      <w:r w:rsidR="00263978" w:rsidRPr="00C36B84">
        <w:rPr>
          <w:lang w:val="fr-FR"/>
        </w:rPr>
        <w:t>’</w:t>
      </w:r>
      <w:r w:rsidRPr="00C36B84">
        <w:rPr>
          <w:lang w:val="fr-FR"/>
        </w:rPr>
        <w:t>Annexe II sont remplis.</w:t>
      </w:r>
    </w:p>
    <w:p w14:paraId="411F1E31" w14:textId="1C96A7F6" w:rsidR="0070418B" w:rsidRPr="00C36B84" w:rsidRDefault="0070418B" w:rsidP="007E7193">
      <w:pPr>
        <w:pStyle w:val="CH3"/>
        <w:rPr>
          <w:snapToGrid w:val="0"/>
        </w:rPr>
      </w:pPr>
      <w:r w:rsidRPr="00C36B84">
        <w:rPr>
          <w:snapToGrid w:val="0"/>
        </w:rPr>
        <w:tab/>
        <w:t>e)</w:t>
      </w:r>
      <w:r w:rsidRPr="00C36B84">
        <w:rPr>
          <w:snapToGrid w:val="0"/>
        </w:rPr>
        <w:tab/>
        <w:t>Critère énoncé au paragraphe d) de l</w:t>
      </w:r>
      <w:r w:rsidR="00263978" w:rsidRPr="00C36B84">
        <w:rPr>
          <w:snapToGrid w:val="0"/>
        </w:rPr>
        <w:t>’</w:t>
      </w:r>
      <w:r w:rsidRPr="00C36B84">
        <w:rPr>
          <w:snapToGrid w:val="0"/>
        </w:rPr>
        <w:t>Annexe II</w:t>
      </w:r>
    </w:p>
    <w:p w14:paraId="61D6050E" w14:textId="6BC5627A" w:rsidR="0070418B" w:rsidRPr="00C36B84" w:rsidRDefault="007E7193" w:rsidP="007E7193">
      <w:pPr>
        <w:pStyle w:val="NormalNonumber"/>
        <w:rPr>
          <w:i/>
        </w:rPr>
      </w:pPr>
      <w:r w:rsidRPr="00C36B84">
        <w:rPr>
          <w:i/>
        </w:rPr>
        <w:tab/>
      </w:r>
      <w:r w:rsidR="0070418B" w:rsidRPr="00C36B84">
        <w:rPr>
          <w:i/>
        </w:rPr>
        <w:t>d)</w:t>
      </w:r>
      <w:r w:rsidR="0070418B" w:rsidRPr="00C36B84">
        <w:rPr>
          <w:i/>
        </w:rPr>
        <w:tab/>
        <w:t>Tient compte du fait qu</w:t>
      </w:r>
      <w:r w:rsidR="00263978" w:rsidRPr="00C36B84">
        <w:rPr>
          <w:i/>
        </w:rPr>
        <w:t>’</w:t>
      </w:r>
      <w:r w:rsidR="0070418B" w:rsidRPr="00C36B84">
        <w:rPr>
          <w:i/>
        </w:rPr>
        <w:t>un abus intentionnel ne constitue pas en soi une raison suffisante pour inscrire un produit chimique à l</w:t>
      </w:r>
      <w:r w:rsidR="00263978" w:rsidRPr="00C36B84">
        <w:rPr>
          <w:i/>
        </w:rPr>
        <w:t>’</w:t>
      </w:r>
      <w:r w:rsidR="0070418B" w:rsidRPr="00C36B84">
        <w:rPr>
          <w:i/>
        </w:rPr>
        <w:t>Annexe III.</w:t>
      </w:r>
    </w:p>
    <w:p w14:paraId="6A8CE052" w14:textId="09C8DC4D" w:rsidR="0070418B" w:rsidRPr="00C36B84" w:rsidRDefault="0070418B" w:rsidP="00AD11DC">
      <w:pPr>
        <w:pStyle w:val="Normalnumber"/>
        <w:numPr>
          <w:ilvl w:val="0"/>
          <w:numId w:val="8"/>
        </w:numPr>
        <w:rPr>
          <w:rFonts w:eastAsia="MS Mincho"/>
          <w:iCs/>
          <w:lang w:val="fr-FR"/>
        </w:rPr>
      </w:pPr>
      <w:r w:rsidRPr="00C36B84">
        <w:rPr>
          <w:lang w:val="fr-FR"/>
        </w:rPr>
        <w:t>Aucun élément de la notification n</w:t>
      </w:r>
      <w:r w:rsidR="00263978" w:rsidRPr="00C36B84">
        <w:rPr>
          <w:lang w:val="fr-FR"/>
        </w:rPr>
        <w:t>’</w:t>
      </w:r>
      <w:r w:rsidRPr="00C36B84">
        <w:rPr>
          <w:lang w:val="fr-FR"/>
        </w:rPr>
        <w:t>indique que la mesure de réglementation a été motivée par</w:t>
      </w:r>
      <w:r w:rsidR="00F86F8E" w:rsidRPr="00C36B84">
        <w:rPr>
          <w:lang w:val="fr-FR"/>
        </w:rPr>
        <w:t> </w:t>
      </w:r>
      <w:r w:rsidRPr="00C36B84">
        <w:rPr>
          <w:lang w:val="fr-FR"/>
        </w:rPr>
        <w:t>des préoccupations concernant un abus intentionnel.</w:t>
      </w:r>
    </w:p>
    <w:p w14:paraId="0D829C55" w14:textId="2A8AE1E6" w:rsidR="00F23195" w:rsidRPr="00C36B84" w:rsidRDefault="0070418B" w:rsidP="00AD11DC">
      <w:pPr>
        <w:pStyle w:val="Normalnumber"/>
        <w:numPr>
          <w:ilvl w:val="0"/>
          <w:numId w:val="8"/>
        </w:numPr>
        <w:rPr>
          <w:lang w:val="fr-FR"/>
        </w:rPr>
      </w:pPr>
      <w:bookmarkStart w:id="3" w:name="_Hlk82545159"/>
      <w:r w:rsidRPr="00C36B84">
        <w:rPr>
          <w:lang w:val="fr-FR"/>
        </w:rPr>
        <w:t xml:space="preserve">Compte tenu des considérations </w:t>
      </w:r>
      <w:r w:rsidR="006F6FB2" w:rsidRPr="00C36B84">
        <w:rPr>
          <w:lang w:val="fr-FR"/>
        </w:rPr>
        <w:t>précédentes</w:t>
      </w:r>
      <w:r w:rsidRPr="00C36B84">
        <w:rPr>
          <w:lang w:val="fr-FR"/>
        </w:rPr>
        <w:t>, le Comité confirme que le critère énoncé au</w:t>
      </w:r>
      <w:r w:rsidR="00F86F8E" w:rsidRPr="00C36B84">
        <w:rPr>
          <w:lang w:val="fr-FR"/>
        </w:rPr>
        <w:t> </w:t>
      </w:r>
      <w:r w:rsidRPr="00C36B84">
        <w:rPr>
          <w:lang w:val="fr-FR"/>
        </w:rPr>
        <w:t>paragraphe d) de l</w:t>
      </w:r>
      <w:r w:rsidR="00263978" w:rsidRPr="00C36B84">
        <w:rPr>
          <w:lang w:val="fr-FR"/>
        </w:rPr>
        <w:t>’</w:t>
      </w:r>
      <w:r w:rsidRPr="00C36B84">
        <w:rPr>
          <w:lang w:val="fr-FR"/>
        </w:rPr>
        <w:t>Annexe II est rempli</w:t>
      </w:r>
      <w:bookmarkEnd w:id="3"/>
      <w:r w:rsidRPr="00C36B84">
        <w:rPr>
          <w:lang w:val="fr-FR"/>
        </w:rPr>
        <w:t>.</w:t>
      </w:r>
    </w:p>
    <w:p w14:paraId="7C121F84" w14:textId="5466F99B" w:rsidR="0070418B" w:rsidRPr="00C36B84" w:rsidRDefault="0070418B" w:rsidP="007E7193">
      <w:pPr>
        <w:pStyle w:val="CH3"/>
        <w:rPr>
          <w:snapToGrid w:val="0"/>
        </w:rPr>
      </w:pPr>
      <w:r w:rsidRPr="00C36B84">
        <w:rPr>
          <w:snapToGrid w:val="0"/>
        </w:rPr>
        <w:tab/>
        <w:t>f)</w:t>
      </w:r>
      <w:r w:rsidRPr="00C36B84">
        <w:rPr>
          <w:snapToGrid w:val="0"/>
        </w:rPr>
        <w:tab/>
        <w:t>Conclusions</w:t>
      </w:r>
    </w:p>
    <w:p w14:paraId="28572DB9" w14:textId="4B1EBC8B" w:rsidR="00F23195" w:rsidRPr="00C36B84" w:rsidRDefault="0070418B" w:rsidP="00AD11DC">
      <w:pPr>
        <w:pStyle w:val="Normalnumber"/>
        <w:numPr>
          <w:ilvl w:val="0"/>
          <w:numId w:val="8"/>
        </w:numPr>
        <w:rPr>
          <w:lang w:val="fr-FR"/>
        </w:rPr>
      </w:pPr>
      <w:r w:rsidRPr="00C36B84">
        <w:rPr>
          <w:lang w:val="fr-FR"/>
        </w:rPr>
        <w:t xml:space="preserve">Le Comité conclut que la notification de mesure de réglementation finale </w:t>
      </w:r>
      <w:r w:rsidR="00326E4C" w:rsidRPr="00C36B84">
        <w:rPr>
          <w:lang w:val="fr-FR"/>
        </w:rPr>
        <w:t>présentée par</w:t>
      </w:r>
      <w:r w:rsidRPr="00C36B84">
        <w:rPr>
          <w:lang w:val="fr-FR"/>
        </w:rPr>
        <w:t xml:space="preserve"> le</w:t>
      </w:r>
      <w:r w:rsidR="00F86F8E" w:rsidRPr="00C36B84">
        <w:rPr>
          <w:lang w:val="fr-FR"/>
        </w:rPr>
        <w:t> </w:t>
      </w:r>
      <w:r w:rsidRPr="00C36B84">
        <w:rPr>
          <w:lang w:val="fr-FR"/>
        </w:rPr>
        <w:t>Mozambique satisfait aux critères énoncés dans l</w:t>
      </w:r>
      <w:r w:rsidR="00263978" w:rsidRPr="00C36B84">
        <w:rPr>
          <w:lang w:val="fr-FR"/>
        </w:rPr>
        <w:t>’</w:t>
      </w:r>
      <w:r w:rsidRPr="00C36B84">
        <w:rPr>
          <w:lang w:val="fr-FR"/>
        </w:rPr>
        <w:t>Annexe II de la Convention.</w:t>
      </w:r>
    </w:p>
    <w:p w14:paraId="3C53771C" w14:textId="66B4275E" w:rsidR="0070418B" w:rsidRPr="00C36B84" w:rsidRDefault="0070418B" w:rsidP="00955908">
      <w:pPr>
        <w:keepNext/>
        <w:keepLines/>
        <w:tabs>
          <w:tab w:val="right" w:pos="851"/>
          <w:tab w:val="left" w:pos="4082"/>
        </w:tabs>
        <w:spacing w:before="240" w:after="120"/>
        <w:ind w:left="1247" w:right="284" w:hanging="1247"/>
        <w:jc w:val="both"/>
        <w:rPr>
          <w:b/>
          <w:sz w:val="28"/>
          <w:szCs w:val="28"/>
        </w:rPr>
      </w:pPr>
      <w:r w:rsidRPr="00C36B84">
        <w:rPr>
          <w:b/>
          <w:sz w:val="28"/>
        </w:rPr>
        <w:tab/>
        <w:t>III.</w:t>
      </w:r>
      <w:r w:rsidRPr="00C36B84">
        <w:rPr>
          <w:b/>
          <w:sz w:val="28"/>
        </w:rPr>
        <w:tab/>
        <w:t>Conclusions</w:t>
      </w:r>
    </w:p>
    <w:p w14:paraId="690D50D3" w14:textId="67F90CCF" w:rsidR="0070418B" w:rsidRPr="00C36B84" w:rsidRDefault="0070418B" w:rsidP="00AD11DC">
      <w:pPr>
        <w:pStyle w:val="Normalnumber"/>
        <w:numPr>
          <w:ilvl w:val="0"/>
          <w:numId w:val="8"/>
        </w:numPr>
        <w:rPr>
          <w:rFonts w:eastAsia="MS Mincho"/>
          <w:iCs/>
          <w:lang w:val="fr-FR"/>
        </w:rPr>
      </w:pPr>
      <w:r w:rsidRPr="00C36B84">
        <w:rPr>
          <w:lang w:val="fr-FR"/>
        </w:rPr>
        <w:t>Le Comité conclut que les notifications de mesure de réglementation finale soumises par le</w:t>
      </w:r>
      <w:r w:rsidR="00F86F8E" w:rsidRPr="00C36B84">
        <w:rPr>
          <w:lang w:val="fr-FR"/>
        </w:rPr>
        <w:t> </w:t>
      </w:r>
      <w:r w:rsidRPr="00C36B84">
        <w:rPr>
          <w:lang w:val="fr-FR"/>
        </w:rPr>
        <w:t>Canada et par le Mozambique satisfont à tous les critères énoncés dans l</w:t>
      </w:r>
      <w:r w:rsidR="00263978" w:rsidRPr="00C36B84">
        <w:rPr>
          <w:lang w:val="fr-FR"/>
        </w:rPr>
        <w:t>’</w:t>
      </w:r>
      <w:r w:rsidRPr="00C36B84">
        <w:rPr>
          <w:lang w:val="fr-FR"/>
        </w:rPr>
        <w:t>Annexe II de la</w:t>
      </w:r>
      <w:r w:rsidR="00F86F8E" w:rsidRPr="00C36B84">
        <w:rPr>
          <w:lang w:val="fr-FR"/>
        </w:rPr>
        <w:t> </w:t>
      </w:r>
      <w:r w:rsidRPr="00C36B84">
        <w:rPr>
          <w:lang w:val="fr-FR"/>
        </w:rPr>
        <w:t>Convention.</w:t>
      </w:r>
    </w:p>
    <w:p w14:paraId="722B2386" w14:textId="10DD97C5" w:rsidR="0070418B" w:rsidRPr="004B08E7" w:rsidRDefault="0070418B" w:rsidP="00955908">
      <w:pPr>
        <w:pStyle w:val="Normalnumber"/>
        <w:numPr>
          <w:ilvl w:val="0"/>
          <w:numId w:val="8"/>
        </w:numPr>
        <w:rPr>
          <w:rFonts w:eastAsia="MS Mincho"/>
          <w:iCs/>
          <w:lang w:val="fr-FR"/>
        </w:rPr>
      </w:pPr>
      <w:r w:rsidRPr="00C36B84">
        <w:rPr>
          <w:lang w:val="fr-FR"/>
        </w:rPr>
        <w:t>Le Comité conclut également que les mesures de réglementation finale prises par le Canada et par le Mozambique fournissent des preuves suffisantes pour justifier l</w:t>
      </w:r>
      <w:r w:rsidR="00263978" w:rsidRPr="00C36B84">
        <w:rPr>
          <w:lang w:val="fr-FR"/>
        </w:rPr>
        <w:t>’</w:t>
      </w:r>
      <w:r w:rsidRPr="00C36B84">
        <w:rPr>
          <w:lang w:val="fr-FR"/>
        </w:rPr>
        <w:t xml:space="preserve">inscription du </w:t>
      </w:r>
      <w:proofErr w:type="spellStart"/>
      <w:r w:rsidRPr="00C36B84">
        <w:rPr>
          <w:lang w:val="fr-FR"/>
        </w:rPr>
        <w:t>terbufos</w:t>
      </w:r>
      <w:proofErr w:type="spellEnd"/>
      <w:r w:rsidRPr="00C36B84">
        <w:rPr>
          <w:lang w:val="fr-FR"/>
        </w:rPr>
        <w:t xml:space="preserve"> à</w:t>
      </w:r>
      <w:r w:rsidR="00F86F8E" w:rsidRPr="00C36B84">
        <w:rPr>
          <w:lang w:val="fr-FR"/>
        </w:rPr>
        <w:t> </w:t>
      </w:r>
      <w:r w:rsidRPr="00C36B84">
        <w:rPr>
          <w:lang w:val="fr-FR"/>
        </w:rPr>
        <w:t>l</w:t>
      </w:r>
      <w:r w:rsidR="00263978" w:rsidRPr="00C36B84">
        <w:rPr>
          <w:lang w:val="fr-FR"/>
        </w:rPr>
        <w:t>’</w:t>
      </w:r>
      <w:r w:rsidRPr="00C36B84">
        <w:rPr>
          <w:lang w:val="fr-FR"/>
        </w:rPr>
        <w:t>Annexe III de la Convention</w:t>
      </w:r>
      <w:r w:rsidR="00CF6937" w:rsidRPr="00C36B84">
        <w:rPr>
          <w:lang w:val="fr-FR"/>
        </w:rPr>
        <w:t xml:space="preserve"> dans la catégorie des pesticides</w:t>
      </w:r>
      <w:r w:rsidRPr="00C36B84">
        <w:rPr>
          <w:lang w:val="fr-FR"/>
        </w:rPr>
        <w:t xml:space="preserve"> et l</w:t>
      </w:r>
      <w:r w:rsidR="00263978" w:rsidRPr="00C36B84">
        <w:rPr>
          <w:lang w:val="fr-FR"/>
        </w:rPr>
        <w:t>’</w:t>
      </w:r>
      <w:r w:rsidRPr="00C36B84">
        <w:rPr>
          <w:lang w:val="fr-FR"/>
        </w:rPr>
        <w:t>adoption d</w:t>
      </w:r>
      <w:r w:rsidR="00263978" w:rsidRPr="00C36B84">
        <w:rPr>
          <w:lang w:val="fr-FR"/>
        </w:rPr>
        <w:t>’</w:t>
      </w:r>
      <w:r w:rsidRPr="00C36B84">
        <w:rPr>
          <w:lang w:val="fr-FR"/>
        </w:rPr>
        <w:t>une décision demandant l</w:t>
      </w:r>
      <w:r w:rsidR="00263978" w:rsidRPr="00C36B84">
        <w:rPr>
          <w:lang w:val="fr-FR"/>
        </w:rPr>
        <w:t>’</w:t>
      </w:r>
      <w:r w:rsidRPr="00C36B84">
        <w:rPr>
          <w:lang w:val="fr-FR"/>
        </w:rPr>
        <w:t>élaboration d</w:t>
      </w:r>
      <w:r w:rsidR="00263978" w:rsidRPr="00C36B84">
        <w:rPr>
          <w:lang w:val="fr-FR"/>
        </w:rPr>
        <w:t>’</w:t>
      </w:r>
      <w:r w:rsidRPr="00C36B84">
        <w:rPr>
          <w:lang w:val="fr-FR"/>
        </w:rPr>
        <w:t>un document d</w:t>
      </w:r>
      <w:r w:rsidR="00263978" w:rsidRPr="00C36B84">
        <w:rPr>
          <w:lang w:val="fr-FR"/>
        </w:rPr>
        <w:t>’</w:t>
      </w:r>
      <w:r w:rsidRPr="00C36B84">
        <w:rPr>
          <w:lang w:val="fr-FR"/>
        </w:rPr>
        <w:t>orientation des décisions sur la base de ces notifications</w:t>
      </w:r>
      <w:r w:rsidR="004B08E7">
        <w:rPr>
          <w:lang w:val="fr-FR"/>
        </w:rPr>
        <w:t>.</w:t>
      </w:r>
      <w:bookmarkEnd w:id="0"/>
    </w:p>
    <w:sectPr w:rsidR="0070418B" w:rsidRPr="004B08E7" w:rsidSect="00793F76">
      <w:headerReference w:type="even" r:id="rId15"/>
      <w:headerReference w:type="default" r:id="rId16"/>
      <w:footerReference w:type="even" r:id="rId17"/>
      <w:footerReference w:type="default" r:id="rId18"/>
      <w:headerReference w:type="first" r:id="rId19"/>
      <w:footerReference w:type="first" r:id="rId2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C920" w14:textId="77777777" w:rsidR="00405CEB" w:rsidRDefault="00405CEB">
      <w:r>
        <w:separator/>
      </w:r>
    </w:p>
  </w:endnote>
  <w:endnote w:type="continuationSeparator" w:id="0">
    <w:p w14:paraId="5F702DB4" w14:textId="77777777" w:rsidR="00405CEB" w:rsidRDefault="00405CEB">
      <w:r>
        <w:continuationSeparator/>
      </w:r>
    </w:p>
  </w:endnote>
  <w:endnote w:type="continuationNotice" w:id="1">
    <w:p w14:paraId="35F4DC0E" w14:textId="77777777" w:rsidR="00405CEB" w:rsidRDefault="00405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169164"/>
      <w:docPartObj>
        <w:docPartGallery w:val="Page Numbers (Bottom of Page)"/>
        <w:docPartUnique/>
      </w:docPartObj>
    </w:sdtPr>
    <w:sdtEndPr>
      <w:rPr>
        <w:noProof/>
      </w:rPr>
    </w:sdtEndPr>
    <w:sdtContent>
      <w:p w14:paraId="152E27CF" w14:textId="2324B4E2" w:rsidR="00C0139F" w:rsidRDefault="00C0139F" w:rsidP="005B6301">
        <w:pPr>
          <w:pStyle w:val="Footer-pool"/>
        </w:pPr>
        <w:r>
          <w:fldChar w:fldCharType="begin"/>
        </w:r>
        <w:r>
          <w:instrText xml:space="preserve"> PAGE   \* MERGEFORMAT </w:instrText>
        </w:r>
        <w:r>
          <w:fldChar w:fldCharType="separate"/>
        </w:r>
        <w:r w:rsidR="007001EA">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875064"/>
      <w:docPartObj>
        <w:docPartGallery w:val="Page Numbers (Bottom of Page)"/>
        <w:docPartUnique/>
      </w:docPartObj>
    </w:sdtPr>
    <w:sdtEndPr>
      <w:rPr>
        <w:noProof/>
      </w:rPr>
    </w:sdtEndPr>
    <w:sdtContent>
      <w:p w14:paraId="4811EAF9" w14:textId="65D24C30" w:rsidR="00C0139F" w:rsidRDefault="00C0139F" w:rsidP="005B6301">
        <w:pPr>
          <w:pStyle w:val="Footer-pool"/>
          <w:jc w:val="right"/>
        </w:pPr>
        <w:r>
          <w:fldChar w:fldCharType="begin"/>
        </w:r>
        <w:r>
          <w:instrText xml:space="preserve"> PAGE   \* MERGEFORMAT </w:instrText>
        </w:r>
        <w:r>
          <w:fldChar w:fldCharType="separate"/>
        </w:r>
        <w:r w:rsidR="007001EA">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1272" w14:textId="3AD354F8" w:rsidR="00C0139F" w:rsidRPr="005B6301" w:rsidRDefault="00C0139F" w:rsidP="005B6301">
    <w:r>
      <w:t>K2102760</w:t>
    </w:r>
    <w:r>
      <w:tab/>
    </w:r>
    <w:r w:rsidR="00890328">
      <w:t>20</w:t>
    </w:r>
    <w: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E7D5" w14:textId="77777777" w:rsidR="00405CEB" w:rsidRPr="00531F16" w:rsidRDefault="00405CEB" w:rsidP="00531F16">
      <w:pPr>
        <w:spacing w:before="60"/>
        <w:ind w:left="624"/>
        <w:rPr>
          <w:sz w:val="18"/>
          <w:szCs w:val="18"/>
        </w:rPr>
      </w:pPr>
      <w:r w:rsidRPr="00531F16">
        <w:rPr>
          <w:sz w:val="18"/>
          <w:szCs w:val="18"/>
        </w:rPr>
        <w:separator/>
      </w:r>
    </w:p>
  </w:footnote>
  <w:footnote w:type="continuationSeparator" w:id="0">
    <w:p w14:paraId="22602C57" w14:textId="77777777" w:rsidR="00405CEB" w:rsidRDefault="00405CEB">
      <w:r>
        <w:continuationSeparator/>
      </w:r>
    </w:p>
  </w:footnote>
  <w:footnote w:type="continuationNotice" w:id="1">
    <w:p w14:paraId="17E92721" w14:textId="77777777" w:rsidR="00405CEB" w:rsidRDefault="00405C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6DAD" w14:textId="66B79F08" w:rsidR="00C0139F" w:rsidRPr="00A33AC9" w:rsidRDefault="00C0139F" w:rsidP="008D38D0">
    <w:pPr>
      <w:pStyle w:val="Header-pool"/>
    </w:pPr>
    <w:r>
      <w:t>UNEP/FAO/RC/CRC.17/10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1608" w14:textId="744DC626" w:rsidR="00C0139F" w:rsidRPr="00A33AC9" w:rsidRDefault="00C0139F" w:rsidP="008D38D0">
    <w:pPr>
      <w:pStyle w:val="Header-pool"/>
      <w:jc w:val="right"/>
    </w:pPr>
    <w:r>
      <w:t>UNEP/FAO/RC/CRC.17/10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1361" w14:textId="2D5CE03B" w:rsidR="00C0139F" w:rsidRPr="00267BA3" w:rsidRDefault="00C0139F" w:rsidP="00267BA3">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2F61"/>
    <w:multiLevelType w:val="multilevel"/>
    <w:tmpl w:val="9684C7FA"/>
    <w:styleLink w:val="CurrentList1"/>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2D890CB9"/>
    <w:multiLevelType w:val="multilevel"/>
    <w:tmpl w:val="9684C7FA"/>
    <w:styleLink w:val="CurrentList2"/>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2291BF8"/>
    <w:multiLevelType w:val="multilevel"/>
    <w:tmpl w:val="F4ACF36E"/>
    <w:numStyleLink w:val="Normallist"/>
  </w:abstractNum>
  <w:abstractNum w:abstractNumId="4" w15:restartNumberingAfterBreak="0">
    <w:nsid w:val="7AB240C7"/>
    <w:multiLevelType w:val="multilevel"/>
    <w:tmpl w:val="9684C7FA"/>
    <w:styleLink w:val="Current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7D6A1893"/>
    <w:multiLevelType w:val="multilevel"/>
    <w:tmpl w:val="9684C7FA"/>
    <w:styleLink w:val="CurrentList3"/>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16cid:durableId="2126727380">
    <w:abstractNumId w:val="0"/>
  </w:num>
  <w:num w:numId="2" w16cid:durableId="1177384763">
    <w:abstractNumId w:val="1"/>
  </w:num>
  <w:num w:numId="3" w16cid:durableId="1691374609">
    <w:abstractNumId w:val="5"/>
  </w:num>
  <w:num w:numId="4" w16cid:durableId="1738628894">
    <w:abstractNumId w:val="4"/>
  </w:num>
  <w:num w:numId="5" w16cid:durableId="1172450352">
    <w:abstractNumId w:val="2"/>
  </w:num>
  <w:num w:numId="6" w16cid:durableId="620963565">
    <w:abstractNumId w:val="3"/>
  </w:num>
  <w:num w:numId="7" w16cid:durableId="17009335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29090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754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it-IT" w:vendorID="64" w:dllVersion="0" w:nlCheck="1" w:checkStyle="0"/>
  <w:activeWritingStyle w:appName="MSWord" w:lang="de-AT" w:vendorID="64" w:dllVersion="0" w:nlCheck="1" w:checkStyle="0"/>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de-DE" w:vendorID="64" w:dllVersion="0" w:nlCheck="1" w:checkStyle="0"/>
  <w:activeWritingStyle w:appName="MSWord" w:lang="es-ES_tradnl" w:vendorID="64" w:dllVersion="0" w:nlCheck="1" w:checkStyle="0"/>
  <w:activeWritingStyle w:appName="MSWord" w:lang="es-CO" w:vendorID="64" w:dllVersion="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04"/>
    <w:rsid w:val="00003D8C"/>
    <w:rsid w:val="00007FEA"/>
    <w:rsid w:val="00010072"/>
    <w:rsid w:val="000119B0"/>
    <w:rsid w:val="00011F1B"/>
    <w:rsid w:val="000149E6"/>
    <w:rsid w:val="00015D15"/>
    <w:rsid w:val="00017A45"/>
    <w:rsid w:val="00022D79"/>
    <w:rsid w:val="000247B0"/>
    <w:rsid w:val="00026997"/>
    <w:rsid w:val="00030946"/>
    <w:rsid w:val="0003334F"/>
    <w:rsid w:val="00033E0B"/>
    <w:rsid w:val="00035EDE"/>
    <w:rsid w:val="00037209"/>
    <w:rsid w:val="00040EBB"/>
    <w:rsid w:val="0004420D"/>
    <w:rsid w:val="00047117"/>
    <w:rsid w:val="00047935"/>
    <w:rsid w:val="000509B4"/>
    <w:rsid w:val="000510AD"/>
    <w:rsid w:val="0005115E"/>
    <w:rsid w:val="00054D36"/>
    <w:rsid w:val="00055407"/>
    <w:rsid w:val="0005598D"/>
    <w:rsid w:val="000561E2"/>
    <w:rsid w:val="00056415"/>
    <w:rsid w:val="0005696B"/>
    <w:rsid w:val="0006035B"/>
    <w:rsid w:val="00060610"/>
    <w:rsid w:val="00061BEF"/>
    <w:rsid w:val="0006350F"/>
    <w:rsid w:val="00071886"/>
    <w:rsid w:val="000722C5"/>
    <w:rsid w:val="00073984"/>
    <w:rsid w:val="000742BC"/>
    <w:rsid w:val="00074C80"/>
    <w:rsid w:val="0008231F"/>
    <w:rsid w:val="00082A0C"/>
    <w:rsid w:val="00083504"/>
    <w:rsid w:val="00084E62"/>
    <w:rsid w:val="0008788D"/>
    <w:rsid w:val="00087CF9"/>
    <w:rsid w:val="00091AC5"/>
    <w:rsid w:val="00092604"/>
    <w:rsid w:val="0009640C"/>
    <w:rsid w:val="00097488"/>
    <w:rsid w:val="000A58AF"/>
    <w:rsid w:val="000A5A9E"/>
    <w:rsid w:val="000B0AC3"/>
    <w:rsid w:val="000B22A2"/>
    <w:rsid w:val="000B5ED4"/>
    <w:rsid w:val="000C00E4"/>
    <w:rsid w:val="000C0A84"/>
    <w:rsid w:val="000C126C"/>
    <w:rsid w:val="000C2A52"/>
    <w:rsid w:val="000C2ADA"/>
    <w:rsid w:val="000C2CAC"/>
    <w:rsid w:val="000C500C"/>
    <w:rsid w:val="000D2770"/>
    <w:rsid w:val="000D33C0"/>
    <w:rsid w:val="000D4595"/>
    <w:rsid w:val="000D53E3"/>
    <w:rsid w:val="000D5CD0"/>
    <w:rsid w:val="000D6941"/>
    <w:rsid w:val="000D723B"/>
    <w:rsid w:val="000E1DA0"/>
    <w:rsid w:val="000E33AA"/>
    <w:rsid w:val="000E3F8E"/>
    <w:rsid w:val="000E6566"/>
    <w:rsid w:val="000F4360"/>
    <w:rsid w:val="00103B7E"/>
    <w:rsid w:val="00104DF9"/>
    <w:rsid w:val="001075A9"/>
    <w:rsid w:val="0011290C"/>
    <w:rsid w:val="001142C4"/>
    <w:rsid w:val="001202E3"/>
    <w:rsid w:val="00121F2B"/>
    <w:rsid w:val="00122590"/>
    <w:rsid w:val="00123699"/>
    <w:rsid w:val="00123795"/>
    <w:rsid w:val="00126037"/>
    <w:rsid w:val="0013059D"/>
    <w:rsid w:val="00132DC0"/>
    <w:rsid w:val="00141774"/>
    <w:rsid w:val="00141A55"/>
    <w:rsid w:val="001446A3"/>
    <w:rsid w:val="0015043D"/>
    <w:rsid w:val="00154393"/>
    <w:rsid w:val="00155395"/>
    <w:rsid w:val="00160D74"/>
    <w:rsid w:val="0016656F"/>
    <w:rsid w:val="00167D02"/>
    <w:rsid w:val="00172595"/>
    <w:rsid w:val="00173456"/>
    <w:rsid w:val="00174418"/>
    <w:rsid w:val="00180CBB"/>
    <w:rsid w:val="00181EC8"/>
    <w:rsid w:val="00182ED7"/>
    <w:rsid w:val="00184349"/>
    <w:rsid w:val="00186830"/>
    <w:rsid w:val="00195F33"/>
    <w:rsid w:val="001A269A"/>
    <w:rsid w:val="001A61CB"/>
    <w:rsid w:val="001B1617"/>
    <w:rsid w:val="001B3D3E"/>
    <w:rsid w:val="001B4602"/>
    <w:rsid w:val="001B504B"/>
    <w:rsid w:val="001B60ED"/>
    <w:rsid w:val="001B6DC6"/>
    <w:rsid w:val="001C5D46"/>
    <w:rsid w:val="001D00EC"/>
    <w:rsid w:val="001D3874"/>
    <w:rsid w:val="001D70C9"/>
    <w:rsid w:val="001D7542"/>
    <w:rsid w:val="001D7E75"/>
    <w:rsid w:val="001E56D2"/>
    <w:rsid w:val="001E749A"/>
    <w:rsid w:val="001E7D56"/>
    <w:rsid w:val="001F1BC3"/>
    <w:rsid w:val="001F37E4"/>
    <w:rsid w:val="001F5E35"/>
    <w:rsid w:val="001F5E66"/>
    <w:rsid w:val="001F741E"/>
    <w:rsid w:val="001F75DE"/>
    <w:rsid w:val="00200D58"/>
    <w:rsid w:val="002013BE"/>
    <w:rsid w:val="00204DD5"/>
    <w:rsid w:val="002063A4"/>
    <w:rsid w:val="00210F55"/>
    <w:rsid w:val="0021145B"/>
    <w:rsid w:val="002147FC"/>
    <w:rsid w:val="00214D4A"/>
    <w:rsid w:val="00216305"/>
    <w:rsid w:val="00217114"/>
    <w:rsid w:val="00217C28"/>
    <w:rsid w:val="00220BFF"/>
    <w:rsid w:val="00223E23"/>
    <w:rsid w:val="00231647"/>
    <w:rsid w:val="00232CE3"/>
    <w:rsid w:val="00233C19"/>
    <w:rsid w:val="00237C90"/>
    <w:rsid w:val="00243D36"/>
    <w:rsid w:val="00247707"/>
    <w:rsid w:val="00250826"/>
    <w:rsid w:val="00253F5F"/>
    <w:rsid w:val="0026018E"/>
    <w:rsid w:val="00263978"/>
    <w:rsid w:val="002646B8"/>
    <w:rsid w:val="002677BA"/>
    <w:rsid w:val="00267BA3"/>
    <w:rsid w:val="002711A9"/>
    <w:rsid w:val="002752C5"/>
    <w:rsid w:val="00282C8A"/>
    <w:rsid w:val="00282D36"/>
    <w:rsid w:val="00285F9B"/>
    <w:rsid w:val="00286740"/>
    <w:rsid w:val="002929D8"/>
    <w:rsid w:val="00293CD8"/>
    <w:rsid w:val="00294925"/>
    <w:rsid w:val="00295D5A"/>
    <w:rsid w:val="002A21C2"/>
    <w:rsid w:val="002A237D"/>
    <w:rsid w:val="002A3CCE"/>
    <w:rsid w:val="002A4C53"/>
    <w:rsid w:val="002A7F79"/>
    <w:rsid w:val="002B0672"/>
    <w:rsid w:val="002B247F"/>
    <w:rsid w:val="002B3DC0"/>
    <w:rsid w:val="002B6A61"/>
    <w:rsid w:val="002B7BDD"/>
    <w:rsid w:val="002C145D"/>
    <w:rsid w:val="002C1B2E"/>
    <w:rsid w:val="002C2C3E"/>
    <w:rsid w:val="002C4D6F"/>
    <w:rsid w:val="002C4E38"/>
    <w:rsid w:val="002C51AE"/>
    <w:rsid w:val="002C533E"/>
    <w:rsid w:val="002D027F"/>
    <w:rsid w:val="002D333C"/>
    <w:rsid w:val="002D6168"/>
    <w:rsid w:val="002D6392"/>
    <w:rsid w:val="002D7A85"/>
    <w:rsid w:val="002D7B60"/>
    <w:rsid w:val="002E04FD"/>
    <w:rsid w:val="002F4761"/>
    <w:rsid w:val="002F52E9"/>
    <w:rsid w:val="002F581B"/>
    <w:rsid w:val="002F5C79"/>
    <w:rsid w:val="003019E2"/>
    <w:rsid w:val="0030263F"/>
    <w:rsid w:val="00303364"/>
    <w:rsid w:val="0030698C"/>
    <w:rsid w:val="003135C8"/>
    <w:rsid w:val="0031413F"/>
    <w:rsid w:val="003148BB"/>
    <w:rsid w:val="00317009"/>
    <w:rsid w:val="003178CC"/>
    <w:rsid w:val="00317976"/>
    <w:rsid w:val="003179C9"/>
    <w:rsid w:val="00322A37"/>
    <w:rsid w:val="00326E4C"/>
    <w:rsid w:val="003271CA"/>
    <w:rsid w:val="003275D3"/>
    <w:rsid w:val="003279DF"/>
    <w:rsid w:val="00331313"/>
    <w:rsid w:val="003313E8"/>
    <w:rsid w:val="0033144F"/>
    <w:rsid w:val="003352AE"/>
    <w:rsid w:val="00335FEB"/>
    <w:rsid w:val="00337740"/>
    <w:rsid w:val="003401DB"/>
    <w:rsid w:val="003416A3"/>
    <w:rsid w:val="00341E05"/>
    <w:rsid w:val="00350015"/>
    <w:rsid w:val="00352533"/>
    <w:rsid w:val="00355EA9"/>
    <w:rsid w:val="00356E38"/>
    <w:rsid w:val="003578DE"/>
    <w:rsid w:val="003613D1"/>
    <w:rsid w:val="00361817"/>
    <w:rsid w:val="00362379"/>
    <w:rsid w:val="003628C9"/>
    <w:rsid w:val="003666B5"/>
    <w:rsid w:val="003703FE"/>
    <w:rsid w:val="003709DB"/>
    <w:rsid w:val="00371D8E"/>
    <w:rsid w:val="003773BE"/>
    <w:rsid w:val="003814DA"/>
    <w:rsid w:val="0038250C"/>
    <w:rsid w:val="003874F0"/>
    <w:rsid w:val="0039387F"/>
    <w:rsid w:val="00395575"/>
    <w:rsid w:val="00396257"/>
    <w:rsid w:val="00396E99"/>
    <w:rsid w:val="00397EB8"/>
    <w:rsid w:val="003A1970"/>
    <w:rsid w:val="003A1B42"/>
    <w:rsid w:val="003A4FD0"/>
    <w:rsid w:val="003A69D1"/>
    <w:rsid w:val="003A6B7D"/>
    <w:rsid w:val="003A7705"/>
    <w:rsid w:val="003A77F1"/>
    <w:rsid w:val="003B0AA2"/>
    <w:rsid w:val="003B1545"/>
    <w:rsid w:val="003B49BA"/>
    <w:rsid w:val="003B506F"/>
    <w:rsid w:val="003B645E"/>
    <w:rsid w:val="003C215D"/>
    <w:rsid w:val="003C2F0E"/>
    <w:rsid w:val="003C409D"/>
    <w:rsid w:val="003C5BA6"/>
    <w:rsid w:val="003C630D"/>
    <w:rsid w:val="003D194C"/>
    <w:rsid w:val="003D3455"/>
    <w:rsid w:val="003D3ADB"/>
    <w:rsid w:val="003D643E"/>
    <w:rsid w:val="003D7833"/>
    <w:rsid w:val="003E0989"/>
    <w:rsid w:val="003E09C4"/>
    <w:rsid w:val="003E1E43"/>
    <w:rsid w:val="003E35D3"/>
    <w:rsid w:val="003E49FB"/>
    <w:rsid w:val="003E5393"/>
    <w:rsid w:val="003E72EA"/>
    <w:rsid w:val="003E756C"/>
    <w:rsid w:val="003F0841"/>
    <w:rsid w:val="003F0E85"/>
    <w:rsid w:val="003F16AE"/>
    <w:rsid w:val="003F19DB"/>
    <w:rsid w:val="003F28DC"/>
    <w:rsid w:val="00405830"/>
    <w:rsid w:val="00405CEB"/>
    <w:rsid w:val="00410C55"/>
    <w:rsid w:val="00416854"/>
    <w:rsid w:val="00417725"/>
    <w:rsid w:val="00423F12"/>
    <w:rsid w:val="00431E2A"/>
    <w:rsid w:val="00432EEE"/>
    <w:rsid w:val="00436DF9"/>
    <w:rsid w:val="004376CA"/>
    <w:rsid w:val="00437F26"/>
    <w:rsid w:val="004425E8"/>
    <w:rsid w:val="00444097"/>
    <w:rsid w:val="00445487"/>
    <w:rsid w:val="00445AFE"/>
    <w:rsid w:val="00450C50"/>
    <w:rsid w:val="0045129C"/>
    <w:rsid w:val="00453A04"/>
    <w:rsid w:val="00454769"/>
    <w:rsid w:val="0045753E"/>
    <w:rsid w:val="004579B0"/>
    <w:rsid w:val="00460B91"/>
    <w:rsid w:val="00460F91"/>
    <w:rsid w:val="00464635"/>
    <w:rsid w:val="00466991"/>
    <w:rsid w:val="00466DEB"/>
    <w:rsid w:val="00470156"/>
    <w:rsid w:val="0047064C"/>
    <w:rsid w:val="0047242A"/>
    <w:rsid w:val="00483245"/>
    <w:rsid w:val="004837CF"/>
    <w:rsid w:val="00483AEB"/>
    <w:rsid w:val="004845BF"/>
    <w:rsid w:val="004910D7"/>
    <w:rsid w:val="00491FDB"/>
    <w:rsid w:val="004926A5"/>
    <w:rsid w:val="004A13B4"/>
    <w:rsid w:val="004A2891"/>
    <w:rsid w:val="004A28FE"/>
    <w:rsid w:val="004A2AE3"/>
    <w:rsid w:val="004A42E1"/>
    <w:rsid w:val="004A739D"/>
    <w:rsid w:val="004A7B5E"/>
    <w:rsid w:val="004B08E7"/>
    <w:rsid w:val="004B162C"/>
    <w:rsid w:val="004B6F63"/>
    <w:rsid w:val="004B7B83"/>
    <w:rsid w:val="004C0F59"/>
    <w:rsid w:val="004C1BCC"/>
    <w:rsid w:val="004C1C4E"/>
    <w:rsid w:val="004C3DBE"/>
    <w:rsid w:val="004C3E0A"/>
    <w:rsid w:val="004C5942"/>
    <w:rsid w:val="004C5C96"/>
    <w:rsid w:val="004C7D7B"/>
    <w:rsid w:val="004D06A4"/>
    <w:rsid w:val="004D18D4"/>
    <w:rsid w:val="004D1E23"/>
    <w:rsid w:val="004D2C79"/>
    <w:rsid w:val="004D36D4"/>
    <w:rsid w:val="004D465C"/>
    <w:rsid w:val="004E12ED"/>
    <w:rsid w:val="004E19D5"/>
    <w:rsid w:val="004E3C88"/>
    <w:rsid w:val="004F1A81"/>
    <w:rsid w:val="004F20C1"/>
    <w:rsid w:val="004F605D"/>
    <w:rsid w:val="004F74C0"/>
    <w:rsid w:val="004F7DB0"/>
    <w:rsid w:val="00500758"/>
    <w:rsid w:val="005008C9"/>
    <w:rsid w:val="005017D4"/>
    <w:rsid w:val="00501FC8"/>
    <w:rsid w:val="0051159F"/>
    <w:rsid w:val="0051385E"/>
    <w:rsid w:val="00514574"/>
    <w:rsid w:val="00515348"/>
    <w:rsid w:val="00520A30"/>
    <w:rsid w:val="005218D9"/>
    <w:rsid w:val="00524FD1"/>
    <w:rsid w:val="00527043"/>
    <w:rsid w:val="00530323"/>
    <w:rsid w:val="00531064"/>
    <w:rsid w:val="0053162D"/>
    <w:rsid w:val="00531F16"/>
    <w:rsid w:val="00533754"/>
    <w:rsid w:val="00536186"/>
    <w:rsid w:val="005402A3"/>
    <w:rsid w:val="00541F29"/>
    <w:rsid w:val="00542F52"/>
    <w:rsid w:val="00543FBD"/>
    <w:rsid w:val="00544CBB"/>
    <w:rsid w:val="0056029F"/>
    <w:rsid w:val="00560413"/>
    <w:rsid w:val="005650FC"/>
    <w:rsid w:val="005654B9"/>
    <w:rsid w:val="005662D5"/>
    <w:rsid w:val="00566C8A"/>
    <w:rsid w:val="00570A35"/>
    <w:rsid w:val="00571CDC"/>
    <w:rsid w:val="0057315F"/>
    <w:rsid w:val="00576104"/>
    <w:rsid w:val="00580865"/>
    <w:rsid w:val="00581A3C"/>
    <w:rsid w:val="00583F12"/>
    <w:rsid w:val="005859C7"/>
    <w:rsid w:val="005876EE"/>
    <w:rsid w:val="00591006"/>
    <w:rsid w:val="0059184D"/>
    <w:rsid w:val="0059321A"/>
    <w:rsid w:val="005A3ED2"/>
    <w:rsid w:val="005A7C7E"/>
    <w:rsid w:val="005B20B1"/>
    <w:rsid w:val="005B6301"/>
    <w:rsid w:val="005B6D09"/>
    <w:rsid w:val="005C67C8"/>
    <w:rsid w:val="005C711D"/>
    <w:rsid w:val="005C7AFC"/>
    <w:rsid w:val="005C7C0B"/>
    <w:rsid w:val="005D0249"/>
    <w:rsid w:val="005D1FBE"/>
    <w:rsid w:val="005D3BAE"/>
    <w:rsid w:val="005D5955"/>
    <w:rsid w:val="005D6E8C"/>
    <w:rsid w:val="005D7251"/>
    <w:rsid w:val="005E7984"/>
    <w:rsid w:val="005F100C"/>
    <w:rsid w:val="005F18F4"/>
    <w:rsid w:val="005F1916"/>
    <w:rsid w:val="005F33D5"/>
    <w:rsid w:val="005F68DA"/>
    <w:rsid w:val="00606638"/>
    <w:rsid w:val="0060773B"/>
    <w:rsid w:val="00610796"/>
    <w:rsid w:val="0061180F"/>
    <w:rsid w:val="00614FEE"/>
    <w:rsid w:val="00615018"/>
    <w:rsid w:val="006157B5"/>
    <w:rsid w:val="00624ECD"/>
    <w:rsid w:val="006266DA"/>
    <w:rsid w:val="00626F59"/>
    <w:rsid w:val="00626FC6"/>
    <w:rsid w:val="006303B4"/>
    <w:rsid w:val="00633D3D"/>
    <w:rsid w:val="0064021B"/>
    <w:rsid w:val="00641703"/>
    <w:rsid w:val="00642F73"/>
    <w:rsid w:val="006431A6"/>
    <w:rsid w:val="006459F6"/>
    <w:rsid w:val="00645B35"/>
    <w:rsid w:val="0064608A"/>
    <w:rsid w:val="00646B54"/>
    <w:rsid w:val="006501AD"/>
    <w:rsid w:val="0065024D"/>
    <w:rsid w:val="00650705"/>
    <w:rsid w:val="00651BFA"/>
    <w:rsid w:val="00654475"/>
    <w:rsid w:val="00662DB0"/>
    <w:rsid w:val="0066459F"/>
    <w:rsid w:val="00665A4B"/>
    <w:rsid w:val="006664DA"/>
    <w:rsid w:val="0066730E"/>
    <w:rsid w:val="006677D0"/>
    <w:rsid w:val="00671A56"/>
    <w:rsid w:val="00676F98"/>
    <w:rsid w:val="006811A1"/>
    <w:rsid w:val="006869C4"/>
    <w:rsid w:val="00691889"/>
    <w:rsid w:val="0069219F"/>
    <w:rsid w:val="00692E2A"/>
    <w:rsid w:val="00694A2F"/>
    <w:rsid w:val="0069751A"/>
    <w:rsid w:val="006A3796"/>
    <w:rsid w:val="006A73FF"/>
    <w:rsid w:val="006A76F2"/>
    <w:rsid w:val="006A7A73"/>
    <w:rsid w:val="006B3B2D"/>
    <w:rsid w:val="006B43CD"/>
    <w:rsid w:val="006B6E4B"/>
    <w:rsid w:val="006C16DD"/>
    <w:rsid w:val="006D5400"/>
    <w:rsid w:val="006D5ACE"/>
    <w:rsid w:val="006D7EFB"/>
    <w:rsid w:val="006E0F49"/>
    <w:rsid w:val="006E1E7C"/>
    <w:rsid w:val="006E22E0"/>
    <w:rsid w:val="006E2E48"/>
    <w:rsid w:val="006E37EC"/>
    <w:rsid w:val="006E6672"/>
    <w:rsid w:val="006E6722"/>
    <w:rsid w:val="006F15CB"/>
    <w:rsid w:val="006F1690"/>
    <w:rsid w:val="006F18E0"/>
    <w:rsid w:val="006F3F17"/>
    <w:rsid w:val="006F431C"/>
    <w:rsid w:val="006F43A6"/>
    <w:rsid w:val="006F6FB2"/>
    <w:rsid w:val="007001EA"/>
    <w:rsid w:val="00700AD7"/>
    <w:rsid w:val="007027B9"/>
    <w:rsid w:val="0070418B"/>
    <w:rsid w:val="00704D9A"/>
    <w:rsid w:val="00712F3C"/>
    <w:rsid w:val="00715CC8"/>
    <w:rsid w:val="00715E88"/>
    <w:rsid w:val="00722EF8"/>
    <w:rsid w:val="00723096"/>
    <w:rsid w:val="00725E79"/>
    <w:rsid w:val="0073179C"/>
    <w:rsid w:val="00733067"/>
    <w:rsid w:val="00734CAA"/>
    <w:rsid w:val="00741BDD"/>
    <w:rsid w:val="00742C00"/>
    <w:rsid w:val="0075076C"/>
    <w:rsid w:val="007545E0"/>
    <w:rsid w:val="007548BC"/>
    <w:rsid w:val="0075533C"/>
    <w:rsid w:val="0075536E"/>
    <w:rsid w:val="00757581"/>
    <w:rsid w:val="007611A0"/>
    <w:rsid w:val="00761E3F"/>
    <w:rsid w:val="00761E49"/>
    <w:rsid w:val="007643A3"/>
    <w:rsid w:val="00767AF9"/>
    <w:rsid w:val="007734B2"/>
    <w:rsid w:val="00773642"/>
    <w:rsid w:val="00773FF2"/>
    <w:rsid w:val="007756AB"/>
    <w:rsid w:val="00785F4B"/>
    <w:rsid w:val="0078612A"/>
    <w:rsid w:val="00787251"/>
    <w:rsid w:val="00790111"/>
    <w:rsid w:val="00793F76"/>
    <w:rsid w:val="00796D3F"/>
    <w:rsid w:val="007A0616"/>
    <w:rsid w:val="007A100C"/>
    <w:rsid w:val="007A1683"/>
    <w:rsid w:val="007A40CD"/>
    <w:rsid w:val="007A4721"/>
    <w:rsid w:val="007A4BDA"/>
    <w:rsid w:val="007A5C12"/>
    <w:rsid w:val="007A7CB0"/>
    <w:rsid w:val="007B68A3"/>
    <w:rsid w:val="007B6B88"/>
    <w:rsid w:val="007B72EB"/>
    <w:rsid w:val="007C03E5"/>
    <w:rsid w:val="007C0500"/>
    <w:rsid w:val="007C109E"/>
    <w:rsid w:val="007C2541"/>
    <w:rsid w:val="007D04A4"/>
    <w:rsid w:val="007D1563"/>
    <w:rsid w:val="007D161D"/>
    <w:rsid w:val="007D1E93"/>
    <w:rsid w:val="007D4747"/>
    <w:rsid w:val="007D66A8"/>
    <w:rsid w:val="007E003F"/>
    <w:rsid w:val="007E22E5"/>
    <w:rsid w:val="007E6B6E"/>
    <w:rsid w:val="007E7193"/>
    <w:rsid w:val="007F328E"/>
    <w:rsid w:val="007F3831"/>
    <w:rsid w:val="008013E6"/>
    <w:rsid w:val="00802698"/>
    <w:rsid w:val="0081144D"/>
    <w:rsid w:val="0081226B"/>
    <w:rsid w:val="0081477F"/>
    <w:rsid w:val="008164F2"/>
    <w:rsid w:val="00821395"/>
    <w:rsid w:val="0082178F"/>
    <w:rsid w:val="00826F84"/>
    <w:rsid w:val="00830E26"/>
    <w:rsid w:val="00836286"/>
    <w:rsid w:val="00843576"/>
    <w:rsid w:val="00843B64"/>
    <w:rsid w:val="00845244"/>
    <w:rsid w:val="0084725A"/>
    <w:rsid w:val="008478FC"/>
    <w:rsid w:val="008539AC"/>
    <w:rsid w:val="0085414E"/>
    <w:rsid w:val="00857579"/>
    <w:rsid w:val="0086239E"/>
    <w:rsid w:val="00863178"/>
    <w:rsid w:val="0086348E"/>
    <w:rsid w:val="00863A1C"/>
    <w:rsid w:val="008673BA"/>
    <w:rsid w:val="00867BFF"/>
    <w:rsid w:val="008764E4"/>
    <w:rsid w:val="0087783C"/>
    <w:rsid w:val="008803B1"/>
    <w:rsid w:val="008806EA"/>
    <w:rsid w:val="008807C6"/>
    <w:rsid w:val="00880A35"/>
    <w:rsid w:val="00884639"/>
    <w:rsid w:val="0088480A"/>
    <w:rsid w:val="00884FE4"/>
    <w:rsid w:val="0088757A"/>
    <w:rsid w:val="00890328"/>
    <w:rsid w:val="00890EB1"/>
    <w:rsid w:val="00891506"/>
    <w:rsid w:val="008957DD"/>
    <w:rsid w:val="00896CC9"/>
    <w:rsid w:val="00897D98"/>
    <w:rsid w:val="008A1197"/>
    <w:rsid w:val="008A5F6A"/>
    <w:rsid w:val="008A6DF2"/>
    <w:rsid w:val="008A7807"/>
    <w:rsid w:val="008B1420"/>
    <w:rsid w:val="008B1BFE"/>
    <w:rsid w:val="008B4CC9"/>
    <w:rsid w:val="008C500A"/>
    <w:rsid w:val="008D1BC9"/>
    <w:rsid w:val="008D2C27"/>
    <w:rsid w:val="008D38D0"/>
    <w:rsid w:val="008D3D0B"/>
    <w:rsid w:val="008D4A10"/>
    <w:rsid w:val="008D7C99"/>
    <w:rsid w:val="008E0FCB"/>
    <w:rsid w:val="008E27D8"/>
    <w:rsid w:val="008E3CE7"/>
    <w:rsid w:val="008E3E57"/>
    <w:rsid w:val="008E4553"/>
    <w:rsid w:val="008E471E"/>
    <w:rsid w:val="008E542F"/>
    <w:rsid w:val="008F09C5"/>
    <w:rsid w:val="008F69B3"/>
    <w:rsid w:val="008F76D9"/>
    <w:rsid w:val="00907F2D"/>
    <w:rsid w:val="0091335E"/>
    <w:rsid w:val="0092178C"/>
    <w:rsid w:val="00930B88"/>
    <w:rsid w:val="00931976"/>
    <w:rsid w:val="00933CB0"/>
    <w:rsid w:val="00937A45"/>
    <w:rsid w:val="00940DCC"/>
    <w:rsid w:val="0094179A"/>
    <w:rsid w:val="00942FB8"/>
    <w:rsid w:val="0094353C"/>
    <w:rsid w:val="0094459E"/>
    <w:rsid w:val="00944DBC"/>
    <w:rsid w:val="0094626E"/>
    <w:rsid w:val="00950977"/>
    <w:rsid w:val="00951A7B"/>
    <w:rsid w:val="00952913"/>
    <w:rsid w:val="0095439C"/>
    <w:rsid w:val="00955908"/>
    <w:rsid w:val="009564A6"/>
    <w:rsid w:val="00956CF5"/>
    <w:rsid w:val="00957AB9"/>
    <w:rsid w:val="009620CB"/>
    <w:rsid w:val="00967621"/>
    <w:rsid w:val="00967E6A"/>
    <w:rsid w:val="00970BC0"/>
    <w:rsid w:val="00973919"/>
    <w:rsid w:val="00977BC5"/>
    <w:rsid w:val="00980059"/>
    <w:rsid w:val="00980067"/>
    <w:rsid w:val="00986E00"/>
    <w:rsid w:val="009938AC"/>
    <w:rsid w:val="00994EDF"/>
    <w:rsid w:val="009A05E6"/>
    <w:rsid w:val="009A1A27"/>
    <w:rsid w:val="009A21C5"/>
    <w:rsid w:val="009A26C6"/>
    <w:rsid w:val="009A2740"/>
    <w:rsid w:val="009A3826"/>
    <w:rsid w:val="009A49D0"/>
    <w:rsid w:val="009A759C"/>
    <w:rsid w:val="009B3BB8"/>
    <w:rsid w:val="009B3FEC"/>
    <w:rsid w:val="009B4A0F"/>
    <w:rsid w:val="009B5147"/>
    <w:rsid w:val="009B52F8"/>
    <w:rsid w:val="009B7BAE"/>
    <w:rsid w:val="009C11D2"/>
    <w:rsid w:val="009C2E04"/>
    <w:rsid w:val="009C343A"/>
    <w:rsid w:val="009C6C70"/>
    <w:rsid w:val="009C73B3"/>
    <w:rsid w:val="009D0B63"/>
    <w:rsid w:val="009D2B9A"/>
    <w:rsid w:val="009E307E"/>
    <w:rsid w:val="009E4324"/>
    <w:rsid w:val="009E7747"/>
    <w:rsid w:val="00A04CF7"/>
    <w:rsid w:val="00A05ACE"/>
    <w:rsid w:val="00A07687"/>
    <w:rsid w:val="00A07870"/>
    <w:rsid w:val="00A07F19"/>
    <w:rsid w:val="00A12078"/>
    <w:rsid w:val="00A1348D"/>
    <w:rsid w:val="00A141F7"/>
    <w:rsid w:val="00A16EDF"/>
    <w:rsid w:val="00A17202"/>
    <w:rsid w:val="00A175FE"/>
    <w:rsid w:val="00A21633"/>
    <w:rsid w:val="00A21CB8"/>
    <w:rsid w:val="00A22A0D"/>
    <w:rsid w:val="00A232EE"/>
    <w:rsid w:val="00A24B80"/>
    <w:rsid w:val="00A273FF"/>
    <w:rsid w:val="00A30122"/>
    <w:rsid w:val="00A3139A"/>
    <w:rsid w:val="00A339A9"/>
    <w:rsid w:val="00A33AC9"/>
    <w:rsid w:val="00A34161"/>
    <w:rsid w:val="00A349EB"/>
    <w:rsid w:val="00A4175F"/>
    <w:rsid w:val="00A43D7F"/>
    <w:rsid w:val="00A44411"/>
    <w:rsid w:val="00A44F31"/>
    <w:rsid w:val="00A469FA"/>
    <w:rsid w:val="00A520D2"/>
    <w:rsid w:val="00A521EA"/>
    <w:rsid w:val="00A54604"/>
    <w:rsid w:val="00A55B01"/>
    <w:rsid w:val="00A56B5B"/>
    <w:rsid w:val="00A5745C"/>
    <w:rsid w:val="00A603FF"/>
    <w:rsid w:val="00A61BFB"/>
    <w:rsid w:val="00A61F04"/>
    <w:rsid w:val="00A650F9"/>
    <w:rsid w:val="00A657DD"/>
    <w:rsid w:val="00A65DBB"/>
    <w:rsid w:val="00A666A6"/>
    <w:rsid w:val="00A675FD"/>
    <w:rsid w:val="00A72437"/>
    <w:rsid w:val="00A727CE"/>
    <w:rsid w:val="00A741CF"/>
    <w:rsid w:val="00A74DE2"/>
    <w:rsid w:val="00A80611"/>
    <w:rsid w:val="00A81FEF"/>
    <w:rsid w:val="00A92E89"/>
    <w:rsid w:val="00AA7FA6"/>
    <w:rsid w:val="00AB41F9"/>
    <w:rsid w:val="00AB5340"/>
    <w:rsid w:val="00AB7ECC"/>
    <w:rsid w:val="00AC0A89"/>
    <w:rsid w:val="00AC2BC8"/>
    <w:rsid w:val="00AC3C4D"/>
    <w:rsid w:val="00AC40C3"/>
    <w:rsid w:val="00AC4685"/>
    <w:rsid w:val="00AC6A44"/>
    <w:rsid w:val="00AC7C96"/>
    <w:rsid w:val="00AD11DC"/>
    <w:rsid w:val="00AD1EEB"/>
    <w:rsid w:val="00AD711F"/>
    <w:rsid w:val="00AD7323"/>
    <w:rsid w:val="00AE237D"/>
    <w:rsid w:val="00AE3E33"/>
    <w:rsid w:val="00AE502A"/>
    <w:rsid w:val="00AE67C5"/>
    <w:rsid w:val="00AE69FB"/>
    <w:rsid w:val="00AE6D21"/>
    <w:rsid w:val="00AF35F5"/>
    <w:rsid w:val="00AF7C07"/>
    <w:rsid w:val="00B06280"/>
    <w:rsid w:val="00B11542"/>
    <w:rsid w:val="00B167CD"/>
    <w:rsid w:val="00B16A1C"/>
    <w:rsid w:val="00B22C93"/>
    <w:rsid w:val="00B2305D"/>
    <w:rsid w:val="00B23191"/>
    <w:rsid w:val="00B23201"/>
    <w:rsid w:val="00B23BE8"/>
    <w:rsid w:val="00B24172"/>
    <w:rsid w:val="00B24C6C"/>
    <w:rsid w:val="00B27589"/>
    <w:rsid w:val="00B353F3"/>
    <w:rsid w:val="00B3669D"/>
    <w:rsid w:val="00B405B7"/>
    <w:rsid w:val="00B46BEA"/>
    <w:rsid w:val="00B47562"/>
    <w:rsid w:val="00B478B1"/>
    <w:rsid w:val="00B52222"/>
    <w:rsid w:val="00B52D8F"/>
    <w:rsid w:val="00B54810"/>
    <w:rsid w:val="00B54FE7"/>
    <w:rsid w:val="00B65C7F"/>
    <w:rsid w:val="00B66901"/>
    <w:rsid w:val="00B67119"/>
    <w:rsid w:val="00B674E2"/>
    <w:rsid w:val="00B71E6D"/>
    <w:rsid w:val="00B72070"/>
    <w:rsid w:val="00B73E34"/>
    <w:rsid w:val="00B744FD"/>
    <w:rsid w:val="00B75FA8"/>
    <w:rsid w:val="00B779E1"/>
    <w:rsid w:val="00B77EB6"/>
    <w:rsid w:val="00B90F9F"/>
    <w:rsid w:val="00B91EE1"/>
    <w:rsid w:val="00B950E1"/>
    <w:rsid w:val="00B9791D"/>
    <w:rsid w:val="00BA0000"/>
    <w:rsid w:val="00BA0090"/>
    <w:rsid w:val="00BA1A67"/>
    <w:rsid w:val="00BA4B7E"/>
    <w:rsid w:val="00BA53FF"/>
    <w:rsid w:val="00BA549D"/>
    <w:rsid w:val="00BA6A62"/>
    <w:rsid w:val="00BB2001"/>
    <w:rsid w:val="00BB4E49"/>
    <w:rsid w:val="00BD005F"/>
    <w:rsid w:val="00BD396A"/>
    <w:rsid w:val="00BE5B5F"/>
    <w:rsid w:val="00BF1161"/>
    <w:rsid w:val="00BF1F7B"/>
    <w:rsid w:val="00C0136D"/>
    <w:rsid w:val="00C0139F"/>
    <w:rsid w:val="00C015B2"/>
    <w:rsid w:val="00C024C8"/>
    <w:rsid w:val="00C0719A"/>
    <w:rsid w:val="00C130A3"/>
    <w:rsid w:val="00C1409D"/>
    <w:rsid w:val="00C14CCF"/>
    <w:rsid w:val="00C16327"/>
    <w:rsid w:val="00C163CD"/>
    <w:rsid w:val="00C204A5"/>
    <w:rsid w:val="00C20522"/>
    <w:rsid w:val="00C26F55"/>
    <w:rsid w:val="00C30C63"/>
    <w:rsid w:val="00C326AE"/>
    <w:rsid w:val="00C3279E"/>
    <w:rsid w:val="00C32A6F"/>
    <w:rsid w:val="00C36B84"/>
    <w:rsid w:val="00C36B8B"/>
    <w:rsid w:val="00C415C1"/>
    <w:rsid w:val="00C44C09"/>
    <w:rsid w:val="00C47DBF"/>
    <w:rsid w:val="00C545B3"/>
    <w:rsid w:val="00C545D1"/>
    <w:rsid w:val="00C552FF"/>
    <w:rsid w:val="00C558DA"/>
    <w:rsid w:val="00C55AF3"/>
    <w:rsid w:val="00C60911"/>
    <w:rsid w:val="00C61801"/>
    <w:rsid w:val="00C63C4C"/>
    <w:rsid w:val="00C6471C"/>
    <w:rsid w:val="00C65F1B"/>
    <w:rsid w:val="00C70DA7"/>
    <w:rsid w:val="00C8068B"/>
    <w:rsid w:val="00C83835"/>
    <w:rsid w:val="00C84759"/>
    <w:rsid w:val="00C852EF"/>
    <w:rsid w:val="00C85C50"/>
    <w:rsid w:val="00C9173A"/>
    <w:rsid w:val="00C93749"/>
    <w:rsid w:val="00CA50D5"/>
    <w:rsid w:val="00CA5BC2"/>
    <w:rsid w:val="00CA6C7F"/>
    <w:rsid w:val="00CB31F5"/>
    <w:rsid w:val="00CB441D"/>
    <w:rsid w:val="00CC10A6"/>
    <w:rsid w:val="00CC4076"/>
    <w:rsid w:val="00CD1F81"/>
    <w:rsid w:val="00CD3BEB"/>
    <w:rsid w:val="00CD5EB8"/>
    <w:rsid w:val="00CD7044"/>
    <w:rsid w:val="00CE08B9"/>
    <w:rsid w:val="00CE33AC"/>
    <w:rsid w:val="00CE524C"/>
    <w:rsid w:val="00CE551D"/>
    <w:rsid w:val="00CE6B46"/>
    <w:rsid w:val="00CE6F65"/>
    <w:rsid w:val="00CF141F"/>
    <w:rsid w:val="00CF4777"/>
    <w:rsid w:val="00CF5287"/>
    <w:rsid w:val="00CF63B1"/>
    <w:rsid w:val="00CF6937"/>
    <w:rsid w:val="00CF6D37"/>
    <w:rsid w:val="00D0233D"/>
    <w:rsid w:val="00D03C5D"/>
    <w:rsid w:val="00D067BB"/>
    <w:rsid w:val="00D07E28"/>
    <w:rsid w:val="00D10EE0"/>
    <w:rsid w:val="00D11C79"/>
    <w:rsid w:val="00D1352A"/>
    <w:rsid w:val="00D169AF"/>
    <w:rsid w:val="00D1705D"/>
    <w:rsid w:val="00D231FD"/>
    <w:rsid w:val="00D25249"/>
    <w:rsid w:val="00D30B48"/>
    <w:rsid w:val="00D44172"/>
    <w:rsid w:val="00D4734C"/>
    <w:rsid w:val="00D55346"/>
    <w:rsid w:val="00D63B8C"/>
    <w:rsid w:val="00D65942"/>
    <w:rsid w:val="00D6688D"/>
    <w:rsid w:val="00D67A1A"/>
    <w:rsid w:val="00D739CC"/>
    <w:rsid w:val="00D754A6"/>
    <w:rsid w:val="00D75E50"/>
    <w:rsid w:val="00D7695A"/>
    <w:rsid w:val="00D77110"/>
    <w:rsid w:val="00D8093D"/>
    <w:rsid w:val="00D81032"/>
    <w:rsid w:val="00D8108C"/>
    <w:rsid w:val="00D82C98"/>
    <w:rsid w:val="00D842AE"/>
    <w:rsid w:val="00D845D6"/>
    <w:rsid w:val="00D874D7"/>
    <w:rsid w:val="00D90C60"/>
    <w:rsid w:val="00D9211C"/>
    <w:rsid w:val="00D92DE0"/>
    <w:rsid w:val="00D92FEF"/>
    <w:rsid w:val="00D9375E"/>
    <w:rsid w:val="00D93A0F"/>
    <w:rsid w:val="00D95FFA"/>
    <w:rsid w:val="00D97F75"/>
    <w:rsid w:val="00DA0CEB"/>
    <w:rsid w:val="00DA0D04"/>
    <w:rsid w:val="00DA1BCA"/>
    <w:rsid w:val="00DA4EA8"/>
    <w:rsid w:val="00DB188B"/>
    <w:rsid w:val="00DB6395"/>
    <w:rsid w:val="00DC46FF"/>
    <w:rsid w:val="00DC5254"/>
    <w:rsid w:val="00DC6F0B"/>
    <w:rsid w:val="00DD1A4F"/>
    <w:rsid w:val="00DD1D2A"/>
    <w:rsid w:val="00DD3107"/>
    <w:rsid w:val="00DD3266"/>
    <w:rsid w:val="00DD47A7"/>
    <w:rsid w:val="00DD7C2C"/>
    <w:rsid w:val="00DE06EA"/>
    <w:rsid w:val="00DE30D5"/>
    <w:rsid w:val="00DE61AB"/>
    <w:rsid w:val="00DF46CA"/>
    <w:rsid w:val="00DF48FF"/>
    <w:rsid w:val="00DF6DC7"/>
    <w:rsid w:val="00DF712E"/>
    <w:rsid w:val="00E0144C"/>
    <w:rsid w:val="00E03D3D"/>
    <w:rsid w:val="00E06797"/>
    <w:rsid w:val="00E07236"/>
    <w:rsid w:val="00E11B64"/>
    <w:rsid w:val="00E1265B"/>
    <w:rsid w:val="00E13B48"/>
    <w:rsid w:val="00E1404F"/>
    <w:rsid w:val="00E15DD7"/>
    <w:rsid w:val="00E21540"/>
    <w:rsid w:val="00E21C83"/>
    <w:rsid w:val="00E22FDE"/>
    <w:rsid w:val="00E23AFA"/>
    <w:rsid w:val="00E23D09"/>
    <w:rsid w:val="00E23FA8"/>
    <w:rsid w:val="00E24ADA"/>
    <w:rsid w:val="00E30DB1"/>
    <w:rsid w:val="00E32F59"/>
    <w:rsid w:val="00E3326B"/>
    <w:rsid w:val="00E335C8"/>
    <w:rsid w:val="00E341DB"/>
    <w:rsid w:val="00E344FF"/>
    <w:rsid w:val="00E34A5B"/>
    <w:rsid w:val="00E40D22"/>
    <w:rsid w:val="00E42232"/>
    <w:rsid w:val="00E454F8"/>
    <w:rsid w:val="00E46D9A"/>
    <w:rsid w:val="00E565FF"/>
    <w:rsid w:val="00E61FB9"/>
    <w:rsid w:val="00E631C4"/>
    <w:rsid w:val="00E65388"/>
    <w:rsid w:val="00E65D30"/>
    <w:rsid w:val="00E66211"/>
    <w:rsid w:val="00E66F33"/>
    <w:rsid w:val="00E71D1F"/>
    <w:rsid w:val="00E7572D"/>
    <w:rsid w:val="00E77DD2"/>
    <w:rsid w:val="00E81D8F"/>
    <w:rsid w:val="00E85268"/>
    <w:rsid w:val="00E854BA"/>
    <w:rsid w:val="00E85B7D"/>
    <w:rsid w:val="00E85F54"/>
    <w:rsid w:val="00E87EB7"/>
    <w:rsid w:val="00E9121B"/>
    <w:rsid w:val="00EA0AE2"/>
    <w:rsid w:val="00EA0F59"/>
    <w:rsid w:val="00EA2F3F"/>
    <w:rsid w:val="00EA39E5"/>
    <w:rsid w:val="00EB07A1"/>
    <w:rsid w:val="00EB56D8"/>
    <w:rsid w:val="00EB60E4"/>
    <w:rsid w:val="00EB643C"/>
    <w:rsid w:val="00EC0B3B"/>
    <w:rsid w:val="00EC34AA"/>
    <w:rsid w:val="00EC5A46"/>
    <w:rsid w:val="00EC63E2"/>
    <w:rsid w:val="00ED6116"/>
    <w:rsid w:val="00EE09AE"/>
    <w:rsid w:val="00EE3730"/>
    <w:rsid w:val="00EF1243"/>
    <w:rsid w:val="00EF22B3"/>
    <w:rsid w:val="00EF2957"/>
    <w:rsid w:val="00F03B69"/>
    <w:rsid w:val="00F051DD"/>
    <w:rsid w:val="00F06DE3"/>
    <w:rsid w:val="00F07A50"/>
    <w:rsid w:val="00F10020"/>
    <w:rsid w:val="00F113DA"/>
    <w:rsid w:val="00F12EC0"/>
    <w:rsid w:val="00F14636"/>
    <w:rsid w:val="00F17B58"/>
    <w:rsid w:val="00F20B75"/>
    <w:rsid w:val="00F21EA7"/>
    <w:rsid w:val="00F23195"/>
    <w:rsid w:val="00F270B1"/>
    <w:rsid w:val="00F31055"/>
    <w:rsid w:val="00F318A6"/>
    <w:rsid w:val="00F32AA9"/>
    <w:rsid w:val="00F331D4"/>
    <w:rsid w:val="00F37DC8"/>
    <w:rsid w:val="00F40434"/>
    <w:rsid w:val="00F439B3"/>
    <w:rsid w:val="00F443D5"/>
    <w:rsid w:val="00F4519C"/>
    <w:rsid w:val="00F46532"/>
    <w:rsid w:val="00F5042E"/>
    <w:rsid w:val="00F513E4"/>
    <w:rsid w:val="00F51F99"/>
    <w:rsid w:val="00F5201B"/>
    <w:rsid w:val="00F52A20"/>
    <w:rsid w:val="00F60553"/>
    <w:rsid w:val="00F61150"/>
    <w:rsid w:val="00F6282B"/>
    <w:rsid w:val="00F650C3"/>
    <w:rsid w:val="00F6558C"/>
    <w:rsid w:val="00F65D85"/>
    <w:rsid w:val="00F6704C"/>
    <w:rsid w:val="00F7227C"/>
    <w:rsid w:val="00F75393"/>
    <w:rsid w:val="00F7542F"/>
    <w:rsid w:val="00F75F2B"/>
    <w:rsid w:val="00F7605D"/>
    <w:rsid w:val="00F76472"/>
    <w:rsid w:val="00F8091E"/>
    <w:rsid w:val="00F815DA"/>
    <w:rsid w:val="00F8327F"/>
    <w:rsid w:val="00F834B5"/>
    <w:rsid w:val="00F843CD"/>
    <w:rsid w:val="00F85858"/>
    <w:rsid w:val="00F8615C"/>
    <w:rsid w:val="00F8698B"/>
    <w:rsid w:val="00F86F8E"/>
    <w:rsid w:val="00F902ED"/>
    <w:rsid w:val="00F9173C"/>
    <w:rsid w:val="00F96219"/>
    <w:rsid w:val="00F969E5"/>
    <w:rsid w:val="00FA1492"/>
    <w:rsid w:val="00FA6BB0"/>
    <w:rsid w:val="00FB436A"/>
    <w:rsid w:val="00FB4F20"/>
    <w:rsid w:val="00FC0F0E"/>
    <w:rsid w:val="00FC1C94"/>
    <w:rsid w:val="00FD54AE"/>
    <w:rsid w:val="00FD5860"/>
    <w:rsid w:val="00FE352D"/>
    <w:rsid w:val="00FE40EB"/>
    <w:rsid w:val="00FE4D02"/>
    <w:rsid w:val="00FE6A16"/>
    <w:rsid w:val="00FE6FB5"/>
    <w:rsid w:val="00FE7D62"/>
    <w:rsid w:val="00FF0013"/>
    <w:rsid w:val="00FF32EA"/>
    <w:rsid w:val="00FF3819"/>
    <w:rsid w:val="00FF50E4"/>
    <w:rsid w:val="00FF6A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35CC2"/>
  <w15:chartTrackingRefBased/>
  <w15:docId w15:val="{078843B5-B417-4D26-80AE-FA41F59A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978"/>
    <w:rPr>
      <w:rFonts w:eastAsia="SimSun"/>
      <w:lang w:eastAsia="zh-CN"/>
    </w:rPr>
  </w:style>
  <w:style w:type="paragraph" w:styleId="Titre1">
    <w:name w:val="heading 1"/>
    <w:basedOn w:val="Normal"/>
    <w:next w:val="Normalnumber"/>
    <w:rsid w:val="00263978"/>
    <w:pPr>
      <w:keepNext/>
      <w:spacing w:before="240" w:after="120"/>
      <w:ind w:left="1247" w:hanging="680"/>
      <w:outlineLvl w:val="0"/>
    </w:pPr>
    <w:rPr>
      <w:b/>
      <w:sz w:val="28"/>
    </w:rPr>
  </w:style>
  <w:style w:type="paragraph" w:styleId="Titre2">
    <w:name w:val="heading 2"/>
    <w:basedOn w:val="Normal"/>
    <w:next w:val="Normalnumber"/>
    <w:rsid w:val="00263978"/>
    <w:pPr>
      <w:keepNext/>
      <w:spacing w:before="240" w:after="120"/>
      <w:ind w:left="1247" w:hanging="680"/>
      <w:outlineLvl w:val="1"/>
    </w:pPr>
    <w:rPr>
      <w:b/>
      <w:sz w:val="24"/>
      <w:szCs w:val="24"/>
    </w:rPr>
  </w:style>
  <w:style w:type="paragraph" w:styleId="Titre3">
    <w:name w:val="heading 3"/>
    <w:basedOn w:val="Normal"/>
    <w:next w:val="Normalnumber"/>
    <w:rsid w:val="00263978"/>
    <w:pPr>
      <w:spacing w:after="120"/>
      <w:ind w:left="1247" w:hanging="680"/>
      <w:outlineLvl w:val="2"/>
    </w:pPr>
    <w:rPr>
      <w:b/>
    </w:rPr>
  </w:style>
  <w:style w:type="paragraph" w:styleId="Titre4">
    <w:name w:val="heading 4"/>
    <w:basedOn w:val="Titre3"/>
    <w:next w:val="Normalnumber"/>
    <w:rsid w:val="00263978"/>
    <w:pPr>
      <w:keepNext/>
      <w:outlineLvl w:val="3"/>
    </w:pPr>
  </w:style>
  <w:style w:type="paragraph" w:styleId="Titre5">
    <w:name w:val="heading 5"/>
    <w:basedOn w:val="Normal"/>
    <w:next w:val="Normal"/>
    <w:rsid w:val="00263978"/>
    <w:pPr>
      <w:keepNext/>
      <w:outlineLvl w:val="4"/>
    </w:pPr>
    <w:rPr>
      <w:rFonts w:ascii="Univers" w:hAnsi="Univers"/>
      <w:b/>
      <w:sz w:val="24"/>
    </w:rPr>
  </w:style>
  <w:style w:type="paragraph" w:styleId="Titre6">
    <w:name w:val="heading 6"/>
    <w:basedOn w:val="Normal"/>
    <w:next w:val="Normal"/>
    <w:rsid w:val="00263978"/>
    <w:pPr>
      <w:keepNext/>
      <w:ind w:left="578"/>
      <w:outlineLvl w:val="5"/>
    </w:pPr>
    <w:rPr>
      <w:b/>
      <w:bCs/>
      <w:sz w:val="24"/>
    </w:rPr>
  </w:style>
  <w:style w:type="paragraph" w:styleId="Titre7">
    <w:name w:val="heading 7"/>
    <w:basedOn w:val="Normal"/>
    <w:next w:val="Normal"/>
    <w:rsid w:val="00263978"/>
    <w:pPr>
      <w:keepNext/>
      <w:widowControl w:val="0"/>
      <w:jc w:val="center"/>
      <w:outlineLvl w:val="6"/>
    </w:pPr>
    <w:rPr>
      <w:snapToGrid w:val="0"/>
      <w:u w:val="single"/>
    </w:rPr>
  </w:style>
  <w:style w:type="paragraph" w:styleId="Titre8">
    <w:name w:val="heading 8"/>
    <w:basedOn w:val="Normal"/>
    <w:next w:val="Normal"/>
    <w:rsid w:val="00263978"/>
    <w:pPr>
      <w:keepNext/>
      <w:widowControl w:val="0"/>
      <w:tabs>
        <w:tab w:val="left" w:pos="-1440"/>
        <w:tab w:val="left" w:pos="-720"/>
        <w:tab w:val="num" w:pos="720"/>
      </w:tabs>
      <w:suppressAutoHyphens/>
      <w:ind w:left="720" w:hanging="720"/>
      <w:jc w:val="center"/>
      <w:outlineLvl w:val="7"/>
    </w:pPr>
    <w:rPr>
      <w:snapToGrid w:val="0"/>
      <w:u w:val="single"/>
    </w:rPr>
  </w:style>
  <w:style w:type="paragraph" w:styleId="Titre9">
    <w:name w:val="heading 9"/>
    <w:basedOn w:val="Normal"/>
    <w:next w:val="Normal"/>
    <w:rsid w:val="00263978"/>
    <w:pPr>
      <w:keepNext/>
      <w:widowControl w:val="0"/>
      <w:suppressAutoHyphens/>
      <w:ind w:left="360" w:hanging="360"/>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263978"/>
    <w:rPr>
      <w:rFonts w:ascii="Times New Roman" w:hAnsi="Times New Roman"/>
      <w:b/>
      <w:sz w:val="18"/>
    </w:rPr>
  </w:style>
  <w:style w:type="table" w:customStyle="1" w:styleId="Tabledocright">
    <w:name w:val="Table_doc_right"/>
    <w:basedOn w:val="TableauNormal"/>
    <w:rsid w:val="00263978"/>
    <w:pPr>
      <w:spacing w:before="40" w:after="40"/>
    </w:pPr>
    <w:rPr>
      <w:rFonts w:eastAsia="SimSun"/>
      <w:sz w:val="18"/>
      <w:szCs w:val="18"/>
      <w:lang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semiHidden/>
    <w:rsid w:val="00263978"/>
    <w:pPr>
      <w:ind w:left="1000"/>
    </w:pPr>
    <w:rPr>
      <w:sz w:val="18"/>
      <w:szCs w:val="18"/>
    </w:rPr>
  </w:style>
  <w:style w:type="paragraph" w:styleId="TM7">
    <w:name w:val="toc 7"/>
    <w:basedOn w:val="Normal"/>
    <w:next w:val="Normal"/>
    <w:autoRedefine/>
    <w:semiHidden/>
    <w:rsid w:val="00263978"/>
    <w:pPr>
      <w:ind w:left="1200"/>
    </w:pPr>
    <w:rPr>
      <w:sz w:val="18"/>
      <w:szCs w:val="18"/>
    </w:rPr>
  </w:style>
  <w:style w:type="paragraph" w:styleId="TM8">
    <w:name w:val="toc 8"/>
    <w:basedOn w:val="Normal"/>
    <w:next w:val="Normal"/>
    <w:autoRedefine/>
    <w:semiHidden/>
    <w:rsid w:val="00263978"/>
    <w:pPr>
      <w:ind w:left="1400"/>
    </w:pPr>
    <w:rPr>
      <w:sz w:val="18"/>
      <w:szCs w:val="18"/>
    </w:rPr>
  </w:style>
  <w:style w:type="paragraph" w:styleId="TM9">
    <w:name w:val="toc 9"/>
    <w:basedOn w:val="Normal"/>
    <w:next w:val="Normal"/>
    <w:autoRedefine/>
    <w:semiHidden/>
    <w:rsid w:val="00263978"/>
    <w:pPr>
      <w:ind w:left="1600"/>
    </w:pPr>
    <w:rPr>
      <w:sz w:val="18"/>
      <w:szCs w:val="18"/>
    </w:rPr>
  </w:style>
  <w:style w:type="paragraph" w:customStyle="1" w:styleId="Titlefigure">
    <w:name w:val="Title_figure"/>
    <w:basedOn w:val="Titletable"/>
    <w:next w:val="NormalNonumber"/>
    <w:rsid w:val="00263978"/>
    <w:rPr>
      <w:bCs w:val="0"/>
    </w:rPr>
  </w:style>
  <w:style w:type="paragraph" w:styleId="Tabledesillustrations">
    <w:name w:val="table of figures"/>
    <w:basedOn w:val="Normal"/>
    <w:next w:val="Normal"/>
    <w:autoRedefine/>
    <w:semiHidden/>
    <w:rsid w:val="00263978"/>
    <w:pPr>
      <w:ind w:left="1814" w:hanging="567"/>
    </w:pPr>
  </w:style>
  <w:style w:type="paragraph" w:customStyle="1" w:styleId="CH1">
    <w:name w:val="CH1"/>
    <w:basedOn w:val="Normal-pool"/>
    <w:next w:val="CH2"/>
    <w:qFormat/>
    <w:rsid w:val="0026397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263978"/>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263978"/>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263978"/>
    <w:pPr>
      <w:keepNext/>
      <w:keepLines/>
      <w:tabs>
        <w:tab w:val="right" w:pos="851"/>
      </w:tabs>
      <w:suppressAutoHyphens/>
      <w:spacing w:after="120"/>
      <w:ind w:left="1247" w:right="284" w:hanging="1247"/>
    </w:pPr>
    <w:rPr>
      <w:b/>
    </w:rPr>
  </w:style>
  <w:style w:type="table" w:customStyle="1" w:styleId="Footertable">
    <w:name w:val="Footer_table"/>
    <w:basedOn w:val="TableauNormal"/>
    <w:semiHidden/>
    <w:rsid w:val="00263978"/>
    <w:rPr>
      <w:rFonts w:ascii="Arial" w:eastAsia="SimSun" w:hAnsi="Arial"/>
      <w:sz w:val="16"/>
      <w:lang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263978"/>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link w:val="NormalpoolChar"/>
    <w:rsid w:val="00C36B84"/>
    <w:pPr>
      <w:tabs>
        <w:tab w:val="left" w:pos="1247"/>
        <w:tab w:val="left" w:pos="1814"/>
        <w:tab w:val="left" w:pos="2381"/>
        <w:tab w:val="left" w:pos="2948"/>
        <w:tab w:val="left" w:pos="3515"/>
        <w:tab w:val="left" w:pos="4082"/>
      </w:tabs>
      <w:spacing w:before="20" w:after="40"/>
      <w:ind w:left="1247"/>
    </w:pPr>
    <w:rPr>
      <w:rFonts w:eastAsia="SimSun"/>
      <w:lang w:val="en-GB" w:eastAsia="en-US"/>
    </w:rPr>
  </w:style>
  <w:style w:type="paragraph" w:customStyle="1" w:styleId="Footer-pool">
    <w:name w:val="Footer-pool"/>
    <w:basedOn w:val="Normal-pool"/>
    <w:next w:val="Normal-pool"/>
    <w:rsid w:val="00263978"/>
    <w:pPr>
      <w:tabs>
        <w:tab w:val="left" w:pos="4321"/>
        <w:tab w:val="right" w:pos="8641"/>
      </w:tabs>
      <w:spacing w:before="60" w:after="120"/>
    </w:pPr>
    <w:rPr>
      <w:b/>
      <w:sz w:val="18"/>
    </w:rPr>
  </w:style>
  <w:style w:type="paragraph" w:customStyle="1" w:styleId="Header-pool">
    <w:name w:val="Header-pool"/>
    <w:basedOn w:val="Normal-pool"/>
    <w:next w:val="Normal-pool"/>
    <w:rsid w:val="0026397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ppelnotedebasdep">
    <w:name w:val="footnote reference"/>
    <w:rsid w:val="00263978"/>
    <w:rPr>
      <w:rFonts w:ascii="Times New Roman" w:hAnsi="Times New Roman"/>
      <w:color w:val="auto"/>
      <w:sz w:val="18"/>
      <w:szCs w:val="18"/>
      <w:vertAlign w:val="superscript"/>
    </w:rPr>
  </w:style>
  <w:style w:type="paragraph" w:styleId="Notedebasdepage">
    <w:name w:val="footnote text"/>
    <w:basedOn w:val="Normal"/>
    <w:link w:val="NotedebasdepageCar"/>
    <w:rsid w:val="00263978"/>
    <w:pPr>
      <w:tabs>
        <w:tab w:val="left" w:pos="1247"/>
        <w:tab w:val="left" w:pos="1814"/>
        <w:tab w:val="left" w:pos="2381"/>
        <w:tab w:val="left" w:pos="2948"/>
        <w:tab w:val="left" w:pos="3515"/>
        <w:tab w:val="left" w:pos="4082"/>
      </w:tabs>
      <w:spacing w:before="20" w:after="40"/>
      <w:ind w:left="1247"/>
    </w:pPr>
    <w:rPr>
      <w:sz w:val="18"/>
      <w:lang w:val="fr-CA" w:eastAsia="en-US"/>
    </w:rPr>
  </w:style>
  <w:style w:type="paragraph" w:styleId="Textedebulles">
    <w:name w:val="Balloon Text"/>
    <w:basedOn w:val="Normal"/>
    <w:link w:val="TextedebullesCar"/>
    <w:uiPriority w:val="99"/>
    <w:rsid w:val="00A54604"/>
    <w:rPr>
      <w:rFonts w:ascii="Segoe UI" w:hAnsi="Segoe UI" w:cs="Segoe UI"/>
      <w:sz w:val="18"/>
      <w:szCs w:val="18"/>
    </w:rPr>
  </w:style>
  <w:style w:type="character" w:customStyle="1" w:styleId="TextedebullesCar">
    <w:name w:val="Texte de bulles Car"/>
    <w:basedOn w:val="Policepardfaut"/>
    <w:link w:val="Textedebulles"/>
    <w:uiPriority w:val="99"/>
    <w:rsid w:val="00A54604"/>
    <w:rPr>
      <w:rFonts w:ascii="Segoe UI" w:hAnsi="Segoe UI" w:cs="Segoe UI"/>
      <w:sz w:val="18"/>
      <w:szCs w:val="18"/>
      <w:lang w:val="fr-FR" w:eastAsia="en-US"/>
    </w:rPr>
  </w:style>
  <w:style w:type="table" w:styleId="Grilledutableau">
    <w:name w:val="Table Grid"/>
    <w:basedOn w:val="TableauNormal"/>
    <w:rsid w:val="00A54604"/>
    <w:pPr>
      <w:spacing w:after="120" w:line="264" w:lineRule="auto"/>
    </w:pPr>
    <w:rPr>
      <w:rFonts w:ascii="Calibri" w:eastAsia="DengXian" w:hAnsi="Calibri" w:cs="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auNormal"/>
    <w:semiHidden/>
    <w:rsid w:val="00263978"/>
    <w:rPr>
      <w:rFonts w:eastAsia="SimSun"/>
      <w:lang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263978"/>
    <w:pPr>
      <w:keepNext/>
      <w:keepLines/>
      <w:suppressAutoHyphens/>
      <w:ind w:right="5103"/>
    </w:pPr>
    <w:rPr>
      <w:b/>
    </w:rPr>
  </w:style>
  <w:style w:type="paragraph" w:customStyle="1" w:styleId="AATitle2">
    <w:name w:val="AA_Title2"/>
    <w:basedOn w:val="AATitle"/>
    <w:qFormat/>
    <w:rsid w:val="00263978"/>
    <w:pPr>
      <w:tabs>
        <w:tab w:val="clear" w:pos="4082"/>
      </w:tabs>
      <w:spacing w:before="120" w:after="120"/>
      <w:ind w:right="4536"/>
    </w:pPr>
  </w:style>
  <w:style w:type="paragraph" w:customStyle="1" w:styleId="BBTitle">
    <w:name w:val="BB_Title"/>
    <w:basedOn w:val="Normal-pool"/>
    <w:link w:val="BBTitleChar"/>
    <w:qFormat/>
    <w:rsid w:val="00263978"/>
    <w:pPr>
      <w:keepNext/>
      <w:keepLines/>
      <w:suppressAutoHyphens/>
      <w:spacing w:before="320" w:after="240"/>
      <w:ind w:left="1247" w:right="567"/>
    </w:pPr>
    <w:rPr>
      <w:b/>
      <w:sz w:val="28"/>
      <w:szCs w:val="28"/>
    </w:rPr>
  </w:style>
  <w:style w:type="paragraph" w:styleId="Pieddepage">
    <w:name w:val="footer"/>
    <w:basedOn w:val="Normal"/>
    <w:link w:val="PieddepageCar"/>
    <w:rsid w:val="00263978"/>
    <w:pPr>
      <w:tabs>
        <w:tab w:val="center" w:pos="4320"/>
        <w:tab w:val="right" w:pos="8640"/>
      </w:tabs>
      <w:spacing w:before="60" w:after="120"/>
    </w:pPr>
    <w:rPr>
      <w:sz w:val="18"/>
    </w:rPr>
  </w:style>
  <w:style w:type="paragraph" w:styleId="En-tte">
    <w:name w:val="header"/>
    <w:basedOn w:val="Normal"/>
    <w:link w:val="En-tteCar"/>
    <w:rsid w:val="00263978"/>
    <w:pPr>
      <w:pBdr>
        <w:bottom w:val="single" w:sz="4" w:space="1" w:color="auto"/>
      </w:pBdr>
      <w:tabs>
        <w:tab w:val="center" w:pos="4536"/>
        <w:tab w:val="right" w:pos="9072"/>
      </w:tabs>
      <w:spacing w:after="120"/>
    </w:pPr>
    <w:rPr>
      <w:b/>
      <w:sz w:val="18"/>
    </w:rPr>
  </w:style>
  <w:style w:type="character" w:styleId="Lienhypertexte">
    <w:name w:val="Hyperlink"/>
    <w:unhideWhenUsed/>
    <w:rsid w:val="00263978"/>
    <w:rPr>
      <w:rFonts w:ascii="Times New Roman" w:hAnsi="Times New Roman"/>
      <w:color w:val="0000FF"/>
      <w:sz w:val="20"/>
      <w:szCs w:val="20"/>
      <w:u w:val="single"/>
      <w:lang w:val="en-US"/>
    </w:rPr>
  </w:style>
  <w:style w:type="numbering" w:customStyle="1" w:styleId="Normallist">
    <w:name w:val="Normal_list"/>
    <w:basedOn w:val="Aucuneliste"/>
    <w:rsid w:val="00263978"/>
    <w:pPr>
      <w:numPr>
        <w:numId w:val="5"/>
      </w:numPr>
    </w:pPr>
  </w:style>
  <w:style w:type="paragraph" w:customStyle="1" w:styleId="NormalNonumber">
    <w:name w:val="Normal_No_number"/>
    <w:basedOn w:val="Normal-pool"/>
    <w:qFormat/>
    <w:rsid w:val="00263978"/>
    <w:pPr>
      <w:spacing w:after="120"/>
      <w:ind w:left="1247"/>
    </w:pPr>
  </w:style>
  <w:style w:type="paragraph" w:customStyle="1" w:styleId="Normalnumber">
    <w:name w:val="Normal_number"/>
    <w:basedOn w:val="Normalpool"/>
    <w:link w:val="NormalnumberChar"/>
    <w:qFormat/>
    <w:rsid w:val="00263978"/>
    <w:pPr>
      <w:numPr>
        <w:numId w:val="6"/>
      </w:numPr>
      <w:spacing w:after="120"/>
    </w:pPr>
    <w:rPr>
      <w:rFonts w:eastAsia="Times New Roman"/>
    </w:rPr>
  </w:style>
  <w:style w:type="paragraph" w:customStyle="1" w:styleId="Titletable">
    <w:name w:val="Title_table"/>
    <w:basedOn w:val="Normal-pool"/>
    <w:next w:val="NormalNonumber"/>
    <w:rsid w:val="00263978"/>
    <w:pPr>
      <w:keepNext/>
      <w:keepLines/>
      <w:suppressAutoHyphens/>
      <w:spacing w:after="60"/>
      <w:ind w:left="1247"/>
    </w:pPr>
    <w:rPr>
      <w:b/>
      <w:bCs/>
    </w:rPr>
  </w:style>
  <w:style w:type="paragraph" w:styleId="TM1">
    <w:name w:val="toc 1"/>
    <w:basedOn w:val="Normal-pool"/>
    <w:next w:val="Normal-pool"/>
    <w:unhideWhenUsed/>
    <w:rsid w:val="00263978"/>
    <w:pPr>
      <w:tabs>
        <w:tab w:val="right" w:leader="dot" w:pos="9486"/>
      </w:tabs>
      <w:spacing w:before="240"/>
      <w:ind w:left="1814" w:hanging="567"/>
    </w:pPr>
    <w:rPr>
      <w:bCs/>
    </w:rPr>
  </w:style>
  <w:style w:type="paragraph" w:styleId="TM2">
    <w:name w:val="toc 2"/>
    <w:basedOn w:val="Normal-pool"/>
    <w:next w:val="Normal-pool"/>
    <w:unhideWhenUsed/>
    <w:rsid w:val="00263978"/>
    <w:pPr>
      <w:tabs>
        <w:tab w:val="right" w:leader="dot" w:pos="9486"/>
      </w:tabs>
      <w:ind w:left="2381" w:hanging="567"/>
    </w:pPr>
  </w:style>
  <w:style w:type="paragraph" w:styleId="TM3">
    <w:name w:val="toc 3"/>
    <w:basedOn w:val="Normal-pool"/>
    <w:next w:val="Normal-pool"/>
    <w:unhideWhenUsed/>
    <w:rsid w:val="00263978"/>
    <w:pPr>
      <w:tabs>
        <w:tab w:val="right" w:leader="dot" w:pos="9486"/>
      </w:tabs>
      <w:ind w:left="2948" w:hanging="567"/>
    </w:pPr>
    <w:rPr>
      <w:iCs/>
    </w:rPr>
  </w:style>
  <w:style w:type="paragraph" w:styleId="TM4">
    <w:name w:val="toc 4"/>
    <w:basedOn w:val="Normal-pool"/>
    <w:next w:val="Normal-pool"/>
    <w:unhideWhenUsed/>
    <w:rsid w:val="00263978"/>
    <w:pPr>
      <w:tabs>
        <w:tab w:val="left" w:pos="1000"/>
        <w:tab w:val="right" w:leader="dot" w:pos="9486"/>
      </w:tabs>
      <w:ind w:left="3515" w:hanging="567"/>
    </w:pPr>
    <w:rPr>
      <w:szCs w:val="18"/>
    </w:rPr>
  </w:style>
  <w:style w:type="paragraph" w:styleId="TM5">
    <w:name w:val="toc 5"/>
    <w:basedOn w:val="Normal-pool"/>
    <w:next w:val="Normal-pool"/>
    <w:rsid w:val="00263978"/>
    <w:pPr>
      <w:ind w:left="800"/>
    </w:pPr>
    <w:rPr>
      <w:sz w:val="18"/>
      <w:szCs w:val="18"/>
    </w:rPr>
  </w:style>
  <w:style w:type="paragraph" w:customStyle="1" w:styleId="ZZAnxheader">
    <w:name w:val="ZZ_Anx_header"/>
    <w:basedOn w:val="Normal-pool"/>
    <w:rsid w:val="00263978"/>
    <w:rPr>
      <w:b/>
      <w:bCs/>
      <w:sz w:val="28"/>
      <w:szCs w:val="22"/>
    </w:rPr>
  </w:style>
  <w:style w:type="paragraph" w:customStyle="1" w:styleId="ZZAnxtitle">
    <w:name w:val="ZZ_Anx_title"/>
    <w:basedOn w:val="Normal-pool"/>
    <w:link w:val="ZZAnxtitleChar"/>
    <w:rsid w:val="00263978"/>
    <w:pPr>
      <w:spacing w:before="360" w:after="120"/>
      <w:ind w:left="1247"/>
    </w:pPr>
    <w:rPr>
      <w:b/>
      <w:bCs/>
      <w:sz w:val="28"/>
      <w:szCs w:val="26"/>
    </w:rPr>
  </w:style>
  <w:style w:type="character" w:customStyle="1" w:styleId="NotedebasdepageCar">
    <w:name w:val="Note de bas de page Car"/>
    <w:basedOn w:val="Policepardfaut"/>
    <w:link w:val="Notedebasdepage"/>
    <w:rsid w:val="00A273FF"/>
    <w:rPr>
      <w:rFonts w:eastAsia="SimSun"/>
      <w:sz w:val="18"/>
      <w:lang w:val="fr-CA" w:eastAsia="en-US"/>
    </w:rPr>
  </w:style>
  <w:style w:type="character" w:customStyle="1" w:styleId="NormalnumberChar">
    <w:name w:val="Normal_number Char"/>
    <w:link w:val="Normalnumber"/>
    <w:rsid w:val="00BA4B7E"/>
    <w:rPr>
      <w:lang w:val="en-GB" w:eastAsia="en-US"/>
    </w:rPr>
  </w:style>
  <w:style w:type="character" w:customStyle="1" w:styleId="CH2Char">
    <w:name w:val="CH2 Char"/>
    <w:link w:val="CH2"/>
    <w:rsid w:val="00A273FF"/>
    <w:rPr>
      <w:rFonts w:eastAsia="SimSun"/>
      <w:b/>
      <w:sz w:val="24"/>
      <w:szCs w:val="24"/>
      <w:lang w:eastAsia="en-US"/>
    </w:rPr>
  </w:style>
  <w:style w:type="character" w:customStyle="1" w:styleId="PieddepageCar">
    <w:name w:val="Pied de page Car"/>
    <w:basedOn w:val="Policepardfaut"/>
    <w:link w:val="Pieddepage"/>
    <w:rsid w:val="005B6301"/>
    <w:rPr>
      <w:rFonts w:eastAsia="SimSun"/>
      <w:sz w:val="18"/>
      <w:lang w:eastAsia="zh-CN"/>
    </w:rPr>
  </w:style>
  <w:style w:type="character" w:customStyle="1" w:styleId="BBTitleChar">
    <w:name w:val="BB_Title Char"/>
    <w:link w:val="BBTitle"/>
    <w:rsid w:val="00A33AC9"/>
    <w:rPr>
      <w:rFonts w:eastAsia="SimSun"/>
      <w:b/>
      <w:sz w:val="28"/>
      <w:szCs w:val="28"/>
      <w:lang w:eastAsia="en-US"/>
    </w:rPr>
  </w:style>
  <w:style w:type="paragraph" w:styleId="NormalWeb">
    <w:name w:val="Normal (Web)"/>
    <w:basedOn w:val="Normal"/>
    <w:uiPriority w:val="99"/>
    <w:unhideWhenUsed/>
    <w:rsid w:val="006F18E0"/>
    <w:pPr>
      <w:spacing w:before="100" w:beforeAutospacing="1" w:after="100" w:afterAutospacing="1"/>
    </w:pPr>
    <w:rPr>
      <w:sz w:val="24"/>
      <w:szCs w:val="24"/>
      <w:lang w:eastAsia="en-GB"/>
    </w:rPr>
  </w:style>
  <w:style w:type="paragraph" w:styleId="Paragraphedeliste">
    <w:name w:val="List Paragraph"/>
    <w:basedOn w:val="Normal"/>
    <w:link w:val="ParagraphedelisteCar"/>
    <w:uiPriority w:val="34"/>
    <w:qFormat/>
    <w:rsid w:val="000C00E4"/>
    <w:pPr>
      <w:spacing w:after="200" w:line="276" w:lineRule="auto"/>
      <w:ind w:left="720"/>
      <w:contextualSpacing/>
    </w:pPr>
    <w:rPr>
      <w:rFonts w:eastAsia="Calibri"/>
      <w:sz w:val="24"/>
      <w:szCs w:val="22"/>
    </w:rPr>
  </w:style>
  <w:style w:type="character" w:customStyle="1" w:styleId="ParagraphedelisteCar">
    <w:name w:val="Paragraphe de liste Car"/>
    <w:link w:val="Paragraphedeliste"/>
    <w:uiPriority w:val="34"/>
    <w:locked/>
    <w:rsid w:val="000C00E4"/>
    <w:rPr>
      <w:rFonts w:eastAsia="Calibri"/>
      <w:sz w:val="24"/>
      <w:szCs w:val="22"/>
      <w:lang w:eastAsia="en-US"/>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rsid w:val="00056415"/>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rsid w:val="000B0AC3"/>
    <w:rPr>
      <w:b/>
      <w:bCs/>
    </w:rPr>
  </w:style>
  <w:style w:type="character" w:customStyle="1" w:styleId="ObjetducommentaireCar">
    <w:name w:val="Objet du commentaire Car"/>
    <w:basedOn w:val="CommentaireCar"/>
    <w:link w:val="Objetducommentaire"/>
    <w:rsid w:val="000B0AC3"/>
    <w:rPr>
      <w:rFonts w:asciiTheme="minorHAnsi" w:eastAsiaTheme="minorHAnsi" w:hAnsiTheme="minorHAnsi" w:cstheme="minorBidi"/>
      <w:b/>
      <w:bCs/>
      <w:lang w:val="fr-FR" w:eastAsia="en-US"/>
    </w:rPr>
  </w:style>
  <w:style w:type="paragraph" w:styleId="Rvision">
    <w:name w:val="Revision"/>
    <w:hidden/>
    <w:uiPriority w:val="99"/>
    <w:semiHidden/>
    <w:rsid w:val="000B0AC3"/>
    <w:rPr>
      <w:lang w:eastAsia="en-US"/>
    </w:rPr>
  </w:style>
  <w:style w:type="character" w:customStyle="1" w:styleId="UnresolvedMention3">
    <w:name w:val="Unresolved Mention3"/>
    <w:basedOn w:val="Policepardfaut"/>
    <w:uiPriority w:val="99"/>
    <w:semiHidden/>
    <w:unhideWhenUsed/>
    <w:rsid w:val="00352533"/>
    <w:rPr>
      <w:color w:val="808080"/>
      <w:shd w:val="clear" w:color="auto" w:fill="E6E6E6"/>
    </w:rPr>
  </w:style>
  <w:style w:type="numbering" w:customStyle="1" w:styleId="CurrentList1">
    <w:name w:val="Current List1"/>
    <w:uiPriority w:val="99"/>
    <w:rsid w:val="002D333C"/>
    <w:pPr>
      <w:numPr>
        <w:numId w:val="1"/>
      </w:numPr>
    </w:pPr>
  </w:style>
  <w:style w:type="character" w:customStyle="1" w:styleId="CharChar6">
    <w:name w:val="Char Char6"/>
    <w:semiHidden/>
    <w:rsid w:val="0070418B"/>
    <w:rPr>
      <w:sz w:val="18"/>
      <w:lang w:eastAsia="en-US"/>
    </w:rPr>
  </w:style>
  <w:style w:type="character" w:customStyle="1" w:styleId="En-tteCar">
    <w:name w:val="En-tête Car"/>
    <w:link w:val="En-tte"/>
    <w:rsid w:val="0070418B"/>
    <w:rPr>
      <w:rFonts w:eastAsia="SimSun"/>
      <w:b/>
      <w:sz w:val="18"/>
      <w:lang w:eastAsia="zh-CN"/>
    </w:rPr>
  </w:style>
  <w:style w:type="character" w:styleId="Lienhypertextesuivivisit">
    <w:name w:val="FollowedHyperlink"/>
    <w:basedOn w:val="Policepardfaut"/>
    <w:unhideWhenUsed/>
    <w:rsid w:val="0070418B"/>
    <w:rPr>
      <w:color w:val="954F72" w:themeColor="followedHyperlink"/>
      <w:u w:val="single"/>
    </w:rPr>
  </w:style>
  <w:style w:type="character" w:customStyle="1" w:styleId="UnresolvedMention1">
    <w:name w:val="Unresolved Mention1"/>
    <w:basedOn w:val="Policepardfaut"/>
    <w:uiPriority w:val="99"/>
    <w:semiHidden/>
    <w:unhideWhenUsed/>
    <w:rsid w:val="0070418B"/>
    <w:rPr>
      <w:color w:val="605E5C"/>
      <w:shd w:val="clear" w:color="auto" w:fill="E1DFDD"/>
    </w:rPr>
  </w:style>
  <w:style w:type="character" w:customStyle="1" w:styleId="NormalpoolChar">
    <w:name w:val="Normal_pool Char"/>
    <w:link w:val="Normalpool"/>
    <w:locked/>
    <w:rsid w:val="00C36B84"/>
    <w:rPr>
      <w:rFonts w:eastAsia="SimSun"/>
      <w:lang w:val="en-GB" w:eastAsia="en-US"/>
    </w:rPr>
  </w:style>
  <w:style w:type="character" w:customStyle="1" w:styleId="ZZAnxtitleChar">
    <w:name w:val="ZZ_Anx_title Char"/>
    <w:link w:val="ZZAnxtitle"/>
    <w:rsid w:val="0070418B"/>
    <w:rPr>
      <w:rFonts w:eastAsia="SimSun"/>
      <w:b/>
      <w:bCs/>
      <w:sz w:val="28"/>
      <w:szCs w:val="26"/>
      <w:lang w:eastAsia="en-US"/>
    </w:rPr>
  </w:style>
  <w:style w:type="numbering" w:customStyle="1" w:styleId="CurrentList2">
    <w:name w:val="Current List2"/>
    <w:uiPriority w:val="99"/>
    <w:rsid w:val="00CE6F65"/>
    <w:pPr>
      <w:numPr>
        <w:numId w:val="2"/>
      </w:numPr>
    </w:pPr>
  </w:style>
  <w:style w:type="numbering" w:customStyle="1" w:styleId="CurrentList3">
    <w:name w:val="Current List3"/>
    <w:uiPriority w:val="99"/>
    <w:rsid w:val="00CE6F65"/>
    <w:pPr>
      <w:numPr>
        <w:numId w:val="3"/>
      </w:numPr>
    </w:pPr>
  </w:style>
  <w:style w:type="numbering" w:customStyle="1" w:styleId="CurrentList4">
    <w:name w:val="Current List4"/>
    <w:uiPriority w:val="99"/>
    <w:rsid w:val="00CE6F65"/>
    <w:pPr>
      <w:numPr>
        <w:numId w:val="4"/>
      </w:numPr>
    </w:pPr>
  </w:style>
  <w:style w:type="character" w:customStyle="1" w:styleId="UnresolvedMention2">
    <w:name w:val="Unresolved Mention2"/>
    <w:basedOn w:val="Policepardfaut"/>
    <w:uiPriority w:val="99"/>
    <w:semiHidden/>
    <w:unhideWhenUsed/>
    <w:rsid w:val="00F8698B"/>
    <w:rPr>
      <w:color w:val="605E5C"/>
      <w:shd w:val="clear" w:color="auto" w:fill="E1DFDD"/>
    </w:rPr>
  </w:style>
  <w:style w:type="character" w:customStyle="1" w:styleId="Mentionnonrsolue1">
    <w:name w:val="Mention non résolue1"/>
    <w:basedOn w:val="Policepardfaut"/>
    <w:uiPriority w:val="99"/>
    <w:semiHidden/>
    <w:unhideWhenUsed/>
    <w:rsid w:val="00863178"/>
    <w:rPr>
      <w:color w:val="605E5C"/>
      <w:shd w:val="clear" w:color="auto" w:fill="E1DFDD"/>
    </w:rPr>
  </w:style>
  <w:style w:type="paragraph" w:customStyle="1" w:styleId="Normal-pool">
    <w:name w:val="Normal-pool"/>
    <w:link w:val="Normal-poolChar"/>
    <w:qFormat/>
    <w:rsid w:val="00263978"/>
    <w:pPr>
      <w:tabs>
        <w:tab w:val="left" w:pos="1247"/>
        <w:tab w:val="left" w:pos="1814"/>
        <w:tab w:val="left" w:pos="2381"/>
        <w:tab w:val="left" w:pos="2948"/>
        <w:tab w:val="left" w:pos="3515"/>
        <w:tab w:val="left" w:pos="4082"/>
      </w:tabs>
    </w:pPr>
    <w:rPr>
      <w:rFonts w:eastAsia="SimSun"/>
      <w:lang w:eastAsia="en-US"/>
    </w:rPr>
  </w:style>
  <w:style w:type="paragraph" w:customStyle="1" w:styleId="AConvName">
    <w:name w:val="A_ConvName"/>
    <w:basedOn w:val="Normal-pool"/>
    <w:next w:val="Normal-pool"/>
    <w:rsid w:val="00263978"/>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263978"/>
    <w:rPr>
      <w:lang w:val="en-GB"/>
    </w:rPr>
  </w:style>
  <w:style w:type="paragraph" w:customStyle="1" w:styleId="AText">
    <w:name w:val="A_Text"/>
    <w:basedOn w:val="Normal-pool"/>
    <w:rsid w:val="00263978"/>
    <w:pPr>
      <w:spacing w:before="120" w:after="120"/>
    </w:pPr>
  </w:style>
  <w:style w:type="paragraph" w:customStyle="1" w:styleId="ATwoLetters">
    <w:name w:val="A_TwoLetters"/>
    <w:basedOn w:val="Normal-pool"/>
    <w:next w:val="Normal-pool"/>
    <w:rsid w:val="00263978"/>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263978"/>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Footnote-Text">
    <w:name w:val="Footnote-Text"/>
    <w:basedOn w:val="Normal-pool"/>
    <w:rsid w:val="00263978"/>
    <w:pPr>
      <w:spacing w:before="20" w:after="40"/>
      <w:ind w:left="1247"/>
    </w:pPr>
    <w:rPr>
      <w:sz w:val="18"/>
    </w:rPr>
  </w:style>
  <w:style w:type="paragraph" w:customStyle="1" w:styleId="Normal-pool-Table">
    <w:name w:val="Normal-pool-Table"/>
    <w:basedOn w:val="Normal-pool"/>
    <w:rsid w:val="00263978"/>
    <w:pPr>
      <w:spacing w:before="40" w:after="40"/>
    </w:pPr>
    <w:rPr>
      <w:sz w:val="18"/>
      <w:lang w:val="en-GB"/>
    </w:rPr>
  </w:style>
  <w:style w:type="character" w:customStyle="1" w:styleId="Normal-poolChar">
    <w:name w:val="Normal-pool Char"/>
    <w:link w:val="Normal-pool"/>
    <w:locked/>
    <w:rsid w:val="00263978"/>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1504">
      <w:bodyDiv w:val="1"/>
      <w:marLeft w:val="0"/>
      <w:marRight w:val="0"/>
      <w:marTop w:val="0"/>
      <w:marBottom w:val="0"/>
      <w:divBdr>
        <w:top w:val="none" w:sz="0" w:space="0" w:color="auto"/>
        <w:left w:val="none" w:sz="0" w:space="0" w:color="auto"/>
        <w:bottom w:val="none" w:sz="0" w:space="0" w:color="auto"/>
        <w:right w:val="none" w:sz="0" w:space="0" w:color="auto"/>
      </w:divBdr>
    </w:div>
    <w:div w:id="163059532">
      <w:bodyDiv w:val="1"/>
      <w:marLeft w:val="0"/>
      <w:marRight w:val="0"/>
      <w:marTop w:val="0"/>
      <w:marBottom w:val="0"/>
      <w:divBdr>
        <w:top w:val="none" w:sz="0" w:space="0" w:color="auto"/>
        <w:left w:val="none" w:sz="0" w:space="0" w:color="auto"/>
        <w:bottom w:val="none" w:sz="0" w:space="0" w:color="auto"/>
        <w:right w:val="none" w:sz="0" w:space="0" w:color="auto"/>
      </w:divBdr>
    </w:div>
    <w:div w:id="39007919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30469269">
      <w:bodyDiv w:val="1"/>
      <w:marLeft w:val="0"/>
      <w:marRight w:val="0"/>
      <w:marTop w:val="0"/>
      <w:marBottom w:val="0"/>
      <w:divBdr>
        <w:top w:val="none" w:sz="0" w:space="0" w:color="auto"/>
        <w:left w:val="none" w:sz="0" w:space="0" w:color="auto"/>
        <w:bottom w:val="none" w:sz="0" w:space="0" w:color="auto"/>
        <w:right w:val="none" w:sz="0" w:space="0" w:color="auto"/>
      </w:divBdr>
      <w:divsChild>
        <w:div w:id="746924429">
          <w:marLeft w:val="0"/>
          <w:marRight w:val="0"/>
          <w:marTop w:val="0"/>
          <w:marBottom w:val="0"/>
          <w:divBdr>
            <w:top w:val="none" w:sz="0" w:space="0" w:color="auto"/>
            <w:left w:val="none" w:sz="0" w:space="0" w:color="auto"/>
            <w:bottom w:val="none" w:sz="0" w:space="0" w:color="auto"/>
            <w:right w:val="none" w:sz="0" w:space="0" w:color="auto"/>
          </w:divBdr>
        </w:div>
      </w:divsChild>
    </w:div>
    <w:div w:id="877425495">
      <w:bodyDiv w:val="1"/>
      <w:marLeft w:val="0"/>
      <w:marRight w:val="0"/>
      <w:marTop w:val="0"/>
      <w:marBottom w:val="0"/>
      <w:divBdr>
        <w:top w:val="none" w:sz="0" w:space="0" w:color="auto"/>
        <w:left w:val="none" w:sz="0" w:space="0" w:color="auto"/>
        <w:bottom w:val="none" w:sz="0" w:space="0" w:color="auto"/>
        <w:right w:val="none" w:sz="0" w:space="0" w:color="auto"/>
      </w:divBdr>
      <w:divsChild>
        <w:div w:id="717776354">
          <w:marLeft w:val="0"/>
          <w:marRight w:val="0"/>
          <w:marTop w:val="0"/>
          <w:marBottom w:val="0"/>
          <w:divBdr>
            <w:top w:val="none" w:sz="0" w:space="0" w:color="auto"/>
            <w:left w:val="none" w:sz="0" w:space="0" w:color="auto"/>
            <w:bottom w:val="none" w:sz="0" w:space="0" w:color="auto"/>
            <w:right w:val="none" w:sz="0" w:space="0" w:color="auto"/>
          </w:divBdr>
          <w:divsChild>
            <w:div w:id="457651041">
              <w:marLeft w:val="0"/>
              <w:marRight w:val="0"/>
              <w:marTop w:val="0"/>
              <w:marBottom w:val="0"/>
              <w:divBdr>
                <w:top w:val="none" w:sz="0" w:space="0" w:color="auto"/>
                <w:left w:val="none" w:sz="0" w:space="0" w:color="auto"/>
                <w:bottom w:val="none" w:sz="0" w:space="0" w:color="auto"/>
                <w:right w:val="none" w:sz="0" w:space="0" w:color="auto"/>
              </w:divBdr>
              <w:divsChild>
                <w:div w:id="20348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4147">
      <w:bodyDiv w:val="1"/>
      <w:marLeft w:val="0"/>
      <w:marRight w:val="0"/>
      <w:marTop w:val="0"/>
      <w:marBottom w:val="0"/>
      <w:divBdr>
        <w:top w:val="none" w:sz="0" w:space="0" w:color="auto"/>
        <w:left w:val="none" w:sz="0" w:space="0" w:color="auto"/>
        <w:bottom w:val="none" w:sz="0" w:space="0" w:color="auto"/>
        <w:right w:val="none" w:sz="0" w:space="0" w:color="auto"/>
      </w:divBdr>
      <w:divsChild>
        <w:div w:id="488055348">
          <w:marLeft w:val="0"/>
          <w:marRight w:val="0"/>
          <w:marTop w:val="0"/>
          <w:marBottom w:val="0"/>
          <w:divBdr>
            <w:top w:val="none" w:sz="0" w:space="0" w:color="auto"/>
            <w:left w:val="none" w:sz="0" w:space="0" w:color="auto"/>
            <w:bottom w:val="none" w:sz="0" w:space="0" w:color="auto"/>
            <w:right w:val="none" w:sz="0" w:space="0" w:color="auto"/>
          </w:divBdr>
          <w:divsChild>
            <w:div w:id="229539739">
              <w:marLeft w:val="0"/>
              <w:marRight w:val="0"/>
              <w:marTop w:val="0"/>
              <w:marBottom w:val="0"/>
              <w:divBdr>
                <w:top w:val="none" w:sz="0" w:space="0" w:color="auto"/>
                <w:left w:val="none" w:sz="0" w:space="0" w:color="auto"/>
                <w:bottom w:val="none" w:sz="0" w:space="0" w:color="auto"/>
                <w:right w:val="none" w:sz="0" w:space="0" w:color="auto"/>
              </w:divBdr>
              <w:divsChild>
                <w:div w:id="693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1478">
      <w:bodyDiv w:val="1"/>
      <w:marLeft w:val="0"/>
      <w:marRight w:val="0"/>
      <w:marTop w:val="0"/>
      <w:marBottom w:val="0"/>
      <w:divBdr>
        <w:top w:val="none" w:sz="0" w:space="0" w:color="auto"/>
        <w:left w:val="none" w:sz="0" w:space="0" w:color="auto"/>
        <w:bottom w:val="none" w:sz="0" w:space="0" w:color="auto"/>
        <w:right w:val="none" w:sz="0" w:space="0" w:color="auto"/>
      </w:divBdr>
    </w:div>
    <w:div w:id="1127964339">
      <w:bodyDiv w:val="1"/>
      <w:marLeft w:val="0"/>
      <w:marRight w:val="0"/>
      <w:marTop w:val="0"/>
      <w:marBottom w:val="0"/>
      <w:divBdr>
        <w:top w:val="none" w:sz="0" w:space="0" w:color="auto"/>
        <w:left w:val="none" w:sz="0" w:space="0" w:color="auto"/>
        <w:bottom w:val="none" w:sz="0" w:space="0" w:color="auto"/>
        <w:right w:val="none" w:sz="0" w:space="0" w:color="auto"/>
      </w:divBdr>
      <w:divsChild>
        <w:div w:id="1632663445">
          <w:marLeft w:val="0"/>
          <w:marRight w:val="0"/>
          <w:marTop w:val="0"/>
          <w:marBottom w:val="0"/>
          <w:divBdr>
            <w:top w:val="none" w:sz="0" w:space="0" w:color="auto"/>
            <w:left w:val="none" w:sz="0" w:space="0" w:color="auto"/>
            <w:bottom w:val="none" w:sz="0" w:space="0" w:color="auto"/>
            <w:right w:val="none" w:sz="0" w:space="0" w:color="auto"/>
          </w:divBdr>
        </w:div>
      </w:divsChild>
    </w:div>
    <w:div w:id="11875203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75672814">
      <w:bodyDiv w:val="1"/>
      <w:marLeft w:val="0"/>
      <w:marRight w:val="0"/>
      <w:marTop w:val="0"/>
      <w:marBottom w:val="0"/>
      <w:divBdr>
        <w:top w:val="none" w:sz="0" w:space="0" w:color="auto"/>
        <w:left w:val="none" w:sz="0" w:space="0" w:color="auto"/>
        <w:bottom w:val="none" w:sz="0" w:space="0" w:color="auto"/>
        <w:right w:val="none" w:sz="0" w:space="0" w:color="auto"/>
      </w:divBdr>
      <w:divsChild>
        <w:div w:id="658117018">
          <w:marLeft w:val="0"/>
          <w:marRight w:val="0"/>
          <w:marTop w:val="0"/>
          <w:marBottom w:val="0"/>
          <w:divBdr>
            <w:top w:val="none" w:sz="0" w:space="0" w:color="auto"/>
            <w:left w:val="none" w:sz="0" w:space="0" w:color="auto"/>
            <w:bottom w:val="none" w:sz="0" w:space="0" w:color="auto"/>
            <w:right w:val="none" w:sz="0" w:space="0" w:color="auto"/>
          </w:divBdr>
          <w:divsChild>
            <w:div w:id="954558596">
              <w:marLeft w:val="0"/>
              <w:marRight w:val="0"/>
              <w:marTop w:val="0"/>
              <w:marBottom w:val="0"/>
              <w:divBdr>
                <w:top w:val="none" w:sz="0" w:space="0" w:color="auto"/>
                <w:left w:val="none" w:sz="0" w:space="0" w:color="auto"/>
                <w:bottom w:val="none" w:sz="0" w:space="0" w:color="auto"/>
                <w:right w:val="none" w:sz="0" w:space="0" w:color="auto"/>
              </w:divBdr>
              <w:divsChild>
                <w:div w:id="10196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002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09573568">
      <w:bodyDiv w:val="1"/>
      <w:marLeft w:val="0"/>
      <w:marRight w:val="0"/>
      <w:marTop w:val="0"/>
      <w:marBottom w:val="0"/>
      <w:divBdr>
        <w:top w:val="none" w:sz="0" w:space="0" w:color="auto"/>
        <w:left w:val="none" w:sz="0" w:space="0" w:color="auto"/>
        <w:bottom w:val="none" w:sz="0" w:space="0" w:color="auto"/>
        <w:right w:val="none" w:sz="0" w:space="0" w:color="auto"/>
      </w:divBdr>
      <w:divsChild>
        <w:div w:id="584385366">
          <w:marLeft w:val="0"/>
          <w:marRight w:val="0"/>
          <w:marTop w:val="0"/>
          <w:marBottom w:val="0"/>
          <w:divBdr>
            <w:top w:val="none" w:sz="0" w:space="0" w:color="auto"/>
            <w:left w:val="none" w:sz="0" w:space="0" w:color="auto"/>
            <w:bottom w:val="none" w:sz="0" w:space="0" w:color="auto"/>
            <w:right w:val="none" w:sz="0" w:space="0" w:color="auto"/>
          </w:divBdr>
        </w:div>
        <w:div w:id="1891500064">
          <w:marLeft w:val="0"/>
          <w:marRight w:val="0"/>
          <w:marTop w:val="0"/>
          <w:marBottom w:val="0"/>
          <w:divBdr>
            <w:top w:val="none" w:sz="0" w:space="0" w:color="auto"/>
            <w:left w:val="none" w:sz="0" w:space="0" w:color="auto"/>
            <w:bottom w:val="none" w:sz="0" w:space="0" w:color="auto"/>
            <w:right w:val="none" w:sz="0" w:space="0" w:color="auto"/>
          </w:divBdr>
        </w:div>
        <w:div w:id="1906910597">
          <w:marLeft w:val="0"/>
          <w:marRight w:val="0"/>
          <w:marTop w:val="0"/>
          <w:marBottom w:val="0"/>
          <w:divBdr>
            <w:top w:val="none" w:sz="0" w:space="0" w:color="auto"/>
            <w:left w:val="none" w:sz="0" w:space="0" w:color="auto"/>
            <w:bottom w:val="none" w:sz="0" w:space="0" w:color="auto"/>
            <w:right w:val="none" w:sz="0" w:space="0" w:color="auto"/>
          </w:divBdr>
        </w:div>
      </w:divsChild>
    </w:div>
    <w:div w:id="1657101861">
      <w:bodyDiv w:val="1"/>
      <w:marLeft w:val="0"/>
      <w:marRight w:val="0"/>
      <w:marTop w:val="0"/>
      <w:marBottom w:val="0"/>
      <w:divBdr>
        <w:top w:val="none" w:sz="0" w:space="0" w:color="auto"/>
        <w:left w:val="none" w:sz="0" w:space="0" w:color="auto"/>
        <w:bottom w:val="none" w:sz="0" w:space="0" w:color="auto"/>
        <w:right w:val="none" w:sz="0" w:space="0" w:color="auto"/>
      </w:divBdr>
    </w:div>
    <w:div w:id="1845171351">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o.org/fileadmin/templates/agphome/documents/Pests_Pesticides/JMPR/Evaluation05/2005_Terbufos1.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item.herts.ac.uk/aeru/ppdb/en/Reports/621.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fileadmin/templates/agphome/documents/Pests_Pesticides/Code/Repor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mbauj\AppData\Local\Microsoft\Windows\INetCache\Content.Outlook\OCQR4K5X\www.inchem.org\documents\jmpr\jmpmono\v2003pr13.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49DCCFF06D044688251B3E010FA2BB" ma:contentTypeVersion="11" ma:contentTypeDescription="Create a new document." ma:contentTypeScope="" ma:versionID="b6f641573d54f8d8378caecf1fa365de">
  <xsd:schema xmlns:xsd="http://www.w3.org/2001/XMLSchema" xmlns:xs="http://www.w3.org/2001/XMLSchema" xmlns:p="http://schemas.microsoft.com/office/2006/metadata/properties" xmlns:ns2="786100a8-bbaa-48b6-aa10-6d2082f346b4" xmlns:ns3="25a4600d-fc45-4aed-ad1e-9b44b590e5cc" targetNamespace="http://schemas.microsoft.com/office/2006/metadata/properties" ma:root="true" ma:fieldsID="889ed279879ba929ffe081c12af4a8a5" ns2:_="" ns3:_="">
    <xsd:import namespace="786100a8-bbaa-48b6-aa10-6d2082f346b4"/>
    <xsd:import namespace="25a4600d-fc45-4aed-ad1e-9b44b590e5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00a8-bbaa-48b6-aa10-6d2082f34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4600d-fc45-4aed-ad1e-9b44b590e5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DC013-7EF5-4385-B352-88BD4A6FE9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3.xml><?xml version="1.0" encoding="utf-8"?>
<ds:datastoreItem xmlns:ds="http://schemas.openxmlformats.org/officeDocument/2006/customXml" ds:itemID="{205CB0CD-3196-4770-876E-340A0ECB6C49}">
  <ds:schemaRefs>
    <ds:schemaRef ds:uri="http://schemas.openxmlformats.org/officeDocument/2006/bibliography"/>
  </ds:schemaRefs>
</ds:datastoreItem>
</file>

<file path=customXml/itemProps4.xml><?xml version="1.0" encoding="utf-8"?>
<ds:datastoreItem xmlns:ds="http://schemas.openxmlformats.org/officeDocument/2006/customXml" ds:itemID="{68CC32AC-720A-4E2C-8363-8D6B32BA0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00a8-bbaa-48b6-aa10-6d2082f346b4"/>
    <ds:schemaRef ds:uri="25a4600d-fc45-4aed-ad1e-9b44b59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6490</Words>
  <Characters>35700</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42106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Andriamamonjy Fiaferana</dc:creator>
  <cp:keywords/>
  <dc:description>Translated by IDEST – info@idestnet.com</dc:description>
  <cp:lastModifiedBy>Nyamsi, Emmanuel (NSP)</cp:lastModifiedBy>
  <cp:revision>2</cp:revision>
  <cp:lastPrinted>2010-07-07T11:56:00Z</cp:lastPrinted>
  <dcterms:created xsi:type="dcterms:W3CDTF">2023-02-22T12:56:00Z</dcterms:created>
  <dcterms:modified xsi:type="dcterms:W3CDTF">2023-02-22T12:56:00Z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0x0101001C49DCCFF06D044688251B3E010FA2BB</vt:lpwstr>
  </property>
</Properties>
</file>