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7C" w:rsidRDefault="0000707C" w:rsidP="0000707C">
      <w:pPr>
        <w:spacing w:before="50" w:line="320" w:lineRule="exact"/>
        <w:ind w:leftChars="450" w:left="3978" w:hangingChars="1063" w:hanging="2988"/>
        <w:rPr>
          <w:rFonts w:ascii="SimHei" w:eastAsia="SimHei" w:hAnsi="SimSun" w:hint="eastAsia"/>
          <w:b/>
          <w:sz w:val="28"/>
          <w:szCs w:val="28"/>
          <w:lang w:eastAsia="zh-CN"/>
        </w:rPr>
      </w:pPr>
      <w:r w:rsidRPr="00C82515">
        <w:rPr>
          <w:rFonts w:ascii="SimHei" w:eastAsia="SimHei" w:hAnsi="SimSun" w:hint="eastAsia"/>
          <w:b/>
          <w:sz w:val="28"/>
          <w:szCs w:val="28"/>
          <w:lang w:eastAsia="zh-CN"/>
        </w:rPr>
        <w:t>第</w:t>
      </w:r>
      <w:r w:rsidRPr="00C82515">
        <w:rPr>
          <w:rFonts w:eastAsia="SimHei"/>
          <w:b/>
          <w:sz w:val="28"/>
          <w:szCs w:val="28"/>
          <w:lang w:eastAsia="zh-CN"/>
        </w:rPr>
        <w:t>RC-3/7</w:t>
      </w:r>
      <w:r w:rsidRPr="00C82515">
        <w:rPr>
          <w:rFonts w:ascii="SimHei" w:eastAsia="SimHei" w:hAnsi="SimSun" w:hint="eastAsia"/>
          <w:b/>
          <w:sz w:val="28"/>
          <w:szCs w:val="28"/>
          <w:lang w:eastAsia="zh-CN"/>
        </w:rPr>
        <w:t>号决定：</w:t>
      </w:r>
      <w:r>
        <w:rPr>
          <w:rFonts w:ascii="SimHei" w:eastAsia="SimHei" w:hAnsi="SimSun" w:hint="eastAsia"/>
          <w:b/>
          <w:sz w:val="28"/>
          <w:szCs w:val="28"/>
          <w:lang w:eastAsia="zh-CN"/>
        </w:rPr>
        <w:t xml:space="preserve"> </w:t>
      </w:r>
      <w:r w:rsidRPr="00C82515">
        <w:rPr>
          <w:rFonts w:ascii="SimHei" w:eastAsia="SimHei" w:hAnsi="SimSun" w:hint="eastAsia"/>
          <w:b/>
          <w:sz w:val="28"/>
          <w:szCs w:val="28"/>
          <w:lang w:eastAsia="zh-CN"/>
        </w:rPr>
        <w:t>关于使用欧元、瑞士法郎或美元作为《</w:t>
      </w:r>
      <w:r>
        <w:rPr>
          <w:rFonts w:ascii="SimHei" w:eastAsia="SimHei" w:hAnsi="SimSun" w:hint="eastAsia"/>
          <w:b/>
          <w:sz w:val="28"/>
          <w:szCs w:val="28"/>
          <w:lang w:eastAsia="zh-CN"/>
        </w:rPr>
        <w:t>鹿特丹</w:t>
      </w:r>
    </w:p>
    <w:p w:rsidR="0000707C" w:rsidRPr="00B3282A" w:rsidRDefault="0000707C" w:rsidP="0000707C">
      <w:pPr>
        <w:spacing w:before="50" w:line="320" w:lineRule="exact"/>
        <w:ind w:leftChars="1610" w:left="3966" w:hangingChars="151" w:hanging="424"/>
        <w:rPr>
          <w:rFonts w:ascii="SimHei" w:eastAsia="SimHei" w:hAnsi="SimSun" w:hint="eastAsia"/>
          <w:b/>
          <w:sz w:val="28"/>
          <w:szCs w:val="28"/>
          <w:lang w:eastAsia="zh-CN"/>
        </w:rPr>
      </w:pPr>
      <w:r w:rsidRPr="00C82515">
        <w:rPr>
          <w:rFonts w:ascii="SimHei" w:eastAsia="SimHei" w:hAnsi="SimSun" w:hint="eastAsia"/>
          <w:b/>
          <w:sz w:val="28"/>
          <w:szCs w:val="28"/>
          <w:lang w:eastAsia="zh-CN"/>
        </w:rPr>
        <w:t>公</w:t>
      </w:r>
      <w:r>
        <w:rPr>
          <w:rFonts w:ascii="SimHei" w:eastAsia="SimHei" w:hAnsi="SimSun" w:hint="eastAsia"/>
          <w:b/>
          <w:vanish/>
          <w:sz w:val="28"/>
          <w:szCs w:val="28"/>
          <w:lang w:eastAsia="zh-CN"/>
        </w:rPr>
        <w:cr/>
        <w:t>提供技术援助的和国家一秘书处提供进一步的提供技术援助的关键。鉴</w:t>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Pr>
          <w:rFonts w:ascii="SimHei" w:eastAsia="SimHei" w:hAnsi="SimSun" w:hint="eastAsia"/>
          <w:b/>
          <w:vanish/>
          <w:sz w:val="28"/>
          <w:szCs w:val="28"/>
          <w:lang w:eastAsia="zh-CN"/>
        </w:rPr>
        <w:pgNum/>
      </w:r>
      <w:r w:rsidRPr="00C82515">
        <w:rPr>
          <w:rFonts w:ascii="SimHei" w:eastAsia="SimHei" w:hAnsi="SimSun" w:hint="eastAsia"/>
          <w:b/>
          <w:sz w:val="28"/>
          <w:szCs w:val="28"/>
          <w:lang w:eastAsia="zh-CN"/>
        </w:rPr>
        <w:t>约》账户和预算货币的利弊的进一步研究</w:t>
      </w:r>
    </w:p>
    <w:p w:rsidR="0000707C" w:rsidRPr="00C227A7" w:rsidRDefault="0000707C" w:rsidP="0000707C">
      <w:pPr>
        <w:spacing w:before="50" w:line="260" w:lineRule="exact"/>
        <w:ind w:leftChars="428" w:left="942"/>
        <w:jc w:val="both"/>
        <w:rPr>
          <w:rFonts w:ascii="SimHei" w:eastAsia="SimHei" w:hAnsi="SimSun" w:hint="eastAsia"/>
          <w:b/>
          <w:sz w:val="28"/>
          <w:szCs w:val="28"/>
          <w:lang w:eastAsia="zh-CN"/>
        </w:rPr>
      </w:pPr>
    </w:p>
    <w:p w:rsidR="0000707C" w:rsidRDefault="0000707C" w:rsidP="0000707C">
      <w:pPr>
        <w:spacing w:afterLines="100" w:line="300" w:lineRule="exact"/>
        <w:ind w:leftChars="428" w:left="942" w:firstLineChars="200" w:firstLine="480"/>
        <w:jc w:val="both"/>
        <w:rPr>
          <w:rFonts w:ascii="SimSun" w:hAnsi="SimSun" w:hint="eastAsia"/>
          <w:i/>
          <w:sz w:val="24"/>
          <w:szCs w:val="24"/>
          <w:lang w:eastAsia="zh-CN"/>
        </w:rPr>
      </w:pPr>
      <w:r>
        <w:rPr>
          <w:rFonts w:ascii="SimSun" w:hAnsi="SimSun" w:hint="eastAsia"/>
          <w:i/>
          <w:sz w:val="24"/>
          <w:szCs w:val="24"/>
          <w:lang w:eastAsia="zh-CN"/>
        </w:rPr>
        <w:t>缔约方大会，</w:t>
      </w:r>
    </w:p>
    <w:p w:rsidR="0000707C" w:rsidRDefault="0000707C" w:rsidP="0000707C">
      <w:pPr>
        <w:spacing w:afterLines="100" w:line="300" w:lineRule="exact"/>
        <w:ind w:leftChars="428" w:left="942" w:firstLineChars="200" w:firstLine="480"/>
        <w:jc w:val="both"/>
        <w:rPr>
          <w:rFonts w:ascii="SimSun" w:hAnsi="SimSun" w:hint="eastAsia"/>
          <w:sz w:val="24"/>
          <w:szCs w:val="24"/>
          <w:lang w:eastAsia="zh-CN"/>
        </w:rPr>
      </w:pPr>
      <w:r>
        <w:rPr>
          <w:rFonts w:ascii="SimSun" w:hAnsi="SimSun" w:hint="eastAsia"/>
          <w:i/>
          <w:sz w:val="24"/>
          <w:szCs w:val="24"/>
          <w:lang w:eastAsia="zh-CN"/>
        </w:rPr>
        <w:t xml:space="preserve">回顾　</w:t>
      </w:r>
      <w:r>
        <w:rPr>
          <w:rFonts w:ascii="SimSun" w:hAnsi="SimSun" w:hint="eastAsia"/>
          <w:sz w:val="24"/>
          <w:szCs w:val="24"/>
          <w:lang w:eastAsia="zh-CN"/>
        </w:rPr>
        <w:t>缔约方大会在其第一届会议第</w:t>
      </w:r>
      <w:r w:rsidRPr="001637FE">
        <w:rPr>
          <w:sz w:val="24"/>
          <w:szCs w:val="24"/>
          <w:lang w:eastAsia="zh-CN"/>
        </w:rPr>
        <w:t>RC-1/17</w:t>
      </w:r>
      <w:r>
        <w:rPr>
          <w:rFonts w:ascii="SimSun" w:hAnsi="SimSun" w:hint="eastAsia"/>
          <w:sz w:val="24"/>
          <w:szCs w:val="24"/>
          <w:lang w:eastAsia="zh-CN"/>
        </w:rPr>
        <w:t>号决定第23段中，请公约秘书处行政首长着手就使用欧元、瑞士法郎或美元作为《公约》帐户和预算的货币的利弊进行一项研究，供缔约方大会第三届会议审议，</w:t>
      </w:r>
    </w:p>
    <w:p w:rsidR="0000707C" w:rsidRPr="00C227A7" w:rsidRDefault="0000707C" w:rsidP="0000707C">
      <w:pPr>
        <w:spacing w:afterLines="100" w:line="300" w:lineRule="exact"/>
        <w:ind w:leftChars="428" w:left="942" w:firstLineChars="200" w:firstLine="480"/>
        <w:jc w:val="both"/>
        <w:rPr>
          <w:rFonts w:ascii="SimSun" w:hAnsi="SimSun" w:hint="eastAsia"/>
          <w:sz w:val="24"/>
          <w:szCs w:val="24"/>
          <w:lang w:eastAsia="zh-CN"/>
        </w:rPr>
      </w:pPr>
      <w:r>
        <w:rPr>
          <w:rFonts w:ascii="SimSun" w:hAnsi="SimSun" w:hint="eastAsia"/>
          <w:i/>
          <w:sz w:val="24"/>
          <w:szCs w:val="24"/>
          <w:lang w:eastAsia="zh-CN"/>
        </w:rPr>
        <w:t xml:space="preserve">审议了　</w:t>
      </w:r>
      <w:r>
        <w:rPr>
          <w:rFonts w:ascii="SimSun" w:hAnsi="SimSun" w:hint="eastAsia"/>
          <w:sz w:val="24"/>
          <w:szCs w:val="24"/>
          <w:lang w:eastAsia="zh-CN"/>
        </w:rPr>
        <w:t>秘书处提交的上述研究报告，</w:t>
      </w:r>
    </w:p>
    <w:p w:rsidR="0000707C" w:rsidRPr="00C227A7" w:rsidRDefault="0000707C" w:rsidP="0000707C">
      <w:pPr>
        <w:spacing w:afterLines="100" w:line="300" w:lineRule="exact"/>
        <w:ind w:leftChars="428" w:left="942" w:firstLineChars="200" w:firstLine="480"/>
        <w:jc w:val="both"/>
        <w:rPr>
          <w:rFonts w:ascii="SimSun" w:hAnsi="SimSun" w:hint="eastAsia"/>
          <w:sz w:val="24"/>
          <w:szCs w:val="24"/>
          <w:lang w:eastAsia="zh-CN"/>
        </w:rPr>
      </w:pPr>
      <w:r>
        <w:rPr>
          <w:rFonts w:ascii="SimSun" w:hAnsi="SimSun" w:hint="eastAsia"/>
          <w:i/>
          <w:sz w:val="24"/>
          <w:szCs w:val="24"/>
          <w:lang w:eastAsia="zh-CN"/>
        </w:rPr>
        <w:t xml:space="preserve">注意到　</w:t>
      </w:r>
      <w:r>
        <w:rPr>
          <w:rFonts w:ascii="SimSun" w:hAnsi="SimSun" w:hint="eastAsia"/>
          <w:sz w:val="24"/>
          <w:szCs w:val="24"/>
          <w:lang w:eastAsia="zh-CN"/>
        </w:rPr>
        <w:t>缔约方大会需要得到此方面的进一步信息和资料，以便据以就如何减少货币风险承受度问题作出决定，</w:t>
      </w:r>
    </w:p>
    <w:p w:rsidR="0000707C" w:rsidRDefault="0000707C" w:rsidP="0000707C">
      <w:pPr>
        <w:spacing w:afterLines="100" w:line="300" w:lineRule="exact"/>
        <w:ind w:leftChars="428" w:left="942" w:firstLineChars="200" w:firstLine="480"/>
        <w:jc w:val="both"/>
        <w:rPr>
          <w:rFonts w:ascii="SimSun" w:hAnsi="SimSun" w:hint="eastAsia"/>
          <w:sz w:val="24"/>
          <w:szCs w:val="24"/>
          <w:lang w:eastAsia="zh-CN"/>
        </w:rPr>
      </w:pPr>
      <w:r>
        <w:rPr>
          <w:rFonts w:ascii="SimSun" w:hAnsi="SimSun" w:hint="eastAsia"/>
          <w:i/>
          <w:sz w:val="24"/>
          <w:szCs w:val="24"/>
          <w:lang w:eastAsia="zh-CN"/>
        </w:rPr>
        <w:t xml:space="preserve">请　</w:t>
      </w:r>
      <w:r>
        <w:rPr>
          <w:rFonts w:ascii="SimSun" w:hAnsi="SimSun" w:hint="eastAsia"/>
          <w:sz w:val="24"/>
          <w:szCs w:val="24"/>
          <w:lang w:eastAsia="zh-CN"/>
        </w:rPr>
        <w:t>秘书处，计及下列各项因素，向缔约方大会第四届会议提交一份关于使用欧元、瑞士法郎或美元作为《公约》帐户和预算货币的利弊的进一步研究报告：</w:t>
      </w:r>
    </w:p>
    <w:p w:rsidR="0000707C" w:rsidRPr="00C227A7" w:rsidRDefault="0000707C" w:rsidP="0000707C">
      <w:pPr>
        <w:numPr>
          <w:ilvl w:val="0"/>
          <w:numId w:val="1"/>
        </w:numPr>
        <w:spacing w:afterLines="100" w:line="300" w:lineRule="exact"/>
        <w:ind w:leftChars="428" w:left="942" w:firstLineChars="198" w:firstLine="475"/>
        <w:jc w:val="both"/>
        <w:rPr>
          <w:rFonts w:ascii="SimSun" w:hAnsi="SimSun"/>
          <w:sz w:val="24"/>
          <w:szCs w:val="24"/>
          <w:lang w:eastAsia="zh-CN"/>
        </w:rPr>
      </w:pPr>
      <w:r>
        <w:rPr>
          <w:rFonts w:ascii="SimSun" w:hAnsi="SimSun" w:hint="eastAsia"/>
          <w:sz w:val="24"/>
          <w:szCs w:val="24"/>
          <w:lang w:eastAsia="zh-CN"/>
        </w:rPr>
        <w:t>货币风险承受方面的进一步经验；</w:t>
      </w:r>
    </w:p>
    <w:p w:rsidR="0000707C" w:rsidRPr="00C227A7" w:rsidRDefault="0000707C" w:rsidP="0000707C">
      <w:pPr>
        <w:numPr>
          <w:ilvl w:val="0"/>
          <w:numId w:val="1"/>
        </w:numPr>
        <w:tabs>
          <w:tab w:val="clear" w:pos="1065"/>
        </w:tabs>
        <w:spacing w:afterLines="100" w:line="300" w:lineRule="exact"/>
        <w:ind w:leftChars="428" w:left="942" w:firstLineChars="198" w:firstLine="475"/>
        <w:jc w:val="both"/>
        <w:rPr>
          <w:rFonts w:ascii="SimSun" w:hAnsi="SimSun"/>
          <w:sz w:val="24"/>
          <w:szCs w:val="24"/>
          <w:lang w:eastAsia="zh-CN"/>
        </w:rPr>
      </w:pPr>
      <w:r>
        <w:rPr>
          <w:rFonts w:ascii="SimSun" w:hAnsi="SimSun" w:hint="eastAsia"/>
          <w:sz w:val="24"/>
          <w:szCs w:val="24"/>
          <w:lang w:eastAsia="zh-CN"/>
        </w:rPr>
        <w:t>联合国环境规划署和联合国粮食及农业组织使用目前正在审议之中的这些货币编制预算、保持帐户和进行财务汇报的能力；</w:t>
      </w:r>
    </w:p>
    <w:p w:rsidR="0000707C" w:rsidRDefault="0000707C" w:rsidP="0000707C">
      <w:pPr>
        <w:numPr>
          <w:ilvl w:val="0"/>
          <w:numId w:val="1"/>
        </w:numPr>
        <w:spacing w:afterLines="100" w:line="300" w:lineRule="exact"/>
        <w:ind w:leftChars="428" w:left="942" w:firstLineChars="198" w:firstLine="475"/>
        <w:jc w:val="both"/>
        <w:rPr>
          <w:rFonts w:ascii="SimSun" w:hAnsi="SimSun" w:hint="eastAsia"/>
          <w:sz w:val="24"/>
          <w:szCs w:val="24"/>
          <w:lang w:eastAsia="zh-CN"/>
        </w:rPr>
      </w:pPr>
      <w:r>
        <w:rPr>
          <w:rFonts w:ascii="SimSun" w:hAnsi="SimSun" w:hint="eastAsia"/>
          <w:sz w:val="24"/>
          <w:szCs w:val="24"/>
          <w:lang w:eastAsia="zh-CN"/>
        </w:rPr>
        <w:t>联合国粮食及农业组织在其分摊捐款中采用以不同货币缴付捐款做法方面的相关经验；</w:t>
      </w:r>
    </w:p>
    <w:p w:rsidR="0000707C" w:rsidRDefault="0000707C" w:rsidP="0000707C">
      <w:pPr>
        <w:numPr>
          <w:ilvl w:val="0"/>
          <w:numId w:val="1"/>
        </w:numPr>
        <w:spacing w:afterLines="50" w:line="300" w:lineRule="exact"/>
        <w:ind w:leftChars="428" w:left="942" w:firstLineChars="198" w:firstLine="475"/>
        <w:jc w:val="both"/>
        <w:rPr>
          <w:rFonts w:ascii="SimSun" w:hAnsi="SimSun" w:hint="eastAsia"/>
          <w:sz w:val="24"/>
          <w:szCs w:val="24"/>
          <w:lang w:eastAsia="zh-CN"/>
        </w:rPr>
      </w:pPr>
      <w:r>
        <w:rPr>
          <w:rFonts w:ascii="SimSun" w:hAnsi="SimSun" w:hint="eastAsia"/>
          <w:sz w:val="24"/>
          <w:szCs w:val="24"/>
          <w:lang w:eastAsia="zh-CN"/>
        </w:rPr>
        <w:t>其他公约秘书处及联合国和其他国际机构在使用瑞士法郎、欧元或美元编制预算、保持帐户和进行财务汇报方面的相关经验。</w:t>
      </w:r>
    </w:p>
    <w:p w:rsidR="000B18ED" w:rsidRDefault="000B18ED">
      <w:pPr>
        <w:rPr>
          <w:lang w:eastAsia="zh-CN"/>
        </w:rPr>
      </w:pPr>
    </w:p>
    <w:sectPr w:rsidR="000B18ED"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565"/>
    <w:multiLevelType w:val="hybridMultilevel"/>
    <w:tmpl w:val="8DBE31FA"/>
    <w:lvl w:ilvl="0" w:tplc="A9885DD8">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0707C"/>
    <w:rsid w:val="0000707C"/>
    <w:rsid w:val="000B18ED"/>
    <w:rsid w:val="000F5B9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7C"/>
    <w:pPr>
      <w:spacing w:after="0" w:line="240" w:lineRule="auto"/>
    </w:pPr>
    <w:rPr>
      <w:rFonts w:ascii="Times New Roman" w:eastAsia="SimSu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2014-10-15T07:55:00Z</dcterms:created>
  <dcterms:modified xsi:type="dcterms:W3CDTF">2014-10-15T07:55:00Z</dcterms:modified>
</cp:coreProperties>
</file>