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22" w:rsidRPr="00BD7C5C" w:rsidRDefault="00352E22" w:rsidP="00352E22">
      <w:pPr>
        <w:spacing w:before="240" w:after="240" w:line="380" w:lineRule="exact"/>
        <w:ind w:left="1440"/>
        <w:jc w:val="both"/>
        <w:rPr>
          <w:rFonts w:ascii="Times New Roman" w:hAnsi="Times New Roman" w:cs="Traditional Arabic"/>
          <w:bCs/>
          <w:noProof w:val="0"/>
          <w:sz w:val="32"/>
          <w:szCs w:val="32"/>
          <w:rtl/>
        </w:rPr>
      </w:pPr>
      <w:r w:rsidRPr="00F746EB">
        <w:rPr>
          <w:rFonts w:ascii="Times New Roman" w:hAnsi="Times New Roman" w:cs="Traditional Arabic"/>
          <w:bCs/>
          <w:noProof w:val="0"/>
          <w:sz w:val="32"/>
          <w:szCs w:val="32"/>
          <w:rtl/>
        </w:rPr>
        <w:t>المقرر ا ر - 5/10:</w:t>
      </w:r>
      <w:r w:rsidRPr="00F746EB">
        <w:rPr>
          <w:rFonts w:ascii="Times New Roman" w:hAnsi="Times New Roman" w:cs="Traditional Arabic"/>
          <w:bCs/>
          <w:noProof w:val="0"/>
          <w:sz w:val="32"/>
          <w:szCs w:val="32"/>
          <w:rtl/>
        </w:rPr>
        <w:tab/>
        <w:t>المساعدة التقنية: خطة العمل لفترة السنتين 2012-2013</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ab/>
      </w:r>
      <w:r>
        <w:rPr>
          <w:rFonts w:ascii="Times New Roman" w:hAnsi="Times New Roman" w:cs="Traditional Arabic"/>
          <w:i/>
          <w:iCs/>
          <w:noProof w:val="0"/>
          <w:szCs w:val="30"/>
          <w:rtl/>
        </w:rPr>
        <w:t xml:space="preserve">إذ يشير </w:t>
      </w:r>
      <w:r>
        <w:rPr>
          <w:rFonts w:ascii="Times New Roman" w:hAnsi="Times New Roman" w:cs="Traditional Arabic"/>
          <w:noProof w:val="0"/>
          <w:szCs w:val="30"/>
          <w:rtl/>
        </w:rPr>
        <w:t>مع التقدير إلى عمل الأمانة والشركاء ذوي الصلة لتنفيذ المقرر 1 ر -</w:t>
      </w:r>
      <w:r>
        <w:rPr>
          <w:rFonts w:ascii="Times New Roman" w:hAnsi="Times New Roman" w:cs="Traditional Arabic" w:hint="cs"/>
          <w:noProof w:val="0"/>
          <w:szCs w:val="30"/>
          <w:rtl/>
        </w:rPr>
        <w:t> </w:t>
      </w:r>
      <w:r>
        <w:rPr>
          <w:rFonts w:ascii="Times New Roman" w:hAnsi="Times New Roman" w:cs="Traditional Arabic"/>
          <w:noProof w:val="0"/>
          <w:szCs w:val="30"/>
          <w:rtl/>
        </w:rPr>
        <w:t>4/9؛</w:t>
      </w:r>
    </w:p>
    <w:p w:rsidR="00352E22" w:rsidRPr="0071283E"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i/>
          <w:iCs/>
          <w:noProof w:val="0"/>
          <w:szCs w:val="30"/>
          <w:rtl/>
        </w:rPr>
        <w:tab/>
        <w:t xml:space="preserve">وإذ يكرر </w:t>
      </w:r>
      <w:r>
        <w:rPr>
          <w:rFonts w:ascii="Times New Roman" w:hAnsi="Times New Roman" w:cs="Traditional Arabic"/>
          <w:noProof w:val="0"/>
          <w:szCs w:val="30"/>
          <w:rtl/>
        </w:rPr>
        <w:t xml:space="preserve">أن الإدارة غير السليمة </w:t>
      </w:r>
      <w:r>
        <w:rPr>
          <w:rFonts w:ascii="Times New Roman" w:hAnsi="Times New Roman" w:cs="Traditional Arabic"/>
          <w:noProof w:val="0"/>
          <w:sz w:val="30"/>
          <w:szCs w:val="30"/>
          <w:rtl/>
        </w:rPr>
        <w:t>ل</w:t>
      </w:r>
      <w:r w:rsidRPr="003F16C7">
        <w:rPr>
          <w:rFonts w:ascii="Times New Roman" w:hAnsi="Times New Roman" w:cs="Traditional Arabic"/>
          <w:noProof w:val="0"/>
          <w:sz w:val="30"/>
          <w:szCs w:val="30"/>
          <w:rtl/>
        </w:rPr>
        <w:t xml:space="preserve">لمواد الكيميائية ومبيدات الآفات الخطرة التي تغطيها الاتفاقية تسهم في زيادة الفقر عن طريق تأثيراتها الضارة على صحة الإنسان </w:t>
      </w:r>
      <w:r>
        <w:rPr>
          <w:rFonts w:ascii="Times New Roman" w:hAnsi="Times New Roman" w:cs="Traditional Arabic"/>
          <w:noProof w:val="0"/>
          <w:sz w:val="30"/>
          <w:szCs w:val="30"/>
          <w:rtl/>
        </w:rPr>
        <w:t>والبيئة</w:t>
      </w:r>
      <w:r w:rsidRPr="003F16C7">
        <w:rPr>
          <w:rFonts w:ascii="Times New Roman" w:hAnsi="Times New Roman" w:cs="Traditional Arabic"/>
          <w:noProof w:val="0"/>
          <w:sz w:val="30"/>
          <w:szCs w:val="30"/>
          <w:rtl/>
        </w:rPr>
        <w:t>، وأن تنفيذ الاتفاقية بفعالية سيسهم في بلوغ الأهداف الإنمائية للألفية،</w:t>
      </w:r>
    </w:p>
    <w:p w:rsidR="00352E22" w:rsidRPr="003F16C7" w:rsidRDefault="00352E22" w:rsidP="00352E22">
      <w:pPr>
        <w:spacing w:after="120" w:line="380" w:lineRule="exact"/>
        <w:ind w:left="1440" w:firstLine="720"/>
        <w:jc w:val="both"/>
        <w:rPr>
          <w:rFonts w:ascii="Times New Roman" w:hAnsi="Times New Roman" w:cs="Traditional Arabic"/>
          <w:noProof w:val="0"/>
          <w:sz w:val="30"/>
          <w:szCs w:val="30"/>
          <w:rtl/>
        </w:rPr>
      </w:pPr>
      <w:r w:rsidRPr="003F16C7">
        <w:rPr>
          <w:rFonts w:ascii="Times New Roman" w:hAnsi="Times New Roman" w:cs="Traditional Arabic"/>
          <w:i/>
          <w:iCs/>
          <w:noProof w:val="0"/>
          <w:sz w:val="30"/>
          <w:szCs w:val="30"/>
          <w:rtl/>
        </w:rPr>
        <w:t>وإذ يشدد</w:t>
      </w:r>
      <w:r w:rsidRPr="003F16C7">
        <w:rPr>
          <w:rFonts w:ascii="Times New Roman" w:hAnsi="Times New Roman" w:cs="Traditional Arabic"/>
          <w:noProof w:val="0"/>
          <w:sz w:val="30"/>
          <w:szCs w:val="30"/>
          <w:rtl/>
        </w:rPr>
        <w:t xml:space="preserve"> على أهمية المساعدة التقنية في تمكين الأطراف، خصوصاً البلدان النا</w:t>
      </w:r>
      <w:r>
        <w:rPr>
          <w:rFonts w:ascii="Times New Roman" w:hAnsi="Times New Roman" w:cs="Traditional Arabic"/>
          <w:noProof w:val="0"/>
          <w:sz w:val="30"/>
          <w:szCs w:val="30"/>
          <w:rtl/>
        </w:rPr>
        <w:t>مية، ولا سيما أقل البلدان نمواً</w:t>
      </w:r>
      <w:r w:rsidRPr="003F16C7">
        <w:rPr>
          <w:rFonts w:ascii="Times New Roman" w:hAnsi="Times New Roman" w:cs="Traditional Arabic"/>
          <w:noProof w:val="0"/>
          <w:sz w:val="30"/>
          <w:szCs w:val="30"/>
          <w:rtl/>
        </w:rPr>
        <w:t>، والبلدان التي تمر اقتصاداتها بمرحلة انتقال من تنفيذ الاتفاقية ومن إدارة المواد الكيميائية الصناعية وكذا مبيدات الآفات إدارة فعالة،</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sidRPr="003F16C7">
        <w:rPr>
          <w:rFonts w:ascii="Times New Roman" w:hAnsi="Times New Roman" w:cs="Traditional Arabic"/>
          <w:i/>
          <w:iCs/>
          <w:noProof w:val="0"/>
          <w:sz w:val="30"/>
          <w:szCs w:val="30"/>
          <w:rtl/>
        </w:rPr>
        <w:t>وإذ يؤكد</w:t>
      </w:r>
      <w:r w:rsidRPr="003F16C7">
        <w:rPr>
          <w:rFonts w:ascii="Times New Roman" w:hAnsi="Times New Roman" w:cs="Traditional Arabic"/>
          <w:noProof w:val="0"/>
          <w:sz w:val="30"/>
          <w:szCs w:val="30"/>
          <w:rtl/>
        </w:rPr>
        <w:t xml:space="preserve"> الحاجة إلى تعزيز التنسيق والتعاون في تقديم المساعدة التقنية فيما بين المنظمات الدولية، والاتفاقيات والبرامج، وبخاصة </w:t>
      </w:r>
      <w:r>
        <w:rPr>
          <w:rFonts w:ascii="Times New Roman" w:hAnsi="Times New Roman" w:cs="Traditional Arabic"/>
          <w:noProof w:val="0"/>
          <w:sz w:val="30"/>
          <w:szCs w:val="30"/>
          <w:rtl/>
        </w:rPr>
        <w:t xml:space="preserve">بين </w:t>
      </w:r>
      <w:r w:rsidRPr="003F16C7">
        <w:rPr>
          <w:rFonts w:ascii="Times New Roman" w:hAnsi="Times New Roman" w:cs="Traditional Arabic"/>
          <w:noProof w:val="0"/>
          <w:sz w:val="30"/>
          <w:szCs w:val="30"/>
          <w:rtl/>
        </w:rPr>
        <w:t xml:space="preserve">اتفاقية بازل بشأن التحكم في نقل النفايات الخطرة والتخلص منها عبر الحدود واتفاقية </w:t>
      </w:r>
      <w:r>
        <w:rPr>
          <w:rFonts w:ascii="Times New Roman" w:hAnsi="Times New Roman" w:cs="Traditional Arabic"/>
          <w:noProof w:val="0"/>
          <w:sz w:val="30"/>
          <w:szCs w:val="30"/>
          <w:rtl/>
        </w:rPr>
        <w:t>ستكهولم</w:t>
      </w:r>
      <w:r w:rsidRPr="003F16C7">
        <w:rPr>
          <w:rFonts w:ascii="Times New Roman" w:hAnsi="Times New Roman" w:cs="Traditional Arabic"/>
          <w:noProof w:val="0"/>
          <w:sz w:val="30"/>
          <w:szCs w:val="30"/>
          <w:rtl/>
        </w:rPr>
        <w:t xml:space="preserve"> بشأن الملوثات العضوية الثابتة والنهج الاستراتيجي للإدارة الدولية للمواد الكيميائية، </w:t>
      </w:r>
      <w:r>
        <w:rPr>
          <w:rFonts w:ascii="Times New Roman" w:hAnsi="Times New Roman" w:cs="Traditional Arabic"/>
          <w:noProof w:val="0"/>
          <w:sz w:val="30"/>
          <w:szCs w:val="30"/>
          <w:rtl/>
        </w:rPr>
        <w:t>وعلى المستوى الوطني بين</w:t>
      </w:r>
      <w:r w:rsidRPr="003F16C7">
        <w:rPr>
          <w:rFonts w:ascii="Times New Roman" w:hAnsi="Times New Roman" w:cs="Traditional Arabic"/>
          <w:noProof w:val="0"/>
          <w:sz w:val="30"/>
          <w:szCs w:val="30"/>
          <w:rtl/>
        </w:rPr>
        <w:t xml:space="preserve"> السلطات الوطنية المعينة، </w:t>
      </w:r>
      <w:r>
        <w:rPr>
          <w:rFonts w:ascii="Times New Roman" w:hAnsi="Times New Roman" w:cs="Traditional Arabic"/>
          <w:noProof w:val="0"/>
          <w:sz w:val="30"/>
          <w:szCs w:val="30"/>
          <w:rtl/>
        </w:rPr>
        <w:t xml:space="preserve">وأصحاب المصلحة ذوى الصلة في </w:t>
      </w:r>
      <w:r>
        <w:rPr>
          <w:rFonts w:ascii="Times New Roman" w:hAnsi="Times New Roman" w:cs="Traditional Arabic" w:hint="cs"/>
          <w:noProof w:val="0"/>
          <w:sz w:val="30"/>
          <w:szCs w:val="30"/>
          <w:rtl/>
        </w:rPr>
        <w:t>إ</w:t>
      </w:r>
      <w:r>
        <w:rPr>
          <w:rFonts w:ascii="Times New Roman" w:hAnsi="Times New Roman" w:cs="Traditional Arabic"/>
          <w:noProof w:val="0"/>
          <w:sz w:val="30"/>
          <w:szCs w:val="30"/>
          <w:rtl/>
        </w:rPr>
        <w:t>دارة المواد الكيميائية؛</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sidRPr="00545D72">
        <w:rPr>
          <w:rFonts w:ascii="Times New Roman" w:hAnsi="Times New Roman" w:cs="Traditional Arabic"/>
          <w:i/>
          <w:iCs/>
          <w:noProof w:val="0"/>
          <w:szCs w:val="30"/>
          <w:rtl/>
        </w:rPr>
        <w:t xml:space="preserve">وإذ يضع في اعتباره </w:t>
      </w:r>
      <w:r>
        <w:rPr>
          <w:rFonts w:ascii="Times New Roman" w:hAnsi="Times New Roman" w:cs="Traditional Arabic"/>
          <w:noProof w:val="0"/>
          <w:szCs w:val="30"/>
          <w:rtl/>
        </w:rPr>
        <w:t xml:space="preserve">الفقرة 5 من الفصل ثالثاً من المقرر </w:t>
      </w:r>
      <w:r>
        <w:rPr>
          <w:rFonts w:ascii="Times New Roman" w:hAnsi="Times New Roman" w:cs="Traditional Arabic" w:hint="cs"/>
          <w:noProof w:val="0"/>
          <w:szCs w:val="30"/>
          <w:rtl/>
        </w:rPr>
        <w:t>ا</w:t>
      </w:r>
      <w:r>
        <w:rPr>
          <w:rFonts w:ascii="Times New Roman" w:hAnsi="Times New Roman" w:cs="Traditional Arabic" w:hint="eastAsia"/>
          <w:noProof w:val="0"/>
          <w:szCs w:val="30"/>
          <w:rtl/>
        </w:rPr>
        <w:t> </w:t>
      </w:r>
      <w:r>
        <w:rPr>
          <w:rFonts w:ascii="Times New Roman" w:hAnsi="Times New Roman" w:cs="Traditional Arabic"/>
          <w:noProof w:val="0"/>
          <w:szCs w:val="30"/>
          <w:rtl/>
        </w:rPr>
        <w:t>ر</w:t>
      </w:r>
      <w:r>
        <w:rPr>
          <w:rFonts w:ascii="Times New Roman" w:hAnsi="Times New Roman" w:cs="Traditional Arabic" w:hint="cs"/>
          <w:noProof w:val="0"/>
          <w:szCs w:val="30"/>
          <w:rtl/>
        </w:rPr>
        <w:t> ا</w:t>
      </w:r>
      <w:r>
        <w:rPr>
          <w:rFonts w:ascii="Times New Roman" w:hAnsi="Times New Roman" w:cs="Traditional Arabic" w:hint="eastAsia"/>
          <w:noProof w:val="0"/>
          <w:szCs w:val="30"/>
          <w:rtl/>
        </w:rPr>
        <w:t> </w:t>
      </w:r>
      <w:r>
        <w:rPr>
          <w:rFonts w:ascii="Times New Roman" w:hAnsi="Times New Roman" w:cs="Traditional Arabic"/>
          <w:noProof w:val="0"/>
          <w:szCs w:val="30"/>
          <w:rtl/>
        </w:rPr>
        <w:t>-</w:t>
      </w:r>
      <w:r>
        <w:rPr>
          <w:rFonts w:ascii="Times New Roman" w:hAnsi="Times New Roman" w:cs="Traditional Arabic" w:hint="cs"/>
          <w:noProof w:val="0"/>
          <w:szCs w:val="30"/>
          <w:rtl/>
        </w:rPr>
        <w:t> </w:t>
      </w:r>
      <w:r>
        <w:rPr>
          <w:rFonts w:ascii="Times New Roman" w:hAnsi="Times New Roman" w:cs="Traditional Arabic"/>
          <w:noProof w:val="0"/>
          <w:szCs w:val="30"/>
          <w:rtl/>
        </w:rPr>
        <w:t>1/1 الذي طلب بموجبه تعديل تنظيم الأمانات الثلاث للفترة المالية 2012-201</w:t>
      </w:r>
      <w:r>
        <w:rPr>
          <w:rFonts w:ascii="Times New Roman" w:hAnsi="Times New Roman" w:cs="Traditional Arabic" w:hint="cs"/>
          <w:noProof w:val="0"/>
          <w:szCs w:val="30"/>
          <w:rtl/>
        </w:rPr>
        <w:t>3</w:t>
      </w:r>
      <w:r>
        <w:rPr>
          <w:rFonts w:ascii="Times New Roman" w:hAnsi="Times New Roman" w:cs="Traditional Arabic"/>
          <w:noProof w:val="0"/>
          <w:szCs w:val="30"/>
          <w:rtl/>
        </w:rPr>
        <w:t xml:space="preserve"> والمقرر إجراؤه بطريقة توفر تكاليف خدمات الدعم وتوجيه الموارد للمساعدة في تنفيذ الاتفاقيات الثلاث؛</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i/>
          <w:iCs/>
          <w:noProof w:val="0"/>
          <w:szCs w:val="30"/>
          <w:rtl/>
        </w:rPr>
        <w:t xml:space="preserve">وإذ يشير </w:t>
      </w:r>
      <w:r>
        <w:rPr>
          <w:rFonts w:ascii="Times New Roman" w:hAnsi="Times New Roman" w:cs="Traditional Arabic"/>
          <w:noProof w:val="0"/>
          <w:szCs w:val="30"/>
          <w:rtl/>
        </w:rPr>
        <w:t>إلى وظيفة أمانة الاتفاقية على النحو الذي تنص عليه المادة 19 من الاتفاقية؛</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i/>
          <w:iCs/>
          <w:noProof w:val="0"/>
          <w:szCs w:val="30"/>
          <w:rtl/>
        </w:rPr>
        <w:t xml:space="preserve">وإذ يؤكد </w:t>
      </w:r>
      <w:r>
        <w:rPr>
          <w:rFonts w:ascii="Times New Roman" w:hAnsi="Times New Roman" w:cs="Traditional Arabic"/>
          <w:noProof w:val="0"/>
          <w:szCs w:val="30"/>
          <w:rtl/>
        </w:rPr>
        <w:t>الحاجة إلى تقديم المساعدة التقنية بصورة فعالة على النحو الذي تنص عليه المادة 16 من الاتفاقية،</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i/>
          <w:iCs/>
          <w:noProof w:val="0"/>
          <w:szCs w:val="30"/>
          <w:rtl/>
        </w:rPr>
        <w:t xml:space="preserve">وإذ يشير </w:t>
      </w:r>
      <w:r>
        <w:rPr>
          <w:rFonts w:ascii="Times New Roman" w:hAnsi="Times New Roman" w:cs="Traditional Arabic"/>
          <w:noProof w:val="0"/>
          <w:szCs w:val="30"/>
          <w:rtl/>
        </w:rPr>
        <w:t xml:space="preserve">إلى أن الدعم سيكون مطلوباً فيما يتعلق بالمواد الكيميائية المدرجة حديثاً في المرفق الثالث للاتفاقية، </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1 -</w:t>
      </w:r>
      <w:r>
        <w:rPr>
          <w:rFonts w:ascii="Times New Roman" w:hAnsi="Times New Roman" w:cs="Traditional Arabic"/>
          <w:noProof w:val="0"/>
          <w:szCs w:val="30"/>
          <w:rtl/>
        </w:rPr>
        <w:tab/>
      </w:r>
      <w:r w:rsidRPr="00545D72">
        <w:rPr>
          <w:rFonts w:ascii="Times New Roman" w:hAnsi="Times New Roman" w:cs="Traditional Arabic"/>
          <w:i/>
          <w:iCs/>
          <w:noProof w:val="0"/>
          <w:szCs w:val="30"/>
          <w:rtl/>
        </w:rPr>
        <w:t>يطلب</w:t>
      </w:r>
      <w:r>
        <w:rPr>
          <w:rFonts w:ascii="Times New Roman" w:hAnsi="Times New Roman" w:cs="Traditional Arabic"/>
          <w:noProof w:val="0"/>
          <w:szCs w:val="30"/>
          <w:rtl/>
        </w:rPr>
        <w:t xml:space="preserve"> إلى الأمانة تيسير تقديم المساعدة للبلدان النامية الأطراف، وبخاصة أقل البلدان نمواً، والدول الجزرية الصغيرة النامية، والبلدان التي تمر اقتصاداتها بمرحلة انتقال لتنفيذ المعاهدة، خاصة فيما يتعلق بالأنشطة المدرجة في مرفقات هذا المقرر والوار</w:t>
      </w:r>
      <w:r>
        <w:rPr>
          <w:rFonts w:ascii="Times New Roman" w:hAnsi="Times New Roman" w:cs="Traditional Arabic" w:hint="cs"/>
          <w:noProof w:val="0"/>
          <w:szCs w:val="30"/>
          <w:rtl/>
        </w:rPr>
        <w:t>د</w:t>
      </w:r>
      <w:r>
        <w:rPr>
          <w:rFonts w:ascii="Times New Roman" w:hAnsi="Times New Roman" w:cs="Traditional Arabic"/>
          <w:noProof w:val="0"/>
          <w:szCs w:val="30"/>
          <w:rtl/>
        </w:rPr>
        <w:t>ة أيضاً في ميزانية فترة السنتين 2012-2013، وإعطاء الأولوية بصفة خاصة لأنشطتها المتعلقة بالمواد الكيميائية المدرجة حديثاً في المرفق الثالث للاتفاقية؛</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2 -</w:t>
      </w:r>
      <w:r>
        <w:rPr>
          <w:rFonts w:ascii="Times New Roman" w:hAnsi="Times New Roman" w:cs="Traditional Arabic"/>
          <w:noProof w:val="0"/>
          <w:szCs w:val="30"/>
          <w:rtl/>
        </w:rPr>
        <w:tab/>
      </w:r>
      <w:r w:rsidRPr="00545D72">
        <w:rPr>
          <w:rFonts w:ascii="Times New Roman" w:hAnsi="Times New Roman" w:cs="Traditional Arabic"/>
          <w:i/>
          <w:iCs/>
          <w:noProof w:val="0"/>
          <w:szCs w:val="30"/>
          <w:rtl/>
        </w:rPr>
        <w:t>يطلب أيضاً</w:t>
      </w:r>
      <w:r>
        <w:rPr>
          <w:rFonts w:ascii="Times New Roman" w:hAnsi="Times New Roman" w:cs="Traditional Arabic"/>
          <w:noProof w:val="0"/>
          <w:szCs w:val="30"/>
          <w:rtl/>
        </w:rPr>
        <w:t xml:space="preserve"> إلى الأمانة تقديم تقرير إلى مؤتمر الأطراف في اجتماعه السادس عن الخبرات المكتسبة من تقديم المساعدات التقنية على الصعيدين الإقليمي والوطني، وفرص القيام بأنشطة مشتركة مع أمانات اتفاقية بازل واتفاقية ستكهولم والنهج الاستراتيجي للإدارة الدولية للمواد الكيميائية؛</w:t>
      </w:r>
    </w:p>
    <w:p w:rsidR="00352E22" w:rsidRPr="00545D72" w:rsidRDefault="00352E22" w:rsidP="00352E22">
      <w:pPr>
        <w:spacing w:after="120" w:line="380" w:lineRule="exact"/>
        <w:ind w:left="1440" w:firstLine="720"/>
        <w:jc w:val="both"/>
        <w:rPr>
          <w:rFonts w:ascii="Times New Roman" w:hAnsi="Times New Roman" w:cs="Traditional Arabic"/>
          <w:noProof w:val="0"/>
          <w:szCs w:val="30"/>
          <w:rtl/>
        </w:rPr>
      </w:pPr>
      <w:r w:rsidRPr="00545D72">
        <w:rPr>
          <w:rFonts w:ascii="Times New Roman" w:hAnsi="Times New Roman" w:cs="Traditional Arabic"/>
          <w:noProof w:val="0"/>
          <w:szCs w:val="30"/>
          <w:rtl/>
        </w:rPr>
        <w:lastRenderedPageBreak/>
        <w:t>3</w:t>
      </w:r>
      <w:r>
        <w:rPr>
          <w:rFonts w:ascii="Times New Roman" w:hAnsi="Times New Roman" w:cs="Traditional Arabic" w:hint="cs"/>
          <w:i/>
          <w:iCs/>
          <w:noProof w:val="0"/>
          <w:szCs w:val="30"/>
          <w:rtl/>
        </w:rPr>
        <w:t xml:space="preserve"> -</w:t>
      </w:r>
      <w:r>
        <w:rPr>
          <w:rFonts w:ascii="Times New Roman" w:hAnsi="Times New Roman" w:cs="Traditional Arabic"/>
          <w:i/>
          <w:iCs/>
          <w:noProof w:val="0"/>
          <w:szCs w:val="30"/>
          <w:rtl/>
        </w:rPr>
        <w:tab/>
        <w:t xml:space="preserve">يدعو </w:t>
      </w:r>
      <w:r>
        <w:rPr>
          <w:rFonts w:ascii="Times New Roman" w:hAnsi="Times New Roman" w:cs="Traditional Arabic"/>
          <w:noProof w:val="0"/>
          <w:szCs w:val="30"/>
          <w:rtl/>
        </w:rPr>
        <w:t>البلدان النامية الأطراف والأطراف التي تمر اقتصاداتها بمرحلة انتقال إلى تقديم معلومات للأمانة عن احتياجاتها من المساعدة التقنية، والصعوبات التي تواجهها، وأي آراء أخرى في هذا الصدد؛</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4 -</w:t>
      </w:r>
      <w:r>
        <w:rPr>
          <w:rFonts w:ascii="Times New Roman" w:hAnsi="Times New Roman" w:cs="Traditional Arabic"/>
          <w:noProof w:val="0"/>
          <w:szCs w:val="30"/>
          <w:rtl/>
        </w:rPr>
        <w:tab/>
      </w:r>
      <w:r>
        <w:rPr>
          <w:rFonts w:ascii="Times New Roman" w:hAnsi="Times New Roman" w:cs="Traditional Arabic"/>
          <w:i/>
          <w:iCs/>
          <w:noProof w:val="0"/>
          <w:szCs w:val="30"/>
          <w:rtl/>
        </w:rPr>
        <w:t xml:space="preserve">يدعو </w:t>
      </w:r>
      <w:r>
        <w:rPr>
          <w:rFonts w:ascii="Times New Roman" w:hAnsi="Times New Roman" w:cs="Traditional Arabic"/>
          <w:noProof w:val="0"/>
          <w:szCs w:val="30"/>
          <w:rtl/>
        </w:rPr>
        <w:t>البلدان النامية الأطراف إلى إبلاغ الأمانة بالمساعدة التقنية المتاحة لديها لتقديمها إلى البلدان النامية والأطراف التي تمر</w:t>
      </w:r>
      <w:r>
        <w:rPr>
          <w:rFonts w:ascii="Times New Roman" w:hAnsi="Times New Roman" w:cs="Traditional Arabic" w:hint="cs"/>
          <w:noProof w:val="0"/>
          <w:szCs w:val="30"/>
          <w:rtl/>
        </w:rPr>
        <w:t xml:space="preserve"> اقتصاداتها</w:t>
      </w:r>
      <w:r>
        <w:rPr>
          <w:rFonts w:ascii="Times New Roman" w:hAnsi="Times New Roman" w:cs="Traditional Arabic"/>
          <w:noProof w:val="0"/>
          <w:szCs w:val="30"/>
          <w:rtl/>
        </w:rPr>
        <w:t xml:space="preserve"> بمرحلة انتقال؛</w:t>
      </w:r>
    </w:p>
    <w:p w:rsidR="00352E22"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5 -</w:t>
      </w:r>
      <w:r>
        <w:rPr>
          <w:rFonts w:ascii="Times New Roman" w:hAnsi="Times New Roman" w:cs="Traditional Arabic"/>
          <w:noProof w:val="0"/>
          <w:szCs w:val="30"/>
          <w:rtl/>
        </w:rPr>
        <w:tab/>
      </w:r>
      <w:r>
        <w:rPr>
          <w:rFonts w:ascii="Times New Roman" w:hAnsi="Times New Roman" w:cs="Traditional Arabic"/>
          <w:i/>
          <w:iCs/>
          <w:noProof w:val="0"/>
          <w:szCs w:val="30"/>
          <w:rtl/>
        </w:rPr>
        <w:t xml:space="preserve">يطلب </w:t>
      </w:r>
      <w:r>
        <w:rPr>
          <w:rFonts w:ascii="Times New Roman" w:hAnsi="Times New Roman" w:cs="Traditional Arabic"/>
          <w:noProof w:val="0"/>
          <w:szCs w:val="30"/>
          <w:rtl/>
        </w:rPr>
        <w:t>إلى الأمانة إعداد خطة عمل متآزرة وذات أولويات محددة ومفصلة لأنشطة تقديم المساعدات التقنية على الصعيدين ال</w:t>
      </w:r>
      <w:r>
        <w:rPr>
          <w:rFonts w:ascii="Times New Roman" w:hAnsi="Times New Roman" w:cs="Traditional Arabic" w:hint="cs"/>
          <w:noProof w:val="0"/>
          <w:szCs w:val="30"/>
          <w:rtl/>
        </w:rPr>
        <w:t>إ</w:t>
      </w:r>
      <w:r>
        <w:rPr>
          <w:rFonts w:ascii="Times New Roman" w:hAnsi="Times New Roman" w:cs="Traditional Arabic"/>
          <w:noProof w:val="0"/>
          <w:szCs w:val="30"/>
          <w:rtl/>
        </w:rPr>
        <w:t xml:space="preserve">قليمي والوطني من أجل تنفيذ الاتفاقية، مع مراعاة المعلومات المقدمة في </w:t>
      </w:r>
      <w:r>
        <w:rPr>
          <w:rFonts w:ascii="Times New Roman" w:hAnsi="Times New Roman" w:cs="Traditional Arabic" w:hint="cs"/>
          <w:noProof w:val="0"/>
          <w:szCs w:val="30"/>
          <w:rtl/>
        </w:rPr>
        <w:t>إ</w:t>
      </w:r>
      <w:r>
        <w:rPr>
          <w:rFonts w:ascii="Times New Roman" w:hAnsi="Times New Roman" w:cs="Traditional Arabic"/>
          <w:noProof w:val="0"/>
          <w:szCs w:val="30"/>
          <w:rtl/>
        </w:rPr>
        <w:t>طار الفقرتين 3 و4 من هذا المقرر لينظر فيها مؤتمر الأطراف في اجتماعه السادس؛</w:t>
      </w:r>
    </w:p>
    <w:p w:rsidR="00352E22" w:rsidRPr="009D715F" w:rsidRDefault="00352E22" w:rsidP="00352E22">
      <w:pPr>
        <w:spacing w:after="120" w:line="380" w:lineRule="exact"/>
        <w:ind w:left="1440" w:firstLine="720"/>
        <w:jc w:val="both"/>
        <w:rPr>
          <w:rFonts w:ascii="Times New Roman" w:hAnsi="Times New Roman" w:cs="Traditional Arabic"/>
          <w:noProof w:val="0"/>
          <w:szCs w:val="30"/>
          <w:rtl/>
        </w:rPr>
      </w:pPr>
      <w:r>
        <w:rPr>
          <w:rFonts w:ascii="Times New Roman" w:hAnsi="Times New Roman" w:cs="Traditional Arabic"/>
          <w:noProof w:val="0"/>
          <w:szCs w:val="30"/>
          <w:rtl/>
        </w:rPr>
        <w:t>6 -</w:t>
      </w:r>
      <w:r>
        <w:rPr>
          <w:rFonts w:ascii="Times New Roman" w:hAnsi="Times New Roman" w:cs="Traditional Arabic"/>
          <w:noProof w:val="0"/>
          <w:szCs w:val="30"/>
          <w:rtl/>
        </w:rPr>
        <w:tab/>
      </w:r>
      <w:r>
        <w:rPr>
          <w:rFonts w:ascii="Times New Roman" w:hAnsi="Times New Roman" w:cs="Traditional Arabic"/>
          <w:i/>
          <w:iCs/>
          <w:noProof w:val="0"/>
          <w:szCs w:val="30"/>
          <w:rtl/>
        </w:rPr>
        <w:t xml:space="preserve">يدعو </w:t>
      </w:r>
      <w:r>
        <w:rPr>
          <w:rFonts w:ascii="Times New Roman" w:hAnsi="Times New Roman" w:cs="Traditional Arabic"/>
          <w:noProof w:val="0"/>
          <w:szCs w:val="30"/>
          <w:rtl/>
        </w:rPr>
        <w:t>الأطراف والجهات الأخرى القادرة على المساهمة في الصندوق الاستئماني الخاص الطوعي للاتفاقية أن تدعم أنشطة المساعدة التقنية المذكورة أعلاه وأن تقدم المساعدة التقنية للبلدان النامية، وبخاصة أقل البلدان نمواً، والدول الجزرية الصغيرة النامية، والبلدان التي تمر اقتصاداتها بمرحلة انتقالية لتنفيذ التزاماتها فيما يتعلق بالمواد الكيميائية المدرجة حديثاً في المرفق الثالث للاتفاقية.</w:t>
      </w:r>
    </w:p>
    <w:p w:rsidR="00352E22" w:rsidRPr="00FA6F62" w:rsidRDefault="00352E22" w:rsidP="00352E22">
      <w:pPr>
        <w:spacing w:before="240" w:after="120" w:line="400" w:lineRule="exact"/>
        <w:ind w:left="720"/>
        <w:jc w:val="both"/>
        <w:rPr>
          <w:rFonts w:ascii="Times New Roman" w:hAnsi="Times New Roman" w:cs="Traditional Arabic"/>
          <w:bCs/>
          <w:noProof w:val="0"/>
          <w:sz w:val="32"/>
          <w:szCs w:val="32"/>
          <w:rtl/>
        </w:rPr>
      </w:pPr>
      <w:r>
        <w:rPr>
          <w:rFonts w:ascii="Times New Roman" w:hAnsi="Times New Roman" w:cs="Traditional Arabic"/>
          <w:bCs/>
          <w:noProof w:val="0"/>
          <w:sz w:val="32"/>
          <w:szCs w:val="32"/>
          <w:rtl/>
        </w:rPr>
        <w:br w:type="page"/>
      </w:r>
      <w:r w:rsidRPr="00FA6F62">
        <w:rPr>
          <w:rFonts w:ascii="Times New Roman" w:hAnsi="Times New Roman" w:cs="Traditional Arabic"/>
          <w:bCs/>
          <w:noProof w:val="0"/>
          <w:sz w:val="32"/>
          <w:szCs w:val="32"/>
          <w:rtl/>
        </w:rPr>
        <w:lastRenderedPageBreak/>
        <w:t xml:space="preserve">المرفق 1 للمقرر </w:t>
      </w:r>
      <w:r>
        <w:rPr>
          <w:rFonts w:ascii="Times New Roman" w:hAnsi="Times New Roman" w:cs="Traditional Arabic" w:hint="cs"/>
          <w:bCs/>
          <w:noProof w:val="0"/>
          <w:sz w:val="32"/>
          <w:szCs w:val="32"/>
          <w:rtl/>
        </w:rPr>
        <w:t>ا </w:t>
      </w:r>
      <w:r w:rsidRPr="00FA6F62">
        <w:rPr>
          <w:rFonts w:ascii="Times New Roman" w:hAnsi="Times New Roman" w:cs="Traditional Arabic"/>
          <w:bCs/>
          <w:noProof w:val="0"/>
          <w:sz w:val="32"/>
          <w:szCs w:val="32"/>
          <w:rtl/>
        </w:rPr>
        <w:t>ر</w:t>
      </w:r>
      <w:r>
        <w:rPr>
          <w:rFonts w:ascii="Times New Roman" w:hAnsi="Times New Roman" w:cs="Traditional Arabic" w:hint="cs"/>
          <w:bCs/>
          <w:noProof w:val="0"/>
          <w:sz w:val="32"/>
          <w:szCs w:val="32"/>
          <w:rtl/>
        </w:rPr>
        <w:t> </w:t>
      </w:r>
      <w:r w:rsidRPr="00FA6F62">
        <w:rPr>
          <w:rFonts w:ascii="Times New Roman" w:hAnsi="Times New Roman" w:cs="Traditional Arabic"/>
          <w:bCs/>
          <w:noProof w:val="0"/>
          <w:sz w:val="32"/>
          <w:szCs w:val="32"/>
          <w:rtl/>
        </w:rPr>
        <w:t>– 5/10: أنشطة المساعدة التقنية ذات الأولوية العالية دعماً لتنفيذ اتفاقية روتردام</w:t>
      </w:r>
    </w:p>
    <w:tbl>
      <w:tblPr>
        <w:bidiVisual/>
        <w:tblW w:w="88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628"/>
        <w:gridCol w:w="5176"/>
      </w:tblGrid>
      <w:tr w:rsidR="00352E22" w:rsidRPr="001434E7" w:rsidTr="0042729D">
        <w:trPr>
          <w:cantSplit/>
          <w:trHeight w:val="941"/>
          <w:tblHeader/>
          <w:jc w:val="right"/>
        </w:trPr>
        <w:tc>
          <w:tcPr>
            <w:tcW w:w="2093" w:type="dxa"/>
            <w:tcBorders>
              <w:top w:val="single" w:sz="4" w:space="0" w:color="auto"/>
              <w:left w:val="single" w:sz="4" w:space="0" w:color="auto"/>
              <w:bottom w:val="single" w:sz="4" w:space="0" w:color="auto"/>
              <w:right w:val="single" w:sz="4" w:space="0" w:color="auto"/>
            </w:tcBorders>
          </w:tcPr>
          <w:p w:rsidR="00352E22" w:rsidRPr="001434E7" w:rsidRDefault="00352E22" w:rsidP="0042729D">
            <w:pPr>
              <w:spacing w:line="192" w:lineRule="auto"/>
              <w:jc w:val="center"/>
              <w:rPr>
                <w:rFonts w:cs="Traditional Arabic"/>
                <w:b/>
                <w:bCs/>
                <w:noProof w:val="0"/>
                <w:sz w:val="28"/>
                <w:lang w:eastAsia="ja-JP"/>
              </w:rPr>
            </w:pPr>
            <w:r w:rsidRPr="001434E7">
              <w:rPr>
                <w:rFonts w:cs="Traditional Arabic"/>
                <w:b/>
                <w:bCs/>
                <w:noProof w:val="0"/>
                <w:sz w:val="28"/>
                <w:rtl/>
                <w:lang w:eastAsia="ja-JP"/>
              </w:rPr>
              <w:t>فئة المساعدة التقنية في خطة العمل</w:t>
            </w:r>
          </w:p>
        </w:tc>
        <w:tc>
          <w:tcPr>
            <w:tcW w:w="1628" w:type="dxa"/>
            <w:tcBorders>
              <w:top w:val="single" w:sz="4" w:space="0" w:color="auto"/>
              <w:left w:val="single" w:sz="4" w:space="0" w:color="auto"/>
              <w:bottom w:val="single" w:sz="4" w:space="0" w:color="auto"/>
              <w:right w:val="single" w:sz="4" w:space="0" w:color="auto"/>
            </w:tcBorders>
            <w:noWrap/>
          </w:tcPr>
          <w:p w:rsidR="00352E22" w:rsidRPr="001434E7" w:rsidRDefault="00352E22" w:rsidP="0042729D">
            <w:pPr>
              <w:spacing w:line="192" w:lineRule="auto"/>
              <w:jc w:val="center"/>
              <w:rPr>
                <w:rFonts w:cs="Traditional Arabic"/>
                <w:b/>
                <w:bCs/>
                <w:noProof w:val="0"/>
                <w:sz w:val="28"/>
                <w:lang w:eastAsia="ja-JP"/>
              </w:rPr>
            </w:pPr>
            <w:r w:rsidRPr="001434E7">
              <w:rPr>
                <w:rFonts w:cs="Traditional Arabic"/>
                <w:b/>
                <w:bCs/>
                <w:noProof w:val="0"/>
                <w:sz w:val="28"/>
                <w:rtl/>
                <w:lang w:eastAsia="ja-JP"/>
              </w:rPr>
              <w:t>رقم النشاط في الميزانية</w:t>
            </w:r>
          </w:p>
        </w:tc>
        <w:tc>
          <w:tcPr>
            <w:tcW w:w="5176" w:type="dxa"/>
            <w:tcBorders>
              <w:top w:val="single" w:sz="4" w:space="0" w:color="auto"/>
              <w:left w:val="single" w:sz="4" w:space="0" w:color="auto"/>
              <w:bottom w:val="single" w:sz="4" w:space="0" w:color="auto"/>
              <w:right w:val="single" w:sz="4" w:space="0" w:color="auto"/>
            </w:tcBorders>
          </w:tcPr>
          <w:p w:rsidR="00352E22" w:rsidRPr="001434E7" w:rsidRDefault="00352E22" w:rsidP="0042729D">
            <w:pPr>
              <w:spacing w:line="192" w:lineRule="auto"/>
              <w:jc w:val="center"/>
              <w:rPr>
                <w:rFonts w:cs="Traditional Arabic"/>
                <w:b/>
                <w:bCs/>
                <w:noProof w:val="0"/>
                <w:sz w:val="28"/>
                <w:lang w:eastAsia="ja-JP"/>
              </w:rPr>
            </w:pPr>
            <w:r w:rsidRPr="001434E7">
              <w:rPr>
                <w:rFonts w:cs="Traditional Arabic"/>
                <w:b/>
                <w:bCs/>
                <w:noProof w:val="0"/>
                <w:sz w:val="28"/>
                <w:rtl/>
                <w:lang w:eastAsia="ja-JP"/>
              </w:rPr>
              <w:t>الأنشطة</w:t>
            </w:r>
          </w:p>
        </w:tc>
      </w:tr>
      <w:tr w:rsidR="00352E22" w:rsidRPr="001434E7"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bCs/>
                <w:noProof w:val="0"/>
                <w:sz w:val="28"/>
                <w:rtl/>
                <w:lang w:eastAsia="ja-JP"/>
              </w:rPr>
            </w:pPr>
            <w:r w:rsidRPr="001434E7">
              <w:rPr>
                <w:rFonts w:cs="Traditional Arabic"/>
                <w:b/>
                <w:bCs/>
                <w:noProof w:val="0"/>
                <w:sz w:val="28"/>
                <w:rtl/>
                <w:lang w:eastAsia="ja-JP"/>
              </w:rPr>
              <w:t>مجموعة أدوات الموارد</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1434E7" w:rsidRDefault="00352E22" w:rsidP="0042729D">
            <w:pPr>
              <w:spacing w:line="192" w:lineRule="auto"/>
              <w:jc w:val="center"/>
              <w:rPr>
                <w:rFonts w:cs="Traditional Arabic"/>
                <w:b/>
                <w:bCs/>
                <w:noProof w:val="0"/>
                <w:szCs w:val="20"/>
                <w:lang w:eastAsia="ja-JP"/>
              </w:rPr>
            </w:pPr>
            <w:r w:rsidRPr="001434E7">
              <w:rPr>
                <w:rFonts w:cs="Traditional Arabic"/>
                <w:b/>
                <w:bCs/>
                <w:noProof w:val="0"/>
                <w:szCs w:val="20"/>
                <w:lang w:eastAsia="ja-JP"/>
              </w:rPr>
              <w:t>5</w:t>
            </w:r>
            <w:r w:rsidRPr="001434E7">
              <w:rPr>
                <w:rFonts w:cs="Traditional Arabic"/>
                <w:noProof w:val="0"/>
                <w:szCs w:val="20"/>
                <w:lang w:eastAsia="ja-JP"/>
              </w:rPr>
              <w:t xml:space="preserve"> (8P)</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noProof w:val="0"/>
                <w:sz w:val="28"/>
                <w:lang w:eastAsia="ja-JP"/>
              </w:rPr>
            </w:pPr>
            <w:r w:rsidRPr="001434E7">
              <w:rPr>
                <w:rFonts w:cs="Traditional Arabic"/>
                <w:b/>
                <w:noProof w:val="0"/>
                <w:sz w:val="28"/>
                <w:rtl/>
                <w:lang w:eastAsia="ja-JP"/>
              </w:rPr>
              <w:t>استعراض مضمون ومكونات مجموعة أدوات الموارد، وإعداد مواد جديدة وتحديث المنشورات الرئيسية المقرر إتاحتها أيضاً بشكل إليكتروني مع بحث فرص التدريب المحتملة</w:t>
            </w:r>
          </w:p>
        </w:tc>
      </w:tr>
      <w:tr w:rsidR="00352E22" w:rsidRPr="001434E7"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bCs/>
                <w:noProof w:val="0"/>
                <w:sz w:val="28"/>
                <w:rtl/>
                <w:lang w:eastAsia="ja-JP"/>
              </w:rPr>
            </w:pPr>
            <w:r>
              <w:rPr>
                <w:rFonts w:cs="Traditional Arabic"/>
                <w:b/>
                <w:bCs/>
                <w:noProof w:val="0"/>
                <w:sz w:val="28"/>
                <w:rtl/>
                <w:lang w:eastAsia="ja-JP"/>
              </w:rPr>
              <w:t>استثارة الوعي والتدريب وعناصر الخطط الوطنية</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1434E7" w:rsidRDefault="00352E22" w:rsidP="0042729D">
            <w:pPr>
              <w:spacing w:line="192" w:lineRule="auto"/>
              <w:jc w:val="center"/>
              <w:rPr>
                <w:rFonts w:cs="Traditional Arabic"/>
                <w:b/>
                <w:bCs/>
                <w:noProof w:val="0"/>
                <w:szCs w:val="20"/>
                <w:lang w:eastAsia="ja-JP"/>
              </w:rPr>
            </w:pPr>
            <w:r w:rsidRPr="001434E7">
              <w:rPr>
                <w:rFonts w:cs="Traditional Arabic"/>
                <w:b/>
                <w:bCs/>
                <w:noProof w:val="0"/>
                <w:szCs w:val="20"/>
                <w:lang w:eastAsia="ja-JP"/>
              </w:rPr>
              <w:t xml:space="preserve">8 </w:t>
            </w:r>
            <w:r w:rsidRPr="001434E7">
              <w:rPr>
                <w:rFonts w:cs="Traditional Arabic"/>
                <w:bCs/>
                <w:noProof w:val="0"/>
                <w:szCs w:val="20"/>
                <w:lang w:eastAsia="ja-JP"/>
              </w:rPr>
              <w:t>(10)</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noProof w:val="0"/>
                <w:sz w:val="28"/>
                <w:lang w:eastAsia="ja-JP"/>
              </w:rPr>
            </w:pPr>
            <w:r w:rsidRPr="001434E7">
              <w:rPr>
                <w:rFonts w:cs="Traditional Arabic"/>
                <w:b/>
                <w:noProof w:val="0"/>
                <w:sz w:val="28"/>
                <w:rtl/>
                <w:lang w:eastAsia="ja-JP"/>
              </w:rPr>
              <w:t xml:space="preserve">تطوير أدوات موجهة صوب العمل، بما في ذلك أدوات </w:t>
            </w:r>
            <w:r>
              <w:rPr>
                <w:rFonts w:cs="Traditional Arabic" w:hint="cs"/>
                <w:b/>
                <w:noProof w:val="0"/>
                <w:sz w:val="28"/>
                <w:rtl/>
                <w:lang w:eastAsia="ja-JP"/>
              </w:rPr>
              <w:t>إ</w:t>
            </w:r>
            <w:r w:rsidRPr="001434E7">
              <w:rPr>
                <w:rFonts w:cs="Traditional Arabic"/>
                <w:b/>
                <w:noProof w:val="0"/>
                <w:sz w:val="28"/>
                <w:rtl/>
                <w:lang w:eastAsia="ja-JP"/>
              </w:rPr>
              <w:t>لكترونية</w:t>
            </w:r>
            <w:r>
              <w:rPr>
                <w:rFonts w:cs="Traditional Arabic"/>
                <w:b/>
                <w:noProof w:val="0"/>
                <w:sz w:val="28"/>
                <w:rtl/>
                <w:lang w:eastAsia="ja-JP"/>
              </w:rPr>
              <w:t xml:space="preserve"> لتحديد وتوضيح عناصر لل</w:t>
            </w:r>
            <w:r>
              <w:rPr>
                <w:rFonts w:cs="Traditional Arabic" w:hint="cs"/>
                <w:b/>
                <w:noProof w:val="0"/>
                <w:sz w:val="28"/>
                <w:rtl/>
                <w:lang w:eastAsia="ja-JP"/>
              </w:rPr>
              <w:t>إ</w:t>
            </w:r>
            <w:r>
              <w:rPr>
                <w:rFonts w:cs="Traditional Arabic"/>
                <w:b/>
                <w:noProof w:val="0"/>
                <w:sz w:val="28"/>
                <w:rtl/>
                <w:lang w:eastAsia="ja-JP"/>
              </w:rPr>
              <w:t>جراءات والخطط الوطنية من أجل تنفيذ اتفاقية روتردام. تشمل الأنشطة خدمات الدعم التي تقدمها الأمانة، والاجتماعات بواسطة الفيديو واستعراضاً مستقلاً شاملاً، وأنشطة تدريبية أو اجتماعات إقليمية فرعية</w:t>
            </w:r>
          </w:p>
        </w:tc>
      </w:tr>
      <w:tr w:rsidR="00352E22" w:rsidRPr="001434E7"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bCs/>
                <w:noProof w:val="0"/>
                <w:sz w:val="28"/>
                <w:lang w:eastAsia="ja-JP"/>
              </w:rPr>
            </w:pPr>
            <w:r>
              <w:rPr>
                <w:rFonts w:cs="Traditional Arabic"/>
                <w:b/>
                <w:bCs/>
                <w:noProof w:val="0"/>
                <w:sz w:val="28"/>
                <w:rtl/>
                <w:lang w:eastAsia="ja-JP"/>
              </w:rPr>
              <w:t>دعم تقديم مقترحات بشأن تركيبات مبيدات الآفات الشديدة الخطورة</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1434E7" w:rsidRDefault="00352E22" w:rsidP="0042729D">
            <w:pPr>
              <w:spacing w:line="192" w:lineRule="auto"/>
              <w:jc w:val="center"/>
              <w:rPr>
                <w:rFonts w:cs="Traditional Arabic"/>
                <w:b/>
                <w:bCs/>
                <w:noProof w:val="0"/>
                <w:szCs w:val="20"/>
                <w:lang w:eastAsia="ja-JP"/>
              </w:rPr>
            </w:pPr>
            <w:r w:rsidRPr="001434E7">
              <w:rPr>
                <w:rFonts w:cs="Traditional Arabic"/>
                <w:b/>
                <w:bCs/>
                <w:noProof w:val="0"/>
                <w:szCs w:val="20"/>
                <w:lang w:eastAsia="ja-JP"/>
              </w:rPr>
              <w:t xml:space="preserve">10 </w:t>
            </w:r>
            <w:r w:rsidRPr="001434E7">
              <w:rPr>
                <w:rFonts w:cs="Traditional Arabic"/>
                <w:noProof w:val="0"/>
                <w:szCs w:val="20"/>
                <w:lang w:eastAsia="ja-JP"/>
              </w:rPr>
              <w:t>(12P)</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noProof w:val="0"/>
                <w:sz w:val="28"/>
                <w:rtl/>
                <w:lang w:eastAsia="ja-JP"/>
              </w:rPr>
            </w:pPr>
            <w:r w:rsidRPr="001434E7">
              <w:rPr>
                <w:rFonts w:cs="Traditional Arabic"/>
                <w:b/>
                <w:noProof w:val="0"/>
                <w:sz w:val="28"/>
                <w:rtl/>
                <w:lang w:eastAsia="ja-JP"/>
              </w:rPr>
              <w:t>تعزيز القدرات الوطنية المتعلقة بتركيبات مبيدات الآفات الشديدة الخطورة، بما في ذلك عن طريق مشاريع تجريبية</w:t>
            </w:r>
            <w:r>
              <w:rPr>
                <w:rFonts w:cs="Traditional Arabic"/>
                <w:b/>
                <w:noProof w:val="0"/>
                <w:sz w:val="28"/>
                <w:rtl/>
                <w:lang w:eastAsia="ja-JP"/>
              </w:rPr>
              <w:t xml:space="preserve"> تيسيرية</w:t>
            </w:r>
          </w:p>
        </w:tc>
      </w:tr>
      <w:tr w:rsidR="00352E22" w:rsidRPr="001434E7"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bCs/>
                <w:noProof w:val="0"/>
                <w:sz w:val="28"/>
                <w:lang w:eastAsia="ja-JP"/>
              </w:rPr>
            </w:pPr>
            <w:r>
              <w:rPr>
                <w:rFonts w:cs="Traditional Arabic"/>
                <w:b/>
                <w:bCs/>
                <w:noProof w:val="0"/>
                <w:sz w:val="28"/>
                <w:rtl/>
                <w:lang w:eastAsia="ja-JP"/>
              </w:rPr>
              <w:t>تيسير إعداد الاخطارات بالإجراءات التنظيمية النهائية</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1434E7" w:rsidRDefault="00352E22" w:rsidP="0042729D">
            <w:pPr>
              <w:spacing w:line="192" w:lineRule="auto"/>
              <w:jc w:val="center"/>
              <w:rPr>
                <w:rFonts w:cs="Traditional Arabic"/>
                <w:b/>
                <w:bCs/>
                <w:noProof w:val="0"/>
                <w:szCs w:val="20"/>
                <w:lang w:eastAsia="ja-JP"/>
              </w:rPr>
            </w:pPr>
            <w:r w:rsidRPr="001434E7">
              <w:rPr>
                <w:rFonts w:cs="Traditional Arabic"/>
                <w:b/>
                <w:bCs/>
                <w:noProof w:val="0"/>
                <w:szCs w:val="20"/>
                <w:lang w:eastAsia="ja-JP"/>
              </w:rPr>
              <w:t xml:space="preserve">12 </w:t>
            </w:r>
            <w:r w:rsidRPr="001434E7">
              <w:rPr>
                <w:rFonts w:cs="Traditional Arabic"/>
                <w:noProof w:val="0"/>
                <w:szCs w:val="20"/>
                <w:lang w:eastAsia="ja-JP"/>
              </w:rPr>
              <w:t>(14P)</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1434E7" w:rsidRDefault="00352E22" w:rsidP="0042729D">
            <w:pPr>
              <w:spacing w:line="192" w:lineRule="auto"/>
              <w:jc w:val="lowKashida"/>
              <w:rPr>
                <w:rFonts w:cs="Traditional Arabic"/>
                <w:b/>
                <w:noProof w:val="0"/>
                <w:sz w:val="28"/>
                <w:lang w:eastAsia="ja-JP"/>
              </w:rPr>
            </w:pPr>
            <w:r>
              <w:rPr>
                <w:rFonts w:cs="Traditional Arabic"/>
                <w:b/>
                <w:noProof w:val="0"/>
                <w:sz w:val="28"/>
                <w:rtl/>
                <w:lang w:eastAsia="ja-JP"/>
              </w:rPr>
              <w:t>إعداد الإخطارات بالإجراءات التنظيمية النهائية لتعزيز قدرات البلدان على إعداد وتقديم الإخطارات بما في ذلك التوثيق الملائم للمقررات الوطنية.</w:t>
            </w:r>
          </w:p>
        </w:tc>
      </w:tr>
    </w:tbl>
    <w:p w:rsidR="00352E22" w:rsidRPr="00F746EB" w:rsidRDefault="00352E22" w:rsidP="00352E22">
      <w:pPr>
        <w:spacing w:before="240" w:after="120" w:line="400" w:lineRule="exact"/>
        <w:ind w:left="720"/>
        <w:jc w:val="both"/>
        <w:rPr>
          <w:rFonts w:ascii="Times New Roman" w:hAnsi="Times New Roman" w:cs="Traditional Arabic"/>
          <w:bCs/>
          <w:noProof w:val="0"/>
          <w:sz w:val="32"/>
          <w:szCs w:val="32"/>
          <w:rtl/>
        </w:rPr>
      </w:pPr>
      <w:r w:rsidRPr="00F746EB">
        <w:rPr>
          <w:rFonts w:ascii="Times New Roman" w:hAnsi="Times New Roman" w:cs="Traditional Arabic"/>
          <w:bCs/>
          <w:noProof w:val="0"/>
          <w:sz w:val="32"/>
          <w:szCs w:val="32"/>
          <w:rtl/>
        </w:rPr>
        <w:t>المرفق الثاني: أنشطة المساعدة التقنية ذات الأولوية الأدنى دعماً لتنفيذ اتفاقية روتردام</w:t>
      </w:r>
    </w:p>
    <w:tbl>
      <w:tblPr>
        <w:bidiVisual/>
        <w:tblW w:w="88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628"/>
        <w:gridCol w:w="5176"/>
      </w:tblGrid>
      <w:tr w:rsidR="00352E22" w:rsidRPr="00062D3F" w:rsidTr="0042729D">
        <w:trPr>
          <w:cantSplit/>
          <w:trHeight w:val="821"/>
          <w:tblHeader/>
          <w:jc w:val="right"/>
        </w:trPr>
        <w:tc>
          <w:tcPr>
            <w:tcW w:w="2093" w:type="dxa"/>
            <w:tcBorders>
              <w:top w:val="single" w:sz="4" w:space="0" w:color="auto"/>
              <w:left w:val="single" w:sz="4" w:space="0" w:color="auto"/>
              <w:bottom w:val="single" w:sz="4" w:space="0" w:color="auto"/>
              <w:right w:val="single" w:sz="4" w:space="0" w:color="auto"/>
            </w:tcBorders>
          </w:tcPr>
          <w:p w:rsidR="00352E22" w:rsidRPr="00BC01B7" w:rsidRDefault="00352E22" w:rsidP="0042729D">
            <w:pPr>
              <w:spacing w:line="192" w:lineRule="auto"/>
              <w:jc w:val="center"/>
              <w:rPr>
                <w:rFonts w:cs="Traditional Arabic"/>
                <w:b/>
                <w:bCs/>
                <w:noProof w:val="0"/>
                <w:sz w:val="28"/>
                <w:lang w:eastAsia="ja-JP"/>
              </w:rPr>
            </w:pPr>
            <w:r w:rsidRPr="00BC01B7">
              <w:rPr>
                <w:rFonts w:cs="Traditional Arabic"/>
                <w:b/>
                <w:bCs/>
                <w:noProof w:val="0"/>
                <w:sz w:val="28"/>
                <w:rtl/>
                <w:lang w:eastAsia="ja-JP"/>
              </w:rPr>
              <w:t>فئة المساعدة التقنية في خطة العمل</w:t>
            </w:r>
          </w:p>
        </w:tc>
        <w:tc>
          <w:tcPr>
            <w:tcW w:w="1628" w:type="dxa"/>
            <w:tcBorders>
              <w:top w:val="single" w:sz="4" w:space="0" w:color="auto"/>
              <w:left w:val="single" w:sz="4" w:space="0" w:color="auto"/>
              <w:bottom w:val="single" w:sz="4" w:space="0" w:color="auto"/>
              <w:right w:val="single" w:sz="4" w:space="0" w:color="auto"/>
            </w:tcBorders>
            <w:noWrap/>
          </w:tcPr>
          <w:p w:rsidR="00352E22" w:rsidRPr="001434E7" w:rsidRDefault="00352E22" w:rsidP="0042729D">
            <w:pPr>
              <w:spacing w:line="192" w:lineRule="auto"/>
              <w:jc w:val="center"/>
              <w:rPr>
                <w:rFonts w:cs="Traditional Arabic"/>
                <w:b/>
                <w:bCs/>
                <w:noProof w:val="0"/>
                <w:sz w:val="28"/>
                <w:lang w:eastAsia="ja-JP"/>
              </w:rPr>
            </w:pPr>
            <w:r w:rsidRPr="001434E7">
              <w:rPr>
                <w:rFonts w:cs="Traditional Arabic"/>
                <w:b/>
                <w:bCs/>
                <w:noProof w:val="0"/>
                <w:sz w:val="28"/>
                <w:rtl/>
                <w:lang w:eastAsia="ja-JP"/>
              </w:rPr>
              <w:t>رقم النشاط في الميزانية</w:t>
            </w:r>
          </w:p>
        </w:tc>
        <w:tc>
          <w:tcPr>
            <w:tcW w:w="5176" w:type="dxa"/>
            <w:tcBorders>
              <w:top w:val="single" w:sz="4" w:space="0" w:color="auto"/>
              <w:left w:val="single" w:sz="4" w:space="0" w:color="auto"/>
              <w:bottom w:val="single" w:sz="4" w:space="0" w:color="auto"/>
              <w:right w:val="single" w:sz="4" w:space="0" w:color="auto"/>
            </w:tcBorders>
          </w:tcPr>
          <w:p w:rsidR="00352E22" w:rsidRPr="00BC01B7" w:rsidRDefault="00352E22" w:rsidP="0042729D">
            <w:pPr>
              <w:spacing w:line="192" w:lineRule="auto"/>
              <w:jc w:val="center"/>
              <w:rPr>
                <w:rFonts w:cs="Traditional Arabic"/>
                <w:noProof w:val="0"/>
                <w:sz w:val="28"/>
                <w:lang w:eastAsia="ja-JP"/>
              </w:rPr>
            </w:pPr>
            <w:r w:rsidRPr="00BC01B7">
              <w:rPr>
                <w:rFonts w:cs="Traditional Arabic"/>
                <w:noProof w:val="0"/>
                <w:sz w:val="28"/>
                <w:rtl/>
                <w:lang w:eastAsia="ja-JP"/>
              </w:rPr>
              <w:t>الأنشطة</w:t>
            </w:r>
          </w:p>
        </w:tc>
      </w:tr>
      <w:tr w:rsidR="00352E22" w:rsidRPr="00062D3F" w:rsidTr="0042729D">
        <w:trPr>
          <w:cantSplit/>
          <w:trHeight w:val="1070"/>
          <w:jc w:val="right"/>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r w:rsidRPr="00BC01B7">
              <w:rPr>
                <w:rFonts w:cs="Traditional Arabic"/>
                <w:b/>
                <w:bCs/>
                <w:noProof w:val="0"/>
                <w:sz w:val="28"/>
                <w:rtl/>
                <w:lang w:eastAsia="ja-JP"/>
              </w:rPr>
              <w:t>استثارة الوعي</w:t>
            </w:r>
            <w:r>
              <w:rPr>
                <w:rFonts w:cs="Traditional Arabic"/>
                <w:b/>
                <w:bCs/>
                <w:noProof w:val="0"/>
                <w:sz w:val="28"/>
                <w:rtl/>
                <w:lang w:eastAsia="ja-JP"/>
              </w:rPr>
              <w:t xml:space="preserve"> والتدريب</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 xml:space="preserve">13 </w:t>
            </w:r>
            <w:r w:rsidRPr="00BC01B7">
              <w:rPr>
                <w:rFonts w:cs="Traditional Arabic"/>
                <w:noProof w:val="0"/>
                <w:szCs w:val="20"/>
                <w:lang w:eastAsia="ja-JP"/>
              </w:rPr>
              <w:t>(17P)</w:t>
            </w:r>
          </w:p>
          <w:p w:rsidR="00352E22" w:rsidRPr="00BC01B7" w:rsidRDefault="00352E22" w:rsidP="0042729D">
            <w:pPr>
              <w:jc w:val="center"/>
              <w:rPr>
                <w:rFonts w:cs="Traditional Arabic"/>
                <w:noProof w:val="0"/>
                <w:szCs w:val="20"/>
                <w:lang w:eastAsia="ja-JP"/>
              </w:rPr>
            </w:pPr>
          </w:p>
          <w:p w:rsidR="00352E22" w:rsidRPr="00BC01B7" w:rsidRDefault="00352E22" w:rsidP="0042729D">
            <w:pPr>
              <w:jc w:val="center"/>
              <w:rPr>
                <w:rFonts w:cs="Traditional Arabic"/>
                <w:noProof w:val="0"/>
                <w:szCs w:val="20"/>
                <w:lang w:eastAsia="ja-JP"/>
              </w:rPr>
            </w:pP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rtl/>
                <w:lang w:eastAsia="ja-JP"/>
              </w:rPr>
            </w:pPr>
            <w:r w:rsidRPr="00BC01B7">
              <w:rPr>
                <w:rFonts w:cs="Traditional Arabic"/>
                <w:noProof w:val="0"/>
                <w:sz w:val="28"/>
                <w:rtl/>
                <w:lang w:eastAsia="ja-JP"/>
              </w:rPr>
              <w:t>أنشطة التدريب على الأعداد، مع صلات محتملة بالأنشطة الكيميائية ذات الصلة</w:t>
            </w:r>
          </w:p>
        </w:tc>
      </w:tr>
      <w:tr w:rsidR="00352E22" w:rsidRPr="00062D3F"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11 (</w:t>
            </w:r>
            <w:r w:rsidRPr="00BC01B7">
              <w:rPr>
                <w:rFonts w:cs="Traditional Arabic"/>
                <w:bCs/>
                <w:noProof w:val="0"/>
                <w:szCs w:val="20"/>
                <w:lang w:eastAsia="ja-JP"/>
              </w:rPr>
              <w:t>23P)</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hint="cs"/>
                <w:noProof w:val="0"/>
                <w:sz w:val="28"/>
                <w:rtl/>
                <w:lang w:eastAsia="ja-JP"/>
              </w:rPr>
            </w:pPr>
            <w:r w:rsidRPr="00BC01B7">
              <w:rPr>
                <w:rFonts w:cs="Traditional Arabic"/>
                <w:noProof w:val="0"/>
                <w:sz w:val="28"/>
                <w:rtl/>
                <w:lang w:eastAsia="ja-JP"/>
              </w:rPr>
              <w:t xml:space="preserve">إعداد برامج </w:t>
            </w:r>
            <w:r>
              <w:rPr>
                <w:rFonts w:cs="Traditional Arabic"/>
                <w:noProof w:val="0"/>
                <w:sz w:val="28"/>
                <w:rtl/>
                <w:lang w:eastAsia="ja-JP"/>
              </w:rPr>
              <w:t>وتوفير الدعم اللازم لمساعدة الأطراف في قضايا محددة عن</w:t>
            </w:r>
            <w:r>
              <w:rPr>
                <w:rFonts w:cs="Traditional Arabic" w:hint="cs"/>
                <w:noProof w:val="0"/>
                <w:sz w:val="28"/>
                <w:rtl/>
                <w:lang w:eastAsia="ja-JP"/>
              </w:rPr>
              <w:t>د</w:t>
            </w:r>
            <w:r>
              <w:rPr>
                <w:rFonts w:cs="Traditional Arabic"/>
                <w:noProof w:val="0"/>
                <w:sz w:val="28"/>
                <w:rtl/>
                <w:lang w:eastAsia="ja-JP"/>
              </w:rPr>
              <w:t xml:space="preserve"> الطلب</w:t>
            </w:r>
          </w:p>
          <w:p w:rsidR="00352E22" w:rsidRPr="00BC01B7" w:rsidRDefault="00352E22" w:rsidP="0042729D">
            <w:pPr>
              <w:spacing w:line="192" w:lineRule="auto"/>
              <w:jc w:val="lowKashida"/>
              <w:rPr>
                <w:rFonts w:cs="Traditional Arabic"/>
                <w:noProof w:val="0"/>
                <w:sz w:val="28"/>
                <w:lang w:eastAsia="ja-JP"/>
              </w:rPr>
            </w:pPr>
          </w:p>
          <w:p w:rsidR="00352E22" w:rsidRPr="00BC01B7" w:rsidRDefault="00352E22" w:rsidP="0042729D">
            <w:pPr>
              <w:spacing w:line="192" w:lineRule="auto"/>
              <w:jc w:val="lowKashida"/>
              <w:rPr>
                <w:rFonts w:cs="Traditional Arabic"/>
                <w:noProof w:val="0"/>
                <w:sz w:val="28"/>
                <w:rtl/>
                <w:lang w:eastAsia="ja-JP"/>
              </w:rPr>
            </w:pPr>
            <w:r>
              <w:rPr>
                <w:rFonts w:cs="Traditional Arabic"/>
                <w:noProof w:val="0"/>
                <w:sz w:val="28"/>
                <w:rtl/>
                <w:lang w:eastAsia="ja-JP"/>
              </w:rPr>
              <w:t>يركز التدريب على الالتزامات الأساسية بموجب الاتفاقية، وخاصة بالنسبة للأطراف الجديدة وتلك التي تواجه صعوبات، وبحث استحداث أدوات تدريب إلكترونية ذات صلة</w:t>
            </w:r>
          </w:p>
        </w:tc>
      </w:tr>
      <w:tr w:rsidR="00352E22" w:rsidRPr="00062D3F"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 xml:space="preserve">14N </w:t>
            </w:r>
            <w:r w:rsidRPr="00BC01B7">
              <w:rPr>
                <w:rFonts w:cs="Traditional Arabic"/>
                <w:bCs/>
                <w:noProof w:val="0"/>
                <w:szCs w:val="20"/>
                <w:lang w:eastAsia="ja-JP"/>
              </w:rPr>
              <w:t>(new)</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وضع خطة عمل توجيهية للمشاركة الفعالة في أعمال لجنة لاستعراض المواد الكيميائية</w:t>
            </w:r>
          </w:p>
        </w:tc>
      </w:tr>
      <w:tr w:rsidR="00352E22" w:rsidRPr="00062D3F"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Cs/>
                <w:noProof w:val="0"/>
                <w:szCs w:val="20"/>
                <w:lang w:eastAsia="ja-JP"/>
              </w:rPr>
            </w:pPr>
            <w:r w:rsidRPr="00BC01B7">
              <w:rPr>
                <w:rFonts w:cs="Traditional Arabic"/>
                <w:bCs/>
                <w:noProof w:val="0"/>
                <w:szCs w:val="20"/>
                <w:lang w:eastAsia="ja-JP"/>
              </w:rPr>
              <w:t xml:space="preserve">former S2 </w:t>
            </w:r>
            <w:r w:rsidRPr="00BC01B7">
              <w:rPr>
                <w:rFonts w:cs="Traditional Arabic"/>
                <w:b/>
                <w:bCs/>
                <w:noProof w:val="0"/>
                <w:szCs w:val="20"/>
                <w:lang w:eastAsia="ja-JP"/>
              </w:rPr>
              <w:t>(synergy 2)</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برامج بناء القدرات: تطوير وتقديم المساعدة بناءً على الاحتياجات ال</w:t>
            </w:r>
            <w:r>
              <w:rPr>
                <w:rFonts w:cs="Traditional Arabic" w:hint="cs"/>
                <w:noProof w:val="0"/>
                <w:sz w:val="28"/>
                <w:rtl/>
                <w:lang w:eastAsia="ja-JP"/>
              </w:rPr>
              <w:t>إ</w:t>
            </w:r>
            <w:r>
              <w:rPr>
                <w:rFonts w:cs="Traditional Arabic"/>
                <w:noProof w:val="0"/>
                <w:sz w:val="28"/>
                <w:rtl/>
                <w:lang w:eastAsia="ja-JP"/>
              </w:rPr>
              <w:t>قليمية والوطنية وطبقاً للخطة الاستراتيجية للمساعدة التقنية</w:t>
            </w:r>
          </w:p>
        </w:tc>
      </w:tr>
      <w:tr w:rsidR="00352E22" w:rsidRPr="00373C0D"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tcPr>
          <w:p w:rsidR="00352E22" w:rsidRPr="00BC01B7" w:rsidRDefault="00352E22" w:rsidP="0042729D">
            <w:pPr>
              <w:spacing w:line="192" w:lineRule="auto"/>
              <w:rPr>
                <w:rFonts w:cs="Traditional Arabic"/>
                <w:b/>
                <w:bCs/>
                <w:noProof w:val="0"/>
                <w:sz w:val="28"/>
                <w:lang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val="pt-BR" w:eastAsia="ja-JP"/>
              </w:rPr>
            </w:pPr>
            <w:r w:rsidRPr="00BC01B7">
              <w:rPr>
                <w:rFonts w:cs="Traditional Arabic"/>
                <w:bCs/>
                <w:noProof w:val="0"/>
                <w:szCs w:val="20"/>
                <w:lang w:val="pt-BR" w:eastAsia="ja-JP"/>
              </w:rPr>
              <w:t>former S3, S7N, S18N</w:t>
            </w:r>
            <w:r w:rsidRPr="00BC01B7">
              <w:rPr>
                <w:rFonts w:cs="Traditional Arabic"/>
                <w:b/>
                <w:bCs/>
                <w:noProof w:val="0"/>
                <w:szCs w:val="20"/>
                <w:lang w:val="pt-BR" w:eastAsia="ja-JP"/>
              </w:rPr>
              <w:t xml:space="preserve"> (synergy 3)</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rtl/>
                <w:lang w:eastAsia="ja-JP"/>
              </w:rPr>
            </w:pPr>
            <w:r>
              <w:rPr>
                <w:rFonts w:cs="Traditional Arabic"/>
                <w:noProof w:val="0"/>
                <w:sz w:val="28"/>
                <w:rtl/>
                <w:lang w:eastAsia="ja-JP"/>
              </w:rPr>
              <w:t>الاضطلاع بمشاريع تآزرية لبناء القدرات من أجل وضع أطر مؤسسية وطنية لتنفيذ الاتفاقية وتقديم المساعدة التقنية عن طريق المراكز الإقليمية، والتعاون والتنسيق مع المكاتب الإقليمية الفرعية لمنظمة الأغذية والزراعة وبرنامج الأمم المتحدة الإنمائي</w:t>
            </w:r>
          </w:p>
        </w:tc>
      </w:tr>
      <w:tr w:rsidR="00352E22" w:rsidRPr="00062D3F"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tcPr>
          <w:p w:rsidR="00352E22" w:rsidRPr="00373C0D" w:rsidRDefault="00352E22" w:rsidP="0042729D">
            <w:pPr>
              <w:spacing w:line="192" w:lineRule="auto"/>
              <w:rPr>
                <w:rFonts w:cs="Traditional Arabic"/>
                <w:b/>
                <w:bCs/>
                <w:noProof w:val="0"/>
                <w:sz w:val="28"/>
                <w:lang w:val="pt-BR"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Cs/>
                <w:noProof w:val="0"/>
                <w:szCs w:val="20"/>
                <w:lang w:eastAsia="ja-JP"/>
              </w:rPr>
              <w:t xml:space="preserve">former S5N </w:t>
            </w:r>
            <w:r w:rsidRPr="00BC01B7">
              <w:rPr>
                <w:rFonts w:cs="Traditional Arabic"/>
                <w:b/>
                <w:bCs/>
                <w:noProof w:val="0"/>
                <w:szCs w:val="20"/>
                <w:lang w:eastAsia="ja-JP"/>
              </w:rPr>
              <w:t>(synergy 6)</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rtl/>
                <w:lang w:eastAsia="ja-JP"/>
              </w:rPr>
            </w:pPr>
            <w:r>
              <w:rPr>
                <w:rFonts w:cs="Traditional Arabic"/>
                <w:noProof w:val="0"/>
                <w:sz w:val="28"/>
                <w:rtl/>
                <w:lang w:eastAsia="ja-JP"/>
              </w:rPr>
              <w:t>دعم العمل والتنسيق بين الهيئات العلمية بموجب الاتفاقيات وتحديد المسائل والعلاقات المشتركة بين الاتفاقيات</w:t>
            </w:r>
          </w:p>
        </w:tc>
      </w:tr>
      <w:tr w:rsidR="00352E22" w:rsidRPr="00062D3F"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r>
              <w:rPr>
                <w:rFonts w:cs="Traditional Arabic"/>
                <w:b/>
                <w:bCs/>
                <w:noProof w:val="0"/>
                <w:sz w:val="28"/>
                <w:rtl/>
                <w:lang w:eastAsia="ja-JP"/>
              </w:rPr>
              <w:t>مجموعة أدوات الموارد</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former S1</w:t>
            </w:r>
            <w:r w:rsidRPr="00BC01B7">
              <w:rPr>
                <w:rFonts w:cs="Traditional Arabic"/>
                <w:noProof w:val="0"/>
                <w:szCs w:val="20"/>
                <w:lang w:eastAsia="ja-JP"/>
              </w:rPr>
              <w:t xml:space="preserve"> (synergy 1)</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استحداث مجموعة أدوات وأدوات تدريب إلكترونية ورفع كفاءة الأدوات القائمة</w:t>
            </w:r>
          </w:p>
        </w:tc>
      </w:tr>
      <w:tr w:rsidR="00352E22" w:rsidRPr="00062D3F" w:rsidTr="0042729D">
        <w:trPr>
          <w:cantSplit/>
          <w:trHeight w:val="1070"/>
          <w:jc w:val="right"/>
        </w:trPr>
        <w:tc>
          <w:tcPr>
            <w:tcW w:w="2093"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r>
              <w:rPr>
                <w:rFonts w:cs="Traditional Arabic"/>
                <w:b/>
                <w:bCs/>
                <w:noProof w:val="0"/>
                <w:sz w:val="28"/>
                <w:rtl/>
                <w:lang w:eastAsia="ja-JP"/>
              </w:rPr>
              <w:t>تدعيم قدرة إدارة المواد الكيميائية الصناعية</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 xml:space="preserve">16 </w:t>
            </w:r>
            <w:r w:rsidRPr="00BC01B7">
              <w:rPr>
                <w:rFonts w:cs="Traditional Arabic"/>
                <w:noProof w:val="0"/>
                <w:szCs w:val="20"/>
                <w:lang w:eastAsia="ja-JP"/>
              </w:rPr>
              <w:t>(24P)</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مواصلة وضع برنامج للمواد الكيميائية الصناعية بالتعاون مع البرنامج المشترك بين المنظمات للإدارة السليمة للمواد الكيميائية والشركاء ذوي الصلة</w:t>
            </w:r>
          </w:p>
        </w:tc>
      </w:tr>
      <w:tr w:rsidR="00352E22" w:rsidRPr="00062D3F" w:rsidTr="0042729D">
        <w:trPr>
          <w:cantSplit/>
          <w:trHeight w:val="1070"/>
          <w:jc w:val="right"/>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r>
              <w:rPr>
                <w:rFonts w:cs="Traditional Arabic"/>
                <w:b/>
                <w:bCs/>
                <w:noProof w:val="0"/>
                <w:sz w:val="28"/>
                <w:rtl/>
                <w:lang w:eastAsia="ja-JP"/>
              </w:rPr>
              <w:t>بناء قدرة الأطراف على الوصول إلى مكونات الآلية المشتركة لتبادل المعلومات التابعة لاتفاقية روتردام واستخدام هذه المكونات</w:t>
            </w: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21 (33)</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تقديم الدعم للأطراف لتنفيذ إجراء الموافقة المسبقة عن علم وأحكام تبادل المعلومات في الاتفاقية عن طريق استعراض المعلومات المقدمة والاتصال فيما يتعلق بالترشيحات والتغييرات في السلطات الوطنية المسماة وجهات الاتصال الرسمية، والإخطارات بالإجراءات التنظيمية النهائية، وتركيبات مبيدات الآفات الشديدة الخطورة، والردود الخاصة بالاستيراد</w:t>
            </w:r>
          </w:p>
        </w:tc>
      </w:tr>
      <w:tr w:rsidR="00352E22" w:rsidRPr="00062D3F" w:rsidTr="0042729D">
        <w:trPr>
          <w:cantSplit/>
          <w:trHeight w:val="1070"/>
          <w:jc w:val="right"/>
        </w:trPr>
        <w:tc>
          <w:tcPr>
            <w:tcW w:w="2093" w:type="dxa"/>
            <w:vMerge/>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rPr>
                <w:rFonts w:cs="Traditional Arabic"/>
                <w:b/>
                <w:bCs/>
                <w:noProof w:val="0"/>
                <w:sz w:val="28"/>
                <w:lang w:eastAsia="ja-JP"/>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352E22" w:rsidRPr="00BC01B7" w:rsidRDefault="00352E22" w:rsidP="0042729D">
            <w:pPr>
              <w:spacing w:line="192" w:lineRule="auto"/>
              <w:jc w:val="center"/>
              <w:rPr>
                <w:rFonts w:cs="Traditional Arabic"/>
                <w:b/>
                <w:bCs/>
                <w:noProof w:val="0"/>
                <w:szCs w:val="20"/>
                <w:lang w:eastAsia="ja-JP"/>
              </w:rPr>
            </w:pPr>
            <w:r w:rsidRPr="00BC01B7">
              <w:rPr>
                <w:rFonts w:cs="Traditional Arabic"/>
                <w:b/>
                <w:bCs/>
                <w:noProof w:val="0"/>
                <w:szCs w:val="20"/>
                <w:lang w:eastAsia="ja-JP"/>
              </w:rPr>
              <w:t>former S10N (new), S11, S12 (synergy 10)</w:t>
            </w:r>
          </w:p>
        </w:tc>
        <w:tc>
          <w:tcPr>
            <w:tcW w:w="5176" w:type="dxa"/>
            <w:tcBorders>
              <w:top w:val="single" w:sz="4" w:space="0" w:color="auto"/>
              <w:left w:val="single" w:sz="4" w:space="0" w:color="auto"/>
              <w:bottom w:val="single" w:sz="4" w:space="0" w:color="auto"/>
              <w:right w:val="single" w:sz="4" w:space="0" w:color="auto"/>
            </w:tcBorders>
            <w:vAlign w:val="center"/>
          </w:tcPr>
          <w:p w:rsidR="00352E22" w:rsidRPr="00BC01B7" w:rsidRDefault="00352E22" w:rsidP="0042729D">
            <w:pPr>
              <w:spacing w:line="192" w:lineRule="auto"/>
              <w:jc w:val="lowKashida"/>
              <w:rPr>
                <w:rFonts w:cs="Traditional Arabic"/>
                <w:noProof w:val="0"/>
                <w:sz w:val="28"/>
                <w:lang w:eastAsia="ja-JP"/>
              </w:rPr>
            </w:pPr>
            <w:r>
              <w:rPr>
                <w:rFonts w:cs="Traditional Arabic"/>
                <w:noProof w:val="0"/>
                <w:sz w:val="28"/>
                <w:rtl/>
                <w:lang w:eastAsia="ja-JP"/>
              </w:rPr>
              <w:t>الآلية المشتركة لتبادل المعلومات</w:t>
            </w:r>
          </w:p>
        </w:tc>
      </w:tr>
    </w:tbl>
    <w:p w:rsidR="000B18ED" w:rsidRDefault="000B18ED" w:rsidP="00352E22"/>
    <w:sectPr w:rsidR="000B18ED"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52E22"/>
    <w:rsid w:val="000B18ED"/>
    <w:rsid w:val="00352E22"/>
    <w:rsid w:val="00F31C8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22"/>
    <w:pPr>
      <w:bidi/>
      <w:spacing w:after="0" w:line="240" w:lineRule="auto"/>
    </w:pPr>
    <w:rPr>
      <w:rFonts w:ascii="Times" w:eastAsia="Times New Roman"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2014-10-16T15:01:00Z</dcterms:created>
  <dcterms:modified xsi:type="dcterms:W3CDTF">2014-10-16T15:01:00Z</dcterms:modified>
</cp:coreProperties>
</file>