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69" w:rsidRPr="00BB0469" w:rsidRDefault="00BB0469" w:rsidP="00BB0469">
      <w:pPr>
        <w:tabs>
          <w:tab w:val="left" w:pos="1842"/>
          <w:tab w:val="left" w:pos="2409"/>
          <w:tab w:val="left" w:pos="2976"/>
        </w:tabs>
        <w:spacing w:after="120" w:line="400" w:lineRule="exact"/>
        <w:ind w:left="1134"/>
        <w:rPr>
          <w:rFonts w:ascii="Traditional Arabic" w:hAnsi="Traditional Arabic" w:cs="Traditional Arabic"/>
          <w:b/>
          <w:bCs/>
          <w:noProof w:val="0"/>
          <w:w w:val="97"/>
          <w:sz w:val="32"/>
          <w:szCs w:val="32"/>
          <w:rtl/>
        </w:rPr>
      </w:pPr>
      <w:r w:rsidRPr="00BB0469">
        <w:rPr>
          <w:rFonts w:ascii="Traditional Arabic" w:hAnsi="Traditional Arabic" w:cs="Traditional Arabic"/>
          <w:b/>
          <w:bCs/>
          <w:noProof w:val="0"/>
          <w:w w:val="97"/>
          <w:sz w:val="32"/>
          <w:szCs w:val="32"/>
          <w:rtl/>
        </w:rPr>
        <w:t>المقرر ا ر- 7/7: المساعدة التقنية</w:t>
      </w:r>
    </w:p>
    <w:p w:rsidR="00BB0469" w:rsidRPr="00BB0469" w:rsidRDefault="00BB0469" w:rsidP="00BB0469">
      <w:pPr>
        <w:spacing w:after="120" w:line="400" w:lineRule="exact"/>
        <w:ind w:left="1700"/>
        <w:jc w:val="both"/>
        <w:rPr>
          <w:rFonts w:ascii="Traditional Arabic" w:hAnsi="Traditional Arabic" w:cs="Traditional Arabic"/>
          <w:b/>
          <w:i/>
          <w:iCs/>
          <w:noProof w:val="0"/>
          <w:sz w:val="30"/>
          <w:szCs w:val="30"/>
          <w:rtl/>
        </w:rPr>
      </w:pPr>
      <w:r w:rsidRPr="00BB0469">
        <w:rPr>
          <w:rFonts w:ascii="Traditional Arabic" w:hAnsi="Traditional Arabic" w:cs="Traditional Arabic"/>
          <w:b/>
          <w:i/>
          <w:iCs/>
          <w:noProof w:val="0"/>
          <w:szCs w:val="30"/>
          <w:rtl/>
        </w:rPr>
        <w:t>إن مؤتمر الأطراف،</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1 -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يحيط علماً</w:t>
      </w:r>
      <w:r w:rsidRPr="00BB0469">
        <w:rPr>
          <w:rFonts w:ascii="Traditional Arabic" w:eastAsia="SimSun" w:hAnsi="Traditional Arabic" w:cs="Traditional Arabic"/>
          <w:bCs w:val="0"/>
          <w:sz w:val="30"/>
          <w:szCs w:val="30"/>
          <w:rtl/>
          <w:lang w:eastAsia="ar-SA"/>
        </w:rPr>
        <w:t xml:space="preserve"> بالمعلومات التي قدمتها الأمانة بشأن المساعدة التقنية وبناء القدرات لتنفيذ الاتفاقية؛</w:t>
      </w:r>
      <w:r w:rsidRPr="00BB0469">
        <w:rPr>
          <w:rFonts w:ascii="Traditional Arabic" w:eastAsia="SimSun" w:hAnsi="Traditional Arabic" w:cs="Traditional Arabic"/>
          <w:bCs w:val="0"/>
          <w:sz w:val="30"/>
          <w:szCs w:val="30"/>
          <w:vertAlign w:val="superscript"/>
          <w:rtl/>
          <w:lang w:eastAsia="ar-SA"/>
        </w:rPr>
        <w:t>(</w:t>
      </w:r>
      <w:r w:rsidRPr="00BB0469">
        <w:rPr>
          <w:rFonts w:ascii="Traditional Arabic" w:eastAsia="SimSun" w:hAnsi="Traditional Arabic" w:cs="Traditional Arabic"/>
          <w:bCs w:val="0"/>
          <w:sz w:val="30"/>
          <w:szCs w:val="30"/>
          <w:vertAlign w:val="superscript"/>
          <w:rtl/>
          <w:lang w:eastAsia="ar-SA"/>
        </w:rPr>
        <w:footnoteReference w:id="1"/>
      </w:r>
      <w:r w:rsidRPr="00BB0469">
        <w:rPr>
          <w:rFonts w:ascii="Traditional Arabic" w:eastAsia="SimSun" w:hAnsi="Traditional Arabic" w:cs="Traditional Arabic"/>
          <w:bCs w:val="0"/>
          <w:sz w:val="30"/>
          <w:szCs w:val="30"/>
          <w:vertAlign w:val="superscript"/>
          <w:rtl/>
          <w:lang w:eastAsia="ar-SA"/>
        </w:rPr>
        <w:t>)</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2 -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يرحب</w:t>
      </w:r>
      <w:r w:rsidRPr="00BB0469">
        <w:rPr>
          <w:rFonts w:ascii="Traditional Arabic" w:eastAsia="SimSun" w:hAnsi="Traditional Arabic" w:cs="Traditional Arabic"/>
          <w:bCs w:val="0"/>
          <w:sz w:val="30"/>
          <w:szCs w:val="30"/>
          <w:rtl/>
          <w:lang w:eastAsia="ar-SA"/>
        </w:rPr>
        <w:t xml:space="preserve"> بوضع قاعدة بيانات لجمع المعلومات المتعلقة باحتياجات الأطراف من أجل تنفيذ الاتفاقية، وكذلك المعلومات عن المساعدة المتاحة؛</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3 -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يدعو</w:t>
      </w:r>
      <w:r w:rsidRPr="00BB0469">
        <w:rPr>
          <w:rFonts w:ascii="Traditional Arabic" w:eastAsia="SimSun" w:hAnsi="Traditional Arabic" w:cs="Traditional Arabic"/>
          <w:bCs w:val="0"/>
          <w:sz w:val="30"/>
          <w:szCs w:val="30"/>
          <w:rtl/>
          <w:lang w:eastAsia="ar-SA"/>
        </w:rPr>
        <w:t xml:space="preserve"> الأطراف من البلدان النامية والبلدان التي تمر اقتصاداتها بمرحلة انتقال لتوفير معلومات إلى الأمانة بشأن احتياجاتها في مجال المساعدة التقنية، وفقاً لأحكام الاتفاقية، والصعوبات التي تواجهها في تنفيذ الاتفاقية، وأي آراء أخرى في هذا الشأن؛</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4 -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يدعو</w:t>
      </w:r>
      <w:r w:rsidRPr="00BB0469">
        <w:rPr>
          <w:rFonts w:ascii="Traditional Arabic" w:eastAsia="SimSun" w:hAnsi="Traditional Arabic" w:cs="Traditional Arabic"/>
          <w:bCs w:val="0"/>
          <w:sz w:val="30"/>
          <w:szCs w:val="30"/>
          <w:rtl/>
          <w:lang w:eastAsia="ar-SA"/>
        </w:rPr>
        <w:t xml:space="preserve"> الأطراف من البلدان المتقدمة وغيرها من الجهات القادرة إلى الاستمرار في توفير معلومات إلى الأمانة، وفقاً لأحكام الاتفاقية، عن المساعدة التقنية إلى الأطراف من البلدان النامية والبلدان التي تمر اقتصاداتها بمرحلة انتقال؛</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5 -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يطلب</w:t>
      </w:r>
      <w:r w:rsidRPr="00BB0469">
        <w:rPr>
          <w:rFonts w:ascii="Traditional Arabic" w:eastAsia="SimSun" w:hAnsi="Traditional Arabic" w:cs="Traditional Arabic"/>
          <w:bCs w:val="0"/>
          <w:sz w:val="30"/>
          <w:szCs w:val="30"/>
          <w:rtl/>
          <w:lang w:eastAsia="ar-SA"/>
        </w:rPr>
        <w:t xml:space="preserve"> إلى الأمانة أن تواصل جمع المعلومات عملاً بالفقرتين 3 و4 أعلاه، عن طريق استبيانات إلكترونية مصممة خصيصاً، تستخدم قاعدة البيانات بصورة كاملة لجمع احتياجات الأطراف لتنفيذ التزاماتها بموجب الاتفاقية؛ ويطلب أيضاً إلى الأمانة أن تحلل هذه المعلومات وأن تحدد الثغرات والعقبات أمام المساعدة التقنية، وأن تتقدم بتوصيات وتتخذ إجراءات لحل تلك المشاكل؛</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6 -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يرحب</w:t>
      </w:r>
      <w:r w:rsidRPr="00BB0469">
        <w:rPr>
          <w:rFonts w:ascii="Traditional Arabic" w:eastAsia="SimSun" w:hAnsi="Traditional Arabic" w:cs="Traditional Arabic"/>
          <w:bCs w:val="0"/>
          <w:sz w:val="30"/>
          <w:szCs w:val="30"/>
          <w:rtl/>
          <w:lang w:eastAsia="ar-SA"/>
        </w:rPr>
        <w:t xml:space="preserve"> ببرنامج المساعدة التقنية</w:t>
      </w:r>
      <w:r w:rsidRPr="00BB0469">
        <w:rPr>
          <w:rFonts w:ascii="Traditional Arabic" w:eastAsia="SimSun" w:hAnsi="Traditional Arabic" w:cs="Traditional Arabic"/>
          <w:bCs w:val="0"/>
          <w:sz w:val="30"/>
          <w:szCs w:val="30"/>
          <w:vertAlign w:val="superscript"/>
          <w:rtl/>
          <w:lang w:eastAsia="ar-SA"/>
        </w:rPr>
        <w:t>(</w:t>
      </w:r>
      <w:r w:rsidRPr="00BB0469">
        <w:rPr>
          <w:rFonts w:ascii="Traditional Arabic" w:eastAsia="SimSun" w:hAnsi="Traditional Arabic" w:cs="Traditional Arabic"/>
          <w:bCs w:val="0"/>
          <w:sz w:val="30"/>
          <w:szCs w:val="30"/>
          <w:vertAlign w:val="superscript"/>
          <w:rtl/>
          <w:lang w:eastAsia="ar-SA"/>
        </w:rPr>
        <w:footnoteReference w:id="2"/>
      </w:r>
      <w:r w:rsidRPr="00BB0469">
        <w:rPr>
          <w:rFonts w:ascii="Traditional Arabic" w:eastAsia="SimSun" w:hAnsi="Traditional Arabic" w:cs="Traditional Arabic"/>
          <w:bCs w:val="0"/>
          <w:sz w:val="30"/>
          <w:szCs w:val="30"/>
          <w:vertAlign w:val="superscript"/>
          <w:rtl/>
          <w:lang w:eastAsia="ar-SA"/>
        </w:rPr>
        <w:t>)</w:t>
      </w:r>
      <w:r w:rsidRPr="00BB0469">
        <w:rPr>
          <w:rFonts w:ascii="Traditional Arabic" w:eastAsia="SimSun" w:hAnsi="Traditional Arabic" w:cs="Traditional Arabic"/>
          <w:bCs w:val="0"/>
          <w:sz w:val="30"/>
          <w:szCs w:val="30"/>
          <w:rtl/>
          <w:lang w:eastAsia="ar-SA"/>
        </w:rPr>
        <w:t xml:space="preserve"> ويطلب إلى الأمانة، رهناً بتوافر الموارد، أن تنفذها بالتعاون مع الجهات الفاعلة ذات الصلة، أن تضع في اعتبارها العناصر الواردة فيه عند القيام بعملها لتيسير تنفيذ المساعدة التقنية وبناء القدرات لتنفيذ اتفاقيات بازل وروتردام واستكهولم، ويحث الأطراف والجهات الأخرى القادرة على توفير التمويل والموارد الأخرى لدعم تنفيذ الأنشطة الواردة في برنامج المساعدة التقنية؛</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7 -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 xml:space="preserve">يطلب </w:t>
      </w:r>
      <w:r w:rsidRPr="00BB0469">
        <w:rPr>
          <w:rFonts w:ascii="Traditional Arabic" w:eastAsia="SimSun" w:hAnsi="Traditional Arabic" w:cs="Traditional Arabic"/>
          <w:bCs w:val="0"/>
          <w:sz w:val="30"/>
          <w:szCs w:val="30"/>
          <w:rtl/>
          <w:lang w:eastAsia="ar-SA"/>
        </w:rPr>
        <w:t>إلى الأمانة، عند تنفيذ برنامج المساعدة التقنية المشار إليه في الفقرة 6 أعلاه، أن تضع في اعتبارها الاحتياجات الخاصة من المساعدة التقنية التي أوضحتها البلدان النامية الأطراف والأطراف من البلدان التي تمر اقتصاداتها بمرحلة انتقال، كنتيجة لإدراج مواد كيميائية جديدة في المرفق الثالث بالاتفاقية؛</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8 -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يأذن</w:t>
      </w:r>
      <w:r w:rsidRPr="00BB0469">
        <w:rPr>
          <w:rFonts w:ascii="Traditional Arabic" w:eastAsia="SimSun" w:hAnsi="Traditional Arabic" w:cs="Traditional Arabic"/>
          <w:bCs w:val="0"/>
          <w:sz w:val="30"/>
          <w:szCs w:val="30"/>
          <w:rtl/>
          <w:lang w:eastAsia="ar-SA"/>
        </w:rPr>
        <w:t xml:space="preserve"> للأمانة باستقدام مراجعين ماليين مستقلين لمراجعة مشاريع بناء القدرات والمساعدة التقنية والأنشطة ذات الصلة الأخرى التي نفذت على الصعيدين الإقليمي و/أو الوطني في تنفيذ الاتفاقية، رهناً بتوفر الموارد، وذلك في الحالات التي تبدو فيها عمليات المراجعة ضرورية؛</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lastRenderedPageBreak/>
        <w:t>9 -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يؤكد</w:t>
      </w:r>
      <w:r w:rsidRPr="00BB0469">
        <w:rPr>
          <w:rFonts w:ascii="Traditional Arabic" w:eastAsia="SimSun" w:hAnsi="Traditional Arabic" w:cs="Traditional Arabic"/>
          <w:bCs w:val="0"/>
          <w:sz w:val="30"/>
          <w:szCs w:val="30"/>
          <w:rtl/>
          <w:lang w:eastAsia="ar-SA"/>
        </w:rPr>
        <w:t xml:space="preserve"> الدور الرئيسي للمراكز الإقليمية على النحو المنصوص عليه في اتفاقية بازل بشأن التحكم في نقل النفايات الخطرة والتخلص منها عبر الحدود، واتفاقية استكهولم بشأن الملوثات العضوية الثابتة، وكذلك المكاتب الإقليمية ودون الإقليمية لمنظمة الأمم المتحدة للأغذية والزراعة، في تنفيذ المساعدة التقنية عند الطلب على الصعيد الإقليمي فيما يتعلق بتنفيذ برنامج المساعدة التقنية وتيسير نقل التكنولوجيا للأطراف المستحقة؛</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10 -</w:t>
      </w:r>
      <w:r w:rsidRPr="00BB0469">
        <w:rPr>
          <w:rFonts w:ascii="Traditional Arabic" w:eastAsia="SimSun" w:hAnsi="Traditional Arabic" w:cs="Traditional Arabic"/>
          <w:bCs w:val="0"/>
          <w:sz w:val="30"/>
          <w:szCs w:val="30"/>
          <w:rtl/>
          <w:lang w:eastAsia="ar-SA"/>
        </w:rPr>
        <w:tab/>
      </w:r>
      <w:r w:rsidRPr="00BB0469">
        <w:rPr>
          <w:rFonts w:ascii="Traditional Arabic" w:eastAsia="SimSun" w:hAnsi="Traditional Arabic" w:cs="Traditional Arabic"/>
          <w:bCs w:val="0"/>
          <w:i/>
          <w:iCs/>
          <w:sz w:val="30"/>
          <w:szCs w:val="30"/>
          <w:rtl/>
          <w:lang w:eastAsia="ar-SA"/>
        </w:rPr>
        <w:t>يطلب</w:t>
      </w:r>
      <w:r w:rsidRPr="00BB0469">
        <w:rPr>
          <w:rFonts w:ascii="Traditional Arabic" w:eastAsia="SimSun" w:hAnsi="Traditional Arabic" w:cs="Traditional Arabic"/>
          <w:bCs w:val="0"/>
          <w:sz w:val="30"/>
          <w:szCs w:val="30"/>
          <w:rtl/>
          <w:lang w:eastAsia="ar-SA"/>
        </w:rPr>
        <w:t xml:space="preserve"> إلى الأمانة:</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(أ)</w:t>
      </w:r>
      <w:r w:rsidRPr="00BB0469">
        <w:rPr>
          <w:rFonts w:ascii="Traditional Arabic" w:eastAsia="SimSun" w:hAnsi="Traditional Arabic" w:cs="Traditional Arabic"/>
          <w:bCs w:val="0"/>
          <w:sz w:val="30"/>
          <w:szCs w:val="30"/>
          <w:rtl/>
          <w:lang w:eastAsia="ar-SA"/>
        </w:rPr>
        <w:tab/>
        <w:t>أن تقدم تقريراً إلى مؤتمر الأطراف في اجتماعه القادم بشأن التقدم المحرز في توفير المساعدة التقنية وبناء القدرات للأطراف، آخذة في الاعتبار المعلومات التي تم تجميعها عملاً بالفقرتين 3 و4 أعلاه؛</w:t>
      </w:r>
    </w:p>
    <w:p w:rsidR="00BB0469" w:rsidRPr="00BB0469" w:rsidRDefault="00BB0469" w:rsidP="00BB0469">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eastAsia="SimSun" w:hAnsi="Traditional Arabic" w:cs="Traditional Arabic"/>
          <w:bCs w:val="0"/>
          <w:sz w:val="30"/>
          <w:szCs w:val="30"/>
          <w:rtl/>
          <w:lang w:eastAsia="ar-SA"/>
        </w:rPr>
      </w:pPr>
      <w:r w:rsidRPr="00BB0469">
        <w:rPr>
          <w:rFonts w:ascii="Traditional Arabic" w:eastAsia="SimSun" w:hAnsi="Traditional Arabic" w:cs="Traditional Arabic"/>
          <w:bCs w:val="0"/>
          <w:sz w:val="30"/>
          <w:szCs w:val="30"/>
          <w:rtl/>
          <w:lang w:eastAsia="ar-SA"/>
        </w:rPr>
        <w:t>(ب)</w:t>
      </w:r>
      <w:r w:rsidRPr="00BB0469">
        <w:rPr>
          <w:rFonts w:ascii="Traditional Arabic" w:eastAsia="SimSun" w:hAnsi="Traditional Arabic" w:cs="Traditional Arabic"/>
          <w:bCs w:val="0"/>
          <w:sz w:val="30"/>
          <w:szCs w:val="30"/>
          <w:rtl/>
          <w:lang w:eastAsia="ar-SA"/>
        </w:rPr>
        <w:tab/>
        <w:t>أن تعد برنامجاً للمساعدة التقنية لفترة السنتين 2018-2019 بناءً على المعلومات المجمعة عملاً بالفقرتين 3 و4 أعلاه، آخذة في الاعتبار عملية التآزر، وكذلك تقييم برنامج المساعدة التقنية.</w:t>
      </w:r>
    </w:p>
    <w:p w:rsidR="000B18ED" w:rsidRPr="00BB0469" w:rsidRDefault="000B18ED" w:rsidP="00BB0469">
      <w:pPr>
        <w:rPr>
          <w:rFonts w:ascii="Traditional Arabic" w:hAnsi="Traditional Arabic" w:cs="Traditional Arabic"/>
          <w:b/>
          <w:lang w:val="en-GB"/>
        </w:rPr>
      </w:pPr>
    </w:p>
    <w:sectPr w:rsidR="000B18ED" w:rsidRPr="00BB0469"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38" w:rsidRDefault="00262838" w:rsidP="00BB0469">
      <w:r>
        <w:separator/>
      </w:r>
    </w:p>
  </w:endnote>
  <w:endnote w:type="continuationSeparator" w:id="0">
    <w:p w:rsidR="00262838" w:rsidRDefault="00262838" w:rsidP="00BB0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38" w:rsidRDefault="00262838" w:rsidP="00BB0469">
      <w:r>
        <w:separator/>
      </w:r>
    </w:p>
  </w:footnote>
  <w:footnote w:type="continuationSeparator" w:id="0">
    <w:p w:rsidR="00262838" w:rsidRDefault="00262838" w:rsidP="00BB0469">
      <w:r>
        <w:continuationSeparator/>
      </w:r>
    </w:p>
  </w:footnote>
  <w:footnote w:id="1">
    <w:p w:rsidR="00BB0469" w:rsidRPr="00B85BB7" w:rsidRDefault="00BB0469" w:rsidP="00BB0469">
      <w:pPr>
        <w:pStyle w:val="FootnoteText"/>
        <w:spacing w:after="40" w:line="300" w:lineRule="exact"/>
        <w:ind w:left="1134"/>
        <w:jc w:val="both"/>
        <w:rPr>
          <w:rFonts w:cs="Traditional Arabic" w:hint="cs"/>
          <w:sz w:val="18"/>
          <w:szCs w:val="26"/>
          <w:rtl/>
        </w:rPr>
      </w:pPr>
      <w:r w:rsidRPr="00B85BB7">
        <w:rPr>
          <w:rFonts w:cs="Traditional Arabic" w:hint="cs"/>
          <w:sz w:val="18"/>
          <w:szCs w:val="26"/>
          <w:rtl/>
          <w:lang w:val="en-GB"/>
        </w:rPr>
        <w:t>(</w:t>
      </w:r>
      <w:r w:rsidRPr="00B85BB7">
        <w:rPr>
          <w:rStyle w:val="FootnoteReference"/>
          <w:rFonts w:cs="Traditional Arabic"/>
          <w:sz w:val="18"/>
          <w:szCs w:val="26"/>
          <w:rtl/>
          <w:lang w:val="en-GB"/>
        </w:rPr>
        <w:footnoteRef/>
      </w:r>
      <w:r w:rsidRPr="00B85BB7">
        <w:rPr>
          <w:rFonts w:cs="Traditional Arabic" w:hint="cs"/>
          <w:sz w:val="18"/>
          <w:szCs w:val="26"/>
          <w:rtl/>
          <w:lang w:val="en-GB"/>
        </w:rPr>
        <w:t xml:space="preserve">)  انظر </w:t>
      </w:r>
      <w:r w:rsidRPr="00B85BB7">
        <w:rPr>
          <w:rFonts w:cs="Traditional Arabic"/>
          <w:sz w:val="18"/>
          <w:szCs w:val="26"/>
        </w:rPr>
        <w:t>UNEP/CHW.12/13-UNEP/FAO/RC/COP.7/13-UNEP/POPS/COP.7/13</w:t>
      </w:r>
      <w:r w:rsidRPr="00B85BB7">
        <w:rPr>
          <w:rFonts w:cs="Traditional Arabic" w:hint="cs"/>
          <w:sz w:val="18"/>
          <w:szCs w:val="26"/>
          <w:rtl/>
        </w:rPr>
        <w:t>.</w:t>
      </w:r>
    </w:p>
  </w:footnote>
  <w:footnote w:id="2">
    <w:p w:rsidR="00BB0469" w:rsidRPr="00B85BB7" w:rsidRDefault="00BB0469" w:rsidP="00BB0469">
      <w:pPr>
        <w:pStyle w:val="FootnoteText"/>
        <w:spacing w:line="300" w:lineRule="exact"/>
        <w:ind w:left="1134"/>
        <w:jc w:val="both"/>
        <w:rPr>
          <w:rFonts w:cs="Traditional Arabic" w:hint="cs"/>
          <w:sz w:val="18"/>
          <w:szCs w:val="26"/>
          <w:rtl/>
        </w:rPr>
      </w:pPr>
      <w:r w:rsidRPr="00B85BB7">
        <w:rPr>
          <w:rFonts w:cs="Traditional Arabic" w:hint="cs"/>
          <w:sz w:val="18"/>
          <w:szCs w:val="26"/>
          <w:rtl/>
          <w:lang w:val="en-GB"/>
        </w:rPr>
        <w:t>(</w:t>
      </w:r>
      <w:r w:rsidRPr="00B85BB7">
        <w:rPr>
          <w:rStyle w:val="FootnoteReference"/>
          <w:rFonts w:cs="Traditional Arabic"/>
          <w:sz w:val="18"/>
          <w:szCs w:val="26"/>
          <w:rtl/>
          <w:lang w:val="en-GB"/>
        </w:rPr>
        <w:footnoteRef/>
      </w:r>
      <w:r w:rsidRPr="00B85BB7">
        <w:rPr>
          <w:rFonts w:cs="Traditional Arabic" w:hint="cs"/>
          <w:sz w:val="18"/>
          <w:szCs w:val="26"/>
          <w:rtl/>
          <w:lang w:val="en-GB"/>
        </w:rPr>
        <w:t>)</w:t>
      </w:r>
      <w:r w:rsidRPr="00B85BB7">
        <w:rPr>
          <w:rFonts w:cs="Traditional Arabic"/>
          <w:sz w:val="18"/>
          <w:szCs w:val="26"/>
          <w:rtl/>
          <w:lang w:val="en-GB"/>
        </w:rPr>
        <w:t xml:space="preserve">  </w:t>
      </w:r>
      <w:r w:rsidRPr="00B85BB7">
        <w:rPr>
          <w:rFonts w:cs="Traditional Arabic" w:hint="cs"/>
          <w:sz w:val="18"/>
          <w:szCs w:val="26"/>
          <w:rtl/>
        </w:rPr>
        <w:t xml:space="preserve">انظر </w:t>
      </w:r>
      <w:r w:rsidRPr="00B85BB7">
        <w:rPr>
          <w:rFonts w:cs="Traditional Arabic"/>
          <w:color w:val="000000"/>
          <w:sz w:val="18"/>
          <w:szCs w:val="26"/>
        </w:rPr>
        <w:t>UNEP/CHW.12/INF/25-UNEP/FAO/RC/COP.7/INF/17-UNEP/POPS/COP.7/INF/16</w:t>
      </w:r>
      <w:r w:rsidRPr="00B85BB7">
        <w:rPr>
          <w:rFonts w:cs="Traditional Arabic" w:hint="cs"/>
          <w:color w:val="000000"/>
          <w:sz w:val="18"/>
          <w:szCs w:val="26"/>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B0469"/>
    <w:rsid w:val="00045F3B"/>
    <w:rsid w:val="0009039B"/>
    <w:rsid w:val="000B18ED"/>
    <w:rsid w:val="002508C0"/>
    <w:rsid w:val="00262838"/>
    <w:rsid w:val="002E3F11"/>
    <w:rsid w:val="00475D4E"/>
    <w:rsid w:val="004B7AA0"/>
    <w:rsid w:val="0055191B"/>
    <w:rsid w:val="00771173"/>
    <w:rsid w:val="00B33BA9"/>
    <w:rsid w:val="00BA076F"/>
    <w:rsid w:val="00BB0469"/>
    <w:rsid w:val="00BE6CAD"/>
    <w:rsid w:val="00C21410"/>
    <w:rsid w:val="00D7668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69"/>
    <w:pPr>
      <w:bidi/>
      <w:spacing w:after="0" w:line="240" w:lineRule="auto"/>
    </w:pPr>
    <w:rPr>
      <w:rFonts w:ascii="Times" w:eastAsia="Times New Roman"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9"/>
    <w:basedOn w:val="Normal"/>
    <w:link w:val="FootnoteTextChar"/>
    <w:rsid w:val="00BB0469"/>
    <w:rPr>
      <w:szCs w:val="20"/>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Char Char"/>
    <w:basedOn w:val="DefaultParagraphFont"/>
    <w:link w:val="FootnoteText"/>
    <w:rsid w:val="00BB0469"/>
    <w:rPr>
      <w:rFonts w:ascii="Times" w:eastAsia="Times New Roman" w:hAnsi="Times" w:cs="Simplified Arabic"/>
      <w:noProof/>
      <w:sz w:val="20"/>
      <w:szCs w:val="20"/>
      <w:lang w:val="en-US"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E Fußnotenzeichen,Footnotes refss"/>
    <w:rsid w:val="00BB0469"/>
    <w:rPr>
      <w:vertAlign w:val="superscript"/>
    </w:rPr>
  </w:style>
  <w:style w:type="character" w:customStyle="1" w:styleId="ZZAnxheaderChar">
    <w:name w:val="ZZ_Anx_header Char"/>
    <w:link w:val="ZZAnxheader"/>
    <w:rsid w:val="00BB0469"/>
    <w:rPr>
      <w:b/>
      <w:bCs/>
      <w:sz w:val="28"/>
    </w:rPr>
  </w:style>
  <w:style w:type="paragraph" w:customStyle="1" w:styleId="ZZAnxheader">
    <w:name w:val="ZZ_Anx_header"/>
    <w:basedOn w:val="Normal"/>
    <w:link w:val="ZZAnxheaderChar"/>
    <w:rsid w:val="00BB0469"/>
    <w:pPr>
      <w:tabs>
        <w:tab w:val="left" w:pos="1247"/>
        <w:tab w:val="left" w:pos="1814"/>
        <w:tab w:val="left" w:pos="2381"/>
        <w:tab w:val="left" w:pos="2948"/>
        <w:tab w:val="left" w:pos="3515"/>
      </w:tabs>
    </w:pPr>
    <w:rPr>
      <w:rFonts w:asciiTheme="minorHAnsi" w:eastAsiaTheme="minorEastAsia" w:hAnsiTheme="minorHAnsi" w:cstheme="minorBidi"/>
      <w:b/>
      <w:bCs/>
      <w:noProof w:val="0"/>
      <w:sz w:val="28"/>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2015-12-29T09:27:00Z</dcterms:created>
  <dcterms:modified xsi:type="dcterms:W3CDTF">2015-12-29T09:29:00Z</dcterms:modified>
</cp:coreProperties>
</file>