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578" w:rsidRPr="00DE0527" w:rsidRDefault="00204578" w:rsidP="00204578">
      <w:pPr>
        <w:pStyle w:val="Normal-pool"/>
        <w:spacing w:before="320" w:afterLines="100"/>
        <w:ind w:left="1247"/>
        <w:jc w:val="both"/>
        <w:rPr>
          <w:rFonts w:ascii="SimHei" w:eastAsia="SimHei" w:hAnsi="SimHei"/>
          <w:b/>
          <w:sz w:val="24"/>
          <w:lang w:eastAsia="zh-CN"/>
        </w:rPr>
      </w:pPr>
      <w:r w:rsidRPr="00DE0527">
        <w:rPr>
          <w:rFonts w:eastAsia="SimHei"/>
          <w:b/>
          <w:sz w:val="28"/>
          <w:szCs w:val="28"/>
          <w:lang w:eastAsia="zh-CN"/>
        </w:rPr>
        <w:t>RC-7/9</w:t>
      </w:r>
      <w:r>
        <w:rPr>
          <w:rFonts w:ascii="SimHei" w:eastAsia="SimHei" w:hAnsi="SimHei" w:hint="eastAsia"/>
          <w:b/>
          <w:sz w:val="28"/>
          <w:szCs w:val="28"/>
          <w:lang w:eastAsia="zh-CN"/>
        </w:rPr>
        <w:t>：</w:t>
      </w:r>
      <w:r w:rsidRPr="00DE0527">
        <w:rPr>
          <w:rFonts w:ascii="SimHei" w:eastAsia="SimHei" w:hAnsi="SimHei"/>
          <w:b/>
          <w:sz w:val="28"/>
          <w:szCs w:val="28"/>
          <w:lang w:eastAsia="zh-CN"/>
        </w:rPr>
        <w:t>国际合作与协调</w:t>
      </w:r>
    </w:p>
    <w:p w:rsidR="00204578" w:rsidRPr="000656F0" w:rsidRDefault="00204578" w:rsidP="00204578">
      <w:pPr>
        <w:tabs>
          <w:tab w:val="left" w:pos="624"/>
        </w:tabs>
        <w:spacing w:afterLines="100"/>
        <w:ind w:left="1247" w:firstLine="624"/>
        <w:jc w:val="both"/>
        <w:rPr>
          <w:rFonts w:ascii="楷体" w:eastAsia="楷体" w:hAnsi="楷体"/>
          <w:sz w:val="24"/>
          <w:szCs w:val="24"/>
          <w:lang w:eastAsia="zh-CN"/>
        </w:rPr>
      </w:pPr>
      <w:r w:rsidRPr="000656F0">
        <w:rPr>
          <w:rFonts w:ascii="楷体" w:eastAsia="楷体" w:hAnsi="楷体" w:hint="eastAsia"/>
          <w:sz w:val="24"/>
          <w:szCs w:val="24"/>
          <w:lang w:eastAsia="zh-CN"/>
        </w:rPr>
        <w:t>缔约方大会</w:t>
      </w:r>
    </w:p>
    <w:p w:rsidR="00204578" w:rsidRPr="0082521D" w:rsidRDefault="00204578" w:rsidP="00204578">
      <w:pPr>
        <w:spacing w:afterLines="100"/>
        <w:ind w:left="1247" w:firstLine="624"/>
        <w:jc w:val="both"/>
        <w:rPr>
          <w:sz w:val="24"/>
          <w:szCs w:val="24"/>
          <w:lang w:eastAsia="zh-CN"/>
        </w:rPr>
      </w:pPr>
      <w:r w:rsidRPr="0082521D">
        <w:rPr>
          <w:sz w:val="24"/>
          <w:szCs w:val="24"/>
          <w:lang w:eastAsia="zh-CN"/>
        </w:rPr>
        <w:t>1.</w:t>
      </w:r>
      <w:r w:rsidRPr="0082521D">
        <w:rPr>
          <w:sz w:val="24"/>
          <w:szCs w:val="24"/>
          <w:lang w:eastAsia="zh-CN"/>
        </w:rPr>
        <w:tab/>
      </w:r>
      <w:r w:rsidRPr="0082521D">
        <w:rPr>
          <w:rFonts w:ascii="楷体" w:eastAsia="楷体" w:hAnsi="楷体" w:hint="eastAsia"/>
          <w:sz w:val="24"/>
          <w:szCs w:val="24"/>
          <w:lang w:eastAsia="zh-CN"/>
        </w:rPr>
        <w:t>注意到</w:t>
      </w:r>
      <w:r w:rsidRPr="0082521D">
        <w:rPr>
          <w:rFonts w:hint="eastAsia"/>
          <w:sz w:val="24"/>
          <w:szCs w:val="24"/>
          <w:lang w:eastAsia="zh-CN"/>
        </w:rPr>
        <w:t>秘书处的关于国际合作与协调的报告；</w:t>
      </w:r>
      <w:r>
        <w:rPr>
          <w:rStyle w:val="FootnoteReference"/>
          <w:lang w:eastAsia="zh-CN"/>
        </w:rPr>
        <w:footnoteReference w:customMarkFollows="1" w:id="1"/>
        <w:t>15</w:t>
      </w:r>
    </w:p>
    <w:p w:rsidR="00204578" w:rsidRPr="0082521D" w:rsidRDefault="00204578" w:rsidP="00204578">
      <w:pPr>
        <w:tabs>
          <w:tab w:val="left" w:pos="624"/>
        </w:tabs>
        <w:spacing w:afterLines="100"/>
        <w:ind w:left="1247" w:right="-45" w:firstLine="624"/>
        <w:jc w:val="both"/>
        <w:rPr>
          <w:sz w:val="24"/>
          <w:szCs w:val="24"/>
          <w:lang w:eastAsia="zh-CN"/>
        </w:rPr>
      </w:pPr>
      <w:r w:rsidRPr="0082521D">
        <w:rPr>
          <w:sz w:val="24"/>
          <w:szCs w:val="24"/>
          <w:lang w:eastAsia="zh-CN"/>
        </w:rPr>
        <w:t>2.</w:t>
      </w:r>
      <w:r w:rsidRPr="0082521D">
        <w:rPr>
          <w:b/>
          <w:sz w:val="24"/>
          <w:szCs w:val="24"/>
          <w:lang w:eastAsia="zh-CN"/>
        </w:rPr>
        <w:tab/>
      </w:r>
      <w:r w:rsidRPr="0082521D">
        <w:rPr>
          <w:rFonts w:ascii="楷体" w:eastAsia="楷体" w:hAnsi="楷体" w:hint="eastAsia"/>
          <w:sz w:val="24"/>
          <w:szCs w:val="24"/>
          <w:lang w:eastAsia="zh-CN"/>
        </w:rPr>
        <w:t>会同</w:t>
      </w:r>
      <w:r w:rsidRPr="0082521D">
        <w:rPr>
          <w:rFonts w:hint="eastAsia"/>
          <w:sz w:val="24"/>
          <w:szCs w:val="24"/>
          <w:lang w:eastAsia="zh-CN"/>
        </w:rPr>
        <w:t>联合国环境规划署联合国环境大会强调，化学品及废物的无害管理是可持续发展的重要及交叉因素，并且与可持续发展议程密切相关；</w:t>
      </w:r>
    </w:p>
    <w:p w:rsidR="00204578" w:rsidRPr="0082521D" w:rsidRDefault="00204578" w:rsidP="00204578">
      <w:pPr>
        <w:spacing w:afterLines="100"/>
        <w:ind w:left="1247" w:firstLine="624"/>
        <w:jc w:val="both"/>
        <w:rPr>
          <w:sz w:val="24"/>
          <w:szCs w:val="24"/>
          <w:lang w:eastAsia="zh-CN"/>
        </w:rPr>
      </w:pPr>
      <w:r w:rsidRPr="0082521D">
        <w:rPr>
          <w:sz w:val="24"/>
          <w:szCs w:val="24"/>
          <w:lang w:eastAsia="zh-CN"/>
        </w:rPr>
        <w:t>3.</w:t>
      </w:r>
      <w:r w:rsidRPr="0082521D">
        <w:rPr>
          <w:sz w:val="24"/>
          <w:szCs w:val="24"/>
          <w:lang w:eastAsia="zh-CN"/>
        </w:rPr>
        <w:tab/>
      </w:r>
      <w:r w:rsidRPr="0082521D">
        <w:rPr>
          <w:rFonts w:ascii="楷体" w:eastAsia="楷体" w:hAnsi="楷体" w:hint="eastAsia"/>
          <w:sz w:val="24"/>
          <w:szCs w:val="24"/>
          <w:lang w:eastAsia="zh-CN"/>
        </w:rPr>
        <w:t>着重指出</w:t>
      </w:r>
      <w:r w:rsidRPr="0082521D">
        <w:rPr>
          <w:rFonts w:ascii="SimSun" w:hAnsi="SimSun" w:cs="SimSun" w:hint="eastAsia"/>
          <w:sz w:val="24"/>
          <w:szCs w:val="24"/>
          <w:lang w:eastAsia="zh-CN"/>
        </w:rPr>
        <w:t>《</w:t>
      </w:r>
      <w:r w:rsidRPr="0082521D">
        <w:rPr>
          <w:sz w:val="24"/>
          <w:szCs w:val="24"/>
          <w:lang w:eastAsia="zh-CN"/>
        </w:rPr>
        <w:t>危险废物越境转移及其处置巴塞尔公约》、《关于在国际贸易中对某些危险化学品和农药采用事先知情同意程序的鹿特丹公约》和《关于持久性有机污染物的斯德哥尔摩公约</w:t>
      </w:r>
      <w:r w:rsidRPr="0082521D">
        <w:rPr>
          <w:rFonts w:ascii="SimSun" w:hAnsi="SimSun" w:cs="SimSun" w:hint="eastAsia"/>
          <w:sz w:val="24"/>
          <w:szCs w:val="24"/>
          <w:lang w:eastAsia="zh-CN"/>
        </w:rPr>
        <w:t>》</w:t>
      </w:r>
      <w:r w:rsidRPr="0082521D">
        <w:rPr>
          <w:rFonts w:hint="eastAsia"/>
          <w:sz w:val="24"/>
          <w:szCs w:val="24"/>
          <w:lang w:eastAsia="zh-CN"/>
        </w:rPr>
        <w:t>通过化学品及废物无害管理为保护人类健康和环境免受危险化学品及废物危害所作出的贡献；</w:t>
      </w:r>
    </w:p>
    <w:p w:rsidR="00204578" w:rsidRPr="0082521D" w:rsidRDefault="00204578" w:rsidP="00204578">
      <w:pPr>
        <w:tabs>
          <w:tab w:val="left" w:pos="624"/>
        </w:tabs>
        <w:spacing w:afterLines="100"/>
        <w:ind w:left="1247" w:right="-45" w:firstLine="624"/>
        <w:jc w:val="both"/>
        <w:rPr>
          <w:sz w:val="24"/>
          <w:szCs w:val="24"/>
          <w:lang w:eastAsia="zh-CN"/>
        </w:rPr>
      </w:pPr>
      <w:r w:rsidRPr="0082521D">
        <w:rPr>
          <w:sz w:val="24"/>
          <w:szCs w:val="24"/>
          <w:lang w:eastAsia="zh-CN"/>
        </w:rPr>
        <w:t>4.</w:t>
      </w:r>
      <w:r w:rsidRPr="0082521D">
        <w:rPr>
          <w:sz w:val="24"/>
          <w:szCs w:val="24"/>
          <w:lang w:eastAsia="zh-CN"/>
        </w:rPr>
        <w:tab/>
      </w:r>
      <w:r w:rsidRPr="0082521D">
        <w:rPr>
          <w:rFonts w:ascii="楷体" w:eastAsia="楷体" w:hAnsi="楷体" w:hint="eastAsia"/>
          <w:sz w:val="24"/>
          <w:szCs w:val="24"/>
          <w:lang w:eastAsia="zh-CN"/>
        </w:rPr>
        <w:t>请</w:t>
      </w:r>
      <w:r w:rsidRPr="0082521D">
        <w:rPr>
          <w:rFonts w:hint="eastAsia"/>
          <w:sz w:val="24"/>
          <w:szCs w:val="24"/>
          <w:lang w:eastAsia="zh-CN"/>
        </w:rPr>
        <w:t>执行秘书向联合国大会之下的</w:t>
      </w:r>
      <w:r w:rsidRPr="0082521D">
        <w:rPr>
          <w:sz w:val="24"/>
          <w:szCs w:val="24"/>
          <w:lang w:eastAsia="zh-CN"/>
        </w:rPr>
        <w:t>2015</w:t>
      </w:r>
      <w:r w:rsidRPr="0082521D">
        <w:rPr>
          <w:rFonts w:hint="eastAsia"/>
          <w:sz w:val="24"/>
          <w:szCs w:val="24"/>
          <w:lang w:eastAsia="zh-CN"/>
        </w:rPr>
        <w:t>年后发展议程磋商工作共同召集人通报各项公约的相关性及其可为该议程的实施作出的贡献，并向联合国统计委员会及其他相关论坛提供投入，以制定化学品及废物无害管理的相关指标（如：在巴塞尔和斯德哥尔摩公约之下的国家报告中提交给秘书处的信息，以及《斯德哥尔摩公约》之下的持久性有机污染物审查委员会、化学品审查委员和全球监测计划编制的科学数据）；</w:t>
      </w:r>
    </w:p>
    <w:p w:rsidR="00204578" w:rsidRPr="0082521D" w:rsidRDefault="00204578" w:rsidP="00204578">
      <w:pPr>
        <w:tabs>
          <w:tab w:val="left" w:pos="624"/>
        </w:tabs>
        <w:spacing w:afterLines="100"/>
        <w:ind w:left="1247" w:right="-45" w:firstLine="624"/>
        <w:jc w:val="both"/>
        <w:rPr>
          <w:sz w:val="24"/>
          <w:szCs w:val="24"/>
          <w:lang w:eastAsia="zh-CN"/>
        </w:rPr>
      </w:pPr>
      <w:r w:rsidRPr="0082521D">
        <w:rPr>
          <w:sz w:val="24"/>
          <w:szCs w:val="24"/>
          <w:lang w:eastAsia="zh-CN"/>
        </w:rPr>
        <w:tab/>
        <w:t>5.</w:t>
      </w:r>
      <w:r w:rsidRPr="0082521D">
        <w:rPr>
          <w:sz w:val="24"/>
          <w:szCs w:val="24"/>
          <w:lang w:eastAsia="zh-CN"/>
        </w:rPr>
        <w:tab/>
      </w:r>
      <w:r w:rsidRPr="0082521D">
        <w:rPr>
          <w:rFonts w:ascii="楷体" w:eastAsia="楷体" w:hAnsi="楷体" w:hint="eastAsia"/>
          <w:sz w:val="24"/>
          <w:szCs w:val="24"/>
          <w:lang w:eastAsia="zh-CN"/>
        </w:rPr>
        <w:t>强调</w:t>
      </w:r>
      <w:r w:rsidRPr="0082521D">
        <w:rPr>
          <w:rFonts w:hint="eastAsia"/>
          <w:sz w:val="24"/>
          <w:szCs w:val="24"/>
          <w:lang w:eastAsia="zh-CN"/>
        </w:rPr>
        <w:t>与其他国际机构，尤其是与化学品和废物集群，加强合作与协调以推动实现公约各项目标的重要意义；</w:t>
      </w:r>
    </w:p>
    <w:p w:rsidR="00204578" w:rsidRPr="0082521D" w:rsidRDefault="00204578" w:rsidP="00204578">
      <w:pPr>
        <w:tabs>
          <w:tab w:val="left" w:pos="624"/>
        </w:tabs>
        <w:spacing w:afterLines="100"/>
        <w:ind w:left="1247" w:firstLine="624"/>
        <w:jc w:val="both"/>
        <w:rPr>
          <w:sz w:val="24"/>
          <w:szCs w:val="24"/>
          <w:lang w:eastAsia="zh-CN"/>
        </w:rPr>
      </w:pPr>
      <w:r w:rsidRPr="0082521D">
        <w:rPr>
          <w:sz w:val="24"/>
          <w:szCs w:val="24"/>
          <w:lang w:eastAsia="zh-CN"/>
        </w:rPr>
        <w:tab/>
        <w:t>6.</w:t>
      </w:r>
      <w:r w:rsidRPr="0082521D">
        <w:rPr>
          <w:sz w:val="24"/>
          <w:szCs w:val="24"/>
          <w:lang w:eastAsia="zh-CN"/>
        </w:rPr>
        <w:tab/>
      </w:r>
      <w:r w:rsidRPr="0082521D">
        <w:rPr>
          <w:rFonts w:ascii="楷体" w:eastAsia="楷体" w:hAnsi="楷体" w:hint="eastAsia"/>
          <w:sz w:val="24"/>
          <w:szCs w:val="24"/>
          <w:lang w:eastAsia="zh-CN"/>
        </w:rPr>
        <w:t>邀请</w:t>
      </w:r>
      <w:r w:rsidRPr="0082521D">
        <w:rPr>
          <w:rFonts w:hint="eastAsia"/>
          <w:sz w:val="24"/>
          <w:szCs w:val="24"/>
          <w:lang w:eastAsia="zh-CN"/>
        </w:rPr>
        <w:t>环境管理小组探讨联合国系统如何实现</w:t>
      </w:r>
      <w:r w:rsidRPr="0082521D">
        <w:rPr>
          <w:sz w:val="24"/>
          <w:szCs w:val="24"/>
          <w:lang w:eastAsia="zh-CN"/>
        </w:rPr>
        <w:t>2020</w:t>
      </w:r>
      <w:r w:rsidRPr="0082521D">
        <w:rPr>
          <w:rFonts w:hint="eastAsia"/>
          <w:sz w:val="24"/>
          <w:szCs w:val="24"/>
          <w:lang w:eastAsia="zh-CN"/>
        </w:rPr>
        <w:t>年化学品与废物无害管理目标；</w:t>
      </w:r>
    </w:p>
    <w:p w:rsidR="00204578" w:rsidRPr="0082521D" w:rsidRDefault="00204578" w:rsidP="00204578">
      <w:pPr>
        <w:tabs>
          <w:tab w:val="left" w:pos="624"/>
        </w:tabs>
        <w:spacing w:afterLines="100"/>
        <w:ind w:left="1247" w:right="-45" w:firstLine="624"/>
        <w:jc w:val="both"/>
        <w:rPr>
          <w:sz w:val="24"/>
          <w:szCs w:val="24"/>
          <w:lang w:eastAsia="zh-CN"/>
        </w:rPr>
      </w:pPr>
      <w:r w:rsidRPr="0082521D">
        <w:rPr>
          <w:sz w:val="24"/>
          <w:szCs w:val="24"/>
          <w:lang w:eastAsia="zh-CN"/>
        </w:rPr>
        <w:t>7.</w:t>
      </w:r>
      <w:r w:rsidRPr="0082521D">
        <w:rPr>
          <w:sz w:val="24"/>
          <w:szCs w:val="24"/>
          <w:lang w:eastAsia="zh-CN"/>
        </w:rPr>
        <w:tab/>
      </w:r>
      <w:r w:rsidRPr="0082521D">
        <w:rPr>
          <w:rFonts w:ascii="楷体" w:eastAsia="楷体" w:hAnsi="楷体" w:hint="eastAsia"/>
          <w:sz w:val="24"/>
          <w:szCs w:val="24"/>
          <w:lang w:eastAsia="zh-CN"/>
        </w:rPr>
        <w:t>欢迎</w:t>
      </w:r>
      <w:r w:rsidRPr="0082521D">
        <w:rPr>
          <w:rFonts w:hint="eastAsia"/>
          <w:sz w:val="24"/>
          <w:szCs w:val="24"/>
          <w:lang w:eastAsia="zh-CN"/>
        </w:rPr>
        <w:t>联合国环境规划署关于化学品与废物问题的第</w:t>
      </w:r>
      <w:r w:rsidRPr="0082521D">
        <w:rPr>
          <w:sz w:val="24"/>
          <w:szCs w:val="24"/>
          <w:lang w:eastAsia="zh-CN"/>
        </w:rPr>
        <w:t>1/5</w:t>
      </w:r>
      <w:r w:rsidRPr="0082521D">
        <w:rPr>
          <w:rFonts w:hint="eastAsia"/>
          <w:sz w:val="24"/>
          <w:szCs w:val="24"/>
          <w:lang w:eastAsia="zh-CN"/>
        </w:rPr>
        <w:t>号决议，并请执行秘书与联合国环境规划署执行主任合作推动该决定的执行，并且在更宽泛的范围内继续努力协调，加强化学品与废物无害管理方面的长期性工作；</w:t>
      </w:r>
    </w:p>
    <w:p w:rsidR="00204578" w:rsidRPr="0082521D" w:rsidRDefault="00204578" w:rsidP="00204578">
      <w:pPr>
        <w:tabs>
          <w:tab w:val="left" w:pos="624"/>
        </w:tabs>
        <w:spacing w:afterLines="100"/>
        <w:ind w:left="1247" w:right="-45" w:firstLine="624"/>
        <w:jc w:val="both"/>
        <w:rPr>
          <w:sz w:val="24"/>
          <w:szCs w:val="24"/>
          <w:lang w:eastAsia="zh-CN"/>
        </w:rPr>
      </w:pPr>
      <w:r w:rsidRPr="0082521D">
        <w:rPr>
          <w:sz w:val="24"/>
          <w:szCs w:val="24"/>
          <w:lang w:eastAsia="zh-CN"/>
        </w:rPr>
        <w:t>8.</w:t>
      </w:r>
      <w:r w:rsidRPr="0082521D">
        <w:rPr>
          <w:sz w:val="24"/>
          <w:szCs w:val="24"/>
          <w:lang w:eastAsia="zh-CN"/>
        </w:rPr>
        <w:tab/>
      </w:r>
      <w:r w:rsidRPr="0082521D">
        <w:rPr>
          <w:rFonts w:ascii="楷体" w:eastAsia="楷体" w:hAnsi="楷体" w:hint="eastAsia"/>
          <w:sz w:val="24"/>
          <w:szCs w:val="24"/>
          <w:lang w:eastAsia="zh-CN"/>
        </w:rPr>
        <w:t>会同</w:t>
      </w:r>
      <w:r w:rsidRPr="0082521D">
        <w:rPr>
          <w:rFonts w:hint="eastAsia"/>
          <w:sz w:val="24"/>
          <w:szCs w:val="24"/>
          <w:lang w:eastAsia="zh-CN"/>
        </w:rPr>
        <w:t>联合国环境规划署强调继续加强多部门与多利益攸关方参与的必要性，并请执行秘书参与第四次国际化学品管理会议，并且以可用资源为限，确保秘书处有效地参与国际化学品管理战略方针；</w:t>
      </w:r>
    </w:p>
    <w:p w:rsidR="00204578" w:rsidRPr="0082521D" w:rsidRDefault="00204578" w:rsidP="00204578">
      <w:pPr>
        <w:tabs>
          <w:tab w:val="left" w:pos="624"/>
        </w:tabs>
        <w:spacing w:afterLines="100"/>
        <w:ind w:left="1247" w:right="-45" w:firstLine="624"/>
        <w:jc w:val="both"/>
        <w:rPr>
          <w:sz w:val="24"/>
          <w:szCs w:val="24"/>
          <w:lang w:eastAsia="zh-CN"/>
        </w:rPr>
      </w:pPr>
      <w:r w:rsidRPr="0082521D">
        <w:rPr>
          <w:sz w:val="24"/>
          <w:szCs w:val="24"/>
          <w:lang w:eastAsia="zh-CN"/>
        </w:rPr>
        <w:t>9.</w:t>
      </w:r>
      <w:r w:rsidRPr="0082521D">
        <w:rPr>
          <w:sz w:val="24"/>
          <w:szCs w:val="24"/>
          <w:lang w:eastAsia="zh-CN"/>
        </w:rPr>
        <w:tab/>
      </w:r>
      <w:r w:rsidRPr="0082521D">
        <w:rPr>
          <w:rFonts w:ascii="楷体" w:eastAsia="楷体" w:hAnsi="楷体" w:hint="eastAsia"/>
          <w:sz w:val="24"/>
          <w:szCs w:val="24"/>
          <w:lang w:eastAsia="zh-CN"/>
        </w:rPr>
        <w:t>还会同</w:t>
      </w:r>
      <w:r w:rsidRPr="0082521D">
        <w:rPr>
          <w:rFonts w:hint="eastAsia"/>
          <w:sz w:val="24"/>
          <w:szCs w:val="24"/>
          <w:lang w:eastAsia="zh-CN"/>
        </w:rPr>
        <w:t>联合国环境规划署认识到</w:t>
      </w:r>
      <w:r w:rsidRPr="0082521D">
        <w:rPr>
          <w:sz w:val="24"/>
          <w:szCs w:val="24"/>
          <w:lang w:eastAsia="zh-CN"/>
        </w:rPr>
        <w:t>2020</w:t>
      </w:r>
      <w:r w:rsidRPr="0082521D">
        <w:rPr>
          <w:rFonts w:hint="eastAsia"/>
          <w:sz w:val="24"/>
          <w:szCs w:val="24"/>
          <w:lang w:eastAsia="zh-CN"/>
        </w:rPr>
        <w:t>年后化学品及废物无害管理的持续相关性，并会同国际化学品管理会议及其他各方强调，以环境署第</w:t>
      </w:r>
      <w:r w:rsidRPr="0082521D">
        <w:rPr>
          <w:sz w:val="24"/>
          <w:szCs w:val="24"/>
          <w:lang w:eastAsia="zh-CN"/>
        </w:rPr>
        <w:t>1/5</w:t>
      </w:r>
      <w:r w:rsidRPr="0082521D">
        <w:rPr>
          <w:rFonts w:hint="eastAsia"/>
          <w:sz w:val="24"/>
          <w:szCs w:val="24"/>
          <w:lang w:eastAsia="zh-CN"/>
        </w:rPr>
        <w:t>号决议及其关于“强化长期性化学品及废物无害管理”的附件为基础考虑长远政策的重要意义；</w:t>
      </w:r>
    </w:p>
    <w:p w:rsidR="00204578" w:rsidRPr="0082521D" w:rsidRDefault="00204578" w:rsidP="00204578">
      <w:pPr>
        <w:tabs>
          <w:tab w:val="left" w:pos="624"/>
        </w:tabs>
        <w:spacing w:afterLines="100"/>
        <w:ind w:left="1247" w:right="-45" w:firstLine="624"/>
        <w:jc w:val="both"/>
        <w:rPr>
          <w:sz w:val="24"/>
          <w:szCs w:val="24"/>
          <w:lang w:eastAsia="zh-CN"/>
        </w:rPr>
      </w:pPr>
      <w:r w:rsidRPr="0082521D">
        <w:rPr>
          <w:sz w:val="24"/>
          <w:szCs w:val="24"/>
          <w:lang w:eastAsia="zh-CN"/>
        </w:rPr>
        <w:lastRenderedPageBreak/>
        <w:t>10.</w:t>
      </w:r>
      <w:r w:rsidRPr="0082521D">
        <w:rPr>
          <w:sz w:val="24"/>
          <w:szCs w:val="24"/>
          <w:lang w:eastAsia="zh-CN"/>
        </w:rPr>
        <w:tab/>
      </w:r>
      <w:r w:rsidRPr="0082521D">
        <w:rPr>
          <w:rFonts w:ascii="楷体" w:eastAsia="楷体" w:hAnsi="楷体" w:hint="eastAsia"/>
          <w:sz w:val="24"/>
          <w:szCs w:val="24"/>
          <w:lang w:eastAsia="zh-CN"/>
        </w:rPr>
        <w:t>鼓励</w:t>
      </w:r>
      <w:r w:rsidRPr="0082521D">
        <w:rPr>
          <w:rFonts w:hint="eastAsia"/>
          <w:sz w:val="24"/>
          <w:szCs w:val="24"/>
          <w:lang w:eastAsia="zh-CN"/>
        </w:rPr>
        <w:t>组织间化学品无害管理方案的各个组织提交各自在其任务范围内，为实现</w:t>
      </w:r>
      <w:r w:rsidRPr="0082521D">
        <w:rPr>
          <w:sz w:val="24"/>
          <w:szCs w:val="24"/>
          <w:lang w:eastAsia="zh-CN"/>
        </w:rPr>
        <w:t>2020</w:t>
      </w:r>
      <w:r w:rsidRPr="0082521D">
        <w:rPr>
          <w:rFonts w:hint="eastAsia"/>
          <w:sz w:val="24"/>
          <w:szCs w:val="24"/>
          <w:lang w:eastAsia="zh-CN"/>
        </w:rPr>
        <w:t>年目标而规划的具体政策与行动，供国际化学品管理大会第四届会议审议；</w:t>
      </w:r>
    </w:p>
    <w:p w:rsidR="00204578" w:rsidRPr="0082521D" w:rsidRDefault="00204578" w:rsidP="00204578">
      <w:pPr>
        <w:tabs>
          <w:tab w:val="left" w:pos="624"/>
        </w:tabs>
        <w:spacing w:afterLines="100"/>
        <w:ind w:left="1247" w:right="-45" w:firstLine="624"/>
        <w:jc w:val="both"/>
        <w:rPr>
          <w:sz w:val="24"/>
          <w:szCs w:val="24"/>
          <w:lang w:eastAsia="zh-CN"/>
        </w:rPr>
      </w:pPr>
      <w:r w:rsidRPr="0082521D">
        <w:rPr>
          <w:sz w:val="24"/>
          <w:szCs w:val="24"/>
          <w:lang w:eastAsia="zh-CN"/>
        </w:rPr>
        <w:t>11.</w:t>
      </w:r>
      <w:r w:rsidRPr="0082521D">
        <w:rPr>
          <w:sz w:val="24"/>
          <w:szCs w:val="24"/>
          <w:lang w:eastAsia="zh-CN"/>
        </w:rPr>
        <w:tab/>
      </w:r>
      <w:r w:rsidRPr="0082521D">
        <w:rPr>
          <w:rFonts w:ascii="楷体" w:eastAsia="楷体" w:hAnsi="楷体" w:hint="eastAsia"/>
          <w:sz w:val="24"/>
          <w:szCs w:val="24"/>
          <w:lang w:eastAsia="zh-CN"/>
        </w:rPr>
        <w:t>欢迎</w:t>
      </w:r>
      <w:r w:rsidRPr="0082521D">
        <w:rPr>
          <w:rFonts w:hint="eastAsia"/>
          <w:sz w:val="24"/>
          <w:szCs w:val="24"/>
          <w:lang w:eastAsia="zh-CN"/>
        </w:rPr>
        <w:t>秘书处与水俣公约临时秘书处之间的合作与协调，并请秘书处视情况在双方感兴趣的领域继续加强此种合作与协调以促进政策的连贯一致，以及最大限度提高各级别的资源使用成效和效率；</w:t>
      </w:r>
    </w:p>
    <w:p w:rsidR="00204578" w:rsidRPr="0082521D" w:rsidRDefault="00204578" w:rsidP="00204578">
      <w:pPr>
        <w:keepNext/>
        <w:tabs>
          <w:tab w:val="left" w:pos="624"/>
        </w:tabs>
        <w:spacing w:afterLines="100"/>
        <w:ind w:left="1247" w:right="-45" w:firstLine="624"/>
        <w:jc w:val="both"/>
        <w:rPr>
          <w:sz w:val="24"/>
          <w:szCs w:val="24"/>
          <w:lang w:eastAsia="zh-CN"/>
        </w:rPr>
      </w:pPr>
      <w:r>
        <w:rPr>
          <w:sz w:val="24"/>
          <w:szCs w:val="24"/>
          <w:lang w:eastAsia="zh-CN"/>
        </w:rPr>
        <w:tab/>
        <w:t>12.</w:t>
      </w:r>
      <w:r w:rsidRPr="0082521D">
        <w:rPr>
          <w:sz w:val="24"/>
          <w:szCs w:val="24"/>
          <w:lang w:eastAsia="zh-CN"/>
        </w:rPr>
        <w:tab/>
      </w:r>
      <w:r w:rsidRPr="0082521D">
        <w:rPr>
          <w:rFonts w:ascii="楷体" w:eastAsia="楷体" w:hAnsi="楷体" w:hint="eastAsia"/>
          <w:sz w:val="24"/>
          <w:szCs w:val="24"/>
          <w:lang w:eastAsia="zh-CN"/>
        </w:rPr>
        <w:t>请</w:t>
      </w:r>
      <w:r w:rsidRPr="0082521D">
        <w:rPr>
          <w:rFonts w:hint="eastAsia"/>
          <w:sz w:val="24"/>
          <w:szCs w:val="24"/>
          <w:lang w:eastAsia="zh-CN"/>
        </w:rPr>
        <w:t>秘书处继续：</w:t>
      </w:r>
    </w:p>
    <w:p w:rsidR="00204578" w:rsidRPr="0082521D" w:rsidRDefault="00204578" w:rsidP="00204578">
      <w:pPr>
        <w:keepNext/>
        <w:keepLines/>
        <w:tabs>
          <w:tab w:val="left" w:pos="624"/>
        </w:tabs>
        <w:spacing w:afterLines="100"/>
        <w:ind w:left="1247" w:right="-45" w:firstLine="624"/>
        <w:jc w:val="both"/>
        <w:rPr>
          <w:sz w:val="24"/>
          <w:szCs w:val="24"/>
          <w:lang w:eastAsia="zh-CN"/>
        </w:rPr>
      </w:pPr>
      <w:r w:rsidRPr="0082521D">
        <w:rPr>
          <w:sz w:val="24"/>
          <w:szCs w:val="24"/>
          <w:lang w:eastAsia="zh-CN"/>
        </w:rPr>
        <w:t>(a)</w:t>
      </w:r>
      <w:r w:rsidRPr="0082521D">
        <w:rPr>
          <w:sz w:val="24"/>
          <w:szCs w:val="24"/>
          <w:lang w:eastAsia="zh-CN"/>
        </w:rPr>
        <w:tab/>
      </w:r>
      <w:r w:rsidRPr="0082521D">
        <w:rPr>
          <w:rFonts w:hint="eastAsia"/>
          <w:sz w:val="24"/>
          <w:szCs w:val="24"/>
          <w:lang w:eastAsia="zh-CN"/>
        </w:rPr>
        <w:t>加强化学品与废物集群内部的合作与协调，尤其是推动区域和国家级别的活动，支持涉及</w:t>
      </w:r>
      <w:r w:rsidRPr="0082521D">
        <w:rPr>
          <w:rFonts w:hint="eastAsia"/>
          <w:sz w:val="24"/>
          <w:szCs w:val="24"/>
          <w:lang w:val="en-US" w:eastAsia="zh-CN"/>
        </w:rPr>
        <w:t>共同利益领域的协议在</w:t>
      </w:r>
      <w:r w:rsidRPr="0082521D">
        <w:rPr>
          <w:rFonts w:hint="eastAsia"/>
          <w:sz w:val="24"/>
          <w:szCs w:val="24"/>
          <w:lang w:eastAsia="zh-CN"/>
        </w:rPr>
        <w:t>集群内部的</w:t>
      </w:r>
      <w:r w:rsidRPr="0082521D">
        <w:rPr>
          <w:rFonts w:hint="eastAsia"/>
          <w:sz w:val="24"/>
          <w:szCs w:val="24"/>
          <w:lang w:val="en-US" w:eastAsia="zh-CN"/>
        </w:rPr>
        <w:t>执行工作，并且考虑工作方案中的哪些活动可以通过与集群内的其他机构合作而得到有效实施；</w:t>
      </w:r>
    </w:p>
    <w:p w:rsidR="00204578" w:rsidRPr="0082521D" w:rsidRDefault="00204578" w:rsidP="00204578">
      <w:pPr>
        <w:tabs>
          <w:tab w:val="left" w:pos="624"/>
        </w:tabs>
        <w:spacing w:afterLines="100"/>
        <w:ind w:left="1247" w:right="-45" w:firstLine="624"/>
        <w:jc w:val="both"/>
        <w:rPr>
          <w:sz w:val="24"/>
          <w:szCs w:val="24"/>
          <w:lang w:eastAsia="zh-CN"/>
        </w:rPr>
      </w:pPr>
      <w:r w:rsidRPr="0082521D">
        <w:rPr>
          <w:sz w:val="24"/>
          <w:szCs w:val="24"/>
          <w:lang w:eastAsia="zh-CN"/>
        </w:rPr>
        <w:t>(b)</w:t>
      </w:r>
      <w:r w:rsidRPr="0082521D">
        <w:rPr>
          <w:sz w:val="24"/>
          <w:szCs w:val="24"/>
          <w:lang w:eastAsia="zh-CN"/>
        </w:rPr>
        <w:tab/>
      </w:r>
      <w:r w:rsidRPr="0082521D">
        <w:rPr>
          <w:rFonts w:hint="eastAsia"/>
          <w:sz w:val="24"/>
          <w:szCs w:val="24"/>
          <w:lang w:eastAsia="zh-CN"/>
        </w:rPr>
        <w:t>在巴塞尔、鹿特丹和斯德哥尔摩公约的相关领域加强与其他国际机构的合作与协调，包括在上述报告中列举的领域与列举的组织合作；</w:t>
      </w:r>
    </w:p>
    <w:p w:rsidR="00204578" w:rsidRPr="0082521D" w:rsidRDefault="00204578" w:rsidP="00204578">
      <w:pPr>
        <w:tabs>
          <w:tab w:val="left" w:pos="624"/>
        </w:tabs>
        <w:spacing w:afterLines="100"/>
        <w:ind w:left="1247" w:right="-45" w:firstLine="624"/>
        <w:jc w:val="both"/>
        <w:rPr>
          <w:sz w:val="24"/>
          <w:szCs w:val="24"/>
          <w:lang w:eastAsia="zh-CN"/>
        </w:rPr>
      </w:pPr>
      <w:r w:rsidRPr="0082521D">
        <w:rPr>
          <w:sz w:val="24"/>
          <w:szCs w:val="24"/>
          <w:lang w:eastAsia="zh-CN"/>
        </w:rPr>
        <w:t>(c)</w:t>
      </w:r>
      <w:r w:rsidRPr="0082521D">
        <w:rPr>
          <w:sz w:val="24"/>
          <w:szCs w:val="24"/>
          <w:lang w:eastAsia="zh-CN"/>
        </w:rPr>
        <w:tab/>
      </w:r>
      <w:r w:rsidRPr="0082521D">
        <w:rPr>
          <w:rFonts w:hint="eastAsia"/>
          <w:sz w:val="24"/>
          <w:szCs w:val="24"/>
          <w:lang w:eastAsia="zh-CN"/>
        </w:rPr>
        <w:t>在缔约方大会下一次会议上汇报本决定的执行情况。</w:t>
      </w:r>
    </w:p>
    <w:p w:rsidR="000B18ED" w:rsidRDefault="000B18ED" w:rsidP="00204578">
      <w:pPr>
        <w:rPr>
          <w:lang w:eastAsia="zh-CN"/>
        </w:rPr>
      </w:pPr>
    </w:p>
    <w:sectPr w:rsidR="000B18ED"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C55" w:rsidRDefault="00371C55" w:rsidP="00204578">
      <w:r>
        <w:separator/>
      </w:r>
    </w:p>
  </w:endnote>
  <w:endnote w:type="continuationSeparator" w:id="0">
    <w:p w:rsidR="00371C55" w:rsidRDefault="00371C55" w:rsidP="002045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C55" w:rsidRDefault="00371C55" w:rsidP="00204578">
      <w:r>
        <w:separator/>
      </w:r>
    </w:p>
  </w:footnote>
  <w:footnote w:type="continuationSeparator" w:id="0">
    <w:p w:rsidR="00371C55" w:rsidRDefault="00371C55" w:rsidP="00204578">
      <w:r>
        <w:continuationSeparator/>
      </w:r>
    </w:p>
  </w:footnote>
  <w:footnote w:id="1">
    <w:p w:rsidR="00204578" w:rsidRPr="005413C9" w:rsidRDefault="00204578" w:rsidP="00204578">
      <w:pPr>
        <w:pStyle w:val="FootnoteText"/>
        <w:spacing w:before="0" w:afterLines="50"/>
        <w:ind w:left="522" w:firstLine="737"/>
        <w:jc w:val="both"/>
        <w:rPr>
          <w:rFonts w:hint="eastAsia"/>
          <w:sz w:val="20"/>
          <w:lang w:val="en-GB" w:eastAsia="zh-CN"/>
        </w:rPr>
      </w:pPr>
      <w:r w:rsidRPr="00204578">
        <w:rPr>
          <w:rStyle w:val="FootnoteReference"/>
          <w:lang w:val="en-GB"/>
        </w:rPr>
        <w:t>15</w:t>
      </w:r>
      <w:r w:rsidRPr="00204578">
        <w:rPr>
          <w:lang w:val="en-GB"/>
        </w:rPr>
        <w:t xml:space="preserve"> </w:t>
      </w:r>
      <w:r w:rsidRPr="005413C9">
        <w:rPr>
          <w:sz w:val="20"/>
          <w:lang w:val="en-GB"/>
        </w:rPr>
        <w:t>UNEP/CHW.12/INF/31-UNEP/FAO/RC/COP.7/INF/20-UNEP/POPS/COP.7/INF/41</w:t>
      </w:r>
      <w:r w:rsidRPr="005413C9">
        <w:rPr>
          <w:rFonts w:hint="eastAsia"/>
          <w:sz w:val="20"/>
          <w:lang w:val="en-GB" w:eastAsia="zh-C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204578"/>
    <w:rsid w:val="00045F3B"/>
    <w:rsid w:val="0009039B"/>
    <w:rsid w:val="000B18ED"/>
    <w:rsid w:val="00204578"/>
    <w:rsid w:val="002508C0"/>
    <w:rsid w:val="002E3F11"/>
    <w:rsid w:val="00371C55"/>
    <w:rsid w:val="00475D4E"/>
    <w:rsid w:val="004B7AA0"/>
    <w:rsid w:val="0055191B"/>
    <w:rsid w:val="005E7FC8"/>
    <w:rsid w:val="00771173"/>
    <w:rsid w:val="00B33BA9"/>
    <w:rsid w:val="00BA076F"/>
    <w:rsid w:val="00BE6CAD"/>
    <w:rsid w:val="00C2141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78"/>
    <w:pPr>
      <w:spacing w:after="0" w:line="240" w:lineRule="auto"/>
    </w:pPr>
    <w:rPr>
      <w:rFonts w:ascii="Times New Roman" w:eastAsia="SimSu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ool">
    <w:name w:val="Normal-pool"/>
    <w:link w:val="Normal-poolChar"/>
    <w:uiPriority w:val="99"/>
    <w:rsid w:val="00204578"/>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204578"/>
    <w:rPr>
      <w:rFonts w:ascii="Times New Roman" w:hAnsi="Times New Roman"/>
      <w:color w:val="auto"/>
      <w:sz w:val="20"/>
      <w:szCs w:val="18"/>
      <w:vertAlign w:val="superscript"/>
    </w:rPr>
  </w:style>
  <w:style w:type="paragraph" w:styleId="FootnoteText">
    <w:name w:val="footnote text"/>
    <w:aliases w:val="Geneva 9,Font: Geneva 9,Boston 10,f,FOOTNOTES,fn,single space,Footnote Text Rail EIS,ft,Char,footnote text,Footnotes,Footnote ak,fn cafc,Footnotes Char Char,Footnote Text Char Char,fn Char Char,footnote text Char Char Char Ch,DNV-FT,text,9"/>
    <w:basedOn w:val="Normal"/>
    <w:link w:val="FootnoteTextChar"/>
    <w:rsid w:val="00204578"/>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aliases w:val="Geneva 9 Char,Font: Geneva 9 Char,Boston 10 Char,f Char,FOOTNOTES Char,fn Char,single space Char,Footnote Text Rail EIS Char,ft Char,Char Char,footnote text Char,Footnotes Char,Footnote ak Char,fn cafc Char,Footnotes Char Char Char"/>
    <w:basedOn w:val="DefaultParagraphFont"/>
    <w:link w:val="FootnoteText"/>
    <w:rsid w:val="00204578"/>
    <w:rPr>
      <w:rFonts w:ascii="Times New Roman" w:eastAsia="SimSun" w:hAnsi="Times New Roman" w:cs="Times New Roman"/>
      <w:sz w:val="18"/>
      <w:szCs w:val="20"/>
      <w:lang w:val="fr-FR" w:eastAsia="en-US"/>
    </w:rPr>
  </w:style>
  <w:style w:type="character" w:customStyle="1" w:styleId="Normal-poolChar">
    <w:name w:val="Normal-pool Char"/>
    <w:link w:val="Normal-pool"/>
    <w:uiPriority w:val="99"/>
    <w:rsid w:val="00204578"/>
    <w:rPr>
      <w:rFonts w:ascii="Times New Roman" w:eastAsia="SimSu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2015-12-29T09:43:00Z</dcterms:created>
  <dcterms:modified xsi:type="dcterms:W3CDTF">2015-12-29T09:43:00Z</dcterms:modified>
</cp:coreProperties>
</file>