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6" w:type="pct"/>
        <w:jc w:val="right"/>
        <w:tblLayout w:type="fixed"/>
        <w:tblLook w:val="0000" w:firstRow="0" w:lastRow="0" w:firstColumn="0" w:lastColumn="0" w:noHBand="0" w:noVBand="0"/>
      </w:tblPr>
      <w:tblGrid>
        <w:gridCol w:w="1538"/>
        <w:gridCol w:w="5004"/>
        <w:gridCol w:w="1769"/>
        <w:gridCol w:w="1607"/>
      </w:tblGrid>
      <w:tr w:rsidR="007F3ED5" w:rsidRPr="00B11701" w:rsidTr="00267C20">
        <w:trPr>
          <w:cantSplit/>
          <w:trHeight w:val="1079"/>
          <w:jc w:val="right"/>
        </w:trPr>
        <w:tc>
          <w:tcPr>
            <w:tcW w:w="1538" w:type="dxa"/>
          </w:tcPr>
          <w:p w:rsidR="007F3ED5" w:rsidRPr="00B11701" w:rsidRDefault="007F3ED5" w:rsidP="007A6EC8">
            <w:pPr>
              <w:pStyle w:val="Heading2"/>
              <w:spacing w:before="40" w:after="0"/>
              <w:ind w:left="0" w:firstLine="0"/>
              <w:rPr>
                <w:b w:val="0"/>
                <w:sz w:val="27"/>
                <w:szCs w:val="27"/>
              </w:rPr>
            </w:pPr>
            <w:r w:rsidRPr="00B11701">
              <w:rPr>
                <w:rFonts w:ascii="Arial" w:hAnsi="Arial" w:cs="Arial"/>
                <w:noProof/>
                <w:sz w:val="27"/>
                <w:szCs w:val="27"/>
              </w:rPr>
              <w:t xml:space="preserve">UNITED </w:t>
            </w:r>
            <w:r w:rsidRPr="00B11701">
              <w:rPr>
                <w:rFonts w:ascii="Arial" w:hAnsi="Arial" w:cs="Arial"/>
                <w:noProof/>
                <w:sz w:val="27"/>
                <w:szCs w:val="27"/>
              </w:rPr>
              <w:br/>
              <w:t>NATIONS</w:t>
            </w:r>
          </w:p>
        </w:tc>
        <w:tc>
          <w:tcPr>
            <w:tcW w:w="6773" w:type="dxa"/>
            <w:gridSpan w:val="2"/>
            <w:tcBorders>
              <w:left w:val="nil"/>
            </w:tcBorders>
          </w:tcPr>
          <w:p w:rsidR="007F3ED5" w:rsidRPr="00B11701" w:rsidRDefault="007F3ED5" w:rsidP="007A6EC8">
            <w:pPr>
              <w:spacing w:before="40"/>
            </w:pPr>
            <w:r w:rsidRPr="00B11701">
              <w:rPr>
                <w:noProof/>
                <w:lang w:eastAsia="en-GB"/>
              </w:rPr>
              <w:drawing>
                <wp:inline distT="0" distB="0" distL="0" distR="0" wp14:anchorId="388C24E9" wp14:editId="7370D290">
                  <wp:extent cx="584835" cy="551815"/>
                  <wp:effectExtent l="0" t="0" r="5715" b="635"/>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551815"/>
                          </a:xfrm>
                          <a:prstGeom prst="rect">
                            <a:avLst/>
                          </a:prstGeom>
                          <a:noFill/>
                          <a:ln>
                            <a:noFill/>
                          </a:ln>
                        </pic:spPr>
                      </pic:pic>
                    </a:graphicData>
                  </a:graphic>
                </wp:inline>
              </w:drawing>
            </w:r>
            <w:r w:rsidRPr="00B11701">
              <w:rPr>
                <w:noProof/>
                <w:lang w:eastAsia="en-GB"/>
              </w:rPr>
              <w:drawing>
                <wp:inline distT="0" distB="0" distL="0" distR="0" wp14:anchorId="4A4AC8EF" wp14:editId="320B64F2">
                  <wp:extent cx="510540" cy="560070"/>
                  <wp:effectExtent l="0" t="0" r="3810" b="0"/>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560070"/>
                          </a:xfrm>
                          <a:prstGeom prst="rect">
                            <a:avLst/>
                          </a:prstGeom>
                          <a:noFill/>
                          <a:ln>
                            <a:noFill/>
                          </a:ln>
                        </pic:spPr>
                      </pic:pic>
                    </a:graphicData>
                  </a:graphic>
                </wp:inline>
              </w:drawing>
            </w:r>
            <w:r w:rsidRPr="00B11701">
              <w:rPr>
                <w:noProof/>
                <w:sz w:val="16"/>
                <w:szCs w:val="16"/>
                <w:lang w:eastAsia="en-GB"/>
              </w:rPr>
              <w:drawing>
                <wp:inline distT="0" distB="0" distL="0" distR="0" wp14:anchorId="7A2C75DF" wp14:editId="16B2E3AD">
                  <wp:extent cx="2026285" cy="576580"/>
                  <wp:effectExtent l="0" t="0" r="0" b="0"/>
                  <wp:docPr id="3" name="Image 2"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FAO_logo_Black_3lines_en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285" cy="576580"/>
                          </a:xfrm>
                          <a:prstGeom prst="rect">
                            <a:avLst/>
                          </a:prstGeom>
                          <a:noFill/>
                          <a:ln>
                            <a:noFill/>
                          </a:ln>
                        </pic:spPr>
                      </pic:pic>
                    </a:graphicData>
                  </a:graphic>
                </wp:inline>
              </w:drawing>
            </w:r>
          </w:p>
        </w:tc>
        <w:tc>
          <w:tcPr>
            <w:tcW w:w="1607" w:type="dxa"/>
          </w:tcPr>
          <w:p w:rsidR="007F3ED5" w:rsidRPr="00B11701" w:rsidRDefault="007F3ED5" w:rsidP="007A6EC8">
            <w:pPr>
              <w:pStyle w:val="Heading2"/>
              <w:spacing w:before="40" w:after="0"/>
              <w:ind w:left="0" w:firstLine="0"/>
              <w:jc w:val="right"/>
              <w:rPr>
                <w:rFonts w:ascii="Arial" w:hAnsi="Arial" w:cs="Arial"/>
                <w:sz w:val="64"/>
                <w:szCs w:val="64"/>
              </w:rPr>
            </w:pPr>
            <w:r w:rsidRPr="00B11701">
              <w:rPr>
                <w:rFonts w:ascii="Arial" w:hAnsi="Arial" w:cs="Arial"/>
                <w:sz w:val="64"/>
                <w:szCs w:val="64"/>
              </w:rPr>
              <w:t>RC</w:t>
            </w:r>
          </w:p>
        </w:tc>
      </w:tr>
      <w:tr w:rsidR="007F3ED5" w:rsidRPr="00B11701" w:rsidTr="00267C20">
        <w:trPr>
          <w:cantSplit/>
          <w:trHeight w:val="282"/>
          <w:jc w:val="right"/>
        </w:trPr>
        <w:tc>
          <w:tcPr>
            <w:tcW w:w="1538" w:type="dxa"/>
            <w:tcBorders>
              <w:bottom w:val="single" w:sz="2" w:space="0" w:color="auto"/>
            </w:tcBorders>
          </w:tcPr>
          <w:p w:rsidR="007F3ED5" w:rsidRPr="00B11701" w:rsidRDefault="007F3ED5" w:rsidP="007A6EC8">
            <w:pPr>
              <w:rPr>
                <w:noProof/>
              </w:rPr>
            </w:pPr>
          </w:p>
        </w:tc>
        <w:tc>
          <w:tcPr>
            <w:tcW w:w="5004" w:type="dxa"/>
            <w:tcBorders>
              <w:bottom w:val="single" w:sz="2" w:space="0" w:color="auto"/>
            </w:tcBorders>
          </w:tcPr>
          <w:p w:rsidR="007F3ED5" w:rsidRPr="00B11701" w:rsidRDefault="007F3ED5" w:rsidP="007A6EC8">
            <w:pPr>
              <w:rPr>
                <w:rFonts w:ascii="Univers" w:hAnsi="Univers"/>
                <w:b/>
                <w:sz w:val="24"/>
              </w:rPr>
            </w:pPr>
          </w:p>
        </w:tc>
        <w:tc>
          <w:tcPr>
            <w:tcW w:w="3376" w:type="dxa"/>
            <w:gridSpan w:val="2"/>
            <w:tcBorders>
              <w:bottom w:val="single" w:sz="2" w:space="0" w:color="auto"/>
            </w:tcBorders>
          </w:tcPr>
          <w:p w:rsidR="007F3ED5" w:rsidRPr="00B11701" w:rsidRDefault="007F3ED5" w:rsidP="0018672F">
            <w:pPr>
              <w:rPr>
                <w:b/>
                <w:sz w:val="24"/>
                <w:szCs w:val="24"/>
              </w:rPr>
            </w:pPr>
            <w:r w:rsidRPr="00B11701">
              <w:rPr>
                <w:b/>
                <w:sz w:val="28"/>
              </w:rPr>
              <w:t>UNEP/FAO</w:t>
            </w:r>
            <w:r w:rsidRPr="00B11701">
              <w:t>/RC/COP.8/5</w:t>
            </w:r>
            <w:r w:rsidR="0018672F" w:rsidRPr="00B11701">
              <w:t>/</w:t>
            </w:r>
            <w:r w:rsidR="00267C20" w:rsidRPr="00B11701">
              <w:t>Rev.1</w:t>
            </w:r>
          </w:p>
        </w:tc>
      </w:tr>
      <w:tr w:rsidR="007F3ED5" w:rsidRPr="00B11701" w:rsidTr="00267C20">
        <w:trPr>
          <w:cantSplit/>
          <w:trHeight w:val="1472"/>
          <w:jc w:val="right"/>
        </w:trPr>
        <w:tc>
          <w:tcPr>
            <w:tcW w:w="1538" w:type="dxa"/>
            <w:tcBorders>
              <w:top w:val="single" w:sz="2" w:space="0" w:color="auto"/>
              <w:bottom w:val="single" w:sz="24" w:space="0" w:color="auto"/>
            </w:tcBorders>
          </w:tcPr>
          <w:p w:rsidR="007F3ED5" w:rsidRPr="00B11701" w:rsidRDefault="007F3ED5" w:rsidP="007A6EC8">
            <w:pPr>
              <w:spacing w:before="240"/>
            </w:pPr>
            <w:r w:rsidRPr="00B11701">
              <w:rPr>
                <w:noProof/>
                <w:lang w:eastAsia="en-GB"/>
              </w:rPr>
              <w:drawing>
                <wp:inline distT="0" distB="0" distL="0" distR="0" wp14:anchorId="67D51A78" wp14:editId="75655764">
                  <wp:extent cx="584835" cy="510540"/>
                  <wp:effectExtent l="0" t="0" r="5715" b="3810"/>
                  <wp:docPr id="4" name="Picture 4"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835" cy="510540"/>
                          </a:xfrm>
                          <a:prstGeom prst="rect">
                            <a:avLst/>
                          </a:prstGeom>
                          <a:noFill/>
                          <a:ln>
                            <a:noFill/>
                          </a:ln>
                        </pic:spPr>
                      </pic:pic>
                    </a:graphicData>
                  </a:graphic>
                </wp:inline>
              </w:drawing>
            </w:r>
          </w:p>
        </w:tc>
        <w:tc>
          <w:tcPr>
            <w:tcW w:w="5004" w:type="dxa"/>
            <w:tcBorders>
              <w:top w:val="single" w:sz="2" w:space="0" w:color="auto"/>
              <w:bottom w:val="single" w:sz="24" w:space="0" w:color="auto"/>
            </w:tcBorders>
          </w:tcPr>
          <w:p w:rsidR="007F3ED5" w:rsidRPr="00B11701" w:rsidRDefault="007F3ED5" w:rsidP="007A6EC8">
            <w:pPr>
              <w:spacing w:before="240" w:after="240"/>
              <w:rPr>
                <w:rFonts w:ascii="Arial" w:hAnsi="Arial" w:cs="Arial"/>
                <w:b/>
                <w:sz w:val="28"/>
                <w:szCs w:val="28"/>
              </w:rPr>
            </w:pPr>
            <w:r w:rsidRPr="00B11701">
              <w:rPr>
                <w:rFonts w:ascii="Arial" w:hAnsi="Arial" w:cs="Arial"/>
                <w:b/>
                <w:sz w:val="28"/>
                <w:szCs w:val="28"/>
              </w:rPr>
              <w:t>Rotterdam Convention on the Prior Informed Consent Procedure for Certain Hazardous Chemicals and Pesticides in International Trade</w:t>
            </w:r>
          </w:p>
        </w:tc>
        <w:tc>
          <w:tcPr>
            <w:tcW w:w="3376" w:type="dxa"/>
            <w:gridSpan w:val="2"/>
            <w:tcBorders>
              <w:top w:val="single" w:sz="2" w:space="0" w:color="auto"/>
              <w:bottom w:val="single" w:sz="24" w:space="0" w:color="auto"/>
            </w:tcBorders>
          </w:tcPr>
          <w:p w:rsidR="00565AE7" w:rsidRPr="00B11701" w:rsidRDefault="007F3ED5" w:rsidP="003A0393">
            <w:pPr>
              <w:pStyle w:val="Normal-pool"/>
              <w:spacing w:before="120"/>
            </w:pPr>
            <w:r w:rsidRPr="00B11701">
              <w:t>Distr.: General</w:t>
            </w:r>
            <w:r w:rsidR="00565AE7" w:rsidRPr="00B11701">
              <w:t xml:space="preserve"> </w:t>
            </w:r>
          </w:p>
          <w:p w:rsidR="007F3ED5" w:rsidRPr="00B11701" w:rsidRDefault="00FC62F7" w:rsidP="003A0393">
            <w:pPr>
              <w:pStyle w:val="Normal-pool"/>
            </w:pPr>
            <w:r w:rsidRPr="00B11701">
              <w:t>23 November 2016</w:t>
            </w:r>
          </w:p>
          <w:p w:rsidR="007F3ED5" w:rsidRPr="00B11701" w:rsidRDefault="007F3ED5" w:rsidP="003A0393">
            <w:pPr>
              <w:pStyle w:val="Normal-pool"/>
              <w:spacing w:before="120"/>
            </w:pPr>
            <w:r w:rsidRPr="00B11701">
              <w:t>Original: English</w:t>
            </w:r>
          </w:p>
        </w:tc>
      </w:tr>
    </w:tbl>
    <w:p w:rsidR="007F3ED5" w:rsidRPr="00B11701" w:rsidRDefault="007F3ED5" w:rsidP="00CC6281">
      <w:pPr>
        <w:keepNext/>
        <w:keepLines/>
        <w:tabs>
          <w:tab w:val="clear" w:pos="1247"/>
          <w:tab w:val="clear" w:pos="1814"/>
          <w:tab w:val="clear" w:pos="2381"/>
          <w:tab w:val="clear" w:pos="2948"/>
          <w:tab w:val="clear" w:pos="3515"/>
        </w:tabs>
        <w:suppressAutoHyphens/>
        <w:ind w:right="4393"/>
        <w:rPr>
          <w:b/>
        </w:rPr>
      </w:pPr>
      <w:r w:rsidRPr="00B11701">
        <w:rPr>
          <w:b/>
        </w:rPr>
        <w:t>Conference of the Parties to the</w:t>
      </w:r>
      <w:r w:rsidR="00CC6281" w:rsidRPr="00B11701">
        <w:rPr>
          <w:b/>
        </w:rPr>
        <w:t xml:space="preserve"> </w:t>
      </w:r>
      <w:r w:rsidRPr="00B11701">
        <w:rPr>
          <w:b/>
        </w:rPr>
        <w:t xml:space="preserve">Rotterdam Convention </w:t>
      </w:r>
      <w:r w:rsidR="00CC6281" w:rsidRPr="00B11701">
        <w:rPr>
          <w:b/>
        </w:rPr>
        <w:br/>
      </w:r>
      <w:r w:rsidRPr="00B11701">
        <w:rPr>
          <w:b/>
        </w:rPr>
        <w:t>on the Prior</w:t>
      </w:r>
      <w:r w:rsidR="00CC6281" w:rsidRPr="00B11701">
        <w:rPr>
          <w:b/>
        </w:rPr>
        <w:t xml:space="preserve"> </w:t>
      </w:r>
      <w:r w:rsidRPr="00B11701">
        <w:rPr>
          <w:b/>
        </w:rPr>
        <w:t>Informed Consent Procedure for Certain</w:t>
      </w:r>
      <w:r w:rsidRPr="00B11701">
        <w:rPr>
          <w:b/>
        </w:rPr>
        <w:br/>
        <w:t>Hazardous Chemicals and Pesticides in</w:t>
      </w:r>
      <w:r w:rsidR="00CC6281" w:rsidRPr="00B11701">
        <w:rPr>
          <w:b/>
        </w:rPr>
        <w:t xml:space="preserve"> </w:t>
      </w:r>
      <w:r w:rsidRPr="00B11701">
        <w:rPr>
          <w:b/>
        </w:rPr>
        <w:t>International Trade</w:t>
      </w:r>
    </w:p>
    <w:p w:rsidR="007F3ED5" w:rsidRPr="00B11701" w:rsidRDefault="007F3ED5" w:rsidP="007F3ED5">
      <w:pPr>
        <w:pStyle w:val="AATitle"/>
        <w:keepNext w:val="0"/>
        <w:keepLines w:val="0"/>
      </w:pPr>
      <w:r w:rsidRPr="00B11701">
        <w:t>Eighth meeting</w:t>
      </w:r>
    </w:p>
    <w:p w:rsidR="007F3ED5" w:rsidRPr="00B11701" w:rsidRDefault="007F3ED5" w:rsidP="007F3ED5">
      <w:pPr>
        <w:pStyle w:val="AATitle"/>
        <w:keepNext w:val="0"/>
        <w:keepLines w:val="0"/>
        <w:rPr>
          <w:b w:val="0"/>
        </w:rPr>
      </w:pPr>
      <w:r w:rsidRPr="00B11701">
        <w:rPr>
          <w:b w:val="0"/>
        </w:rPr>
        <w:t>Geneva, 24 April–5 May 2017</w:t>
      </w:r>
    </w:p>
    <w:p w:rsidR="007F3ED5" w:rsidRPr="00B11701" w:rsidRDefault="007F3ED5" w:rsidP="0018672F">
      <w:pPr>
        <w:pStyle w:val="AATitle"/>
        <w:keepNext w:val="0"/>
        <w:keepLines w:val="0"/>
        <w:rPr>
          <w:b w:val="0"/>
        </w:rPr>
      </w:pPr>
      <w:r w:rsidRPr="00B11701">
        <w:rPr>
          <w:b w:val="0"/>
        </w:rPr>
        <w:t>Item</w:t>
      </w:r>
      <w:r w:rsidR="00C41D71" w:rsidRPr="00B11701">
        <w:rPr>
          <w:b w:val="0"/>
        </w:rPr>
        <w:t xml:space="preserve"> 5 (a) of the provisional agenda</w:t>
      </w:r>
      <w:r w:rsidR="0018672F" w:rsidRPr="00B11701">
        <w:rPr>
          <w:rStyle w:val="FootnoteReference"/>
          <w:b w:val="0"/>
          <w:vertAlign w:val="baseline"/>
        </w:rPr>
        <w:footnoteReference w:customMarkFollows="1" w:id="2"/>
        <w:sym w:font="Symbol" w:char="F02A"/>
      </w:r>
    </w:p>
    <w:p w:rsidR="007F3ED5" w:rsidRPr="00B11701" w:rsidRDefault="007F3ED5" w:rsidP="003A0393">
      <w:pPr>
        <w:pStyle w:val="AATitle2"/>
        <w:tabs>
          <w:tab w:val="clear" w:pos="1247"/>
          <w:tab w:val="clear" w:pos="1814"/>
          <w:tab w:val="clear" w:pos="2381"/>
          <w:tab w:val="clear" w:pos="2948"/>
          <w:tab w:val="clear" w:pos="3515"/>
          <w:tab w:val="left" w:pos="624"/>
        </w:tabs>
        <w:spacing w:before="60" w:after="60"/>
        <w:rPr>
          <w:bCs/>
        </w:rPr>
      </w:pPr>
      <w:r w:rsidRPr="00B11701">
        <w:t xml:space="preserve">Matters related to the </w:t>
      </w:r>
      <w:r w:rsidRPr="00B11701">
        <w:rPr>
          <w:rFonts w:eastAsia="MS Mincho"/>
        </w:rPr>
        <w:t>implementation</w:t>
      </w:r>
      <w:r w:rsidRPr="00B11701">
        <w:t xml:space="preserve"> of the Convention: status of implementation</w:t>
      </w:r>
    </w:p>
    <w:p w:rsidR="007F3ED5" w:rsidRPr="00B11701" w:rsidRDefault="007F3ED5" w:rsidP="00CC6281">
      <w:pPr>
        <w:pStyle w:val="BBTitle"/>
      </w:pPr>
      <w:r w:rsidRPr="00B11701">
        <w:t xml:space="preserve">Proposal for activities to increase </w:t>
      </w:r>
      <w:r w:rsidR="000F2A2B" w:rsidRPr="00B11701">
        <w:t xml:space="preserve">the number of </w:t>
      </w:r>
      <w:r w:rsidRPr="00B11701">
        <w:t>notifications of final regulatory action</w:t>
      </w:r>
    </w:p>
    <w:p w:rsidR="007F3ED5" w:rsidRPr="00B11701" w:rsidRDefault="007F3ED5" w:rsidP="007F3ED5">
      <w:pPr>
        <w:pStyle w:val="CH2"/>
        <w:keepNext w:val="0"/>
        <w:keepLines w:val="0"/>
        <w:spacing w:before="240"/>
      </w:pPr>
      <w:r w:rsidRPr="00B11701">
        <w:tab/>
      </w:r>
      <w:r w:rsidRPr="00B11701">
        <w:tab/>
        <w:t>Note by the Secretariat</w:t>
      </w:r>
    </w:p>
    <w:p w:rsidR="00C87E32" w:rsidRPr="00B11701" w:rsidRDefault="007F3ED5" w:rsidP="00990C59">
      <w:pPr>
        <w:pStyle w:val="CH1"/>
      </w:pPr>
      <w:r w:rsidRPr="00B11701">
        <w:tab/>
        <w:t>I.</w:t>
      </w:r>
      <w:r w:rsidRPr="00B11701">
        <w:tab/>
        <w:t>Introduction</w:t>
      </w:r>
    </w:p>
    <w:p w:rsidR="00C87E32" w:rsidRPr="00B11701" w:rsidRDefault="007F3ED5" w:rsidP="00AD33C6">
      <w:pPr>
        <w:pStyle w:val="Normalnumber"/>
        <w:tabs>
          <w:tab w:val="clear" w:pos="1134"/>
        </w:tabs>
      </w:pPr>
      <w:r w:rsidRPr="00B11701">
        <w:t xml:space="preserve">At </w:t>
      </w:r>
      <w:r w:rsidR="00BB37BA" w:rsidRPr="00B11701">
        <w:t xml:space="preserve">its </w:t>
      </w:r>
      <w:r w:rsidRPr="00B11701">
        <w:t>seventh meeting</w:t>
      </w:r>
      <w:r w:rsidR="00BB37BA" w:rsidRPr="00B11701">
        <w:t>, in decision RC-7/1,</w:t>
      </w:r>
      <w:r w:rsidRPr="00B11701">
        <w:t xml:space="preserve"> </w:t>
      </w:r>
      <w:r w:rsidR="00B52A60" w:rsidRPr="00B11701">
        <w:t xml:space="preserve">on a proposal for activities to increase notifications of final regulatory action, </w:t>
      </w:r>
      <w:r w:rsidRPr="00B11701">
        <w:t>the Conference of the Parties to the Rotterdam Convention on the Prior Informed Consent Procedure for Certain Hazardous Chemicals and Pesticides in International Trade, among other things, urged Parties to exchange information in accordance with the provisions of the Convention by submitting notifications of final regulatory action for banned or severely restricted chemicals.</w:t>
      </w:r>
      <w:r w:rsidR="00990C59" w:rsidRPr="00B11701">
        <w:t xml:space="preserve"> </w:t>
      </w:r>
    </w:p>
    <w:p w:rsidR="007F3ED5" w:rsidRPr="00B11701" w:rsidRDefault="00BB37BA" w:rsidP="00C41D71">
      <w:pPr>
        <w:pStyle w:val="Normalnumber"/>
        <w:tabs>
          <w:tab w:val="clear" w:pos="1134"/>
        </w:tabs>
      </w:pPr>
      <w:r w:rsidRPr="00B11701">
        <w:t>In the d</w:t>
      </w:r>
      <w:r w:rsidR="007F3ED5" w:rsidRPr="00B11701">
        <w:t>ecision</w:t>
      </w:r>
      <w:r w:rsidRPr="00B11701">
        <w:t>, the Conference of the Parties</w:t>
      </w:r>
      <w:r w:rsidR="007F3ED5" w:rsidRPr="00B11701">
        <w:t xml:space="preserve"> requested the Secretariat to collect various types of information, including: </w:t>
      </w:r>
    </w:p>
    <w:p w:rsidR="00C87E32" w:rsidRPr="00B11701" w:rsidRDefault="007F3ED5" w:rsidP="003A0393">
      <w:pPr>
        <w:pStyle w:val="Normalnumber"/>
        <w:numPr>
          <w:ilvl w:val="1"/>
          <w:numId w:val="4"/>
        </w:numPr>
        <w:tabs>
          <w:tab w:val="clear" w:pos="1134"/>
        </w:tabs>
        <w:ind w:firstLine="624"/>
      </w:pPr>
      <w:r w:rsidRPr="00B11701">
        <w:t>Scientific and technical information for risk assessmen</w:t>
      </w:r>
      <w:r w:rsidR="00267C20" w:rsidRPr="00B11701">
        <w:t>t</w:t>
      </w:r>
      <w:r w:rsidRPr="00B11701">
        <w:t xml:space="preserve"> and decision-making;</w:t>
      </w:r>
    </w:p>
    <w:p w:rsidR="00C87E32" w:rsidRPr="00B11701" w:rsidRDefault="00966A27" w:rsidP="003A0393">
      <w:pPr>
        <w:pStyle w:val="Normalnumber"/>
        <w:numPr>
          <w:ilvl w:val="1"/>
          <w:numId w:val="4"/>
        </w:numPr>
        <w:ind w:firstLine="624"/>
      </w:pPr>
      <w:r w:rsidRPr="00B11701">
        <w:t>N</w:t>
      </w:r>
      <w:r w:rsidR="007F3ED5" w:rsidRPr="00B11701">
        <w:t>ational legislation and other measures adopted by Parties to implement the Convention.</w:t>
      </w:r>
    </w:p>
    <w:p w:rsidR="007F3ED5" w:rsidRPr="00B11701" w:rsidRDefault="007F3ED5" w:rsidP="003A0393">
      <w:pPr>
        <w:pStyle w:val="Normalnumber"/>
        <w:tabs>
          <w:tab w:val="clear" w:pos="1134"/>
        </w:tabs>
      </w:pPr>
      <w:r w:rsidRPr="00B11701">
        <w:t>In addition, the Conference of the Parties requested the Secretariat to provide assistance to Parties</w:t>
      </w:r>
      <w:r w:rsidR="00BB37BA" w:rsidRPr="00B11701">
        <w:t>,</w:t>
      </w:r>
      <w:r w:rsidRPr="00B11701">
        <w:t xml:space="preserve"> upon request</w:t>
      </w:r>
      <w:r w:rsidR="00BB37BA" w:rsidRPr="00B11701">
        <w:t>, in order</w:t>
      </w:r>
      <w:r w:rsidRPr="00B11701">
        <w:t xml:space="preserve"> to facilitate an increase in the number of notifications of final regulatory action and to include in its technical assistance programme: </w:t>
      </w:r>
    </w:p>
    <w:p w:rsidR="007F3ED5" w:rsidRPr="00B11701" w:rsidRDefault="007F3ED5" w:rsidP="003A0393">
      <w:pPr>
        <w:pStyle w:val="Normalnumber"/>
        <w:numPr>
          <w:ilvl w:val="1"/>
          <w:numId w:val="1"/>
        </w:numPr>
        <w:tabs>
          <w:tab w:val="clear" w:pos="1134"/>
        </w:tabs>
        <w:ind w:firstLine="624"/>
      </w:pPr>
      <w:r w:rsidRPr="00B11701">
        <w:t>Activities to support Parties in strengthening national coordination mechanisms for decision-making</w:t>
      </w:r>
      <w:r w:rsidR="0077012F" w:rsidRPr="00B11701">
        <w:t>;</w:t>
      </w:r>
    </w:p>
    <w:p w:rsidR="007F3ED5" w:rsidRPr="00B11701" w:rsidRDefault="007F3ED5" w:rsidP="003A0393">
      <w:pPr>
        <w:pStyle w:val="Normalnumber"/>
        <w:numPr>
          <w:ilvl w:val="1"/>
          <w:numId w:val="1"/>
        </w:numPr>
        <w:tabs>
          <w:tab w:val="clear" w:pos="1134"/>
        </w:tabs>
        <w:ind w:firstLine="624"/>
        <w:rPr>
          <w:iCs/>
        </w:rPr>
      </w:pPr>
      <w:r w:rsidRPr="00B11701">
        <w:t>Activities to advise Parties on the use of risk evaluations and exposure assessments completed in other countries and the use of international risk evaluations as bridging information to support their submissions</w:t>
      </w:r>
      <w:r w:rsidR="008747BD" w:rsidRPr="00B11701">
        <w:rPr>
          <w:iCs/>
        </w:rPr>
        <w:t xml:space="preserve"> in respect of notifications of final regulatory action</w:t>
      </w:r>
      <w:r w:rsidRPr="00B11701">
        <w:rPr>
          <w:iCs/>
        </w:rPr>
        <w:t>.</w:t>
      </w:r>
    </w:p>
    <w:p w:rsidR="007F3ED5" w:rsidRPr="00B11701" w:rsidRDefault="007F3ED5" w:rsidP="00C41D71">
      <w:pPr>
        <w:pStyle w:val="Normalnumber"/>
        <w:numPr>
          <w:ilvl w:val="0"/>
          <w:numId w:val="1"/>
        </w:numPr>
        <w:tabs>
          <w:tab w:val="clear" w:pos="624"/>
          <w:tab w:val="clear" w:pos="1134"/>
        </w:tabs>
      </w:pPr>
      <w:r w:rsidRPr="00B11701">
        <w:t>Furthermore, the Secretariat was requested to carry out</w:t>
      </w:r>
      <w:r w:rsidR="00BB37BA" w:rsidRPr="00B11701">
        <w:t>, subject to the availability of resources,</w:t>
      </w:r>
      <w:r w:rsidRPr="00B11701">
        <w:t xml:space="preserve"> a survey on the final regulatory actions adopted by Parties and to make the results of the survey available to all Parties by publishing them on the website of the Convention. The Secretariat was also requested to </w:t>
      </w:r>
      <w:r w:rsidRPr="00B11701">
        <w:rPr>
          <w:iCs/>
        </w:rPr>
        <w:t>identify the main constraints faced by Parties when implementing Article 5 of the Convention</w:t>
      </w:r>
      <w:r w:rsidRPr="00B11701">
        <w:t>.</w:t>
      </w:r>
    </w:p>
    <w:p w:rsidR="007F3ED5" w:rsidRPr="00B11701" w:rsidRDefault="007F3ED5" w:rsidP="00E244EF">
      <w:pPr>
        <w:pStyle w:val="CH1"/>
      </w:pPr>
      <w:r w:rsidRPr="00B11701">
        <w:lastRenderedPageBreak/>
        <w:tab/>
        <w:t>II.</w:t>
      </w:r>
      <w:r w:rsidRPr="00B11701">
        <w:tab/>
        <w:t>Implementation</w:t>
      </w:r>
    </w:p>
    <w:p w:rsidR="00C87E32" w:rsidRPr="00B11701" w:rsidRDefault="00BB37BA" w:rsidP="00990C59">
      <w:pPr>
        <w:pStyle w:val="Normalnumber"/>
        <w:numPr>
          <w:ilvl w:val="0"/>
          <w:numId w:val="0"/>
        </w:numPr>
        <w:ind w:left="1240" w:hanging="1240"/>
        <w:rPr>
          <w:b/>
          <w:iCs/>
        </w:rPr>
      </w:pPr>
      <w:r w:rsidRPr="00B11701">
        <w:rPr>
          <w:b/>
          <w:iCs/>
        </w:rPr>
        <w:tab/>
        <w:t>A.</w:t>
      </w:r>
      <w:r w:rsidRPr="00B11701">
        <w:rPr>
          <w:b/>
          <w:iCs/>
        </w:rPr>
        <w:tab/>
      </w:r>
      <w:r w:rsidR="0029537D" w:rsidRPr="00B11701">
        <w:rPr>
          <w:b/>
          <w:iCs/>
        </w:rPr>
        <w:t>Collection of information on final regulatory action</w:t>
      </w:r>
    </w:p>
    <w:p w:rsidR="007F3ED5" w:rsidRPr="00B11701" w:rsidRDefault="007F3ED5" w:rsidP="003A0393">
      <w:pPr>
        <w:pStyle w:val="Normalnumber"/>
        <w:tabs>
          <w:tab w:val="clear" w:pos="1134"/>
        </w:tabs>
      </w:pPr>
      <w:r w:rsidRPr="00B11701">
        <w:t xml:space="preserve">As part of </w:t>
      </w:r>
      <w:r w:rsidR="00C20F1C" w:rsidRPr="00B11701">
        <w:t>its effort</w:t>
      </w:r>
      <w:r w:rsidR="00D51680" w:rsidRPr="00B11701">
        <w:t>s</w:t>
      </w:r>
      <w:r w:rsidR="00C20F1C" w:rsidRPr="00B11701">
        <w:t xml:space="preserve"> to collect </w:t>
      </w:r>
      <w:r w:rsidRPr="00B11701">
        <w:t xml:space="preserve">information pursuant to paragraph 4 (a) of decision RC-7/1, </w:t>
      </w:r>
      <w:r w:rsidR="00BB37BA" w:rsidRPr="00B11701">
        <w:t xml:space="preserve">the Secretariat, </w:t>
      </w:r>
      <w:r w:rsidRPr="00B11701">
        <w:t>in a letter dated 6 July 2015</w:t>
      </w:r>
      <w:r w:rsidR="00BB37BA" w:rsidRPr="00B11701">
        <w:t>,</w:t>
      </w:r>
      <w:r w:rsidRPr="00B11701">
        <w:rPr>
          <w:vertAlign w:val="superscript"/>
        </w:rPr>
        <w:footnoteReference w:id="3"/>
      </w:r>
      <w:r w:rsidRPr="00B11701">
        <w:t xml:space="preserve"> invited Parties to provide supporting documentation for notifications of final regulatory action, including scientific and technical information considered in their evaluation of risks, for those chemicals </w:t>
      </w:r>
      <w:r w:rsidR="0067701E" w:rsidRPr="00B11701">
        <w:t xml:space="preserve">for which </w:t>
      </w:r>
      <w:r w:rsidRPr="00B11701">
        <w:t>a second notification</w:t>
      </w:r>
      <w:r w:rsidR="008C1188" w:rsidRPr="00B11701">
        <w:t>,</w:t>
      </w:r>
      <w:r w:rsidRPr="00B11701">
        <w:t xml:space="preserve"> from a </w:t>
      </w:r>
      <w:r w:rsidR="00C20F1C" w:rsidRPr="00B11701">
        <w:t>p</w:t>
      </w:r>
      <w:r w:rsidR="0067701E" w:rsidRPr="00B11701">
        <w:t xml:space="preserve">rior </w:t>
      </w:r>
      <w:r w:rsidR="00C20F1C" w:rsidRPr="00B11701">
        <w:t>i</w:t>
      </w:r>
      <w:r w:rsidR="0067701E" w:rsidRPr="00B11701">
        <w:t xml:space="preserve">nformed </w:t>
      </w:r>
      <w:r w:rsidR="00C20F1C" w:rsidRPr="00B11701">
        <w:t>c</w:t>
      </w:r>
      <w:r w:rsidR="0067701E" w:rsidRPr="00B11701">
        <w:t>onsent (</w:t>
      </w:r>
      <w:r w:rsidRPr="00B11701">
        <w:t>PIC</w:t>
      </w:r>
      <w:r w:rsidR="0067701E" w:rsidRPr="00B11701">
        <w:t>)</w:t>
      </w:r>
      <w:r w:rsidRPr="00B11701">
        <w:t xml:space="preserve"> region </w:t>
      </w:r>
      <w:r w:rsidR="008C1188" w:rsidRPr="00B11701">
        <w:t xml:space="preserve">other than that from which the first notification came, </w:t>
      </w:r>
      <w:r w:rsidR="0067701E" w:rsidRPr="00B11701">
        <w:t>was</w:t>
      </w:r>
      <w:r w:rsidRPr="00B11701">
        <w:t xml:space="preserve"> required </w:t>
      </w:r>
      <w:r w:rsidR="00C20F1C" w:rsidRPr="00B11701">
        <w:t>to trigger</w:t>
      </w:r>
      <w:r w:rsidR="000C002C" w:rsidRPr="00B11701">
        <w:t xml:space="preserve"> a</w:t>
      </w:r>
      <w:r w:rsidR="00C20F1C" w:rsidRPr="00B11701">
        <w:t xml:space="preserve"> </w:t>
      </w:r>
      <w:r w:rsidRPr="00B11701">
        <w:t xml:space="preserve">review </w:t>
      </w:r>
      <w:r w:rsidR="008C1188" w:rsidRPr="00B11701">
        <w:t xml:space="preserve">of the chemicals </w:t>
      </w:r>
      <w:r w:rsidRPr="00B11701">
        <w:t xml:space="preserve">by the Chemical Review Committee. </w:t>
      </w:r>
      <w:r w:rsidR="0067701E" w:rsidRPr="00B11701">
        <w:t>In a</w:t>
      </w:r>
      <w:r w:rsidRPr="00B11701">
        <w:t xml:space="preserve">ddition, the Secretariat </w:t>
      </w:r>
      <w:r w:rsidR="00801FD8" w:rsidRPr="00B11701">
        <w:t xml:space="preserve">has </w:t>
      </w:r>
      <w:r w:rsidRPr="00B11701">
        <w:t xml:space="preserve">collected scientific literature on chemicals that have been reviewed under the Rotterdam </w:t>
      </w:r>
      <w:r w:rsidR="0067701E" w:rsidRPr="00B11701">
        <w:t xml:space="preserve">Convention </w:t>
      </w:r>
      <w:r w:rsidRPr="00B11701">
        <w:t>and</w:t>
      </w:r>
      <w:r w:rsidR="0067701E" w:rsidRPr="00B11701">
        <w:t xml:space="preserve"> the</w:t>
      </w:r>
      <w:r w:rsidRPr="00B11701">
        <w:t xml:space="preserve"> Stockholm Convention</w:t>
      </w:r>
      <w:r w:rsidR="0067701E" w:rsidRPr="00B11701">
        <w:t xml:space="preserve"> on Persistent Organic Pollutants</w:t>
      </w:r>
      <w:r w:rsidRPr="00B11701">
        <w:t xml:space="preserve">. </w:t>
      </w:r>
    </w:p>
    <w:p w:rsidR="007F3ED5" w:rsidRPr="00B11701" w:rsidRDefault="007F3ED5" w:rsidP="003A0393">
      <w:pPr>
        <w:pStyle w:val="Normalnumber"/>
        <w:tabs>
          <w:tab w:val="clear" w:pos="1134"/>
        </w:tabs>
      </w:pPr>
      <w:r w:rsidRPr="00B11701">
        <w:t xml:space="preserve">In order </w:t>
      </w:r>
      <w:r w:rsidR="007F25B1" w:rsidRPr="00B11701">
        <w:t>to give</w:t>
      </w:r>
      <w:r w:rsidRPr="00B11701">
        <w:t xml:space="preserve"> Parties user-friendly access to this and other related scientific information sources and tools, the Secretariat developed the </w:t>
      </w:r>
      <w:r w:rsidR="00507368" w:rsidRPr="00B11701">
        <w:t>f</w:t>
      </w:r>
      <w:r w:rsidRPr="00B11701">
        <w:t xml:space="preserve">inal </w:t>
      </w:r>
      <w:r w:rsidR="00507368" w:rsidRPr="00B11701">
        <w:t>r</w:t>
      </w:r>
      <w:r w:rsidRPr="00B11701">
        <w:t xml:space="preserve">egulatory </w:t>
      </w:r>
      <w:r w:rsidR="00507368" w:rsidRPr="00B11701">
        <w:t>a</w:t>
      </w:r>
      <w:r w:rsidRPr="00B11701">
        <w:t xml:space="preserve">ction (FRA) </w:t>
      </w:r>
      <w:r w:rsidR="00507368" w:rsidRPr="00B11701">
        <w:t>e</w:t>
      </w:r>
      <w:r w:rsidRPr="00B11701">
        <w:t>valuation toolkit</w:t>
      </w:r>
      <w:r w:rsidR="00507368" w:rsidRPr="00B11701">
        <w:rPr>
          <w:vertAlign w:val="superscript"/>
        </w:rPr>
        <w:t>,</w:t>
      </w:r>
      <w:r w:rsidRPr="00B11701">
        <w:rPr>
          <w:vertAlign w:val="superscript"/>
        </w:rPr>
        <w:footnoteReference w:id="4"/>
      </w:r>
      <w:r w:rsidRPr="00B11701">
        <w:t xml:space="preserve"> which is aimed at assisting and enhancing the efforts by designated national authorities</w:t>
      </w:r>
      <w:r w:rsidR="00507368" w:rsidRPr="00B11701">
        <w:t xml:space="preserve"> –</w:t>
      </w:r>
      <w:r w:rsidRPr="00B11701">
        <w:t xml:space="preserve"> especially </w:t>
      </w:r>
      <w:r w:rsidR="00507368" w:rsidRPr="00B11701">
        <w:t xml:space="preserve">those </w:t>
      </w:r>
      <w:r w:rsidRPr="00B11701">
        <w:t>from developing countries</w:t>
      </w:r>
      <w:r w:rsidR="00507368" w:rsidRPr="00B11701">
        <w:t xml:space="preserve"> –</w:t>
      </w:r>
      <w:r w:rsidRPr="00B11701">
        <w:t xml:space="preserve"> to facilitate scientifically sound decision</w:t>
      </w:r>
      <w:r w:rsidR="00507368" w:rsidRPr="00B11701">
        <w:t>-</w:t>
      </w:r>
      <w:r w:rsidRPr="00B11701">
        <w:t xml:space="preserve">making and the submission of notifications of final regulatory action. </w:t>
      </w:r>
      <w:r w:rsidR="00422849" w:rsidRPr="00B11701">
        <w:t xml:space="preserve">A consultative meeting of </w:t>
      </w:r>
      <w:r w:rsidR="0029537D" w:rsidRPr="00B11701">
        <w:t>a number of designated national authorities of developing countries was held in August 2015 to introduce and pilot test the toolkit. A few experts on the work of the Chemical Review Committee w</w:t>
      </w:r>
      <w:r w:rsidR="00422849" w:rsidRPr="00B11701">
        <w:t xml:space="preserve">ere also engaged in the consultation to </w:t>
      </w:r>
      <w:r w:rsidR="0029537D" w:rsidRPr="00B11701">
        <w:t>identify areas for further improvement of the toolkit</w:t>
      </w:r>
      <w:r w:rsidR="00422849" w:rsidRPr="00B11701">
        <w:t xml:space="preserve">. </w:t>
      </w:r>
      <w:r w:rsidRPr="00B11701">
        <w:t xml:space="preserve">Subsequently, two subregional consultations </w:t>
      </w:r>
      <w:r w:rsidR="00001101" w:rsidRPr="00B11701">
        <w:t xml:space="preserve">were held </w:t>
      </w:r>
      <w:r w:rsidRPr="00B11701">
        <w:t>for designated national authorities, one involving four countries in East Africa and the other</w:t>
      </w:r>
      <w:r w:rsidR="00FD60EE" w:rsidRPr="00B11701">
        <w:t xml:space="preserve"> involving</w:t>
      </w:r>
      <w:r w:rsidRPr="00B11701">
        <w:t xml:space="preserve"> seven countries </w:t>
      </w:r>
      <w:r w:rsidR="00FD60EE" w:rsidRPr="00B11701">
        <w:t>in</w:t>
      </w:r>
      <w:r w:rsidRPr="00B11701">
        <w:t xml:space="preserve"> Asia</w:t>
      </w:r>
      <w:r w:rsidR="00FD60EE" w:rsidRPr="00B11701">
        <w:t xml:space="preserve">, with the aim of </w:t>
      </w:r>
      <w:r w:rsidRPr="00B11701">
        <w:t>facilitat</w:t>
      </w:r>
      <w:r w:rsidR="00FD60EE" w:rsidRPr="00B11701">
        <w:t>ing the</w:t>
      </w:r>
      <w:r w:rsidRPr="00B11701">
        <w:t xml:space="preserve"> introduc</w:t>
      </w:r>
      <w:r w:rsidR="00FD60EE" w:rsidRPr="00B11701">
        <w:t>tion of</w:t>
      </w:r>
      <w:r w:rsidRPr="00B11701">
        <w:t xml:space="preserve"> the FRA </w:t>
      </w:r>
      <w:r w:rsidR="00FD60EE" w:rsidRPr="00B11701">
        <w:t>e</w:t>
      </w:r>
      <w:r w:rsidRPr="00B11701">
        <w:t>valuation toolkit and other tools related to</w:t>
      </w:r>
      <w:r w:rsidR="00FD60EE" w:rsidRPr="00B11701">
        <w:t xml:space="preserve"> the</w:t>
      </w:r>
      <w:r w:rsidRPr="00B11701">
        <w:t xml:space="preserve"> sound management of hazardous industrial chemicals and pesticides. Th</w:t>
      </w:r>
      <w:r w:rsidR="00001101" w:rsidRPr="00B11701">
        <w:t>o</w:t>
      </w:r>
      <w:r w:rsidRPr="00B11701">
        <w:t xml:space="preserve">se activities were organized thanks to generous financial support </w:t>
      </w:r>
      <w:r w:rsidR="00FD60EE" w:rsidRPr="00B11701">
        <w:t xml:space="preserve">provided by </w:t>
      </w:r>
      <w:r w:rsidRPr="00B11701">
        <w:t>the European Union.</w:t>
      </w:r>
    </w:p>
    <w:p w:rsidR="00C87E32" w:rsidRPr="00B11701" w:rsidRDefault="00BB37BA" w:rsidP="00990C59">
      <w:pPr>
        <w:pStyle w:val="Normalnumber"/>
        <w:numPr>
          <w:ilvl w:val="0"/>
          <w:numId w:val="0"/>
        </w:numPr>
        <w:ind w:left="1240" w:hanging="1240"/>
        <w:rPr>
          <w:b/>
          <w:iCs/>
        </w:rPr>
      </w:pPr>
      <w:r w:rsidRPr="00B11701">
        <w:rPr>
          <w:b/>
          <w:iCs/>
        </w:rPr>
        <w:tab/>
      </w:r>
      <w:r w:rsidR="0029537D" w:rsidRPr="00B11701">
        <w:rPr>
          <w:b/>
          <w:iCs/>
        </w:rPr>
        <w:t>B.</w:t>
      </w:r>
      <w:r w:rsidR="0029537D" w:rsidRPr="00B11701">
        <w:rPr>
          <w:b/>
          <w:iCs/>
        </w:rPr>
        <w:tab/>
        <w:t>Collection of national legislation and other measures that have been adopted by Parties to implement the Convention</w:t>
      </w:r>
    </w:p>
    <w:p w:rsidR="007F3ED5" w:rsidRPr="00B11701" w:rsidRDefault="00E20098" w:rsidP="003A0393">
      <w:pPr>
        <w:pStyle w:val="Normalnumber"/>
        <w:tabs>
          <w:tab w:val="clear" w:pos="1134"/>
        </w:tabs>
      </w:pPr>
      <w:r w:rsidRPr="00B11701">
        <w:t>The Secretariat has collected the t</w:t>
      </w:r>
      <w:r w:rsidR="007F3ED5" w:rsidRPr="00B11701">
        <w:t>exts of national legislation and other measures adopted by Parties to implement the Convention and made</w:t>
      </w:r>
      <w:r w:rsidRPr="00B11701">
        <w:t xml:space="preserve"> them</w:t>
      </w:r>
      <w:r w:rsidR="007F3ED5" w:rsidRPr="00B11701">
        <w:t xml:space="preserve"> available on the Convention website</w:t>
      </w:r>
      <w:r w:rsidR="00B444F7" w:rsidRPr="00B11701">
        <w:t>.</w:t>
      </w:r>
      <w:r w:rsidR="007F3ED5" w:rsidRPr="00B11701">
        <w:rPr>
          <w:vertAlign w:val="superscript"/>
        </w:rPr>
        <w:footnoteReference w:id="5"/>
      </w:r>
      <w:r w:rsidR="007F3ED5" w:rsidRPr="00B11701">
        <w:rPr>
          <w:vertAlign w:val="superscript"/>
        </w:rPr>
        <w:t xml:space="preserve"> </w:t>
      </w:r>
      <w:r w:rsidR="007F3ED5" w:rsidRPr="00B11701">
        <w:t xml:space="preserve">As </w:t>
      </w:r>
      <w:r w:rsidR="00422849" w:rsidRPr="00B11701">
        <w:t>at</w:t>
      </w:r>
      <w:r w:rsidR="004F4B5A" w:rsidRPr="00B11701">
        <w:t xml:space="preserve"> </w:t>
      </w:r>
      <w:r w:rsidR="0029537D" w:rsidRPr="00B11701">
        <w:t>23</w:t>
      </w:r>
      <w:r w:rsidR="00990C59" w:rsidRPr="00B11701">
        <w:t> </w:t>
      </w:r>
      <w:r w:rsidR="0029537D" w:rsidRPr="00B11701">
        <w:t>November 2016</w:t>
      </w:r>
      <w:r w:rsidR="007F3ED5" w:rsidRPr="00B11701">
        <w:t xml:space="preserve"> the following Parties had transmitted such texts to the Secretariat: Bahrain</w:t>
      </w:r>
      <w:r w:rsidRPr="00B11701">
        <w:t xml:space="preserve">, </w:t>
      </w:r>
      <w:r w:rsidR="007F3ED5" w:rsidRPr="00B11701">
        <w:t>Canada</w:t>
      </w:r>
      <w:r w:rsidRPr="00B11701">
        <w:t>,</w:t>
      </w:r>
      <w:r w:rsidR="007F3ED5" w:rsidRPr="00B11701">
        <w:t xml:space="preserve"> Ecuador and Jordan. </w:t>
      </w:r>
    </w:p>
    <w:p w:rsidR="007F3ED5" w:rsidRPr="00B11701" w:rsidRDefault="007F3ED5" w:rsidP="003A0393">
      <w:pPr>
        <w:pStyle w:val="Normalnumber"/>
        <w:tabs>
          <w:tab w:val="clear" w:pos="1134"/>
        </w:tabs>
      </w:pPr>
      <w:r w:rsidRPr="00B11701">
        <w:t xml:space="preserve">Proposed action pertaining to the transmission and collection of texts of national legislation and other measures to implement the Rotterdam Convention is </w:t>
      </w:r>
      <w:r w:rsidR="004F4B5A" w:rsidRPr="00B11701">
        <w:t>set out</w:t>
      </w:r>
      <w:r w:rsidRPr="00B11701">
        <w:t xml:space="preserve"> in </w:t>
      </w:r>
      <w:r w:rsidR="00E20098" w:rsidRPr="00B11701">
        <w:t>the note by the Secretariat</w:t>
      </w:r>
      <w:r w:rsidRPr="00B11701">
        <w:t xml:space="preserve"> </w:t>
      </w:r>
      <w:r w:rsidR="00E20098" w:rsidRPr="00B11701">
        <w:t>on synergies in preventing and combating illegal traffic and trade in hazardous chemicals and wastes (</w:t>
      </w:r>
      <w:r w:rsidRPr="00B11701">
        <w:t>UNEP/CHW.13/24-UNEP/FAO/RC/COP.8/23-UNEP/POPS/COP.8/2</w:t>
      </w:r>
      <w:r w:rsidR="00E20098" w:rsidRPr="00B11701">
        <w:t>7)</w:t>
      </w:r>
      <w:r w:rsidRPr="00B11701">
        <w:t>.</w:t>
      </w:r>
    </w:p>
    <w:p w:rsidR="00C87E32" w:rsidRPr="00B11701" w:rsidRDefault="00BB37BA" w:rsidP="00990C59">
      <w:pPr>
        <w:pStyle w:val="Normalnumber"/>
        <w:numPr>
          <w:ilvl w:val="0"/>
          <w:numId w:val="0"/>
        </w:numPr>
        <w:ind w:left="1240" w:hanging="1240"/>
        <w:rPr>
          <w:b/>
          <w:iCs/>
        </w:rPr>
      </w:pPr>
      <w:r w:rsidRPr="00B11701">
        <w:rPr>
          <w:b/>
          <w:iCs/>
        </w:rPr>
        <w:tab/>
        <w:t>C.</w:t>
      </w:r>
      <w:r w:rsidRPr="00B11701">
        <w:rPr>
          <w:b/>
          <w:iCs/>
        </w:rPr>
        <w:tab/>
      </w:r>
      <w:r w:rsidR="0029537D" w:rsidRPr="00B11701">
        <w:rPr>
          <w:b/>
          <w:iCs/>
        </w:rPr>
        <w:t xml:space="preserve">Materials used in </w:t>
      </w:r>
      <w:r w:rsidRPr="00B11701">
        <w:rPr>
          <w:b/>
          <w:iCs/>
        </w:rPr>
        <w:t xml:space="preserve">the </w:t>
      </w:r>
      <w:r w:rsidR="0029537D" w:rsidRPr="00B11701">
        <w:rPr>
          <w:b/>
          <w:iCs/>
        </w:rPr>
        <w:t>delivery of technical assistance activities</w:t>
      </w:r>
    </w:p>
    <w:p w:rsidR="007F3ED5" w:rsidRPr="00B11701" w:rsidRDefault="007F3ED5" w:rsidP="003A0393">
      <w:pPr>
        <w:pStyle w:val="Normalnumber"/>
        <w:tabs>
          <w:tab w:val="clear" w:pos="1134"/>
        </w:tabs>
      </w:pPr>
      <w:r w:rsidRPr="00B11701">
        <w:t xml:space="preserve">The FRA </w:t>
      </w:r>
      <w:r w:rsidR="00E20098" w:rsidRPr="00B11701">
        <w:t>e</w:t>
      </w:r>
      <w:r w:rsidRPr="00B11701">
        <w:t xml:space="preserve">valuation toolkit developed by the Secretariat </w:t>
      </w:r>
      <w:r w:rsidR="004F4B5A" w:rsidRPr="00B11701">
        <w:t xml:space="preserve">has been </w:t>
      </w:r>
      <w:r w:rsidRPr="00B11701">
        <w:t xml:space="preserve">used in various technical assistance activities. </w:t>
      </w:r>
    </w:p>
    <w:p w:rsidR="007F3ED5" w:rsidRPr="00B11701" w:rsidRDefault="00A73967" w:rsidP="003A0393">
      <w:pPr>
        <w:pStyle w:val="Normalnumber"/>
        <w:tabs>
          <w:tab w:val="clear" w:pos="1134"/>
        </w:tabs>
      </w:pPr>
      <w:r w:rsidRPr="00B11701">
        <w:t xml:space="preserve">Other </w:t>
      </w:r>
      <w:r w:rsidR="007F3ED5" w:rsidRPr="00B11701">
        <w:t>materials available on the Rotterdam Convention website</w:t>
      </w:r>
      <w:r w:rsidR="007F3ED5" w:rsidRPr="00B11701">
        <w:rPr>
          <w:vertAlign w:val="superscript"/>
        </w:rPr>
        <w:footnoteReference w:id="6"/>
      </w:r>
      <w:r w:rsidR="007F3ED5" w:rsidRPr="00B11701">
        <w:t xml:space="preserve"> have been used in technical assistance activities implemented in collaboration with the regional centres of the Basel Convention on the Control of Transboundary Movements of Hazardous Wastes and Their Disposal and the Stockholm Convention; the regional and subregional offices of the Food and Agriculture Organization of the United Nations; and other partners such as the World Health Organization and other </w:t>
      </w:r>
      <w:r w:rsidR="00113738" w:rsidRPr="00B11701">
        <w:t>participating organizations</w:t>
      </w:r>
      <w:r w:rsidR="002724BD" w:rsidRPr="00B11701">
        <w:t xml:space="preserve"> of the </w:t>
      </w:r>
      <w:r w:rsidR="007F3ED5" w:rsidRPr="00B11701">
        <w:t>Inter</w:t>
      </w:r>
      <w:bookmarkStart w:id="0" w:name="_GoBack"/>
      <w:bookmarkEnd w:id="0"/>
      <w:r w:rsidR="007F3ED5" w:rsidRPr="00B11701">
        <w:t xml:space="preserve">-Organization Programme for the Sound Management of Chemicals. For more information see </w:t>
      </w:r>
      <w:r w:rsidR="00113738" w:rsidRPr="00B11701">
        <w:t>the note by the Secretariat on technical assistance activities (</w:t>
      </w:r>
      <w:r w:rsidR="007F3ED5" w:rsidRPr="00B11701">
        <w:t>UNEP/CHW.13/INF/3</w:t>
      </w:r>
      <w:r w:rsidR="00B52A60" w:rsidRPr="00B11701">
        <w:t>4</w:t>
      </w:r>
      <w:r w:rsidR="007F3ED5" w:rsidRPr="00B11701">
        <w:t>-UNEP/FAO/RC/COP.8/INF/24-UNEP/POPS/COP.8/INF/22</w:t>
      </w:r>
      <w:r w:rsidR="00113738" w:rsidRPr="00B11701">
        <w:t>)</w:t>
      </w:r>
      <w:r w:rsidR="007F3ED5" w:rsidRPr="00B11701">
        <w:t>.</w:t>
      </w:r>
    </w:p>
    <w:p w:rsidR="00C87E32" w:rsidRPr="00B11701" w:rsidRDefault="00113738" w:rsidP="006E5DE6">
      <w:pPr>
        <w:pStyle w:val="Normalnumber"/>
        <w:keepNext/>
        <w:numPr>
          <w:ilvl w:val="0"/>
          <w:numId w:val="0"/>
        </w:numPr>
        <w:ind w:left="1238" w:hanging="1238"/>
        <w:rPr>
          <w:b/>
          <w:iCs/>
        </w:rPr>
      </w:pPr>
      <w:r w:rsidRPr="00B11701">
        <w:rPr>
          <w:b/>
          <w:iCs/>
        </w:rPr>
        <w:lastRenderedPageBreak/>
        <w:tab/>
        <w:t>D.</w:t>
      </w:r>
      <w:r w:rsidRPr="00B11701">
        <w:rPr>
          <w:b/>
          <w:iCs/>
        </w:rPr>
        <w:tab/>
      </w:r>
      <w:r w:rsidR="0029537D" w:rsidRPr="00B11701">
        <w:rPr>
          <w:b/>
          <w:iCs/>
        </w:rPr>
        <w:t xml:space="preserve">Surveys undertaken by the Secretariat  </w:t>
      </w:r>
    </w:p>
    <w:p w:rsidR="007F3ED5" w:rsidRPr="00B11701" w:rsidRDefault="007F3ED5" w:rsidP="003A0393">
      <w:pPr>
        <w:pStyle w:val="Normalnumber"/>
        <w:tabs>
          <w:tab w:val="clear" w:pos="1134"/>
        </w:tabs>
      </w:pPr>
      <w:r w:rsidRPr="00B11701">
        <w:t>In response to the requests referred to in paragraph 4, above, the Secretariat carried out a survey on final regulatory action</w:t>
      </w:r>
      <w:r w:rsidR="00840C90" w:rsidRPr="00B11701">
        <w:t>s</w:t>
      </w:r>
      <w:r w:rsidRPr="00B11701">
        <w:t xml:space="preserve"> adopted by Parties, as well as on the main constraints faced by Parties when implementing Article 5 of the Rotterdam Convention. </w:t>
      </w:r>
      <w:r w:rsidR="00113738" w:rsidRPr="00B11701">
        <w:t xml:space="preserve">A </w:t>
      </w:r>
      <w:r w:rsidRPr="00B11701">
        <w:t>total</w:t>
      </w:r>
      <w:r w:rsidR="00113738" w:rsidRPr="00B11701">
        <w:t xml:space="preserve"> of</w:t>
      </w:r>
      <w:r w:rsidRPr="00B11701">
        <w:t xml:space="preserve"> </w:t>
      </w:r>
      <w:r w:rsidR="006E5DE6" w:rsidRPr="00B11701">
        <w:t xml:space="preserve">23 </w:t>
      </w:r>
      <w:r w:rsidRPr="00B11701">
        <w:t xml:space="preserve">Parties responded to the questionnaire, corresponding to </w:t>
      </w:r>
      <w:r w:rsidR="006E5DE6" w:rsidRPr="00B11701">
        <w:t xml:space="preserve">32 </w:t>
      </w:r>
      <w:r w:rsidR="00113738" w:rsidRPr="00B11701">
        <w:t>per cent</w:t>
      </w:r>
      <w:r w:rsidRPr="00B11701">
        <w:t xml:space="preserve"> of all Parties. Of the respondents, </w:t>
      </w:r>
      <w:r w:rsidR="006E5DE6" w:rsidRPr="00B11701">
        <w:t xml:space="preserve">17 </w:t>
      </w:r>
      <w:r w:rsidRPr="00B11701">
        <w:t xml:space="preserve">were </w:t>
      </w:r>
      <w:r w:rsidR="003A0393" w:rsidRPr="00B11701">
        <w:br/>
      </w:r>
      <w:r w:rsidRPr="00B11701">
        <w:t>developing</w:t>
      </w:r>
      <w:r w:rsidR="00C03330" w:rsidRPr="00B11701">
        <w:t>-</w:t>
      </w:r>
      <w:r w:rsidRPr="00B11701">
        <w:t xml:space="preserve">country Parties or countries with economies in transition and </w:t>
      </w:r>
      <w:r w:rsidR="004C60AF" w:rsidRPr="00B11701">
        <w:t>6</w:t>
      </w:r>
      <w:r w:rsidR="00DC2527" w:rsidRPr="00B11701">
        <w:t>,</w:t>
      </w:r>
      <w:r w:rsidR="006E5DE6" w:rsidRPr="00B11701">
        <w:t xml:space="preserve"> including one responding on behalf of 27 Parties</w:t>
      </w:r>
      <w:r w:rsidR="00DC2527" w:rsidRPr="00B11701">
        <w:t>,</w:t>
      </w:r>
      <w:r w:rsidR="006E5DE6" w:rsidRPr="00B11701">
        <w:t xml:space="preserve"> </w:t>
      </w:r>
      <w:r w:rsidRPr="00B11701">
        <w:t>were developed</w:t>
      </w:r>
      <w:r w:rsidR="00C03330" w:rsidRPr="00B11701">
        <w:t>-</w:t>
      </w:r>
      <w:r w:rsidRPr="00B11701">
        <w:t xml:space="preserve">country Parties. A compilation of responses to the survey </w:t>
      </w:r>
      <w:r w:rsidR="00C03330" w:rsidRPr="00B11701">
        <w:t xml:space="preserve">received from Parties </w:t>
      </w:r>
      <w:r w:rsidRPr="00B11701">
        <w:t xml:space="preserve">is </w:t>
      </w:r>
      <w:r w:rsidR="00A73967" w:rsidRPr="00B11701">
        <w:t xml:space="preserve">set out </w:t>
      </w:r>
      <w:r w:rsidRPr="00B11701">
        <w:t xml:space="preserve">in </w:t>
      </w:r>
      <w:r w:rsidR="00113738" w:rsidRPr="00B11701">
        <w:t>the note by the Secretariat on the matter (</w:t>
      </w:r>
      <w:r w:rsidR="0029537D" w:rsidRPr="00B11701">
        <w:t>UNEP/FAO/RC/COP.8/INF/8).</w:t>
      </w:r>
    </w:p>
    <w:p w:rsidR="007F3ED5" w:rsidRPr="00B11701" w:rsidRDefault="007F3ED5" w:rsidP="003A0393">
      <w:pPr>
        <w:pStyle w:val="Normalnumber"/>
        <w:tabs>
          <w:tab w:val="clear" w:pos="1134"/>
        </w:tabs>
      </w:pPr>
      <w:r w:rsidRPr="00B11701">
        <w:t xml:space="preserve">The </w:t>
      </w:r>
      <w:r w:rsidR="00113738" w:rsidRPr="00B11701">
        <w:t>survey</w:t>
      </w:r>
      <w:r w:rsidRPr="00B11701">
        <w:t xml:space="preserve"> show</w:t>
      </w:r>
      <w:r w:rsidR="00A73967" w:rsidRPr="00B11701">
        <w:t>s</w:t>
      </w:r>
      <w:r w:rsidRPr="00B11701">
        <w:t xml:space="preserve"> that </w:t>
      </w:r>
      <w:r w:rsidR="006E5DE6" w:rsidRPr="00B11701">
        <w:t xml:space="preserve">98 </w:t>
      </w:r>
      <w:r w:rsidR="00113738" w:rsidRPr="00B11701">
        <w:t>per cent</w:t>
      </w:r>
      <w:r w:rsidRPr="00B11701">
        <w:t xml:space="preserve"> of the respondents have at some time taken a decision to ban or severely restrict a chemical. However, only </w:t>
      </w:r>
      <w:r w:rsidR="006E5DE6" w:rsidRPr="00B11701">
        <w:t xml:space="preserve">27 </w:t>
      </w:r>
      <w:r w:rsidR="00113738" w:rsidRPr="00B11701">
        <w:t>per cent</w:t>
      </w:r>
      <w:r w:rsidRPr="00B11701">
        <w:t xml:space="preserve"> of the respondents have notified the Secretariat of their national decisions to ban or restrict certain chemicals. Developing countries have difficulties </w:t>
      </w:r>
      <w:r w:rsidR="00113738" w:rsidRPr="00B11701">
        <w:t>in</w:t>
      </w:r>
      <w:r w:rsidRPr="00B11701">
        <w:t xml:space="preserve"> develop</w:t>
      </w:r>
      <w:r w:rsidR="00113738" w:rsidRPr="00B11701">
        <w:t>ing</w:t>
      </w:r>
      <w:r w:rsidRPr="00B11701">
        <w:t xml:space="preserve"> adequate legislation and establish</w:t>
      </w:r>
      <w:r w:rsidR="00113738" w:rsidRPr="00B11701">
        <w:t>ing</w:t>
      </w:r>
      <w:r w:rsidRPr="00B11701">
        <w:t xml:space="preserve"> functional national</w:t>
      </w:r>
      <w:r w:rsidR="009163B8" w:rsidRPr="00B11701">
        <w:t xml:space="preserve"> </w:t>
      </w:r>
      <w:r w:rsidRPr="00B11701">
        <w:t>decision-making processes</w:t>
      </w:r>
      <w:r w:rsidR="00113738" w:rsidRPr="00B11701">
        <w:t>,</w:t>
      </w:r>
      <w:r w:rsidRPr="00B11701">
        <w:t xml:space="preserve"> including coordination mechanisms that lead to bans or restrictions of chemicals of concern. They also have difficulty in </w:t>
      </w:r>
      <w:r w:rsidR="00A73967" w:rsidRPr="00B11701">
        <w:t xml:space="preserve">developing </w:t>
      </w:r>
      <w:r w:rsidRPr="00B11701">
        <w:t>mechanisms for data analysis.</w:t>
      </w:r>
    </w:p>
    <w:p w:rsidR="007F3ED5" w:rsidRPr="00B11701" w:rsidRDefault="007F3ED5" w:rsidP="003A0393">
      <w:pPr>
        <w:pStyle w:val="Normalnumber"/>
        <w:tabs>
          <w:tab w:val="clear" w:pos="1134"/>
        </w:tabs>
      </w:pPr>
      <w:r w:rsidRPr="00B11701">
        <w:t xml:space="preserve">While </w:t>
      </w:r>
      <w:r w:rsidR="00001101" w:rsidRPr="00B11701">
        <w:t xml:space="preserve">the </w:t>
      </w:r>
      <w:r w:rsidRPr="00B11701">
        <w:t xml:space="preserve">information requirements </w:t>
      </w:r>
      <w:r w:rsidR="00B14242" w:rsidRPr="00B11701">
        <w:t>of</w:t>
      </w:r>
      <w:r w:rsidRPr="00B11701">
        <w:t xml:space="preserve"> Annex I to the Convention do not necessarily constitute a challenge for designated national authorities, they face difficulties in submitting notifications of final regulatory action </w:t>
      </w:r>
      <w:r w:rsidR="00001101" w:rsidRPr="00B11701">
        <w:t xml:space="preserve">that </w:t>
      </w:r>
      <w:r w:rsidRPr="00B11701">
        <w:t xml:space="preserve">fulfil the Annex II criteria, especially </w:t>
      </w:r>
      <w:r w:rsidR="00001101" w:rsidRPr="00B11701">
        <w:t xml:space="preserve">with regard </w:t>
      </w:r>
      <w:r w:rsidRPr="00B11701">
        <w:t xml:space="preserve">to paragraph (b) of Annex II. </w:t>
      </w:r>
    </w:p>
    <w:p w:rsidR="007F3ED5" w:rsidRPr="00B11701" w:rsidRDefault="007F3ED5" w:rsidP="007F3ED5">
      <w:pPr>
        <w:pStyle w:val="CH1"/>
      </w:pPr>
      <w:r w:rsidRPr="00B11701">
        <w:tab/>
        <w:t>III.</w:t>
      </w:r>
      <w:r w:rsidRPr="00B11701">
        <w:tab/>
        <w:t>Proposed action</w:t>
      </w:r>
    </w:p>
    <w:p w:rsidR="007F3ED5" w:rsidRPr="00B11701" w:rsidRDefault="007F3ED5" w:rsidP="003A0393">
      <w:pPr>
        <w:pStyle w:val="Normalnumber"/>
        <w:tabs>
          <w:tab w:val="clear" w:pos="1134"/>
        </w:tabs>
      </w:pPr>
      <w:r w:rsidRPr="00B11701">
        <w:t>The Conference of the Parties may wish to adopt a decision along the following lines:</w:t>
      </w:r>
    </w:p>
    <w:p w:rsidR="007F3ED5" w:rsidRPr="00B11701" w:rsidRDefault="007F3ED5" w:rsidP="00992FC0">
      <w:pPr>
        <w:tabs>
          <w:tab w:val="left" w:pos="624"/>
        </w:tabs>
        <w:autoSpaceDE w:val="0"/>
        <w:autoSpaceDN w:val="0"/>
        <w:adjustRightInd w:val="0"/>
        <w:spacing w:after="120"/>
        <w:ind w:left="1871" w:firstLine="624"/>
      </w:pPr>
      <w:r w:rsidRPr="00B11701">
        <w:rPr>
          <w:i/>
          <w:iCs/>
        </w:rPr>
        <w:t>The Conference of the Parties</w:t>
      </w:r>
    </w:p>
    <w:p w:rsidR="007F3ED5" w:rsidRPr="00B11701" w:rsidRDefault="007F3ED5" w:rsidP="003A0393">
      <w:pPr>
        <w:pStyle w:val="Normal-pool"/>
        <w:numPr>
          <w:ilvl w:val="0"/>
          <w:numId w:val="5"/>
        </w:numPr>
        <w:tabs>
          <w:tab w:val="clear" w:pos="1247"/>
          <w:tab w:val="clear" w:pos="1814"/>
          <w:tab w:val="clear" w:pos="2381"/>
          <w:tab w:val="clear" w:pos="2948"/>
          <w:tab w:val="clear" w:pos="3515"/>
          <w:tab w:val="clear" w:pos="4082"/>
          <w:tab w:val="left" w:pos="624"/>
        </w:tabs>
        <w:spacing w:after="120"/>
        <w:ind w:left="1871" w:firstLine="624"/>
        <w:rPr>
          <w:iCs/>
        </w:rPr>
      </w:pPr>
      <w:r w:rsidRPr="00B11701">
        <w:rPr>
          <w:i/>
        </w:rPr>
        <w:t>Encourages</w:t>
      </w:r>
      <w:r w:rsidRPr="00B11701">
        <w:rPr>
          <w:iCs/>
        </w:rPr>
        <w:t xml:space="preserve"> Parties to continue to provide the Secretariat with information that may assist other Parties in preparing notifications of final regulatory action, including:</w:t>
      </w:r>
    </w:p>
    <w:p w:rsidR="007F3ED5" w:rsidRPr="00B11701" w:rsidRDefault="007F3ED5" w:rsidP="003A0393">
      <w:pPr>
        <w:pStyle w:val="Normal-pool"/>
        <w:numPr>
          <w:ilvl w:val="1"/>
          <w:numId w:val="1"/>
        </w:numPr>
        <w:tabs>
          <w:tab w:val="clear" w:pos="1134"/>
          <w:tab w:val="clear" w:pos="1247"/>
          <w:tab w:val="clear" w:pos="1814"/>
          <w:tab w:val="clear" w:pos="2381"/>
          <w:tab w:val="clear" w:pos="2948"/>
          <w:tab w:val="clear" w:pos="3515"/>
          <w:tab w:val="clear" w:pos="4082"/>
          <w:tab w:val="left" w:pos="624"/>
        </w:tabs>
        <w:spacing w:after="120"/>
        <w:ind w:left="1871" w:firstLine="624"/>
      </w:pPr>
      <w:r w:rsidRPr="00B11701">
        <w:t xml:space="preserve">Scientific and technical information </w:t>
      </w:r>
      <w:r w:rsidR="00500AF5" w:rsidRPr="00B11701">
        <w:t xml:space="preserve">relevant to </w:t>
      </w:r>
      <w:r w:rsidRPr="00B11701">
        <w:t xml:space="preserve">risk </w:t>
      </w:r>
      <w:r w:rsidR="006B654E" w:rsidRPr="00B11701">
        <w:t>evaluation</w:t>
      </w:r>
      <w:r w:rsidRPr="00B11701">
        <w:t xml:space="preserve"> and </w:t>
      </w:r>
      <w:r w:rsidR="00992FC0" w:rsidRPr="00B11701">
        <w:br/>
      </w:r>
      <w:r w:rsidRPr="00B11701">
        <w:t>decision-making</w:t>
      </w:r>
      <w:r w:rsidR="009163B8" w:rsidRPr="00B11701">
        <w:t xml:space="preserve"> on hazardous chemicals and pesticides</w:t>
      </w:r>
      <w:r w:rsidRPr="00B11701">
        <w:t>;</w:t>
      </w:r>
    </w:p>
    <w:p w:rsidR="007F3ED5" w:rsidRPr="00B11701" w:rsidRDefault="00D51680" w:rsidP="003A0393">
      <w:pPr>
        <w:pStyle w:val="Normal-pool"/>
        <w:numPr>
          <w:ilvl w:val="1"/>
          <w:numId w:val="1"/>
        </w:numPr>
        <w:tabs>
          <w:tab w:val="clear" w:pos="1134"/>
          <w:tab w:val="clear" w:pos="1247"/>
          <w:tab w:val="clear" w:pos="1814"/>
          <w:tab w:val="clear" w:pos="2381"/>
          <w:tab w:val="clear" w:pos="2948"/>
          <w:tab w:val="clear" w:pos="3515"/>
          <w:tab w:val="clear" w:pos="4082"/>
          <w:tab w:val="num" w:pos="567"/>
          <w:tab w:val="left" w:pos="624"/>
        </w:tabs>
        <w:spacing w:after="120"/>
        <w:ind w:left="1871" w:firstLine="624"/>
        <w:rPr>
          <w:iCs/>
        </w:rPr>
      </w:pPr>
      <w:r w:rsidRPr="00B11701">
        <w:rPr>
          <w:iCs/>
        </w:rPr>
        <w:t>Texts of n</w:t>
      </w:r>
      <w:r w:rsidR="007F3ED5" w:rsidRPr="00B11701">
        <w:rPr>
          <w:iCs/>
        </w:rPr>
        <w:t>ational legislation and other measures adopted by them to implement the Convention</w:t>
      </w:r>
      <w:r w:rsidR="00500AF5" w:rsidRPr="00B11701">
        <w:rPr>
          <w:iCs/>
        </w:rPr>
        <w:t>;</w:t>
      </w:r>
    </w:p>
    <w:p w:rsidR="007F3ED5" w:rsidRPr="00B11701" w:rsidRDefault="007F3ED5" w:rsidP="00C41D71">
      <w:pPr>
        <w:pStyle w:val="Normal-pool"/>
        <w:numPr>
          <w:ilvl w:val="0"/>
          <w:numId w:val="5"/>
        </w:numPr>
        <w:tabs>
          <w:tab w:val="clear" w:pos="1247"/>
          <w:tab w:val="clear" w:pos="1814"/>
          <w:tab w:val="clear" w:pos="2381"/>
          <w:tab w:val="clear" w:pos="2948"/>
          <w:tab w:val="clear" w:pos="3515"/>
          <w:tab w:val="clear" w:pos="4082"/>
        </w:tabs>
        <w:spacing w:after="120"/>
        <w:ind w:left="1871" w:firstLine="624"/>
      </w:pPr>
      <w:r w:rsidRPr="00B11701">
        <w:rPr>
          <w:i/>
        </w:rPr>
        <w:t xml:space="preserve">Requests </w:t>
      </w:r>
      <w:r w:rsidRPr="00B11701">
        <w:t>the Secretariat:</w:t>
      </w:r>
    </w:p>
    <w:p w:rsidR="007F3ED5" w:rsidRPr="00B11701" w:rsidRDefault="007F3ED5" w:rsidP="003A0393">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pPr>
      <w:r w:rsidRPr="00B11701">
        <w:t xml:space="preserve">To continue to collect and make available to Parties and other stakeholders in a user-friendly format the information referred to in paragraph 1 above; </w:t>
      </w:r>
    </w:p>
    <w:p w:rsidR="002E6955" w:rsidRPr="00B11701" w:rsidRDefault="002E6955" w:rsidP="003A0393">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pPr>
      <w:r w:rsidRPr="00B11701">
        <w:t>To provide assistance to Parties, subject to the availability of funding,</w:t>
      </w:r>
      <w:r w:rsidRPr="00B11701" w:rsidDel="002F65A5">
        <w:t xml:space="preserve"> </w:t>
      </w:r>
      <w:r w:rsidRPr="00B11701">
        <w:t>to facilitate the submission of notifications of final regulatory action, including individual assistance to ensure that notifications meet the information requirements of Annex I to the Rotterdam Convention.</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622932" w:rsidRPr="00B11701" w:rsidTr="00990C59">
        <w:tc>
          <w:tcPr>
            <w:tcW w:w="1942" w:type="dxa"/>
          </w:tcPr>
          <w:p w:rsidR="00C87E32" w:rsidRPr="00B11701" w:rsidRDefault="00C87E32" w:rsidP="00990C59">
            <w:pPr>
              <w:pStyle w:val="Normal-pool"/>
              <w:tabs>
                <w:tab w:val="clear" w:pos="1247"/>
                <w:tab w:val="clear" w:pos="1814"/>
                <w:tab w:val="clear" w:pos="2381"/>
                <w:tab w:val="clear" w:pos="2948"/>
                <w:tab w:val="clear" w:pos="3515"/>
                <w:tab w:val="clear" w:pos="4082"/>
              </w:tabs>
              <w:spacing w:before="520" w:after="0"/>
              <w:rPr>
                <w:sz w:val="20"/>
                <w:szCs w:val="20"/>
              </w:rPr>
            </w:pPr>
          </w:p>
        </w:tc>
        <w:tc>
          <w:tcPr>
            <w:tcW w:w="1942" w:type="dxa"/>
          </w:tcPr>
          <w:p w:rsidR="00C87E32" w:rsidRPr="00B11701" w:rsidRDefault="00C87E32" w:rsidP="00990C59">
            <w:pPr>
              <w:pStyle w:val="Normal-pool"/>
              <w:tabs>
                <w:tab w:val="clear" w:pos="1247"/>
                <w:tab w:val="clear" w:pos="1814"/>
                <w:tab w:val="clear" w:pos="2381"/>
                <w:tab w:val="clear" w:pos="2948"/>
                <w:tab w:val="clear" w:pos="3515"/>
                <w:tab w:val="clear" w:pos="4082"/>
              </w:tabs>
              <w:spacing w:before="520" w:after="0"/>
              <w:rPr>
                <w:sz w:val="20"/>
                <w:szCs w:val="20"/>
              </w:rPr>
            </w:pPr>
          </w:p>
        </w:tc>
        <w:tc>
          <w:tcPr>
            <w:tcW w:w="1942" w:type="dxa"/>
            <w:tcBorders>
              <w:bottom w:val="single" w:sz="4" w:space="0" w:color="auto"/>
            </w:tcBorders>
          </w:tcPr>
          <w:p w:rsidR="00C87E32" w:rsidRPr="00B11701" w:rsidRDefault="00C87E32" w:rsidP="00990C59">
            <w:pPr>
              <w:pStyle w:val="Normal-pool"/>
              <w:tabs>
                <w:tab w:val="clear" w:pos="1247"/>
                <w:tab w:val="clear" w:pos="1814"/>
                <w:tab w:val="clear" w:pos="2381"/>
                <w:tab w:val="clear" w:pos="2948"/>
                <w:tab w:val="clear" w:pos="3515"/>
                <w:tab w:val="clear" w:pos="4082"/>
              </w:tabs>
              <w:spacing w:before="520" w:after="0"/>
              <w:rPr>
                <w:sz w:val="20"/>
                <w:szCs w:val="20"/>
              </w:rPr>
            </w:pPr>
          </w:p>
        </w:tc>
        <w:tc>
          <w:tcPr>
            <w:tcW w:w="1943" w:type="dxa"/>
          </w:tcPr>
          <w:p w:rsidR="00C87E32" w:rsidRPr="00B11701" w:rsidRDefault="00C87E32" w:rsidP="00990C59">
            <w:pPr>
              <w:pStyle w:val="Normal-pool"/>
              <w:tabs>
                <w:tab w:val="clear" w:pos="1247"/>
                <w:tab w:val="clear" w:pos="1814"/>
                <w:tab w:val="clear" w:pos="2381"/>
                <w:tab w:val="clear" w:pos="2948"/>
                <w:tab w:val="clear" w:pos="3515"/>
                <w:tab w:val="clear" w:pos="4082"/>
              </w:tabs>
              <w:spacing w:before="520" w:after="0"/>
              <w:rPr>
                <w:sz w:val="20"/>
                <w:szCs w:val="20"/>
              </w:rPr>
            </w:pPr>
          </w:p>
        </w:tc>
        <w:tc>
          <w:tcPr>
            <w:tcW w:w="1943" w:type="dxa"/>
          </w:tcPr>
          <w:p w:rsidR="00C87E32" w:rsidRPr="00B11701" w:rsidRDefault="00C87E32" w:rsidP="00990C59">
            <w:pPr>
              <w:pStyle w:val="Normal-pool"/>
              <w:tabs>
                <w:tab w:val="clear" w:pos="1247"/>
                <w:tab w:val="clear" w:pos="1814"/>
                <w:tab w:val="clear" w:pos="2381"/>
                <w:tab w:val="clear" w:pos="2948"/>
                <w:tab w:val="clear" w:pos="3515"/>
                <w:tab w:val="clear" w:pos="4082"/>
              </w:tabs>
              <w:spacing w:before="520" w:after="0"/>
              <w:rPr>
                <w:sz w:val="20"/>
                <w:szCs w:val="20"/>
              </w:rPr>
            </w:pPr>
          </w:p>
        </w:tc>
      </w:tr>
    </w:tbl>
    <w:p w:rsidR="00622932" w:rsidRPr="00B11701" w:rsidRDefault="00622932" w:rsidP="00704489"/>
    <w:sectPr w:rsidR="00622932" w:rsidRPr="00B11701"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88" w:rsidRDefault="00B76288">
      <w:r>
        <w:separator/>
      </w:r>
    </w:p>
  </w:endnote>
  <w:endnote w:type="continuationSeparator" w:id="0">
    <w:p w:rsidR="00B76288" w:rsidRDefault="00B76288">
      <w:r>
        <w:continuationSeparator/>
      </w:r>
    </w:p>
  </w:endnote>
  <w:endnote w:type="continuationNotice" w:id="1">
    <w:p w:rsidR="00B76288" w:rsidRDefault="00B76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38" w:rsidRDefault="00757753">
    <w:pPr>
      <w:pStyle w:val="Footer"/>
    </w:pPr>
    <w:r>
      <w:rPr>
        <w:rStyle w:val="PageNumber"/>
      </w:rPr>
      <w:fldChar w:fldCharType="begin"/>
    </w:r>
    <w:r w:rsidR="00113738">
      <w:rPr>
        <w:rStyle w:val="PageNumber"/>
      </w:rPr>
      <w:instrText xml:space="preserve"> PAGE </w:instrText>
    </w:r>
    <w:r>
      <w:rPr>
        <w:rStyle w:val="PageNumber"/>
      </w:rPr>
      <w:fldChar w:fldCharType="separate"/>
    </w:r>
    <w:r w:rsidR="00B1170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38" w:rsidRDefault="00757753" w:rsidP="00035EDE">
    <w:pPr>
      <w:pStyle w:val="Footer"/>
      <w:jc w:val="right"/>
    </w:pPr>
    <w:r>
      <w:rPr>
        <w:rStyle w:val="PageNumber"/>
      </w:rPr>
      <w:fldChar w:fldCharType="begin"/>
    </w:r>
    <w:r w:rsidR="00113738">
      <w:rPr>
        <w:rStyle w:val="PageNumber"/>
      </w:rPr>
      <w:instrText xml:space="preserve"> PAGE </w:instrText>
    </w:r>
    <w:r>
      <w:rPr>
        <w:rStyle w:val="PageNumber"/>
      </w:rPr>
      <w:fldChar w:fldCharType="separate"/>
    </w:r>
    <w:r w:rsidR="00B1170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F7" w:rsidRDefault="00FC62F7" w:rsidP="002353BE">
    <w:pPr>
      <w:pStyle w:val="Normal-pool"/>
    </w:pPr>
    <w:r>
      <w:t>K170</w:t>
    </w:r>
    <w:r w:rsidR="002353BE">
      <w:t>2173</w:t>
    </w:r>
    <w:r>
      <w:tab/>
    </w:r>
    <w:r w:rsidR="00AD33C6">
      <w:t>1004</w:t>
    </w:r>
    <w:r w:rsidR="00AD33C6">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88" w:rsidRPr="00992FC0" w:rsidRDefault="00B76288" w:rsidP="00AD33C6">
      <w:pPr>
        <w:tabs>
          <w:tab w:val="clear" w:pos="1247"/>
          <w:tab w:val="clear" w:pos="1814"/>
          <w:tab w:val="clear" w:pos="2381"/>
          <w:tab w:val="clear" w:pos="2948"/>
          <w:tab w:val="clear" w:pos="3515"/>
          <w:tab w:val="left" w:pos="624"/>
        </w:tabs>
        <w:spacing w:before="60"/>
        <w:ind w:left="624"/>
        <w:rPr>
          <w:sz w:val="18"/>
          <w:szCs w:val="18"/>
        </w:rPr>
      </w:pPr>
      <w:r w:rsidRPr="00992FC0">
        <w:rPr>
          <w:sz w:val="18"/>
          <w:szCs w:val="18"/>
        </w:rPr>
        <w:separator/>
      </w:r>
    </w:p>
  </w:footnote>
  <w:footnote w:type="continuationSeparator" w:id="0">
    <w:p w:rsidR="00B76288" w:rsidRDefault="00B76288">
      <w:r>
        <w:continuationSeparator/>
      </w:r>
    </w:p>
  </w:footnote>
  <w:footnote w:type="continuationNotice" w:id="1">
    <w:p w:rsidR="00B76288" w:rsidRDefault="00B76288"/>
  </w:footnote>
  <w:footnote w:id="2">
    <w:p w:rsidR="0018672F" w:rsidRPr="00992FC0" w:rsidRDefault="0018672F" w:rsidP="00AD33C6">
      <w:pPr>
        <w:pStyle w:val="FootnoteText"/>
        <w:tabs>
          <w:tab w:val="left" w:pos="624"/>
        </w:tabs>
        <w:rPr>
          <w:szCs w:val="18"/>
          <w:lang w:val="en-US"/>
        </w:rPr>
      </w:pPr>
      <w:r w:rsidRPr="00504111">
        <w:rPr>
          <w:szCs w:val="18"/>
          <w:lang w:val="en-US"/>
        </w:rPr>
        <w:t>*</w:t>
      </w:r>
      <w:r w:rsidR="00AD33C6">
        <w:rPr>
          <w:szCs w:val="18"/>
          <w:lang w:val="en-US"/>
        </w:rPr>
        <w:t xml:space="preserve"> </w:t>
      </w:r>
      <w:r w:rsidRPr="00992FC0">
        <w:rPr>
          <w:szCs w:val="18"/>
          <w:lang w:val="en-US"/>
        </w:rPr>
        <w:t>UNEP/FAO/RC/COP.8/1.</w:t>
      </w:r>
    </w:p>
  </w:footnote>
  <w:footnote w:id="3">
    <w:p w:rsidR="00113738" w:rsidRPr="00992FC0" w:rsidRDefault="00113738" w:rsidP="00AD33C6">
      <w:pPr>
        <w:pStyle w:val="FootnoteText"/>
        <w:tabs>
          <w:tab w:val="left" w:pos="624"/>
        </w:tabs>
        <w:rPr>
          <w:rStyle w:val="Hyperlink"/>
          <w:sz w:val="18"/>
          <w:szCs w:val="18"/>
          <w:lang w:val="en-GB"/>
        </w:rPr>
      </w:pPr>
      <w:r w:rsidRPr="00992FC0">
        <w:rPr>
          <w:rStyle w:val="FootnoteReference"/>
          <w:sz w:val="18"/>
        </w:rPr>
        <w:footnoteRef/>
      </w:r>
      <w:r w:rsidR="0029537D" w:rsidRPr="00990C59">
        <w:rPr>
          <w:szCs w:val="18"/>
          <w:lang w:val="en-GB"/>
        </w:rPr>
        <w:t xml:space="preserve"> </w:t>
      </w:r>
      <w:r w:rsidRPr="00992FC0">
        <w:rPr>
          <w:rStyle w:val="Hyperlink"/>
          <w:sz w:val="18"/>
          <w:szCs w:val="18"/>
          <w:lang w:val="en-GB"/>
        </w:rPr>
        <w:t>http://www.pic.int/TheConvention/ConferenceoftheParties/CallforInformation/FollowuptoCOP7/tabid/4563/language/en-US/Default.aspx.</w:t>
      </w:r>
    </w:p>
  </w:footnote>
  <w:footnote w:id="4">
    <w:p w:rsidR="00113738" w:rsidRPr="00990C59" w:rsidRDefault="00113738" w:rsidP="00AD33C6">
      <w:pPr>
        <w:pStyle w:val="FootnoteText"/>
        <w:tabs>
          <w:tab w:val="left" w:pos="624"/>
        </w:tabs>
        <w:rPr>
          <w:b/>
          <w:szCs w:val="18"/>
          <w:lang w:val="en-US"/>
        </w:rPr>
      </w:pPr>
      <w:r w:rsidRPr="000C002C">
        <w:rPr>
          <w:rStyle w:val="FootnoteReference"/>
          <w:sz w:val="18"/>
        </w:rPr>
        <w:footnoteRef/>
      </w:r>
      <w:r w:rsidR="0029537D" w:rsidRPr="00990C59">
        <w:rPr>
          <w:szCs w:val="18"/>
          <w:lang w:val="en-GB"/>
        </w:rPr>
        <w:t xml:space="preserve"> </w:t>
      </w:r>
      <w:hyperlink r:id="rId1" w:history="1">
        <w:r w:rsidR="0029537D" w:rsidRPr="00990C59">
          <w:rPr>
            <w:rStyle w:val="Hyperlink"/>
            <w:sz w:val="18"/>
            <w:szCs w:val="18"/>
            <w:lang w:val="en-GB"/>
          </w:rPr>
          <w:t>http://www.pic.int/Implementation/FinalRegulatoryActions/FRAEvaluationToolkit/tabid/4976/language/en-US/Default.aspx</w:t>
        </w:r>
      </w:hyperlink>
      <w:r w:rsidR="0029537D" w:rsidRPr="00990C59">
        <w:rPr>
          <w:szCs w:val="18"/>
          <w:lang w:val="en-GB"/>
        </w:rPr>
        <w:t xml:space="preserve">. </w:t>
      </w:r>
    </w:p>
  </w:footnote>
  <w:footnote w:id="5">
    <w:p w:rsidR="00113738" w:rsidRPr="00990C59" w:rsidRDefault="00113738" w:rsidP="00AD33C6">
      <w:pPr>
        <w:pStyle w:val="FootnoteText"/>
        <w:tabs>
          <w:tab w:val="clear" w:pos="2948"/>
          <w:tab w:val="left" w:pos="624"/>
        </w:tabs>
        <w:rPr>
          <w:szCs w:val="18"/>
          <w:lang w:val="en-US"/>
        </w:rPr>
      </w:pPr>
      <w:r w:rsidRPr="000C002C">
        <w:rPr>
          <w:rStyle w:val="FootnoteReference"/>
          <w:sz w:val="18"/>
        </w:rPr>
        <w:footnoteRef/>
      </w:r>
      <w:r w:rsidR="0029537D" w:rsidRPr="00990C59">
        <w:rPr>
          <w:szCs w:val="18"/>
          <w:lang w:val="en-US"/>
        </w:rPr>
        <w:t xml:space="preserve"> </w:t>
      </w:r>
      <w:hyperlink r:id="rId2" w:history="1">
        <w:r w:rsidRPr="000C002C">
          <w:rPr>
            <w:rStyle w:val="Hyperlink"/>
            <w:sz w:val="18"/>
            <w:szCs w:val="18"/>
            <w:lang w:val="en-GB"/>
          </w:rPr>
          <w:t>http://www.pic.int/?tabid=5325</w:t>
        </w:r>
      </w:hyperlink>
      <w:r w:rsidRPr="00992FC0">
        <w:rPr>
          <w:szCs w:val="18"/>
          <w:lang w:val="en-US"/>
        </w:rPr>
        <w:t>.</w:t>
      </w:r>
    </w:p>
  </w:footnote>
  <w:footnote w:id="6">
    <w:p w:rsidR="00113738" w:rsidRPr="00990C59" w:rsidRDefault="00113738" w:rsidP="00B11701">
      <w:pPr>
        <w:pStyle w:val="FootnoteText"/>
        <w:tabs>
          <w:tab w:val="left" w:pos="624"/>
        </w:tabs>
        <w:rPr>
          <w:szCs w:val="18"/>
          <w:lang w:val="en-US"/>
        </w:rPr>
      </w:pPr>
      <w:r w:rsidRPr="00992FC0">
        <w:rPr>
          <w:rStyle w:val="FootnoteReference"/>
          <w:sz w:val="18"/>
        </w:rPr>
        <w:footnoteRef/>
      </w:r>
      <w:r w:rsidR="0029537D" w:rsidRPr="00990C59">
        <w:rPr>
          <w:szCs w:val="18"/>
          <w:lang w:val="en-US"/>
        </w:rPr>
        <w:t xml:space="preserve"> </w:t>
      </w:r>
      <w:hyperlink r:id="rId3" w:history="1">
        <w:r w:rsidRPr="00992FC0">
          <w:rPr>
            <w:rStyle w:val="Hyperlink"/>
            <w:sz w:val="18"/>
            <w:szCs w:val="18"/>
            <w:lang w:val="en-GB"/>
          </w:rPr>
          <w:t>http://www.pic.int/Implementation/RessourceKit/tabid/1064/language/en-US/Default.aspx</w:t>
        </w:r>
      </w:hyperlink>
      <w:r w:rsidRPr="00992FC0">
        <w:rPr>
          <w:rStyle w:val="Hyperlink"/>
          <w:sz w:val="18"/>
          <w:szCs w:val="18"/>
          <w:lang w:val="en-GB"/>
        </w:rPr>
        <w:t xml:space="preserve"> and </w:t>
      </w:r>
      <w:r w:rsidR="0029537D" w:rsidRPr="00990C59">
        <w:rPr>
          <w:szCs w:val="18"/>
          <w:lang w:val="en-US"/>
        </w:rPr>
        <w:t>www.pic.int/Procedures/NotificationsofFinalRegulatoryActions/FormandInstructions/tabid/1182/language/en-US/Default.asp</w:t>
      </w:r>
      <w:hyperlink r:id="rId4" w:history="1">
        <w:r w:rsidRPr="00992FC0">
          <w:rPr>
            <w:rStyle w:val="Hyperlink"/>
            <w:sz w:val="18"/>
            <w:szCs w:val="18"/>
            <w:lang w:val="en-GB"/>
          </w:rPr>
          <w:t>x</w:t>
        </w:r>
      </w:hyperlink>
      <w:r>
        <w:rPr>
          <w:rStyle w:val="Hyperlink"/>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38" w:rsidRDefault="0029537D" w:rsidP="0018672F">
    <w:pPr>
      <w:pStyle w:val="Header"/>
    </w:pPr>
    <w:r w:rsidRPr="00990C59">
      <w:rPr>
        <w:szCs w:val="18"/>
      </w:rPr>
      <w:t>UNEP/FAO/RC/COP.8/5</w:t>
    </w:r>
    <w:r w:rsidR="0018672F">
      <w:rPr>
        <w:szCs w:val="18"/>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38" w:rsidRDefault="0029537D" w:rsidP="0018672F">
    <w:pPr>
      <w:pStyle w:val="Header"/>
      <w:jc w:val="right"/>
    </w:pPr>
    <w:r w:rsidRPr="00990C59">
      <w:rPr>
        <w:szCs w:val="18"/>
      </w:rPr>
      <w:t>UNEP/FAO/RC/COP.8/5</w:t>
    </w:r>
    <w:r w:rsidR="0018672F">
      <w:rPr>
        <w:szCs w:val="18"/>
      </w:rPr>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5" w:rsidRDefault="00455315" w:rsidP="0045531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1F14A01"/>
    <w:multiLevelType w:val="hybridMultilevel"/>
    <w:tmpl w:val="78E6A49E"/>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80C6CC7"/>
    <w:multiLevelType w:val="hybridMultilevel"/>
    <w:tmpl w:val="B8924A02"/>
    <w:lvl w:ilvl="0" w:tplc="100C000F">
      <w:start w:val="1"/>
      <w:numFmt w:val="decimal"/>
      <w:lvlText w:val="%1."/>
      <w:lvlJc w:val="left"/>
      <w:pPr>
        <w:ind w:left="3220" w:hanging="360"/>
      </w:pPr>
    </w:lvl>
    <w:lvl w:ilvl="1" w:tplc="08090019">
      <w:start w:val="1"/>
      <w:numFmt w:val="lowerLetter"/>
      <w:lvlText w:val="%2."/>
      <w:lvlJc w:val="left"/>
      <w:pPr>
        <w:ind w:left="3940" w:hanging="360"/>
      </w:pPr>
    </w:lvl>
    <w:lvl w:ilvl="2" w:tplc="0809001B" w:tentative="1">
      <w:start w:val="1"/>
      <w:numFmt w:val="lowerRoman"/>
      <w:lvlText w:val="%3."/>
      <w:lvlJc w:val="right"/>
      <w:pPr>
        <w:ind w:left="4660" w:hanging="180"/>
      </w:pPr>
    </w:lvl>
    <w:lvl w:ilvl="3" w:tplc="0809000F" w:tentative="1">
      <w:start w:val="1"/>
      <w:numFmt w:val="decimal"/>
      <w:lvlText w:val="%4."/>
      <w:lvlJc w:val="left"/>
      <w:pPr>
        <w:ind w:left="5380" w:hanging="360"/>
      </w:pPr>
    </w:lvl>
    <w:lvl w:ilvl="4" w:tplc="08090019" w:tentative="1">
      <w:start w:val="1"/>
      <w:numFmt w:val="lowerLetter"/>
      <w:lvlText w:val="%5."/>
      <w:lvlJc w:val="left"/>
      <w:pPr>
        <w:ind w:left="6100" w:hanging="360"/>
      </w:pPr>
    </w:lvl>
    <w:lvl w:ilvl="5" w:tplc="0809001B" w:tentative="1">
      <w:start w:val="1"/>
      <w:numFmt w:val="lowerRoman"/>
      <w:lvlText w:val="%6."/>
      <w:lvlJc w:val="right"/>
      <w:pPr>
        <w:ind w:left="6820" w:hanging="180"/>
      </w:pPr>
    </w:lvl>
    <w:lvl w:ilvl="6" w:tplc="0809000F" w:tentative="1">
      <w:start w:val="1"/>
      <w:numFmt w:val="decimal"/>
      <w:lvlText w:val="%7."/>
      <w:lvlJc w:val="left"/>
      <w:pPr>
        <w:ind w:left="7540" w:hanging="360"/>
      </w:pPr>
    </w:lvl>
    <w:lvl w:ilvl="7" w:tplc="08090019" w:tentative="1">
      <w:start w:val="1"/>
      <w:numFmt w:val="lowerLetter"/>
      <w:lvlText w:val="%8."/>
      <w:lvlJc w:val="left"/>
      <w:pPr>
        <w:ind w:left="8260" w:hanging="360"/>
      </w:pPr>
    </w:lvl>
    <w:lvl w:ilvl="8" w:tplc="0809001B" w:tentative="1">
      <w:start w:val="1"/>
      <w:numFmt w:val="lowerRoman"/>
      <w:lvlText w:val="%9."/>
      <w:lvlJc w:val="right"/>
      <w:pPr>
        <w:ind w:left="8980" w:hanging="180"/>
      </w:pPr>
    </w:lvl>
  </w:abstractNum>
  <w:num w:numId="1">
    <w:abstractNumId w:val="3"/>
    <w:lvlOverride w:ilvl="1">
      <w:lvl w:ilvl="1">
        <w:start w:val="1"/>
        <w:numFmt w:val="lowerLetter"/>
        <w:lvlText w:val="(%2)"/>
        <w:lvlJc w:val="left"/>
        <w:pPr>
          <w:tabs>
            <w:tab w:val="num" w:pos="1134"/>
          </w:tabs>
          <w:ind w:left="1247" w:firstLine="567"/>
        </w:pPr>
        <w:rPr>
          <w:rFonts w:hint="default"/>
        </w:rPr>
      </w:lvl>
    </w:lvlOverride>
  </w:num>
  <w:num w:numId="2">
    <w:abstractNumId w:val="0"/>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4"/>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ell, Christine (AGPM)">
    <w15:presenceInfo w15:providerId="AD" w15:userId="S-1-5-21-2107199734-1002509562-578033828-63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84"/>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53"/>
    <w:rsid w:val="00001101"/>
    <w:rsid w:val="000149E6"/>
    <w:rsid w:val="000247B0"/>
    <w:rsid w:val="00026997"/>
    <w:rsid w:val="000302DF"/>
    <w:rsid w:val="00032EA7"/>
    <w:rsid w:val="00033E0B"/>
    <w:rsid w:val="00035EDE"/>
    <w:rsid w:val="000445C3"/>
    <w:rsid w:val="000509B4"/>
    <w:rsid w:val="0006035B"/>
    <w:rsid w:val="00071886"/>
    <w:rsid w:val="000742BC"/>
    <w:rsid w:val="00082A0C"/>
    <w:rsid w:val="00083504"/>
    <w:rsid w:val="0009640C"/>
    <w:rsid w:val="000B22A2"/>
    <w:rsid w:val="000C002C"/>
    <w:rsid w:val="000C2A52"/>
    <w:rsid w:val="000D33C0"/>
    <w:rsid w:val="000D6941"/>
    <w:rsid w:val="000F2A2B"/>
    <w:rsid w:val="00113738"/>
    <w:rsid w:val="001202E3"/>
    <w:rsid w:val="00123699"/>
    <w:rsid w:val="00125CCC"/>
    <w:rsid w:val="00126E8D"/>
    <w:rsid w:val="0013059D"/>
    <w:rsid w:val="00141A55"/>
    <w:rsid w:val="001446A3"/>
    <w:rsid w:val="00144D53"/>
    <w:rsid w:val="00147580"/>
    <w:rsid w:val="00155395"/>
    <w:rsid w:val="00160D74"/>
    <w:rsid w:val="00167D02"/>
    <w:rsid w:val="00181EC8"/>
    <w:rsid w:val="00184349"/>
    <w:rsid w:val="0018672F"/>
    <w:rsid w:val="00195F33"/>
    <w:rsid w:val="001A671D"/>
    <w:rsid w:val="001B1617"/>
    <w:rsid w:val="001B504B"/>
    <w:rsid w:val="001B7526"/>
    <w:rsid w:val="001D3874"/>
    <w:rsid w:val="001D7E75"/>
    <w:rsid w:val="001E56D2"/>
    <w:rsid w:val="001E7D56"/>
    <w:rsid w:val="001F75DE"/>
    <w:rsid w:val="00200AE1"/>
    <w:rsid w:val="00200D58"/>
    <w:rsid w:val="002013BE"/>
    <w:rsid w:val="002063A4"/>
    <w:rsid w:val="0021145B"/>
    <w:rsid w:val="00220B78"/>
    <w:rsid w:val="00221DD0"/>
    <w:rsid w:val="00233069"/>
    <w:rsid w:val="002353BE"/>
    <w:rsid w:val="00240655"/>
    <w:rsid w:val="00243D36"/>
    <w:rsid w:val="00247707"/>
    <w:rsid w:val="0026018E"/>
    <w:rsid w:val="00263F2B"/>
    <w:rsid w:val="00265FD1"/>
    <w:rsid w:val="00267C20"/>
    <w:rsid w:val="002724BD"/>
    <w:rsid w:val="00286740"/>
    <w:rsid w:val="002929D8"/>
    <w:rsid w:val="0029537D"/>
    <w:rsid w:val="002A237D"/>
    <w:rsid w:val="002A4C53"/>
    <w:rsid w:val="002A50C5"/>
    <w:rsid w:val="002B0672"/>
    <w:rsid w:val="002B247F"/>
    <w:rsid w:val="002C145D"/>
    <w:rsid w:val="002C2C3E"/>
    <w:rsid w:val="002C533E"/>
    <w:rsid w:val="002D027F"/>
    <w:rsid w:val="002D7A85"/>
    <w:rsid w:val="002D7B60"/>
    <w:rsid w:val="002E6955"/>
    <w:rsid w:val="002F4761"/>
    <w:rsid w:val="002F5C79"/>
    <w:rsid w:val="00300673"/>
    <w:rsid w:val="003019E2"/>
    <w:rsid w:val="0031413F"/>
    <w:rsid w:val="003148BB"/>
    <w:rsid w:val="00315071"/>
    <w:rsid w:val="00317976"/>
    <w:rsid w:val="00355EA9"/>
    <w:rsid w:val="003578DE"/>
    <w:rsid w:val="00393C2C"/>
    <w:rsid w:val="00396257"/>
    <w:rsid w:val="00397EB8"/>
    <w:rsid w:val="003A0393"/>
    <w:rsid w:val="003A4FD0"/>
    <w:rsid w:val="003A69D1"/>
    <w:rsid w:val="003A7705"/>
    <w:rsid w:val="003A77F1"/>
    <w:rsid w:val="003B1545"/>
    <w:rsid w:val="003C409D"/>
    <w:rsid w:val="003C4ACB"/>
    <w:rsid w:val="003C5BA6"/>
    <w:rsid w:val="003F0E85"/>
    <w:rsid w:val="00410C55"/>
    <w:rsid w:val="00416854"/>
    <w:rsid w:val="00417725"/>
    <w:rsid w:val="00422849"/>
    <w:rsid w:val="00437F26"/>
    <w:rsid w:val="00444097"/>
    <w:rsid w:val="00445487"/>
    <w:rsid w:val="00454769"/>
    <w:rsid w:val="00455315"/>
    <w:rsid w:val="00466991"/>
    <w:rsid w:val="0047064C"/>
    <w:rsid w:val="00496426"/>
    <w:rsid w:val="00496E07"/>
    <w:rsid w:val="004A42E1"/>
    <w:rsid w:val="004A5CC7"/>
    <w:rsid w:val="004B162C"/>
    <w:rsid w:val="004B78A9"/>
    <w:rsid w:val="004C3DBE"/>
    <w:rsid w:val="004C5C96"/>
    <w:rsid w:val="004C60AF"/>
    <w:rsid w:val="004D06A4"/>
    <w:rsid w:val="004F1A81"/>
    <w:rsid w:val="004F4B5A"/>
    <w:rsid w:val="00500AF5"/>
    <w:rsid w:val="00504111"/>
    <w:rsid w:val="00507368"/>
    <w:rsid w:val="005218D9"/>
    <w:rsid w:val="00536186"/>
    <w:rsid w:val="00544CBB"/>
    <w:rsid w:val="00555001"/>
    <w:rsid w:val="00565AE7"/>
    <w:rsid w:val="00570E85"/>
    <w:rsid w:val="0057315F"/>
    <w:rsid w:val="00576104"/>
    <w:rsid w:val="00576638"/>
    <w:rsid w:val="00592870"/>
    <w:rsid w:val="005C67C8"/>
    <w:rsid w:val="005D0249"/>
    <w:rsid w:val="005D6E8C"/>
    <w:rsid w:val="005F100C"/>
    <w:rsid w:val="005F68DA"/>
    <w:rsid w:val="00604068"/>
    <w:rsid w:val="0060773B"/>
    <w:rsid w:val="006157B5"/>
    <w:rsid w:val="00622932"/>
    <w:rsid w:val="00626FC6"/>
    <w:rsid w:val="00630283"/>
    <w:rsid w:val="006303B4"/>
    <w:rsid w:val="00633D3D"/>
    <w:rsid w:val="00641703"/>
    <w:rsid w:val="00641721"/>
    <w:rsid w:val="006431A6"/>
    <w:rsid w:val="006453FC"/>
    <w:rsid w:val="006459F6"/>
    <w:rsid w:val="006501AD"/>
    <w:rsid w:val="00651BFA"/>
    <w:rsid w:val="00654475"/>
    <w:rsid w:val="00665A4B"/>
    <w:rsid w:val="0067701E"/>
    <w:rsid w:val="00680554"/>
    <w:rsid w:val="00682D18"/>
    <w:rsid w:val="00692E2A"/>
    <w:rsid w:val="006A76F2"/>
    <w:rsid w:val="006B654E"/>
    <w:rsid w:val="006C43D2"/>
    <w:rsid w:val="006D7EFB"/>
    <w:rsid w:val="006E5DE6"/>
    <w:rsid w:val="006E6672"/>
    <w:rsid w:val="006E6722"/>
    <w:rsid w:val="006F09CA"/>
    <w:rsid w:val="007027B9"/>
    <w:rsid w:val="00704489"/>
    <w:rsid w:val="00704E37"/>
    <w:rsid w:val="00715E88"/>
    <w:rsid w:val="00726564"/>
    <w:rsid w:val="00734CAA"/>
    <w:rsid w:val="007365E3"/>
    <w:rsid w:val="0075533C"/>
    <w:rsid w:val="00755D42"/>
    <w:rsid w:val="00757581"/>
    <w:rsid w:val="00757753"/>
    <w:rsid w:val="007611A0"/>
    <w:rsid w:val="0077012F"/>
    <w:rsid w:val="00771968"/>
    <w:rsid w:val="0078499F"/>
    <w:rsid w:val="00796D3F"/>
    <w:rsid w:val="007A1683"/>
    <w:rsid w:val="007A5C12"/>
    <w:rsid w:val="007A6EC8"/>
    <w:rsid w:val="007A7CB0"/>
    <w:rsid w:val="007B275E"/>
    <w:rsid w:val="007B68A3"/>
    <w:rsid w:val="007C1D02"/>
    <w:rsid w:val="007C2541"/>
    <w:rsid w:val="007D66A8"/>
    <w:rsid w:val="007D68A5"/>
    <w:rsid w:val="007E003F"/>
    <w:rsid w:val="007E1E6B"/>
    <w:rsid w:val="007E3B80"/>
    <w:rsid w:val="007E60F8"/>
    <w:rsid w:val="007F25B1"/>
    <w:rsid w:val="007F3ED5"/>
    <w:rsid w:val="00801FD8"/>
    <w:rsid w:val="008104FB"/>
    <w:rsid w:val="008164F2"/>
    <w:rsid w:val="00821395"/>
    <w:rsid w:val="00830E26"/>
    <w:rsid w:val="00840C90"/>
    <w:rsid w:val="00843576"/>
    <w:rsid w:val="00843B64"/>
    <w:rsid w:val="00845409"/>
    <w:rsid w:val="008478FC"/>
    <w:rsid w:val="00867BFF"/>
    <w:rsid w:val="008747BD"/>
    <w:rsid w:val="0088480A"/>
    <w:rsid w:val="0088757A"/>
    <w:rsid w:val="008957DD"/>
    <w:rsid w:val="00897D98"/>
    <w:rsid w:val="008A6DF2"/>
    <w:rsid w:val="008A7807"/>
    <w:rsid w:val="008B03E6"/>
    <w:rsid w:val="008B4CC9"/>
    <w:rsid w:val="008C1188"/>
    <w:rsid w:val="008C153E"/>
    <w:rsid w:val="008D444E"/>
    <w:rsid w:val="008D74B5"/>
    <w:rsid w:val="008D7C99"/>
    <w:rsid w:val="008E035E"/>
    <w:rsid w:val="008E0FCB"/>
    <w:rsid w:val="009051C0"/>
    <w:rsid w:val="00907068"/>
    <w:rsid w:val="009163B8"/>
    <w:rsid w:val="0092178C"/>
    <w:rsid w:val="00930B88"/>
    <w:rsid w:val="00940DCC"/>
    <w:rsid w:val="0094179A"/>
    <w:rsid w:val="00942D53"/>
    <w:rsid w:val="0094459E"/>
    <w:rsid w:val="00944DBC"/>
    <w:rsid w:val="00950977"/>
    <w:rsid w:val="00951A7B"/>
    <w:rsid w:val="009564A6"/>
    <w:rsid w:val="00966A27"/>
    <w:rsid w:val="00967621"/>
    <w:rsid w:val="00967E6A"/>
    <w:rsid w:val="00990C59"/>
    <w:rsid w:val="00992FC0"/>
    <w:rsid w:val="0099548D"/>
    <w:rsid w:val="009B19EC"/>
    <w:rsid w:val="009B38D0"/>
    <w:rsid w:val="009B4A0F"/>
    <w:rsid w:val="009C11D2"/>
    <w:rsid w:val="009C6C70"/>
    <w:rsid w:val="009D0B63"/>
    <w:rsid w:val="009D70AA"/>
    <w:rsid w:val="009E307E"/>
    <w:rsid w:val="00A0765A"/>
    <w:rsid w:val="00A07870"/>
    <w:rsid w:val="00A07F19"/>
    <w:rsid w:val="00A1348D"/>
    <w:rsid w:val="00A232EE"/>
    <w:rsid w:val="00A24FC8"/>
    <w:rsid w:val="00A4175F"/>
    <w:rsid w:val="00A44411"/>
    <w:rsid w:val="00A469FA"/>
    <w:rsid w:val="00A55B01"/>
    <w:rsid w:val="00A56B5B"/>
    <w:rsid w:val="00A603FF"/>
    <w:rsid w:val="00A62762"/>
    <w:rsid w:val="00A6326C"/>
    <w:rsid w:val="00A657DD"/>
    <w:rsid w:val="00A666A6"/>
    <w:rsid w:val="00A675FD"/>
    <w:rsid w:val="00A72437"/>
    <w:rsid w:val="00A73967"/>
    <w:rsid w:val="00A80611"/>
    <w:rsid w:val="00AB5340"/>
    <w:rsid w:val="00AB56A9"/>
    <w:rsid w:val="00AC0A89"/>
    <w:rsid w:val="00AC7C96"/>
    <w:rsid w:val="00AD33C6"/>
    <w:rsid w:val="00AE237D"/>
    <w:rsid w:val="00AE502A"/>
    <w:rsid w:val="00AF7C07"/>
    <w:rsid w:val="00B01FE3"/>
    <w:rsid w:val="00B11701"/>
    <w:rsid w:val="00B13BA9"/>
    <w:rsid w:val="00B14242"/>
    <w:rsid w:val="00B143AE"/>
    <w:rsid w:val="00B22C93"/>
    <w:rsid w:val="00B22D17"/>
    <w:rsid w:val="00B27589"/>
    <w:rsid w:val="00B361B7"/>
    <w:rsid w:val="00B405B7"/>
    <w:rsid w:val="00B444F7"/>
    <w:rsid w:val="00B52222"/>
    <w:rsid w:val="00B52A60"/>
    <w:rsid w:val="00B54FE7"/>
    <w:rsid w:val="00B66901"/>
    <w:rsid w:val="00B71E6D"/>
    <w:rsid w:val="00B72070"/>
    <w:rsid w:val="00B76288"/>
    <w:rsid w:val="00B779E1"/>
    <w:rsid w:val="00B91EE1"/>
    <w:rsid w:val="00BA0090"/>
    <w:rsid w:val="00BA1A67"/>
    <w:rsid w:val="00BB0228"/>
    <w:rsid w:val="00BB37BA"/>
    <w:rsid w:val="00BE5B5F"/>
    <w:rsid w:val="00C03330"/>
    <w:rsid w:val="00C20F1C"/>
    <w:rsid w:val="00C26F55"/>
    <w:rsid w:val="00C30C63"/>
    <w:rsid w:val="00C36B8B"/>
    <w:rsid w:val="00C415C1"/>
    <w:rsid w:val="00C41D71"/>
    <w:rsid w:val="00C47DBF"/>
    <w:rsid w:val="00C552FF"/>
    <w:rsid w:val="00C558DA"/>
    <w:rsid w:val="00C55AF3"/>
    <w:rsid w:val="00C65495"/>
    <w:rsid w:val="00C84759"/>
    <w:rsid w:val="00C85D68"/>
    <w:rsid w:val="00C87E32"/>
    <w:rsid w:val="00CA5C8D"/>
    <w:rsid w:val="00CA6C7F"/>
    <w:rsid w:val="00CB17A7"/>
    <w:rsid w:val="00CB2E9C"/>
    <w:rsid w:val="00CC10A6"/>
    <w:rsid w:val="00CC6281"/>
    <w:rsid w:val="00CD38CF"/>
    <w:rsid w:val="00CD5EB8"/>
    <w:rsid w:val="00CD7044"/>
    <w:rsid w:val="00CE08B9"/>
    <w:rsid w:val="00CE524C"/>
    <w:rsid w:val="00CF141F"/>
    <w:rsid w:val="00CF4777"/>
    <w:rsid w:val="00CF521B"/>
    <w:rsid w:val="00D06526"/>
    <w:rsid w:val="00D067BB"/>
    <w:rsid w:val="00D07069"/>
    <w:rsid w:val="00D1352A"/>
    <w:rsid w:val="00D169AF"/>
    <w:rsid w:val="00D25249"/>
    <w:rsid w:val="00D25871"/>
    <w:rsid w:val="00D44172"/>
    <w:rsid w:val="00D51680"/>
    <w:rsid w:val="00D63B8C"/>
    <w:rsid w:val="00D739CC"/>
    <w:rsid w:val="00D8093D"/>
    <w:rsid w:val="00D8108C"/>
    <w:rsid w:val="00D842AE"/>
    <w:rsid w:val="00D85F8C"/>
    <w:rsid w:val="00D9017E"/>
    <w:rsid w:val="00D9211C"/>
    <w:rsid w:val="00D92DE0"/>
    <w:rsid w:val="00D92FEF"/>
    <w:rsid w:val="00D93A0F"/>
    <w:rsid w:val="00DA1BCA"/>
    <w:rsid w:val="00DC2527"/>
    <w:rsid w:val="00DC30EB"/>
    <w:rsid w:val="00DC46FF"/>
    <w:rsid w:val="00DC5254"/>
    <w:rsid w:val="00DD1A4F"/>
    <w:rsid w:val="00DD3107"/>
    <w:rsid w:val="00DD7C2C"/>
    <w:rsid w:val="00E06797"/>
    <w:rsid w:val="00E1265B"/>
    <w:rsid w:val="00E13B48"/>
    <w:rsid w:val="00E1404F"/>
    <w:rsid w:val="00E20098"/>
    <w:rsid w:val="00E20C19"/>
    <w:rsid w:val="00E21C83"/>
    <w:rsid w:val="00E244EF"/>
    <w:rsid w:val="00E24ADA"/>
    <w:rsid w:val="00E32F59"/>
    <w:rsid w:val="00E34F34"/>
    <w:rsid w:val="00E46D9A"/>
    <w:rsid w:val="00E565FF"/>
    <w:rsid w:val="00E65388"/>
    <w:rsid w:val="00E750C3"/>
    <w:rsid w:val="00E85B7D"/>
    <w:rsid w:val="00E9121B"/>
    <w:rsid w:val="00EA0AE2"/>
    <w:rsid w:val="00EA30A4"/>
    <w:rsid w:val="00EA39E5"/>
    <w:rsid w:val="00EC5A46"/>
    <w:rsid w:val="00EC63E2"/>
    <w:rsid w:val="00EF22B3"/>
    <w:rsid w:val="00F03B69"/>
    <w:rsid w:val="00F07A50"/>
    <w:rsid w:val="00F113DA"/>
    <w:rsid w:val="00F2479B"/>
    <w:rsid w:val="00F37DC8"/>
    <w:rsid w:val="00F439B3"/>
    <w:rsid w:val="00F650C3"/>
    <w:rsid w:val="00F65D85"/>
    <w:rsid w:val="00F8091E"/>
    <w:rsid w:val="00F8615C"/>
    <w:rsid w:val="00F969E5"/>
    <w:rsid w:val="00FA6BB0"/>
    <w:rsid w:val="00FC62F7"/>
    <w:rsid w:val="00FD5860"/>
    <w:rsid w:val="00FD60EE"/>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D5"/>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aliases w:val="Chpt"/>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locked/>
    <w:rsid w:val="007F3ED5"/>
    <w:rPr>
      <w:sz w:val="18"/>
      <w:lang w:val="fr-FR"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7"/>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455315"/>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704489"/>
    <w:rPr>
      <w:rFonts w:ascii="Tahoma" w:hAnsi="Tahoma" w:cs="Tahoma"/>
      <w:sz w:val="16"/>
      <w:szCs w:val="16"/>
    </w:rPr>
  </w:style>
  <w:style w:type="character" w:customStyle="1" w:styleId="BalloonTextChar">
    <w:name w:val="Balloon Text Char"/>
    <w:basedOn w:val="DefaultParagraphFont"/>
    <w:link w:val="BalloonText"/>
    <w:rsid w:val="00704489"/>
    <w:rPr>
      <w:rFonts w:ascii="Tahoma" w:hAnsi="Tahoma" w:cs="Tahoma"/>
      <w:sz w:val="16"/>
      <w:szCs w:val="16"/>
      <w:lang w:eastAsia="en-US"/>
    </w:rPr>
  </w:style>
  <w:style w:type="character" w:styleId="CommentReference">
    <w:name w:val="annotation reference"/>
    <w:basedOn w:val="DefaultParagraphFont"/>
    <w:rsid w:val="00966A27"/>
    <w:rPr>
      <w:sz w:val="16"/>
      <w:szCs w:val="16"/>
    </w:rPr>
  </w:style>
  <w:style w:type="paragraph" w:styleId="CommentText">
    <w:name w:val="annotation text"/>
    <w:basedOn w:val="Normal"/>
    <w:link w:val="CommentTextChar"/>
    <w:rsid w:val="00966A27"/>
  </w:style>
  <w:style w:type="character" w:customStyle="1" w:styleId="CommentTextChar">
    <w:name w:val="Comment Text Char"/>
    <w:basedOn w:val="DefaultParagraphFont"/>
    <w:link w:val="CommentText"/>
    <w:rsid w:val="00966A27"/>
    <w:rPr>
      <w:lang w:eastAsia="en-US"/>
    </w:rPr>
  </w:style>
  <w:style w:type="paragraph" w:styleId="CommentSubject">
    <w:name w:val="annotation subject"/>
    <w:basedOn w:val="CommentText"/>
    <w:next w:val="CommentText"/>
    <w:link w:val="CommentSubjectChar"/>
    <w:rsid w:val="00966A27"/>
    <w:rPr>
      <w:b/>
      <w:bCs/>
    </w:rPr>
  </w:style>
  <w:style w:type="character" w:customStyle="1" w:styleId="CommentSubjectChar">
    <w:name w:val="Comment Subject Char"/>
    <w:basedOn w:val="CommentTextChar"/>
    <w:link w:val="CommentSubject"/>
    <w:rsid w:val="00966A27"/>
    <w:rPr>
      <w:b/>
      <w:bCs/>
      <w:lang w:eastAsia="en-US"/>
    </w:rPr>
  </w:style>
  <w:style w:type="paragraph" w:styleId="Revision">
    <w:name w:val="Revision"/>
    <w:hidden/>
    <w:uiPriority w:val="99"/>
    <w:semiHidden/>
    <w:rsid w:val="00267C2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D5"/>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aliases w:val="Chpt"/>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locked/>
    <w:rsid w:val="007F3ED5"/>
    <w:rPr>
      <w:sz w:val="18"/>
      <w:lang w:val="fr-FR"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7"/>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455315"/>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704489"/>
    <w:rPr>
      <w:rFonts w:ascii="Tahoma" w:hAnsi="Tahoma" w:cs="Tahoma"/>
      <w:sz w:val="16"/>
      <w:szCs w:val="16"/>
    </w:rPr>
  </w:style>
  <w:style w:type="character" w:customStyle="1" w:styleId="BalloonTextChar">
    <w:name w:val="Balloon Text Char"/>
    <w:basedOn w:val="DefaultParagraphFont"/>
    <w:link w:val="BalloonText"/>
    <w:rsid w:val="00704489"/>
    <w:rPr>
      <w:rFonts w:ascii="Tahoma" w:hAnsi="Tahoma" w:cs="Tahoma"/>
      <w:sz w:val="16"/>
      <w:szCs w:val="16"/>
      <w:lang w:eastAsia="en-US"/>
    </w:rPr>
  </w:style>
  <w:style w:type="character" w:styleId="CommentReference">
    <w:name w:val="annotation reference"/>
    <w:basedOn w:val="DefaultParagraphFont"/>
    <w:rsid w:val="00966A27"/>
    <w:rPr>
      <w:sz w:val="16"/>
      <w:szCs w:val="16"/>
    </w:rPr>
  </w:style>
  <w:style w:type="paragraph" w:styleId="CommentText">
    <w:name w:val="annotation text"/>
    <w:basedOn w:val="Normal"/>
    <w:link w:val="CommentTextChar"/>
    <w:rsid w:val="00966A27"/>
  </w:style>
  <w:style w:type="character" w:customStyle="1" w:styleId="CommentTextChar">
    <w:name w:val="Comment Text Char"/>
    <w:basedOn w:val="DefaultParagraphFont"/>
    <w:link w:val="CommentText"/>
    <w:rsid w:val="00966A27"/>
    <w:rPr>
      <w:lang w:eastAsia="en-US"/>
    </w:rPr>
  </w:style>
  <w:style w:type="paragraph" w:styleId="CommentSubject">
    <w:name w:val="annotation subject"/>
    <w:basedOn w:val="CommentText"/>
    <w:next w:val="CommentText"/>
    <w:link w:val="CommentSubjectChar"/>
    <w:rsid w:val="00966A27"/>
    <w:rPr>
      <w:b/>
      <w:bCs/>
    </w:rPr>
  </w:style>
  <w:style w:type="character" w:customStyle="1" w:styleId="CommentSubjectChar">
    <w:name w:val="Comment Subject Char"/>
    <w:basedOn w:val="CommentTextChar"/>
    <w:link w:val="CommentSubject"/>
    <w:rsid w:val="00966A27"/>
    <w:rPr>
      <w:b/>
      <w:bCs/>
      <w:lang w:eastAsia="en-US"/>
    </w:rPr>
  </w:style>
  <w:style w:type="paragraph" w:styleId="Revision">
    <w:name w:val="Revision"/>
    <w:hidden/>
    <w:uiPriority w:val="99"/>
    <w:semiHidden/>
    <w:rsid w:val="00267C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pic.int/Implementation/RessourceKit/tabid/1064/language/en-US/Default.aspx" TargetMode="External"/><Relationship Id="rId2" Type="http://schemas.openxmlformats.org/officeDocument/2006/relationships/hyperlink" Target="http://www.pic.int/?tabid=5325" TargetMode="External"/><Relationship Id="rId1" Type="http://schemas.openxmlformats.org/officeDocument/2006/relationships/hyperlink" Target="http://www.pic.int/Implementation/FinalRegulatoryActions/FRAEvaluationToolkit/tabid/4976/language/en-US/Default.aspx" TargetMode="External"/><Relationship Id="rId4" Type="http://schemas.openxmlformats.org/officeDocument/2006/relationships/hyperlink" Target="file:///C:\Users\Mihajlovski\peakeg\AppData\Local\Temp\Downloads\www.pic.int\Procedures\NotificationsofFinalRegulatoryActions\FormandInstructions\tabid\1182\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BA35-D52B-41BF-8583-F0CB2F99859C}">
  <ds:schemaRefs>
    <ds:schemaRef ds:uri="http://schemas.openxmlformats.org/officeDocument/2006/bibliography"/>
  </ds:schemaRefs>
</ds:datastoreItem>
</file>

<file path=customXml/itemProps2.xml><?xml version="1.0" encoding="utf-8"?>
<ds:datastoreItem xmlns:ds="http://schemas.openxmlformats.org/officeDocument/2006/customXml" ds:itemID="{5B7A0AFA-DB4A-403B-82F0-C6AA5D6B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Veronica Gathu</cp:lastModifiedBy>
  <cp:revision>3</cp:revision>
  <cp:lastPrinted>2017-04-10T12:17:00Z</cp:lastPrinted>
  <dcterms:created xsi:type="dcterms:W3CDTF">2017-04-10T12:17:00Z</dcterms:created>
  <dcterms:modified xsi:type="dcterms:W3CDTF">2017-04-10T12:18:00Z</dcterms:modified>
</cp:coreProperties>
</file>