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093" w:rsidRPr="001066BF" w:rsidRDefault="00005093" w:rsidP="00005093">
      <w:pPr>
        <w:pStyle w:val="Normal-pool"/>
        <w:tabs>
          <w:tab w:val="clear" w:pos="1247"/>
          <w:tab w:val="clear" w:pos="1814"/>
          <w:tab w:val="clear" w:pos="2381"/>
          <w:tab w:val="clear" w:pos="2948"/>
          <w:tab w:val="clear" w:pos="3515"/>
          <w:tab w:val="left" w:pos="624"/>
        </w:tabs>
        <w:spacing w:after="120"/>
        <w:ind w:left="1276"/>
        <w:rPr>
          <w:rFonts w:eastAsia="SimHei"/>
          <w:sz w:val="28"/>
          <w:szCs w:val="28"/>
          <w:lang w:val="fr-FR"/>
        </w:rPr>
      </w:pPr>
      <w:r w:rsidRPr="001066BF">
        <w:rPr>
          <w:rFonts w:eastAsia="SimHei"/>
          <w:b/>
          <w:sz w:val="28"/>
          <w:szCs w:val="28"/>
          <w:lang w:val="fr-FR"/>
        </w:rPr>
        <w:t>RC-8/16</w:t>
      </w:r>
      <w:r w:rsidRPr="001066BF">
        <w:rPr>
          <w:rFonts w:eastAsia="SimHei" w:hint="eastAsia"/>
          <w:b/>
          <w:sz w:val="28"/>
          <w:szCs w:val="28"/>
          <w:lang w:val="fr-FR"/>
        </w:rPr>
        <w:t>：</w:t>
      </w:r>
      <w:r w:rsidRPr="003554A8">
        <w:rPr>
          <w:rFonts w:eastAsia="SimHei"/>
          <w:b/>
          <w:spacing w:val="-6"/>
          <w:sz w:val="28"/>
          <w:szCs w:val="28"/>
        </w:rPr>
        <w:t>联合国粮食及农业组织、联合国环境署与关于在国际贸</w:t>
      </w:r>
      <w:r w:rsidRPr="003554A8">
        <w:rPr>
          <w:rFonts w:eastAsia="SimHei"/>
          <w:b/>
          <w:sz w:val="28"/>
          <w:szCs w:val="28"/>
        </w:rPr>
        <w:t>易</w:t>
      </w:r>
      <w:r w:rsidRPr="003554A8">
        <w:rPr>
          <w:rFonts w:eastAsia="SimHei"/>
          <w:b/>
          <w:spacing w:val="4"/>
          <w:sz w:val="28"/>
          <w:szCs w:val="28"/>
        </w:rPr>
        <w:t>中对某些危险化学品和农药采用事先知情同意程序的鹿特丹公约缔</w:t>
      </w:r>
      <w:r w:rsidRPr="003554A8">
        <w:rPr>
          <w:rFonts w:eastAsia="SimHei"/>
          <w:b/>
          <w:sz w:val="28"/>
          <w:szCs w:val="28"/>
        </w:rPr>
        <w:t>约方大会之间的谅解备忘录草案</w:t>
      </w:r>
    </w:p>
    <w:p w:rsidR="00005093" w:rsidRPr="003554A8" w:rsidRDefault="00005093" w:rsidP="00005093">
      <w:pPr>
        <w:pStyle w:val="Normalpool"/>
        <w:tabs>
          <w:tab w:val="clear" w:pos="1247"/>
          <w:tab w:val="clear" w:pos="1814"/>
          <w:tab w:val="clear" w:pos="2381"/>
          <w:tab w:val="clear" w:pos="2948"/>
          <w:tab w:val="clear" w:pos="3515"/>
          <w:tab w:val="left" w:pos="624"/>
        </w:tabs>
        <w:spacing w:after="120"/>
        <w:ind w:left="1247" w:right="57" w:firstLine="624"/>
        <w:jc w:val="both"/>
        <w:rPr>
          <w:rFonts w:eastAsia="楷体"/>
          <w:sz w:val="24"/>
        </w:rPr>
      </w:pPr>
      <w:r w:rsidRPr="003554A8">
        <w:rPr>
          <w:rFonts w:eastAsia="楷体"/>
          <w:sz w:val="24"/>
        </w:rPr>
        <w:t>缔约方大会，</w:t>
      </w:r>
    </w:p>
    <w:p w:rsidR="00005093" w:rsidRPr="001066BF" w:rsidRDefault="00005093" w:rsidP="00005093">
      <w:pPr>
        <w:pStyle w:val="NormalNonumber"/>
        <w:tabs>
          <w:tab w:val="clear" w:pos="1247"/>
          <w:tab w:val="left" w:pos="624"/>
        </w:tabs>
        <w:ind w:firstLine="624"/>
        <w:jc w:val="both"/>
        <w:rPr>
          <w:sz w:val="24"/>
          <w:lang w:val="fr-FR"/>
        </w:rPr>
      </w:pPr>
      <w:r w:rsidRPr="003554A8">
        <w:rPr>
          <w:rFonts w:eastAsia="楷体"/>
          <w:sz w:val="24"/>
        </w:rPr>
        <w:t>注意到</w:t>
      </w:r>
      <w:r w:rsidRPr="003554A8">
        <w:rPr>
          <w:sz w:val="24"/>
        </w:rPr>
        <w:t>缔约方大会的法律自治</w:t>
      </w:r>
      <w:r w:rsidRPr="001066BF">
        <w:rPr>
          <w:rFonts w:hint="eastAsia"/>
          <w:sz w:val="24"/>
          <w:lang w:val="fr-FR"/>
        </w:rPr>
        <w:t>，</w:t>
      </w:r>
      <w:r w:rsidRPr="003554A8">
        <w:rPr>
          <w:sz w:val="24"/>
        </w:rPr>
        <w:t>并注意到联合国环境规划署</w:t>
      </w:r>
      <w:r w:rsidRPr="001066BF">
        <w:rPr>
          <w:rFonts w:hint="eastAsia"/>
          <w:sz w:val="24"/>
          <w:lang w:val="fr-FR"/>
        </w:rPr>
        <w:t>（</w:t>
      </w:r>
      <w:r w:rsidRPr="003554A8">
        <w:rPr>
          <w:sz w:val="24"/>
        </w:rPr>
        <w:t>环境署</w:t>
      </w:r>
      <w:r w:rsidRPr="001066BF">
        <w:rPr>
          <w:rFonts w:hint="eastAsia"/>
          <w:sz w:val="24"/>
          <w:lang w:val="fr-FR"/>
        </w:rPr>
        <w:t>）</w:t>
      </w:r>
      <w:r w:rsidRPr="003554A8">
        <w:rPr>
          <w:sz w:val="24"/>
        </w:rPr>
        <w:t>的联合国环境大会、联合国粮食及农业组织</w:t>
      </w:r>
      <w:r w:rsidRPr="001066BF">
        <w:rPr>
          <w:rFonts w:hint="eastAsia"/>
          <w:sz w:val="24"/>
          <w:lang w:val="fr-FR"/>
        </w:rPr>
        <w:t>（</w:t>
      </w:r>
      <w:r w:rsidRPr="003554A8">
        <w:rPr>
          <w:sz w:val="24"/>
        </w:rPr>
        <w:t>粮农组织</w:t>
      </w:r>
      <w:r w:rsidRPr="001066BF">
        <w:rPr>
          <w:rFonts w:hint="eastAsia"/>
          <w:sz w:val="24"/>
          <w:lang w:val="fr-FR"/>
        </w:rPr>
        <w:t>）</w:t>
      </w:r>
      <w:r w:rsidRPr="003554A8">
        <w:rPr>
          <w:sz w:val="24"/>
        </w:rPr>
        <w:t>大会以及《控制危险废物越境转移及其处置巴塞尔公约》、《关于在国际贸易中对某些危险化学品和农药采用事先知情同意程序的鹿特丹公约》和《关于持久性有机污染物的斯德哥尔摩公约》缔约方大会在其相应的任务授权内有平等的决策权威</w:t>
      </w:r>
      <w:r w:rsidRPr="001066BF">
        <w:rPr>
          <w:rFonts w:hint="eastAsia"/>
          <w:sz w:val="24"/>
          <w:lang w:val="fr-FR"/>
        </w:rPr>
        <w:t>，</w:t>
      </w:r>
    </w:p>
    <w:p w:rsidR="00005093" w:rsidRPr="001066BF" w:rsidRDefault="00005093" w:rsidP="00005093">
      <w:pPr>
        <w:pStyle w:val="NormalNonumber"/>
        <w:numPr>
          <w:ilvl w:val="0"/>
          <w:numId w:val="5"/>
        </w:numPr>
        <w:tabs>
          <w:tab w:val="clear" w:pos="1247"/>
          <w:tab w:val="clear" w:pos="2381"/>
          <w:tab w:val="clear" w:pos="2948"/>
          <w:tab w:val="clear" w:pos="4082"/>
          <w:tab w:val="left" w:pos="624"/>
          <w:tab w:val="left" w:pos="1276"/>
          <w:tab w:val="left" w:pos="2410"/>
        </w:tabs>
        <w:ind w:left="1247" w:firstLine="624"/>
        <w:jc w:val="both"/>
        <w:rPr>
          <w:color w:val="000000"/>
          <w:sz w:val="24"/>
          <w:u w:color="000000"/>
          <w:bdr w:val="nil"/>
          <w:lang w:val="fr-FR"/>
        </w:rPr>
      </w:pPr>
      <w:r w:rsidRPr="003554A8">
        <w:rPr>
          <w:rFonts w:eastAsia="楷体"/>
          <w:sz w:val="24"/>
        </w:rPr>
        <w:t>回顾</w:t>
      </w:r>
      <w:r w:rsidRPr="003554A8">
        <w:rPr>
          <w:sz w:val="24"/>
        </w:rPr>
        <w:t>其在</w:t>
      </w:r>
      <w:r w:rsidRPr="001066BF">
        <w:rPr>
          <w:sz w:val="24"/>
          <w:lang w:val="fr-FR"/>
        </w:rPr>
        <w:t>RC-7/14</w:t>
      </w:r>
      <w:r w:rsidRPr="003554A8">
        <w:rPr>
          <w:sz w:val="24"/>
        </w:rPr>
        <w:t>号决定中请求编制关于为《公约》提供秘书处功能的谅解备忘录草案</w:t>
      </w:r>
      <w:r w:rsidRPr="001066BF">
        <w:rPr>
          <w:rFonts w:hint="eastAsia"/>
          <w:sz w:val="24"/>
          <w:lang w:val="fr-FR"/>
        </w:rPr>
        <w:t>，</w:t>
      </w:r>
      <w:r w:rsidRPr="003554A8">
        <w:rPr>
          <w:sz w:val="24"/>
        </w:rPr>
        <w:t>并关切地提到目前还没有这种草案提交以待审议</w:t>
      </w:r>
      <w:r w:rsidRPr="001066BF">
        <w:rPr>
          <w:rFonts w:hint="eastAsia"/>
          <w:sz w:val="24"/>
          <w:lang w:val="fr-FR"/>
        </w:rPr>
        <w:t>，</w:t>
      </w:r>
      <w:r w:rsidRPr="003554A8">
        <w:rPr>
          <w:sz w:val="24"/>
        </w:rPr>
        <w:t>而</w:t>
      </w:r>
      <w:r w:rsidRPr="001066BF">
        <w:rPr>
          <w:sz w:val="24"/>
          <w:lang w:val="fr-FR"/>
        </w:rPr>
        <w:t>2017</w:t>
      </w:r>
      <w:r w:rsidRPr="003554A8">
        <w:rPr>
          <w:sz w:val="24"/>
        </w:rPr>
        <w:t>年缔约方大会可能会通过草案</w:t>
      </w:r>
      <w:r w:rsidRPr="001066BF">
        <w:rPr>
          <w:rFonts w:hint="eastAsia"/>
          <w:sz w:val="24"/>
          <w:lang w:val="fr-FR"/>
        </w:rPr>
        <w:t>；</w:t>
      </w:r>
    </w:p>
    <w:p w:rsidR="00005093" w:rsidRPr="001066BF" w:rsidRDefault="00005093" w:rsidP="00005093">
      <w:pPr>
        <w:pStyle w:val="NormalNonumber"/>
        <w:numPr>
          <w:ilvl w:val="0"/>
          <w:numId w:val="5"/>
        </w:numPr>
        <w:tabs>
          <w:tab w:val="clear" w:pos="1247"/>
          <w:tab w:val="clear" w:pos="2381"/>
          <w:tab w:val="clear" w:pos="2948"/>
          <w:tab w:val="clear" w:pos="4082"/>
          <w:tab w:val="left" w:pos="624"/>
          <w:tab w:val="left" w:pos="1276"/>
          <w:tab w:val="left" w:pos="2410"/>
        </w:tabs>
        <w:ind w:left="1247" w:firstLine="624"/>
        <w:jc w:val="both"/>
        <w:rPr>
          <w:i/>
          <w:sz w:val="24"/>
          <w:lang w:val="fr-FR"/>
        </w:rPr>
      </w:pPr>
      <w:r w:rsidRPr="003554A8">
        <w:rPr>
          <w:rFonts w:eastAsia="楷体"/>
          <w:sz w:val="24"/>
        </w:rPr>
        <w:t>重申</w:t>
      </w:r>
      <w:r w:rsidRPr="003554A8">
        <w:rPr>
          <w:color w:val="000000"/>
          <w:sz w:val="24"/>
          <w:u w:color="000000"/>
          <w:bdr w:val="nil"/>
        </w:rPr>
        <w:t>其在</w:t>
      </w:r>
      <w:r w:rsidRPr="001066BF">
        <w:rPr>
          <w:color w:val="000000"/>
          <w:sz w:val="24"/>
          <w:u w:color="000000"/>
          <w:bdr w:val="nil"/>
          <w:lang w:val="fr-FR"/>
        </w:rPr>
        <w:t>RC-7/14</w:t>
      </w:r>
      <w:r w:rsidRPr="003554A8">
        <w:rPr>
          <w:color w:val="000000"/>
          <w:sz w:val="24"/>
          <w:u w:color="000000"/>
          <w:bdr w:val="nil"/>
        </w:rPr>
        <w:t>号决定中请求秘书处编制上述谅解备忘录草案</w:t>
      </w:r>
      <w:r w:rsidRPr="001066BF">
        <w:rPr>
          <w:rFonts w:hint="eastAsia"/>
          <w:color w:val="000000"/>
          <w:sz w:val="24"/>
          <w:u w:color="000000"/>
          <w:bdr w:val="nil"/>
          <w:lang w:val="fr-FR"/>
        </w:rPr>
        <w:t>，</w:t>
      </w:r>
      <w:r w:rsidRPr="003554A8">
        <w:rPr>
          <w:color w:val="000000"/>
          <w:sz w:val="24"/>
          <w:u w:color="000000"/>
          <w:bdr w:val="nil"/>
        </w:rPr>
        <w:t>以供其下次会议审议并可能获得通过</w:t>
      </w:r>
      <w:r w:rsidRPr="001066BF">
        <w:rPr>
          <w:rFonts w:hint="eastAsia"/>
          <w:color w:val="000000"/>
          <w:sz w:val="24"/>
          <w:u w:color="000000"/>
          <w:bdr w:val="nil"/>
          <w:lang w:val="fr-FR"/>
        </w:rPr>
        <w:t>；</w:t>
      </w:r>
    </w:p>
    <w:p w:rsidR="00005093" w:rsidRPr="001066BF" w:rsidRDefault="00005093" w:rsidP="00005093">
      <w:pPr>
        <w:pStyle w:val="NormalNonumber"/>
        <w:numPr>
          <w:ilvl w:val="0"/>
          <w:numId w:val="5"/>
        </w:numPr>
        <w:tabs>
          <w:tab w:val="clear" w:pos="1247"/>
          <w:tab w:val="clear" w:pos="2381"/>
          <w:tab w:val="clear" w:pos="2948"/>
          <w:tab w:val="clear" w:pos="4082"/>
          <w:tab w:val="left" w:pos="624"/>
          <w:tab w:val="left" w:pos="1276"/>
          <w:tab w:val="left" w:pos="2410"/>
        </w:tabs>
        <w:ind w:left="1247" w:firstLine="624"/>
        <w:jc w:val="both"/>
        <w:rPr>
          <w:color w:val="000000"/>
          <w:sz w:val="24"/>
          <w:u w:color="000000"/>
          <w:bdr w:val="nil"/>
          <w:lang w:val="fr-FR"/>
        </w:rPr>
      </w:pPr>
      <w:r w:rsidRPr="003554A8">
        <w:rPr>
          <w:rFonts w:eastAsia="楷体"/>
          <w:sz w:val="24"/>
        </w:rPr>
        <w:t>表示注意到</w:t>
      </w:r>
      <w:r w:rsidRPr="003554A8">
        <w:rPr>
          <w:sz w:val="24"/>
          <w:u w:color="000000"/>
          <w:bdr w:val="nil"/>
        </w:rPr>
        <w:t>联合国环境大会关于环境署及其提供了秘书处的各项多边环境协议间关系的第</w:t>
      </w:r>
      <w:r w:rsidRPr="001066BF">
        <w:rPr>
          <w:sz w:val="24"/>
          <w:u w:color="000000"/>
          <w:bdr w:val="nil"/>
          <w:lang w:val="fr-FR"/>
        </w:rPr>
        <w:t>2/18</w:t>
      </w:r>
      <w:r w:rsidRPr="003554A8">
        <w:rPr>
          <w:sz w:val="24"/>
          <w:u w:color="000000"/>
          <w:bdr w:val="nil"/>
        </w:rPr>
        <w:t>号决议</w:t>
      </w:r>
      <w:r w:rsidRPr="001066BF">
        <w:rPr>
          <w:rFonts w:hint="eastAsia"/>
          <w:sz w:val="24"/>
          <w:u w:color="000000"/>
          <w:bdr w:val="nil"/>
          <w:lang w:val="fr-FR"/>
        </w:rPr>
        <w:t>，</w:t>
      </w:r>
      <w:r w:rsidRPr="003554A8">
        <w:rPr>
          <w:sz w:val="24"/>
          <w:u w:color="000000"/>
          <w:bdr w:val="nil"/>
        </w:rPr>
        <w:t>以及环境署执行主任编制的进展报告</w:t>
      </w:r>
      <w:r w:rsidRPr="001066BF">
        <w:rPr>
          <w:rFonts w:hint="eastAsia"/>
          <w:sz w:val="24"/>
          <w:u w:color="000000"/>
          <w:bdr w:val="nil"/>
          <w:lang w:val="fr-FR"/>
        </w:rPr>
        <w:t>；</w:t>
      </w:r>
      <w:r w:rsidRPr="003554A8">
        <w:rPr>
          <w:sz w:val="24"/>
          <w:u w:color="000000"/>
          <w:bdr w:val="nil"/>
          <w:vertAlign w:val="superscript"/>
        </w:rPr>
        <w:footnoteReference w:id="1"/>
      </w:r>
    </w:p>
    <w:p w:rsidR="00005093" w:rsidRPr="001066BF" w:rsidRDefault="00005093" w:rsidP="00005093">
      <w:pPr>
        <w:pStyle w:val="NormalNonumber"/>
        <w:numPr>
          <w:ilvl w:val="0"/>
          <w:numId w:val="5"/>
        </w:numPr>
        <w:tabs>
          <w:tab w:val="clear" w:pos="1247"/>
          <w:tab w:val="clear" w:pos="2381"/>
          <w:tab w:val="clear" w:pos="2948"/>
          <w:tab w:val="clear" w:pos="4082"/>
          <w:tab w:val="left" w:pos="624"/>
          <w:tab w:val="left" w:pos="1276"/>
          <w:tab w:val="left" w:pos="2410"/>
        </w:tabs>
        <w:ind w:left="1247" w:firstLine="624"/>
        <w:jc w:val="both"/>
        <w:rPr>
          <w:sz w:val="24"/>
          <w:lang w:val="fr-FR"/>
        </w:rPr>
      </w:pPr>
      <w:r w:rsidRPr="003554A8">
        <w:rPr>
          <w:rFonts w:eastAsia="楷体"/>
          <w:sz w:val="24"/>
        </w:rPr>
        <w:t>请</w:t>
      </w:r>
      <w:r w:rsidRPr="003554A8">
        <w:rPr>
          <w:sz w:val="24"/>
        </w:rPr>
        <w:t>巴塞尔、鹿特丹和斯德哥尔摩公约执行秘书积极参与执行主任的工作</w:t>
      </w:r>
      <w:r w:rsidRPr="001066BF">
        <w:rPr>
          <w:rFonts w:hint="eastAsia"/>
          <w:sz w:val="24"/>
          <w:lang w:val="fr-FR"/>
        </w:rPr>
        <w:t>，</w:t>
      </w:r>
      <w:r w:rsidRPr="003554A8">
        <w:rPr>
          <w:sz w:val="24"/>
        </w:rPr>
        <w:t>并与环境署管理的其他多边环境协议秘书处</w:t>
      </w:r>
      <w:proofErr w:type="gramStart"/>
      <w:r w:rsidRPr="003554A8">
        <w:rPr>
          <w:sz w:val="24"/>
        </w:rPr>
        <w:t>咨</w:t>
      </w:r>
      <w:proofErr w:type="gramEnd"/>
      <w:r w:rsidRPr="003554A8">
        <w:rPr>
          <w:sz w:val="24"/>
        </w:rPr>
        <w:t>商</w:t>
      </w:r>
      <w:r w:rsidRPr="001066BF">
        <w:rPr>
          <w:rFonts w:hint="eastAsia"/>
          <w:sz w:val="24"/>
          <w:lang w:val="fr-FR"/>
        </w:rPr>
        <w:t>，</w:t>
      </w:r>
      <w:r w:rsidRPr="003554A8">
        <w:rPr>
          <w:sz w:val="24"/>
        </w:rPr>
        <w:t>以求编制一套灵活的备选方案模板草案</w:t>
      </w:r>
      <w:r w:rsidRPr="001066BF">
        <w:rPr>
          <w:rFonts w:hint="eastAsia"/>
          <w:sz w:val="24"/>
          <w:lang w:val="fr-FR"/>
        </w:rPr>
        <w:t>，</w:t>
      </w:r>
      <w:r w:rsidRPr="003554A8">
        <w:rPr>
          <w:sz w:val="24"/>
        </w:rPr>
        <w:t>从而以适当的形式提供秘书处服务</w:t>
      </w:r>
      <w:r w:rsidRPr="001066BF">
        <w:rPr>
          <w:rFonts w:hint="eastAsia"/>
          <w:sz w:val="24"/>
          <w:lang w:val="fr-FR"/>
        </w:rPr>
        <w:t>，</w:t>
      </w:r>
      <w:r w:rsidRPr="003554A8">
        <w:rPr>
          <w:sz w:val="24"/>
        </w:rPr>
        <w:t>同时考虑环境署的授权政策和管理多边环境协议秘书处框架以及巴塞尔、鹿特丹、斯德哥尔摩公约缔约方大会和执行秘书之间的谅解备忘录草案</w:t>
      </w:r>
      <w:r w:rsidRPr="001066BF">
        <w:rPr>
          <w:rFonts w:hint="eastAsia"/>
          <w:sz w:val="24"/>
          <w:lang w:val="fr-FR"/>
        </w:rPr>
        <w:t>；</w:t>
      </w:r>
      <w:r w:rsidRPr="003554A8">
        <w:rPr>
          <w:color w:val="000000"/>
          <w:sz w:val="24"/>
          <w:u w:color="000000"/>
          <w:bdr w:val="nil"/>
          <w:vertAlign w:val="superscript"/>
          <w:lang w:eastAsia="ja-JP"/>
        </w:rPr>
        <w:footnoteReference w:id="2"/>
      </w:r>
      <w:r w:rsidRPr="001066BF">
        <w:rPr>
          <w:sz w:val="24"/>
          <w:vertAlign w:val="superscript"/>
          <w:lang w:val="fr-FR"/>
        </w:rPr>
        <w:t xml:space="preserve"> </w:t>
      </w:r>
    </w:p>
    <w:p w:rsidR="00005093" w:rsidRPr="003554A8" w:rsidRDefault="00005093" w:rsidP="00005093">
      <w:pPr>
        <w:pStyle w:val="NormalNonumber"/>
        <w:numPr>
          <w:ilvl w:val="0"/>
          <w:numId w:val="5"/>
        </w:numPr>
        <w:tabs>
          <w:tab w:val="clear" w:pos="1247"/>
          <w:tab w:val="clear" w:pos="2381"/>
          <w:tab w:val="clear" w:pos="2948"/>
          <w:tab w:val="clear" w:pos="4082"/>
          <w:tab w:val="left" w:pos="624"/>
          <w:tab w:val="left" w:pos="1276"/>
          <w:tab w:val="left" w:pos="2410"/>
        </w:tabs>
        <w:ind w:left="1247" w:firstLine="624"/>
        <w:jc w:val="both"/>
        <w:rPr>
          <w:sz w:val="24"/>
        </w:rPr>
      </w:pPr>
      <w:r w:rsidRPr="003554A8">
        <w:rPr>
          <w:rFonts w:eastAsia="楷体"/>
          <w:sz w:val="24"/>
        </w:rPr>
        <w:t>决定</w:t>
      </w:r>
      <w:r w:rsidRPr="003554A8">
        <w:rPr>
          <w:sz w:val="24"/>
        </w:rPr>
        <w:t>如果环境署在上述第</w:t>
      </w:r>
      <w:r w:rsidRPr="003554A8">
        <w:rPr>
          <w:sz w:val="24"/>
        </w:rPr>
        <w:t>4</w:t>
      </w:r>
      <w:r w:rsidRPr="003554A8">
        <w:rPr>
          <w:sz w:val="24"/>
        </w:rPr>
        <w:t>段之下的工作未能在缔约方大会下一次会议前及时完成，也不应该推迟审议谅解备忘录草案；</w:t>
      </w:r>
    </w:p>
    <w:p w:rsidR="00005093" w:rsidRPr="003554A8" w:rsidRDefault="00005093" w:rsidP="00005093">
      <w:pPr>
        <w:pStyle w:val="NormalNonumber"/>
        <w:numPr>
          <w:ilvl w:val="0"/>
          <w:numId w:val="5"/>
        </w:numPr>
        <w:tabs>
          <w:tab w:val="clear" w:pos="1247"/>
          <w:tab w:val="clear" w:pos="2381"/>
          <w:tab w:val="clear" w:pos="2948"/>
          <w:tab w:val="clear" w:pos="4082"/>
          <w:tab w:val="left" w:pos="624"/>
          <w:tab w:val="left" w:pos="1276"/>
          <w:tab w:val="left" w:pos="2410"/>
        </w:tabs>
        <w:ind w:left="1247" w:firstLine="624"/>
        <w:jc w:val="both"/>
        <w:rPr>
          <w:sz w:val="24"/>
        </w:rPr>
      </w:pPr>
      <w:r w:rsidRPr="003554A8">
        <w:rPr>
          <w:rFonts w:eastAsia="楷体"/>
          <w:sz w:val="24"/>
        </w:rPr>
        <w:t>承认</w:t>
      </w:r>
      <w:r w:rsidRPr="003554A8">
        <w:rPr>
          <w:sz w:val="24"/>
        </w:rPr>
        <w:t>持续运用粮农组织总干事和环境署执行主任之间关于为《鹿特丹公约》联合行使秘书处职能的谅解备忘录，谅解备忘录由缔约方大会在其</w:t>
      </w:r>
      <w:r w:rsidRPr="003554A8">
        <w:rPr>
          <w:sz w:val="24"/>
        </w:rPr>
        <w:t>RC-2/5</w:t>
      </w:r>
      <w:r w:rsidRPr="003554A8">
        <w:rPr>
          <w:sz w:val="24"/>
        </w:rPr>
        <w:t>号决定中批准并于</w:t>
      </w:r>
      <w:r w:rsidRPr="003554A8">
        <w:rPr>
          <w:sz w:val="24"/>
        </w:rPr>
        <w:t>2005</w:t>
      </w:r>
      <w:r w:rsidRPr="003554A8">
        <w:rPr>
          <w:sz w:val="24"/>
        </w:rPr>
        <w:t>年</w:t>
      </w:r>
      <w:r w:rsidRPr="003554A8">
        <w:rPr>
          <w:sz w:val="24"/>
        </w:rPr>
        <w:t>11</w:t>
      </w:r>
      <w:r w:rsidRPr="003554A8">
        <w:rPr>
          <w:sz w:val="24"/>
        </w:rPr>
        <w:t>月</w:t>
      </w:r>
      <w:r w:rsidRPr="003554A8">
        <w:rPr>
          <w:sz w:val="24"/>
        </w:rPr>
        <w:t>28</w:t>
      </w:r>
      <w:r w:rsidRPr="003554A8">
        <w:rPr>
          <w:sz w:val="24"/>
        </w:rPr>
        <w:t>日生效，与</w:t>
      </w:r>
      <w:r w:rsidRPr="003554A8">
        <w:rPr>
          <w:sz w:val="24"/>
        </w:rPr>
        <w:t>RC-7/14</w:t>
      </w:r>
      <w:r w:rsidRPr="003554A8">
        <w:rPr>
          <w:sz w:val="24"/>
        </w:rPr>
        <w:t>号决定中请求提交缔约方大会下一次会议审议的谅解备忘录草案不同；</w:t>
      </w:r>
    </w:p>
    <w:p w:rsidR="00005093" w:rsidRPr="003554A8" w:rsidRDefault="00005093" w:rsidP="00005093">
      <w:pPr>
        <w:pStyle w:val="NormalNonumber"/>
        <w:numPr>
          <w:ilvl w:val="0"/>
          <w:numId w:val="5"/>
        </w:numPr>
        <w:tabs>
          <w:tab w:val="clear" w:pos="1247"/>
          <w:tab w:val="clear" w:pos="2381"/>
          <w:tab w:val="clear" w:pos="2948"/>
          <w:tab w:val="clear" w:pos="4082"/>
          <w:tab w:val="left" w:pos="624"/>
          <w:tab w:val="left" w:pos="1276"/>
          <w:tab w:val="left" w:pos="2410"/>
        </w:tabs>
        <w:ind w:left="1247" w:firstLine="624"/>
        <w:jc w:val="both"/>
        <w:rPr>
          <w:sz w:val="24"/>
        </w:rPr>
      </w:pPr>
      <w:r w:rsidRPr="003554A8">
        <w:rPr>
          <w:rFonts w:eastAsia="楷体"/>
          <w:sz w:val="24"/>
        </w:rPr>
        <w:t>决定</w:t>
      </w:r>
      <w:r w:rsidRPr="003554A8">
        <w:rPr>
          <w:sz w:val="24"/>
        </w:rPr>
        <w:t>根据议事规则</w:t>
      </w:r>
      <w:r w:rsidRPr="003554A8">
        <w:rPr>
          <w:sz w:val="24"/>
        </w:rPr>
        <w:t>10(b)</w:t>
      </w:r>
      <w:r w:rsidRPr="003554A8">
        <w:rPr>
          <w:sz w:val="24"/>
        </w:rPr>
        <w:t>纳入谅解备忘录草案作为缔约方大会下次会议临时议程的一个项目。</w:t>
      </w:r>
    </w:p>
    <w:p w:rsidR="00CF7497" w:rsidRPr="00005093" w:rsidRDefault="00CF7497" w:rsidP="00005093">
      <w:pPr>
        <w:spacing w:after="200" w:line="276" w:lineRule="auto"/>
        <w:jc w:val="both"/>
        <w:rPr>
          <w:b/>
          <w:sz w:val="24"/>
          <w:szCs w:val="28"/>
        </w:rPr>
      </w:pPr>
      <w:bookmarkStart w:id="0" w:name="_GoBack"/>
      <w:bookmarkEnd w:id="0"/>
    </w:p>
    <w:sectPr w:rsidR="00CF7497" w:rsidRPr="00005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8AE" w:rsidRDefault="003C78AE" w:rsidP="00AB555B">
      <w:r>
        <w:separator/>
      </w:r>
    </w:p>
  </w:endnote>
  <w:endnote w:type="continuationSeparator" w:id="0">
    <w:p w:rsidR="003C78AE" w:rsidRDefault="003C78AE" w:rsidP="00AB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8AE" w:rsidRDefault="003C78AE" w:rsidP="00AB555B">
      <w:r>
        <w:separator/>
      </w:r>
    </w:p>
  </w:footnote>
  <w:footnote w:type="continuationSeparator" w:id="0">
    <w:p w:rsidR="003C78AE" w:rsidRDefault="003C78AE" w:rsidP="00AB555B">
      <w:r>
        <w:continuationSeparator/>
      </w:r>
    </w:p>
  </w:footnote>
  <w:footnote w:id="1">
    <w:p w:rsidR="00005093" w:rsidRPr="00BA457B" w:rsidRDefault="00005093" w:rsidP="00005093">
      <w:pPr>
        <w:pStyle w:val="FootnoteText"/>
        <w:tabs>
          <w:tab w:val="left" w:pos="624"/>
        </w:tabs>
        <w:rPr>
          <w:sz w:val="20"/>
          <w:lang w:val="en-US"/>
        </w:rPr>
      </w:pPr>
      <w:r w:rsidRPr="002356FC">
        <w:rPr>
          <w:sz w:val="20"/>
          <w:vertAlign w:val="superscript"/>
        </w:rPr>
        <w:footnoteRef/>
      </w:r>
      <w:r w:rsidRPr="00BA457B">
        <w:rPr>
          <w:sz w:val="20"/>
          <w:lang w:val="en-US"/>
        </w:rPr>
        <w:t xml:space="preserve"> UNEP/CHW.13/INF/56-UNEP/FAO/RC/COP.8/INF/46-UNEP/POPS/COP.8/INF/59</w:t>
      </w:r>
      <w:r w:rsidRPr="002356FC">
        <w:rPr>
          <w:rFonts w:hint="eastAsia"/>
          <w:sz w:val="20"/>
        </w:rPr>
        <w:t>。</w:t>
      </w:r>
    </w:p>
  </w:footnote>
  <w:footnote w:id="2">
    <w:p w:rsidR="00005093" w:rsidRPr="00BA457B" w:rsidRDefault="00005093" w:rsidP="00005093">
      <w:pPr>
        <w:pStyle w:val="FootnoteText"/>
        <w:tabs>
          <w:tab w:val="left" w:pos="624"/>
        </w:tabs>
        <w:rPr>
          <w:sz w:val="20"/>
          <w:highlight w:val="yellow"/>
          <w:lang w:val="en-US"/>
        </w:rPr>
      </w:pPr>
      <w:r w:rsidRPr="002356FC">
        <w:rPr>
          <w:rStyle w:val="FootnoteReference"/>
        </w:rPr>
        <w:footnoteRef/>
      </w:r>
      <w:r w:rsidRPr="00BA457B">
        <w:rPr>
          <w:sz w:val="20"/>
          <w:lang w:val="en-US"/>
        </w:rPr>
        <w:t xml:space="preserve"> UNEP/CHW.12/25</w:t>
      </w:r>
      <w:r w:rsidRPr="00BA457B">
        <w:rPr>
          <w:rFonts w:hint="eastAsia"/>
          <w:sz w:val="20"/>
          <w:lang w:val="en-US"/>
        </w:rPr>
        <w:t>，</w:t>
      </w:r>
      <w:r w:rsidRPr="002356FC">
        <w:rPr>
          <w:rFonts w:hint="eastAsia"/>
          <w:sz w:val="20"/>
        </w:rPr>
        <w:t>附件</w:t>
      </w:r>
      <w:r w:rsidRPr="00BA457B">
        <w:rPr>
          <w:rFonts w:hint="eastAsia"/>
          <w:sz w:val="20"/>
          <w:lang w:val="en-US"/>
        </w:rPr>
        <w:t>；</w:t>
      </w:r>
      <w:r w:rsidRPr="00BA457B">
        <w:rPr>
          <w:sz w:val="20"/>
          <w:lang w:val="en-US"/>
        </w:rPr>
        <w:t>UNEP/FAO/RC/COP.7/19</w:t>
      </w:r>
      <w:r w:rsidRPr="00BA457B">
        <w:rPr>
          <w:rFonts w:hint="eastAsia"/>
          <w:sz w:val="20"/>
          <w:lang w:val="en-US"/>
        </w:rPr>
        <w:t>，</w:t>
      </w:r>
      <w:r w:rsidRPr="002356FC">
        <w:rPr>
          <w:rFonts w:hint="eastAsia"/>
          <w:sz w:val="20"/>
        </w:rPr>
        <w:t>附件</w:t>
      </w:r>
      <w:r w:rsidRPr="00BA457B">
        <w:rPr>
          <w:rFonts w:hint="eastAsia"/>
          <w:sz w:val="20"/>
          <w:lang w:val="en-US"/>
        </w:rPr>
        <w:t>；</w:t>
      </w:r>
      <w:r w:rsidRPr="00BA457B">
        <w:rPr>
          <w:sz w:val="20"/>
          <w:lang w:val="en-US"/>
        </w:rPr>
        <w:t>UNEP/POPS/COP.7/9</w:t>
      </w:r>
      <w:r w:rsidRPr="00BA457B">
        <w:rPr>
          <w:rFonts w:hint="eastAsia"/>
          <w:sz w:val="20"/>
          <w:lang w:val="en-US"/>
        </w:rPr>
        <w:t>，</w:t>
      </w:r>
      <w:r w:rsidRPr="002356FC">
        <w:rPr>
          <w:rFonts w:hint="eastAsia"/>
          <w:sz w:val="20"/>
        </w:rPr>
        <w:t>附件。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F2F"/>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0D0523B9"/>
    <w:multiLevelType w:val="hybridMultilevel"/>
    <w:tmpl w:val="EF1209A6"/>
    <w:lvl w:ilvl="0" w:tplc="620E07E6">
      <w:start w:val="1"/>
      <w:numFmt w:val="decimal"/>
      <w:lvlText w:val="%1."/>
      <w:lvlJc w:val="left"/>
      <w:pPr>
        <w:ind w:left="2231" w:hanging="360"/>
      </w:pPr>
      <w:rPr>
        <w:rFonts w:hint="default"/>
        <w:i w:val="0"/>
      </w:rPr>
    </w:lvl>
    <w:lvl w:ilvl="1" w:tplc="08090019">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4F87291C"/>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52A66A9D"/>
    <w:multiLevelType w:val="multilevel"/>
    <w:tmpl w:val="20A6C20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2"/>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5B"/>
    <w:rsid w:val="00005093"/>
    <w:rsid w:val="00304CF0"/>
    <w:rsid w:val="003C78AE"/>
    <w:rsid w:val="004732E0"/>
    <w:rsid w:val="009D258D"/>
    <w:rsid w:val="00AB555B"/>
    <w:rsid w:val="00C873CC"/>
    <w:rsid w:val="00CF2385"/>
    <w:rsid w:val="00CF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4771"/>
  <w15:chartTrackingRefBased/>
  <w15:docId w15:val="{3C09902C-E051-42F2-A2E9-F4A16349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55B"/>
    <w:pPr>
      <w:spacing w:after="0" w:line="240" w:lineRule="auto"/>
    </w:pPr>
    <w:rPr>
      <w:rFonts w:ascii="Times New Roman" w:eastAsia="SimSu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rsid w:val="00AB555B"/>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AB555B"/>
    <w:rPr>
      <w:rFonts w:ascii="Times New Roman" w:eastAsia="SimSun" w:hAnsi="Times New Roman"/>
      <w:color w:val="auto"/>
      <w:sz w:val="20"/>
      <w:szCs w:val="18"/>
      <w:vertAlign w:val="superscript"/>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
    <w:link w:val="FootnoteTextChar"/>
    <w:qFormat/>
    <w:rsid w:val="00AB555B"/>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AB555B"/>
    <w:rPr>
      <w:rFonts w:ascii="Times New Roman" w:eastAsia="SimSun" w:hAnsi="Times New Roman" w:cs="Times New Roman"/>
      <w:sz w:val="18"/>
      <w:szCs w:val="20"/>
      <w:lang w:val="fr-FR"/>
    </w:rPr>
  </w:style>
  <w:style w:type="character" w:customStyle="1" w:styleId="NormalnumberChar">
    <w:name w:val="Normal_number Char"/>
    <w:link w:val="Normalnumber"/>
    <w:qFormat/>
    <w:locked/>
    <w:rsid w:val="00AB555B"/>
    <w:rPr>
      <w:lang w:val="fr-FR"/>
    </w:rPr>
  </w:style>
  <w:style w:type="numbering" w:customStyle="1" w:styleId="Normallist">
    <w:name w:val="Normal_list"/>
    <w:basedOn w:val="NoList"/>
    <w:rsid w:val="00AB555B"/>
    <w:pPr>
      <w:numPr>
        <w:numId w:val="1"/>
      </w:numPr>
    </w:pPr>
  </w:style>
  <w:style w:type="paragraph" w:customStyle="1" w:styleId="Normalnumber">
    <w:name w:val="Normal_number"/>
    <w:basedOn w:val="Normal"/>
    <w:link w:val="NormalnumberChar"/>
    <w:qFormat/>
    <w:rsid w:val="00AB555B"/>
    <w:pPr>
      <w:numPr>
        <w:numId w:val="1"/>
      </w:numPr>
      <w:tabs>
        <w:tab w:val="left" w:pos="1247"/>
        <w:tab w:val="left" w:pos="1814"/>
        <w:tab w:val="left" w:pos="2381"/>
        <w:tab w:val="left" w:pos="2948"/>
        <w:tab w:val="left" w:pos="3515"/>
        <w:tab w:val="left" w:pos="4082"/>
      </w:tabs>
      <w:spacing w:after="120"/>
    </w:pPr>
    <w:rPr>
      <w:rFonts w:asciiTheme="minorHAnsi" w:eastAsiaTheme="minorEastAsia" w:hAnsiTheme="minorHAnsi" w:cstheme="minorBidi"/>
      <w:szCs w:val="22"/>
      <w:lang w:val="fr-FR"/>
    </w:rPr>
  </w:style>
  <w:style w:type="character" w:customStyle="1" w:styleId="Normal-poolChar">
    <w:name w:val="Normal-pool Char"/>
    <w:link w:val="Normal-pool"/>
    <w:rsid w:val="00AB555B"/>
    <w:rPr>
      <w:rFonts w:ascii="Times New Roman" w:eastAsia="SimSun" w:hAnsi="Times New Roman" w:cs="Times New Roman"/>
      <w:sz w:val="20"/>
      <w:szCs w:val="20"/>
      <w:lang w:val="en-GB"/>
    </w:rPr>
  </w:style>
  <w:style w:type="paragraph" w:customStyle="1" w:styleId="Normalpool">
    <w:name w:val="Normal_pool"/>
    <w:link w:val="NormalpoolChar"/>
    <w:rsid w:val="00CF2385"/>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fr-FR"/>
    </w:rPr>
  </w:style>
  <w:style w:type="character" w:customStyle="1" w:styleId="NormalpoolChar">
    <w:name w:val="Normal_pool Char"/>
    <w:link w:val="Normalpool"/>
    <w:rsid w:val="00CF2385"/>
    <w:rPr>
      <w:rFonts w:ascii="Times New Roman" w:eastAsia="SimSun" w:hAnsi="Times New Roman" w:cs="Times New Roman"/>
      <w:sz w:val="20"/>
      <w:szCs w:val="20"/>
      <w:lang w:val="fr-FR"/>
    </w:rPr>
  </w:style>
  <w:style w:type="paragraph" w:customStyle="1" w:styleId="NormalNonumber">
    <w:name w:val="Normal_No_number"/>
    <w:basedOn w:val="Normalpool"/>
    <w:link w:val="NormalNonumberChar"/>
    <w:rsid w:val="00005093"/>
    <w:pPr>
      <w:spacing w:after="120"/>
      <w:ind w:left="1247"/>
    </w:pPr>
    <w:rPr>
      <w:lang w:val="en-GB"/>
    </w:rPr>
  </w:style>
  <w:style w:type="character" w:customStyle="1" w:styleId="NormalNonumberChar">
    <w:name w:val="Normal_No_number Char"/>
    <w:link w:val="NormalNonumber"/>
    <w:locked/>
    <w:rsid w:val="00005093"/>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2018-01-30T14:13:00Z</dcterms:created>
  <dcterms:modified xsi:type="dcterms:W3CDTF">2018-01-30T14:13:00Z</dcterms:modified>
</cp:coreProperties>
</file>