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0" w:type="pct"/>
        <w:jc w:val="right"/>
        <w:tblLayout w:type="fixed"/>
        <w:tblLook w:val="0000" w:firstRow="0" w:lastRow="0" w:firstColumn="0" w:lastColumn="0" w:noHBand="0" w:noVBand="0"/>
      </w:tblPr>
      <w:tblGrid>
        <w:gridCol w:w="1497"/>
        <w:gridCol w:w="5024"/>
        <w:gridCol w:w="1545"/>
        <w:gridCol w:w="1715"/>
      </w:tblGrid>
      <w:tr w:rsidR="007C5344" w14:paraId="73D20A23" w14:textId="77777777" w:rsidTr="00287343">
        <w:trPr>
          <w:cantSplit/>
          <w:trHeight w:val="1258"/>
          <w:jc w:val="right"/>
        </w:trPr>
        <w:tc>
          <w:tcPr>
            <w:tcW w:w="1497" w:type="dxa"/>
          </w:tcPr>
          <w:p w14:paraId="427821BB" w14:textId="4FE4315C" w:rsidR="007C5344" w:rsidRPr="00C07C6B" w:rsidRDefault="007C5344" w:rsidP="001C2C99">
            <w:pPr>
              <w:pStyle w:val="Heading2"/>
              <w:spacing w:before="40" w:after="0"/>
              <w:ind w:left="0" w:firstLine="0"/>
              <w:rPr>
                <w:b w:val="0"/>
                <w:sz w:val="27"/>
                <w:szCs w:val="27"/>
              </w:rPr>
            </w:pPr>
            <w:r w:rsidRPr="004F4E99">
              <w:rPr>
                <w:rFonts w:ascii="Arial" w:hAnsi="Arial" w:cs="Arial"/>
                <w:noProof/>
                <w:sz w:val="27"/>
                <w:szCs w:val="27"/>
              </w:rPr>
              <w:t>UNITED</w:t>
            </w:r>
            <w:r w:rsidR="00287343">
              <w:rPr>
                <w:rFonts w:ascii="Arial" w:hAnsi="Arial" w:cs="Arial"/>
                <w:noProof/>
                <w:sz w:val="27"/>
                <w:szCs w:val="27"/>
              </w:rPr>
              <w:t xml:space="preserve"> </w:t>
            </w:r>
            <w:r>
              <w:rPr>
                <w:rFonts w:ascii="Arial" w:hAnsi="Arial" w:cs="Arial"/>
                <w:noProof/>
                <w:sz w:val="27"/>
                <w:szCs w:val="27"/>
              </w:rPr>
              <w:br/>
            </w:r>
            <w:r w:rsidRPr="003A075F">
              <w:rPr>
                <w:rFonts w:ascii="Arial" w:hAnsi="Arial" w:cs="Arial"/>
                <w:noProof/>
                <w:sz w:val="27"/>
                <w:szCs w:val="27"/>
              </w:rPr>
              <w:t>NATIONS</w:t>
            </w:r>
          </w:p>
        </w:tc>
        <w:tc>
          <w:tcPr>
            <w:tcW w:w="6569" w:type="dxa"/>
            <w:gridSpan w:val="2"/>
            <w:tcBorders>
              <w:left w:val="nil"/>
            </w:tcBorders>
          </w:tcPr>
          <w:p w14:paraId="15B2EBFC" w14:textId="77777777" w:rsidR="007C5344" w:rsidRPr="00401DA6" w:rsidRDefault="007C5344" w:rsidP="001C2C99">
            <w:pPr>
              <w:spacing w:before="40"/>
            </w:pPr>
            <w:r>
              <w:rPr>
                <w:noProof/>
                <w:lang w:eastAsia="en-GB"/>
              </w:rPr>
              <w:drawing>
                <wp:inline distT="0" distB="0" distL="0" distR="0" wp14:anchorId="70459988" wp14:editId="391FE813">
                  <wp:extent cx="590550" cy="552450"/>
                  <wp:effectExtent l="0" t="0" r="0" b="0"/>
                  <wp:docPr id="8" name="Picture 8"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r>
              <w:rPr>
                <w:noProof/>
                <w:lang w:eastAsia="en-GB"/>
              </w:rPr>
              <w:drawing>
                <wp:inline distT="0" distB="0" distL="0" distR="0" wp14:anchorId="1816E983" wp14:editId="4208FA71">
                  <wp:extent cx="514350" cy="561975"/>
                  <wp:effectExtent l="0" t="0" r="0" b="9525"/>
                  <wp:docPr id="7" name="Picture 7"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r>
              <w:rPr>
                <w:noProof/>
                <w:lang w:eastAsia="en-GB"/>
              </w:rPr>
              <w:drawing>
                <wp:inline distT="0" distB="0" distL="0" distR="0" wp14:anchorId="6D7C8F33" wp14:editId="5E8E82AC">
                  <wp:extent cx="2028825" cy="571500"/>
                  <wp:effectExtent l="0" t="0" r="9525" b="0"/>
                  <wp:docPr id="6" name="Picture 6" descr="Description: FAO_logo_Black_3lines_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FAO_logo_Black_3lines_en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571500"/>
                          </a:xfrm>
                          <a:prstGeom prst="rect">
                            <a:avLst/>
                          </a:prstGeom>
                          <a:noFill/>
                          <a:ln>
                            <a:noFill/>
                          </a:ln>
                        </pic:spPr>
                      </pic:pic>
                    </a:graphicData>
                  </a:graphic>
                </wp:inline>
              </w:drawing>
            </w:r>
          </w:p>
        </w:tc>
        <w:tc>
          <w:tcPr>
            <w:tcW w:w="1715" w:type="dxa"/>
          </w:tcPr>
          <w:p w14:paraId="0C13EF5A" w14:textId="77777777" w:rsidR="007C5344" w:rsidRPr="003A075F" w:rsidRDefault="007C5344" w:rsidP="001C2C99">
            <w:pPr>
              <w:pStyle w:val="Heading2"/>
              <w:spacing w:before="40" w:after="0"/>
              <w:ind w:left="0" w:firstLine="0"/>
              <w:jc w:val="right"/>
              <w:rPr>
                <w:rFonts w:ascii="Arial" w:hAnsi="Arial" w:cs="Arial"/>
                <w:sz w:val="64"/>
                <w:szCs w:val="64"/>
              </w:rPr>
            </w:pPr>
            <w:r w:rsidRPr="003A075F">
              <w:rPr>
                <w:rFonts w:ascii="Arial" w:hAnsi="Arial" w:cs="Arial"/>
                <w:sz w:val="64"/>
                <w:szCs w:val="64"/>
              </w:rPr>
              <w:t>RC</w:t>
            </w:r>
          </w:p>
        </w:tc>
      </w:tr>
      <w:tr w:rsidR="007C5344" w:rsidRPr="007D4CC8" w14:paraId="204440D4" w14:textId="77777777" w:rsidTr="00287343">
        <w:trPr>
          <w:cantSplit/>
          <w:trHeight w:val="282"/>
          <w:jc w:val="right"/>
        </w:trPr>
        <w:tc>
          <w:tcPr>
            <w:tcW w:w="1497" w:type="dxa"/>
            <w:tcBorders>
              <w:bottom w:val="single" w:sz="2" w:space="0" w:color="auto"/>
            </w:tcBorders>
          </w:tcPr>
          <w:p w14:paraId="5BDBD4A1" w14:textId="77777777" w:rsidR="007C5344" w:rsidRPr="004F4E99" w:rsidRDefault="007C5344" w:rsidP="001C2C99">
            <w:pPr>
              <w:rPr>
                <w:noProof/>
              </w:rPr>
            </w:pPr>
          </w:p>
        </w:tc>
        <w:tc>
          <w:tcPr>
            <w:tcW w:w="5024" w:type="dxa"/>
            <w:tcBorders>
              <w:bottom w:val="single" w:sz="2" w:space="0" w:color="auto"/>
            </w:tcBorders>
          </w:tcPr>
          <w:p w14:paraId="1B78FE54" w14:textId="77777777" w:rsidR="007C5344" w:rsidRPr="004F4E99" w:rsidRDefault="007C5344" w:rsidP="001C2C99">
            <w:pPr>
              <w:rPr>
                <w:noProof/>
              </w:rPr>
            </w:pPr>
          </w:p>
        </w:tc>
        <w:tc>
          <w:tcPr>
            <w:tcW w:w="3260" w:type="dxa"/>
            <w:gridSpan w:val="2"/>
            <w:tcBorders>
              <w:bottom w:val="single" w:sz="2" w:space="0" w:color="auto"/>
            </w:tcBorders>
          </w:tcPr>
          <w:p w14:paraId="0BC1AE31" w14:textId="77777777" w:rsidR="007C5344" w:rsidRPr="004F4E99" w:rsidRDefault="007C5344" w:rsidP="001C2C99">
            <w:pPr>
              <w:rPr>
                <w:noProof/>
              </w:rPr>
            </w:pPr>
            <w:r w:rsidRPr="004F4E99">
              <w:rPr>
                <w:b/>
                <w:noProof/>
                <w:sz w:val="28"/>
                <w:szCs w:val="28"/>
              </w:rPr>
              <w:t>UNEP/FAO</w:t>
            </w:r>
            <w:r w:rsidRPr="004F4E99">
              <w:rPr>
                <w:noProof/>
              </w:rPr>
              <w:t>/RC/CRC.1</w:t>
            </w:r>
            <w:r>
              <w:rPr>
                <w:noProof/>
              </w:rPr>
              <w:t>4</w:t>
            </w:r>
            <w:r w:rsidRPr="004F4E99">
              <w:rPr>
                <w:noProof/>
              </w:rPr>
              <w:t>/</w:t>
            </w:r>
            <w:r>
              <w:rPr>
                <w:noProof/>
              </w:rPr>
              <w:t>INF/1</w:t>
            </w:r>
          </w:p>
        </w:tc>
      </w:tr>
      <w:tr w:rsidR="007C5344" w14:paraId="7D9F602F" w14:textId="77777777" w:rsidTr="00287343">
        <w:trPr>
          <w:cantSplit/>
          <w:trHeight w:val="1472"/>
          <w:jc w:val="right"/>
        </w:trPr>
        <w:tc>
          <w:tcPr>
            <w:tcW w:w="1497" w:type="dxa"/>
            <w:tcBorders>
              <w:top w:val="single" w:sz="2" w:space="0" w:color="auto"/>
              <w:bottom w:val="single" w:sz="24" w:space="0" w:color="auto"/>
            </w:tcBorders>
          </w:tcPr>
          <w:p w14:paraId="7577D33D" w14:textId="77777777" w:rsidR="007C5344" w:rsidRDefault="007C5344" w:rsidP="001C2C99">
            <w:pPr>
              <w:spacing w:before="240"/>
            </w:pPr>
            <w:r>
              <w:rPr>
                <w:noProof/>
                <w:lang w:eastAsia="en-GB"/>
              </w:rPr>
              <w:drawing>
                <wp:inline distT="0" distB="0" distL="0" distR="0" wp14:anchorId="1C37F719" wp14:editId="2A0F422A">
                  <wp:extent cx="581025" cy="514350"/>
                  <wp:effectExtent l="0" t="0" r="9525" b="0"/>
                  <wp:docPr id="5" name="Picture 5"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p>
        </w:tc>
        <w:tc>
          <w:tcPr>
            <w:tcW w:w="5024" w:type="dxa"/>
            <w:tcBorders>
              <w:top w:val="single" w:sz="2" w:space="0" w:color="auto"/>
              <w:bottom w:val="single" w:sz="24" w:space="0" w:color="auto"/>
            </w:tcBorders>
          </w:tcPr>
          <w:p w14:paraId="10EFBD47" w14:textId="77777777" w:rsidR="007C5344" w:rsidRDefault="007C5344" w:rsidP="00287343">
            <w:pPr>
              <w:tabs>
                <w:tab w:val="clear" w:pos="1247"/>
                <w:tab w:val="clear" w:pos="1814"/>
                <w:tab w:val="clear" w:pos="2381"/>
                <w:tab w:val="clear" w:pos="2948"/>
                <w:tab w:val="clear" w:pos="3515"/>
                <w:tab w:val="left" w:pos="624"/>
              </w:tabs>
              <w:spacing w:before="240" w:after="240"/>
            </w:pPr>
            <w:r w:rsidRPr="00F14DD5">
              <w:rPr>
                <w:rFonts w:ascii="Arial" w:hAnsi="Arial" w:cs="Arial"/>
                <w:b/>
                <w:sz w:val="28"/>
                <w:szCs w:val="28"/>
              </w:rPr>
              <w:t>Rotterdam Convention on the Prior Informed Consent Procedure for Certain Hazardous Chemicals and Pesticides in International Trade</w:t>
            </w:r>
          </w:p>
        </w:tc>
        <w:tc>
          <w:tcPr>
            <w:tcW w:w="3260" w:type="dxa"/>
            <w:gridSpan w:val="2"/>
            <w:tcBorders>
              <w:top w:val="single" w:sz="2" w:space="0" w:color="auto"/>
              <w:bottom w:val="single" w:sz="24" w:space="0" w:color="auto"/>
            </w:tcBorders>
          </w:tcPr>
          <w:p w14:paraId="583D18D8" w14:textId="48751213" w:rsidR="007C5344" w:rsidRDefault="007C5344" w:rsidP="001C2C99">
            <w:pPr>
              <w:spacing w:before="120"/>
            </w:pPr>
            <w:r>
              <w:t>Distr.: General</w:t>
            </w:r>
            <w:r w:rsidR="00287343">
              <w:t xml:space="preserve"> </w:t>
            </w:r>
            <w:r>
              <w:br/>
            </w:r>
            <w:r w:rsidR="00287343">
              <w:t>5</w:t>
            </w:r>
            <w:r w:rsidR="0042060F">
              <w:t xml:space="preserve"> Ju</w:t>
            </w:r>
            <w:r w:rsidR="00287343">
              <w:t>ly</w:t>
            </w:r>
            <w:r w:rsidR="0042060F">
              <w:t xml:space="preserve"> 2</w:t>
            </w:r>
            <w:r>
              <w:t>018</w:t>
            </w:r>
          </w:p>
          <w:p w14:paraId="3AEEFE52" w14:textId="77777777" w:rsidR="007C5344" w:rsidRDefault="007C5344" w:rsidP="001C2C99">
            <w:pPr>
              <w:spacing w:before="120"/>
            </w:pPr>
            <w:r>
              <w:t>English only</w:t>
            </w:r>
          </w:p>
        </w:tc>
      </w:tr>
    </w:tbl>
    <w:p w14:paraId="6639E774" w14:textId="77777777" w:rsidR="003E12B6" w:rsidRPr="00287343" w:rsidRDefault="003E12B6" w:rsidP="00287343">
      <w:pPr>
        <w:pStyle w:val="AATitle"/>
      </w:pPr>
      <w:r w:rsidRPr="00287343">
        <w:t xml:space="preserve">Chemical Review Committee </w:t>
      </w:r>
    </w:p>
    <w:p w14:paraId="56713B0F" w14:textId="77777777" w:rsidR="003E12B6" w:rsidRPr="00287343" w:rsidRDefault="003E12B6" w:rsidP="00287343">
      <w:pPr>
        <w:pStyle w:val="AATitle"/>
      </w:pPr>
      <w:r w:rsidRPr="00287343">
        <w:t>Fourteenth meeting</w:t>
      </w:r>
    </w:p>
    <w:p w14:paraId="50F39A32" w14:textId="77777777" w:rsidR="003E12B6" w:rsidRDefault="003E12B6" w:rsidP="003E12B6">
      <w:pPr>
        <w:pStyle w:val="AATitle"/>
        <w:rPr>
          <w:b w:val="0"/>
        </w:rPr>
      </w:pPr>
      <w:r w:rsidRPr="00411F47">
        <w:rPr>
          <w:b w:val="0"/>
        </w:rPr>
        <w:t xml:space="preserve">Rome, </w:t>
      </w:r>
      <w:r w:rsidRPr="00E43F65">
        <w:rPr>
          <w:b w:val="0"/>
        </w:rPr>
        <w:t>1</w:t>
      </w:r>
      <w:r>
        <w:rPr>
          <w:b w:val="0"/>
        </w:rPr>
        <w:t>1</w:t>
      </w:r>
      <w:r w:rsidRPr="00E43F65">
        <w:rPr>
          <w:b w:val="0"/>
        </w:rPr>
        <w:t>–14</w:t>
      </w:r>
      <w:r w:rsidRPr="00411F47">
        <w:rPr>
          <w:b w:val="0"/>
        </w:rPr>
        <w:t xml:space="preserve"> </w:t>
      </w:r>
      <w:r>
        <w:rPr>
          <w:b w:val="0"/>
        </w:rPr>
        <w:t>September</w:t>
      </w:r>
      <w:r w:rsidRPr="00411F47">
        <w:rPr>
          <w:b w:val="0"/>
        </w:rPr>
        <w:t xml:space="preserve"> 201</w:t>
      </w:r>
      <w:r>
        <w:rPr>
          <w:b w:val="0"/>
        </w:rPr>
        <w:t>8</w:t>
      </w:r>
    </w:p>
    <w:p w14:paraId="2C6F51A6" w14:textId="2E9D288A" w:rsidR="007C5344" w:rsidRPr="00411F47" w:rsidRDefault="007C5344" w:rsidP="007C5344">
      <w:pPr>
        <w:pStyle w:val="AATitle"/>
        <w:rPr>
          <w:b w:val="0"/>
        </w:rPr>
      </w:pPr>
      <w:r w:rsidRPr="00411F47">
        <w:rPr>
          <w:b w:val="0"/>
        </w:rPr>
        <w:t xml:space="preserve">Item </w:t>
      </w:r>
      <w:r>
        <w:rPr>
          <w:b w:val="0"/>
        </w:rPr>
        <w:t>2</w:t>
      </w:r>
      <w:r w:rsidR="004E21AE">
        <w:rPr>
          <w:b w:val="0"/>
        </w:rPr>
        <w:t xml:space="preserve"> (</w:t>
      </w:r>
      <w:r w:rsidR="008E3F6A">
        <w:rPr>
          <w:b w:val="0"/>
        </w:rPr>
        <w:t>b</w:t>
      </w:r>
      <w:r w:rsidR="004E21AE">
        <w:rPr>
          <w:b w:val="0"/>
        </w:rPr>
        <w:t>)</w:t>
      </w:r>
      <w:r w:rsidRPr="00411F47">
        <w:rPr>
          <w:b w:val="0"/>
        </w:rPr>
        <w:t xml:space="preserve"> of the provisional agenda</w:t>
      </w:r>
      <w:r w:rsidRPr="00287343">
        <w:rPr>
          <w:rStyle w:val="FootnoteReference"/>
          <w:b w:val="0"/>
          <w:bCs/>
          <w:vertAlign w:val="baseline"/>
          <w:lang w:eastAsia="en-GB"/>
        </w:rPr>
        <w:footnoteReference w:customMarkFollows="1" w:id="1"/>
        <w:sym w:font="Symbol" w:char="F02A"/>
      </w:r>
    </w:p>
    <w:p w14:paraId="0EA59583" w14:textId="18213F0F" w:rsidR="003E12B6" w:rsidRPr="00505522" w:rsidRDefault="003E12B6" w:rsidP="00287343">
      <w:pPr>
        <w:pStyle w:val="AATitle2"/>
        <w:spacing w:before="60"/>
        <w:rPr>
          <w:lang w:eastAsia="en-GB"/>
        </w:rPr>
      </w:pPr>
      <w:r w:rsidRPr="00505522">
        <w:rPr>
          <w:lang w:eastAsia="en-GB"/>
        </w:rPr>
        <w:t xml:space="preserve">Organizational matters: </w:t>
      </w:r>
      <w:r w:rsidR="005A0F86">
        <w:rPr>
          <w:lang w:eastAsia="en-GB"/>
        </w:rPr>
        <w:t>organization of work</w:t>
      </w:r>
    </w:p>
    <w:p w14:paraId="2128DC64" w14:textId="77777777" w:rsidR="006A555F" w:rsidRPr="006A555F" w:rsidRDefault="006A555F" w:rsidP="00287343">
      <w:pPr>
        <w:pStyle w:val="BBTitle"/>
      </w:pPr>
      <w:r w:rsidRPr="006A555F">
        <w:t xml:space="preserve">Scenario note for the </w:t>
      </w:r>
      <w:r w:rsidR="003E12B6">
        <w:t>fourteenth</w:t>
      </w:r>
      <w:r w:rsidRPr="006A555F">
        <w:t xml:space="preserve"> meeting of the Chemical Review Committee</w:t>
      </w:r>
      <w:bookmarkStart w:id="0" w:name="_GoBack"/>
      <w:bookmarkEnd w:id="0"/>
    </w:p>
    <w:p w14:paraId="379BAD9A" w14:textId="2960B404" w:rsidR="006A555F" w:rsidRPr="006A555F" w:rsidRDefault="006A555F" w:rsidP="00287343">
      <w:pPr>
        <w:pStyle w:val="CH2"/>
      </w:pPr>
      <w:r w:rsidRPr="006A555F">
        <w:tab/>
      </w:r>
      <w:r w:rsidRPr="006A555F">
        <w:tab/>
        <w:t xml:space="preserve">Note by </w:t>
      </w:r>
      <w:r w:rsidRPr="00223596">
        <w:t xml:space="preserve">the </w:t>
      </w:r>
      <w:r w:rsidR="00325EA5">
        <w:t>S</w:t>
      </w:r>
      <w:r w:rsidRPr="00223596">
        <w:t>ecretariat</w:t>
      </w:r>
    </w:p>
    <w:p w14:paraId="6A5FB0CA" w14:textId="1491849C" w:rsidR="006A555F" w:rsidRPr="00265545" w:rsidRDefault="006A555F" w:rsidP="00C27F94">
      <w:pPr>
        <w:tabs>
          <w:tab w:val="clear" w:pos="1247"/>
          <w:tab w:val="clear" w:pos="1814"/>
          <w:tab w:val="clear" w:pos="2381"/>
          <w:tab w:val="clear" w:pos="2948"/>
          <w:tab w:val="clear" w:pos="3515"/>
        </w:tabs>
        <w:spacing w:after="120"/>
        <w:ind w:left="1248" w:firstLine="624"/>
      </w:pPr>
      <w:r w:rsidRPr="00265545">
        <w:t xml:space="preserve">A scenario note developed by the Chair of the Chemical Review Committee, </w:t>
      </w:r>
      <w:r w:rsidR="003E12B6" w:rsidRPr="00265545">
        <w:t xml:space="preserve">Ms. </w:t>
      </w:r>
      <w:proofErr w:type="spellStart"/>
      <w:r w:rsidR="003E12B6" w:rsidRPr="00265545">
        <w:t>Noluzuko</w:t>
      </w:r>
      <w:proofErr w:type="spellEnd"/>
      <w:r w:rsidR="003E12B6" w:rsidRPr="00265545">
        <w:t xml:space="preserve"> </w:t>
      </w:r>
      <w:proofErr w:type="spellStart"/>
      <w:r w:rsidR="003E12B6" w:rsidRPr="00265545">
        <w:t>Gwayi</w:t>
      </w:r>
      <w:proofErr w:type="spellEnd"/>
      <w:r w:rsidR="003E12B6" w:rsidRPr="00265545">
        <w:t xml:space="preserve"> </w:t>
      </w:r>
      <w:r w:rsidRPr="00265545">
        <w:t>(</w:t>
      </w:r>
      <w:r w:rsidR="003E12B6" w:rsidRPr="00265545">
        <w:t>South Africa</w:t>
      </w:r>
      <w:r w:rsidRPr="00265545">
        <w:t xml:space="preserve">), to assist participants in preparing for the </w:t>
      </w:r>
      <w:r w:rsidR="003E12B6" w:rsidRPr="00265545">
        <w:t>fourteenth</w:t>
      </w:r>
      <w:r w:rsidRPr="00265545">
        <w:t xml:space="preserve"> meeting of the Committee</w:t>
      </w:r>
      <w:r w:rsidR="00900227">
        <w:t>,</w:t>
      </w:r>
      <w:r w:rsidRPr="00265545">
        <w:t xml:space="preserve"> is set out in the annex to the present note.</w:t>
      </w:r>
    </w:p>
    <w:p w14:paraId="740E349C" w14:textId="77777777" w:rsidR="006A555F" w:rsidRPr="006A555F" w:rsidRDefault="006A555F" w:rsidP="00287343">
      <w:pPr>
        <w:pStyle w:val="ZZAnxheader"/>
      </w:pPr>
      <w:r w:rsidRPr="006A555F">
        <w:rPr>
          <w:lang w:eastAsia="en-GB"/>
        </w:rPr>
        <w:br w:type="page"/>
      </w:r>
      <w:r w:rsidRPr="006A555F">
        <w:lastRenderedPageBreak/>
        <w:t>Annex</w:t>
      </w:r>
    </w:p>
    <w:p w14:paraId="60052ED8" w14:textId="77777777" w:rsidR="006A555F" w:rsidRPr="00287343" w:rsidRDefault="006A555F" w:rsidP="00287343">
      <w:pPr>
        <w:pStyle w:val="ZZAnxtitle"/>
      </w:pPr>
      <w:r w:rsidRPr="00287343">
        <w:t xml:space="preserve">Scenario note for the </w:t>
      </w:r>
      <w:r w:rsidR="003E12B6" w:rsidRPr="00287343">
        <w:t>fourteenth</w:t>
      </w:r>
      <w:r w:rsidRPr="00287343">
        <w:t xml:space="preserve"> meeting of the Chemical Review Committee</w:t>
      </w:r>
    </w:p>
    <w:p w14:paraId="41E2FD25" w14:textId="77777777" w:rsidR="006A555F" w:rsidRPr="006A555F" w:rsidRDefault="006A555F" w:rsidP="003E12B6">
      <w:pPr>
        <w:pStyle w:val="Normalnumber"/>
        <w:rPr>
          <w:lang w:val="en-US"/>
        </w:rPr>
      </w:pPr>
      <w:r w:rsidRPr="006A555F">
        <w:rPr>
          <w:lang w:val="en-US"/>
        </w:rPr>
        <w:t xml:space="preserve">The present scenario note is intended to assist participants in preparing for the </w:t>
      </w:r>
      <w:r w:rsidR="003E12B6" w:rsidRPr="003E12B6">
        <w:rPr>
          <w:lang w:val="en-US"/>
        </w:rPr>
        <w:t>fourteenth</w:t>
      </w:r>
      <w:r w:rsidRPr="006A555F">
        <w:rPr>
          <w:lang w:val="en-US"/>
        </w:rPr>
        <w:t xml:space="preserve"> meeting of the Chemical Review Committee. </w:t>
      </w:r>
    </w:p>
    <w:p w14:paraId="3C1644C4" w14:textId="77777777" w:rsidR="006A555F" w:rsidRPr="006A555F" w:rsidRDefault="006A555F" w:rsidP="00716C81">
      <w:pPr>
        <w:pStyle w:val="Normalnumber"/>
        <w:rPr>
          <w:lang w:val="en-US"/>
        </w:rPr>
      </w:pPr>
      <w:r w:rsidRPr="006A555F">
        <w:rPr>
          <w:lang w:val="en-US"/>
        </w:rPr>
        <w:t>The documents for the meeting have been posted on the website of the Rotterdam Convention on the Prior Informed Consent Procedure for Certain Hazardous Chemicals and Pesticides in International Trade</w:t>
      </w:r>
      <w:r w:rsidRPr="006A555F" w:rsidDel="002B3A67">
        <w:rPr>
          <w:lang w:val="en-US"/>
        </w:rPr>
        <w:t xml:space="preserve"> </w:t>
      </w:r>
      <w:r w:rsidRPr="006A555F">
        <w:rPr>
          <w:lang w:val="en-US"/>
        </w:rPr>
        <w:t>(</w:t>
      </w:r>
      <w:hyperlink r:id="rId12" w:history="1">
        <w:r w:rsidRPr="006A555F">
          <w:rPr>
            <w:lang w:val="en-US"/>
          </w:rPr>
          <w:t>www.pic.int</w:t>
        </w:r>
      </w:hyperlink>
      <w:r w:rsidR="003E12B6">
        <w:rPr>
          <w:lang w:val="en-US"/>
        </w:rPr>
        <w:t>/crc14</w:t>
      </w:r>
      <w:r w:rsidRPr="006A555F">
        <w:rPr>
          <w:lang w:val="en-US"/>
        </w:rPr>
        <w:t>) and made available to the Committee.</w:t>
      </w:r>
    </w:p>
    <w:p w14:paraId="3D58E241" w14:textId="77777777" w:rsidR="006A555F" w:rsidRPr="006A555F" w:rsidRDefault="006A555F" w:rsidP="003C1F16">
      <w:pPr>
        <w:pStyle w:val="CH2"/>
      </w:pPr>
      <w:r w:rsidRPr="006A555F">
        <w:tab/>
        <w:t>A.</w:t>
      </w:r>
      <w:r w:rsidRPr="006A555F">
        <w:tab/>
        <w:t>Objective and tasks</w:t>
      </w:r>
    </w:p>
    <w:p w14:paraId="15ECA34B" w14:textId="77777777" w:rsidR="006A555F" w:rsidRPr="006A555F" w:rsidRDefault="006A555F" w:rsidP="00716C81">
      <w:pPr>
        <w:pStyle w:val="Normalnumber"/>
        <w:rPr>
          <w:lang w:val="en-US"/>
        </w:rPr>
      </w:pPr>
      <w:r w:rsidRPr="006A555F">
        <w:rPr>
          <w:lang w:val="en-US"/>
        </w:rPr>
        <w:t xml:space="preserve">The general objective of the meeting is to complete the work assigned to the Committee by the Convention and the Conference of the Parties. To that end, the main tasks of the Committee are the following: </w:t>
      </w:r>
    </w:p>
    <w:p w14:paraId="32413942" w14:textId="77777777" w:rsidR="003E12B6" w:rsidRPr="003E12B6" w:rsidRDefault="003E12B6" w:rsidP="00265545">
      <w:pPr>
        <w:pStyle w:val="ListParagraph"/>
        <w:numPr>
          <w:ilvl w:val="1"/>
          <w:numId w:val="37"/>
        </w:numPr>
        <w:spacing w:after="120"/>
        <w:rPr>
          <w:lang w:val="en-US"/>
        </w:rPr>
      </w:pPr>
      <w:r w:rsidRPr="003E12B6">
        <w:rPr>
          <w:lang w:val="en-US"/>
        </w:rPr>
        <w:t>To finalize the draft decision guidance documents for a</w:t>
      </w:r>
      <w:r w:rsidR="007B5473">
        <w:rPr>
          <w:lang w:val="en-US"/>
        </w:rPr>
        <w:t xml:space="preserve">cetochlor, </w:t>
      </w:r>
      <w:r w:rsidRPr="003E12B6">
        <w:rPr>
          <w:lang w:val="en-US"/>
        </w:rPr>
        <w:t xml:space="preserve">hexabromocyclododecane and </w:t>
      </w:r>
      <w:proofErr w:type="spellStart"/>
      <w:r w:rsidRPr="003E12B6">
        <w:rPr>
          <w:lang w:val="en-US"/>
        </w:rPr>
        <w:t>phorate</w:t>
      </w:r>
      <w:proofErr w:type="spellEnd"/>
      <w:r>
        <w:rPr>
          <w:lang w:val="en-US"/>
        </w:rPr>
        <w:t xml:space="preserve"> </w:t>
      </w:r>
      <w:r w:rsidRPr="003E12B6">
        <w:rPr>
          <w:lang w:val="en-US"/>
        </w:rPr>
        <w:t xml:space="preserve">for consideration by the Conference of the Parties at its </w:t>
      </w:r>
      <w:r>
        <w:rPr>
          <w:lang w:val="en-US"/>
        </w:rPr>
        <w:t>ninth</w:t>
      </w:r>
      <w:r w:rsidRPr="003E12B6">
        <w:rPr>
          <w:lang w:val="en-US"/>
        </w:rPr>
        <w:t xml:space="preserve"> meeting; </w:t>
      </w:r>
    </w:p>
    <w:p w14:paraId="0B3E579F" w14:textId="4701A30D" w:rsidR="006A555F" w:rsidRPr="003E12B6" w:rsidRDefault="006A555F" w:rsidP="00880116">
      <w:pPr>
        <w:numPr>
          <w:ilvl w:val="1"/>
          <w:numId w:val="37"/>
        </w:numPr>
        <w:tabs>
          <w:tab w:val="clear" w:pos="1247"/>
          <w:tab w:val="clear" w:pos="1814"/>
          <w:tab w:val="clear" w:pos="2381"/>
          <w:tab w:val="clear" w:pos="2948"/>
          <w:tab w:val="clear" w:pos="3515"/>
          <w:tab w:val="left" w:pos="624"/>
        </w:tabs>
        <w:spacing w:after="120"/>
        <w:rPr>
          <w:lang w:val="en-US"/>
        </w:rPr>
      </w:pPr>
      <w:r w:rsidRPr="003E12B6">
        <w:rPr>
          <w:lang w:val="en-US"/>
        </w:rPr>
        <w:t>To determine whether the criteria set out in Annex II to the Convention have been met by each of the notifications of final regulatory action for</w:t>
      </w:r>
      <w:r w:rsidR="003E12B6" w:rsidRPr="003E12B6">
        <w:t xml:space="preserve"> </w:t>
      </w:r>
      <w:r w:rsidR="003E12B6" w:rsidRPr="003E12B6">
        <w:rPr>
          <w:lang w:val="en-US"/>
        </w:rPr>
        <w:t xml:space="preserve">methyl-parathion and </w:t>
      </w:r>
      <w:r w:rsidR="007C5344">
        <w:t>perfluorooctanoic acid (PFOA), its salts and PFOA-related compounds</w:t>
      </w:r>
      <w:r w:rsidR="00E30EEB">
        <w:rPr>
          <w:lang w:val="en-US"/>
        </w:rPr>
        <w:t xml:space="preserve">, as well as for an additional notification of final regulatory action for </w:t>
      </w:r>
      <w:bookmarkStart w:id="1" w:name="_Hlk516667502"/>
      <w:r w:rsidR="00E30EEB">
        <w:rPr>
          <w:lang w:val="en-US"/>
        </w:rPr>
        <w:t>hexabromocyclododecane</w:t>
      </w:r>
      <w:bookmarkEnd w:id="1"/>
      <w:r w:rsidR="00E30EEB">
        <w:rPr>
          <w:lang w:val="en-US"/>
        </w:rPr>
        <w:t xml:space="preserve"> received subsequent to the </w:t>
      </w:r>
      <w:r w:rsidR="00104096">
        <w:rPr>
          <w:lang w:val="en-US"/>
        </w:rPr>
        <w:t>thirteenth</w:t>
      </w:r>
      <w:r w:rsidR="00E30EEB">
        <w:rPr>
          <w:lang w:val="en-US"/>
        </w:rPr>
        <w:t xml:space="preserve"> meeting of the Committee</w:t>
      </w:r>
      <w:r w:rsidR="004467A0">
        <w:rPr>
          <w:lang w:val="en-US"/>
        </w:rPr>
        <w:t>,</w:t>
      </w:r>
      <w:r w:rsidR="00E30EEB">
        <w:rPr>
          <w:rStyle w:val="FootnoteReference"/>
          <w:lang w:val="en-US"/>
        </w:rPr>
        <w:footnoteReference w:id="2"/>
      </w:r>
      <w:r w:rsidRPr="003E12B6">
        <w:rPr>
          <w:lang w:val="en-US"/>
        </w:rPr>
        <w:t xml:space="preserve"> </w:t>
      </w:r>
      <w:r w:rsidR="004467A0">
        <w:rPr>
          <w:lang w:val="en-US"/>
        </w:rPr>
        <w:t>and, i</w:t>
      </w:r>
      <w:r w:rsidRPr="003E12B6">
        <w:rPr>
          <w:lang w:val="en-US"/>
        </w:rPr>
        <w:t>f that is the case, to prepare a rationale for the conclusions of the Committee for each of those notifications;</w:t>
      </w:r>
    </w:p>
    <w:p w14:paraId="71B41C8A" w14:textId="24D902D0" w:rsidR="006A555F" w:rsidRPr="006A555F" w:rsidRDefault="006A555F" w:rsidP="00BE1537">
      <w:pPr>
        <w:numPr>
          <w:ilvl w:val="1"/>
          <w:numId w:val="37"/>
        </w:numPr>
        <w:tabs>
          <w:tab w:val="clear" w:pos="567"/>
          <w:tab w:val="clear" w:pos="1247"/>
          <w:tab w:val="clear" w:pos="1814"/>
          <w:tab w:val="clear" w:pos="2381"/>
          <w:tab w:val="clear" w:pos="2948"/>
          <w:tab w:val="clear" w:pos="3515"/>
          <w:tab w:val="left" w:pos="624"/>
        </w:tabs>
        <w:spacing w:after="120"/>
        <w:ind w:firstLine="624"/>
        <w:rPr>
          <w:lang w:val="en-US"/>
        </w:rPr>
      </w:pPr>
      <w:r w:rsidRPr="00D26272">
        <w:rPr>
          <w:lang w:val="en-US"/>
        </w:rPr>
        <w:t>For those chemi</w:t>
      </w:r>
      <w:r w:rsidR="007B5473">
        <w:rPr>
          <w:lang w:val="en-US"/>
        </w:rPr>
        <w:t>cals identified in subparagraph</w:t>
      </w:r>
      <w:r w:rsidRPr="006A555F">
        <w:rPr>
          <w:lang w:val="en-US"/>
        </w:rPr>
        <w:t xml:space="preserve"> (b) above that it recommends for listing in Annex III, to prepare such recommendations for consideration by the Conference of the Parties, establish intersessional drafting groups and draw up workplans for the preparation of decision guidance documents</w:t>
      </w:r>
      <w:r w:rsidR="00EC3D80">
        <w:rPr>
          <w:lang w:val="en-US"/>
        </w:rPr>
        <w:t>.</w:t>
      </w:r>
    </w:p>
    <w:p w14:paraId="25B7D9AA" w14:textId="77777777" w:rsidR="006A555F" w:rsidRPr="006A555F" w:rsidRDefault="003C1F16" w:rsidP="003C1F16">
      <w:pPr>
        <w:pStyle w:val="CH2"/>
        <w:rPr>
          <w:lang w:val="en-US"/>
        </w:rPr>
      </w:pPr>
      <w:r>
        <w:rPr>
          <w:lang w:val="en-US"/>
        </w:rPr>
        <w:tab/>
      </w:r>
      <w:r w:rsidR="006A555F" w:rsidRPr="006A555F">
        <w:rPr>
          <w:lang w:val="en-US"/>
        </w:rPr>
        <w:t>B.</w:t>
      </w:r>
      <w:r w:rsidR="006A555F" w:rsidRPr="006A555F">
        <w:rPr>
          <w:lang w:val="en-US"/>
        </w:rPr>
        <w:tab/>
        <w:t>Meeting agenda</w:t>
      </w:r>
    </w:p>
    <w:p w14:paraId="1926083B" w14:textId="25898608" w:rsidR="006A555F" w:rsidRPr="006A555F" w:rsidRDefault="006A555F" w:rsidP="00716C81">
      <w:pPr>
        <w:pStyle w:val="Normalnumber"/>
        <w:rPr>
          <w:lang w:val="en-US"/>
        </w:rPr>
      </w:pPr>
      <w:r w:rsidRPr="006A555F">
        <w:rPr>
          <w:lang w:val="en-US"/>
        </w:rPr>
        <w:t>The provisional agenda for the meeting (UNEP/FAO/RC/CRC.1</w:t>
      </w:r>
      <w:r w:rsidR="003E12B6">
        <w:rPr>
          <w:lang w:val="en-US"/>
        </w:rPr>
        <w:t>4</w:t>
      </w:r>
      <w:r w:rsidRPr="006A555F">
        <w:rPr>
          <w:lang w:val="en-US"/>
        </w:rPr>
        <w:t xml:space="preserve">/1) lists the matters before the Committee. Committee members are invited to notify the </w:t>
      </w:r>
      <w:r w:rsidR="004467A0">
        <w:rPr>
          <w:lang w:val="en-US"/>
        </w:rPr>
        <w:t>s</w:t>
      </w:r>
      <w:r w:rsidRPr="006A555F">
        <w:rPr>
          <w:lang w:val="en-US"/>
        </w:rPr>
        <w:t>ecretariat before the meeting of any other matters that should be included. The annotations to the provis</w:t>
      </w:r>
      <w:r w:rsidR="003E12B6">
        <w:rPr>
          <w:lang w:val="en-US"/>
        </w:rPr>
        <w:t>ional agenda (UNEP/FAO/RC/CRC.14</w:t>
      </w:r>
      <w:r w:rsidRPr="006A555F">
        <w:rPr>
          <w:lang w:val="en-US"/>
        </w:rPr>
        <w:t>/1/Add.1)</w:t>
      </w:r>
      <w:r w:rsidRPr="006A555F" w:rsidDel="00D909E1">
        <w:rPr>
          <w:lang w:val="en-US"/>
        </w:rPr>
        <w:t xml:space="preserve"> </w:t>
      </w:r>
      <w:r w:rsidRPr="006A555F">
        <w:rPr>
          <w:lang w:val="en-US"/>
        </w:rPr>
        <w:t xml:space="preserve">identify issues for discussion under each agenda item and the documents </w:t>
      </w:r>
      <w:r w:rsidR="004467A0">
        <w:rPr>
          <w:lang w:val="en-US"/>
        </w:rPr>
        <w:t>relating</w:t>
      </w:r>
      <w:r w:rsidRPr="006A555F">
        <w:rPr>
          <w:lang w:val="en-US"/>
        </w:rPr>
        <w:t xml:space="preserve"> to that item.  </w:t>
      </w:r>
    </w:p>
    <w:p w14:paraId="63167F1F" w14:textId="77777777" w:rsidR="006A555F" w:rsidRPr="006A555F" w:rsidRDefault="006A555F" w:rsidP="003C1F16">
      <w:pPr>
        <w:pStyle w:val="CH2"/>
      </w:pPr>
      <w:r w:rsidRPr="006A555F">
        <w:tab/>
        <w:t>C.</w:t>
      </w:r>
      <w:r w:rsidRPr="006A555F">
        <w:tab/>
        <w:t>Organization of work</w:t>
      </w:r>
    </w:p>
    <w:p w14:paraId="7117B13C" w14:textId="79D1F6D5" w:rsidR="006A555F" w:rsidRPr="006A555F" w:rsidRDefault="006A555F" w:rsidP="00716C81">
      <w:pPr>
        <w:pStyle w:val="Normalnumber"/>
        <w:rPr>
          <w:lang w:val="en-US"/>
        </w:rPr>
      </w:pPr>
      <w:r w:rsidRPr="006A555F">
        <w:rPr>
          <w:lang w:val="en-US"/>
        </w:rPr>
        <w:t xml:space="preserve">The meeting will take place from the afternoon of </w:t>
      </w:r>
      <w:r w:rsidR="007B5473">
        <w:rPr>
          <w:lang w:val="en-US"/>
        </w:rPr>
        <w:t>Tuesday</w:t>
      </w:r>
      <w:r w:rsidR="003A3B10">
        <w:rPr>
          <w:lang w:val="en-US"/>
        </w:rPr>
        <w:t>,</w:t>
      </w:r>
      <w:r w:rsidRPr="006A555F">
        <w:rPr>
          <w:lang w:val="en-US"/>
        </w:rPr>
        <w:t xml:space="preserve"> </w:t>
      </w:r>
      <w:r w:rsidR="007B5473">
        <w:rPr>
          <w:lang w:val="en-US"/>
        </w:rPr>
        <w:t>11 September</w:t>
      </w:r>
      <w:r w:rsidRPr="006A555F">
        <w:rPr>
          <w:lang w:val="en-US"/>
        </w:rPr>
        <w:t xml:space="preserve"> to Friday</w:t>
      </w:r>
      <w:r w:rsidR="003A3B10">
        <w:rPr>
          <w:lang w:val="en-US"/>
        </w:rPr>
        <w:t>,</w:t>
      </w:r>
      <w:r w:rsidR="004005CC">
        <w:rPr>
          <w:lang w:val="en-US"/>
        </w:rPr>
        <w:t> 14 </w:t>
      </w:r>
      <w:r w:rsidR="007B5473">
        <w:rPr>
          <w:lang w:val="en-US"/>
        </w:rPr>
        <w:t>September</w:t>
      </w:r>
      <w:r w:rsidRPr="006A555F">
        <w:rPr>
          <w:lang w:val="en-US"/>
        </w:rPr>
        <w:t xml:space="preserve"> 201</w:t>
      </w:r>
      <w:r w:rsidR="007B5473">
        <w:rPr>
          <w:lang w:val="en-US"/>
        </w:rPr>
        <w:t>8</w:t>
      </w:r>
      <w:r w:rsidRPr="006A555F">
        <w:rPr>
          <w:lang w:val="en-US"/>
        </w:rPr>
        <w:t xml:space="preserve">. The intersessional task groups will meet </w:t>
      </w:r>
      <w:r w:rsidR="007B5473">
        <w:rPr>
          <w:lang w:val="en-US"/>
        </w:rPr>
        <w:t>in the morning of Tuesday</w:t>
      </w:r>
      <w:r w:rsidR="003A3B10">
        <w:rPr>
          <w:lang w:val="en-US"/>
        </w:rPr>
        <w:t>,</w:t>
      </w:r>
      <w:r w:rsidRPr="006A555F">
        <w:rPr>
          <w:lang w:val="en-US"/>
        </w:rPr>
        <w:t xml:space="preserve"> </w:t>
      </w:r>
      <w:r w:rsidR="007B5473">
        <w:rPr>
          <w:lang w:val="en-US"/>
        </w:rPr>
        <w:t>11</w:t>
      </w:r>
      <w:r w:rsidR="00900227">
        <w:rPr>
          <w:lang w:val="en-US"/>
        </w:rPr>
        <w:t> </w:t>
      </w:r>
      <w:r w:rsidR="007B5473">
        <w:rPr>
          <w:lang w:val="en-US"/>
        </w:rPr>
        <w:t>September 2018.</w:t>
      </w:r>
      <w:r w:rsidRPr="006A555F">
        <w:rPr>
          <w:lang w:val="en-US"/>
        </w:rPr>
        <w:t xml:space="preserve"> </w:t>
      </w:r>
    </w:p>
    <w:p w14:paraId="34F736FF" w14:textId="77777777" w:rsidR="006A555F" w:rsidRPr="006A555F" w:rsidRDefault="006A555F" w:rsidP="00716C81">
      <w:pPr>
        <w:pStyle w:val="Normalnumber"/>
        <w:rPr>
          <w:lang w:val="en-US"/>
        </w:rPr>
      </w:pPr>
      <w:r w:rsidRPr="006A555F">
        <w:rPr>
          <w:lang w:val="en-US"/>
        </w:rPr>
        <w:t xml:space="preserve">Contact groups and drafting groups will be established as needed throughout the meeting. </w:t>
      </w:r>
    </w:p>
    <w:p w14:paraId="0B059335" w14:textId="06F74EE8" w:rsidR="006A555F" w:rsidRPr="0023418A" w:rsidRDefault="006A555F" w:rsidP="007B5473">
      <w:pPr>
        <w:pStyle w:val="Normalnumber"/>
        <w:rPr>
          <w:lang w:val="en-US"/>
        </w:rPr>
      </w:pPr>
      <w:r w:rsidRPr="006A555F">
        <w:rPr>
          <w:lang w:val="en-US"/>
        </w:rPr>
        <w:t xml:space="preserve">The meeting will begin at 2 p.m. on </w:t>
      </w:r>
      <w:r w:rsidR="007B5473" w:rsidRPr="007B5473">
        <w:rPr>
          <w:lang w:val="en-US"/>
        </w:rPr>
        <w:t>Tuesday, 11 September</w:t>
      </w:r>
      <w:r w:rsidRPr="006A555F">
        <w:rPr>
          <w:lang w:val="en-US"/>
        </w:rPr>
        <w:t xml:space="preserve"> with opening formalities in </w:t>
      </w:r>
      <w:r w:rsidRPr="0023418A">
        <w:rPr>
          <w:lang w:val="en-US"/>
        </w:rPr>
        <w:t>plenary (item 1 of the provisional agenda). The Committee will then adopt the agenda for the meeting (item 2</w:t>
      </w:r>
      <w:r w:rsidR="00900227">
        <w:rPr>
          <w:lang w:val="en-US"/>
        </w:rPr>
        <w:t> </w:t>
      </w:r>
      <w:r w:rsidRPr="0023418A">
        <w:rPr>
          <w:lang w:val="en-US"/>
        </w:rPr>
        <w:t>(a) of the provisional agenda), amended as appropriate, and agree on the organization of work (item 2 (b) of the provisional agenda). A tentative schedule is set ou</w:t>
      </w:r>
      <w:r w:rsidR="007B5473">
        <w:rPr>
          <w:lang w:val="en-US"/>
        </w:rPr>
        <w:t>t in document UNEP/FAO/RC/CRC.14</w:t>
      </w:r>
      <w:r w:rsidRPr="0023418A">
        <w:rPr>
          <w:lang w:val="en-US"/>
        </w:rPr>
        <w:t>/INF/2.</w:t>
      </w:r>
    </w:p>
    <w:p w14:paraId="6FECFF10" w14:textId="76381F6D" w:rsidR="006A555F" w:rsidRPr="006A555F" w:rsidRDefault="006A555F" w:rsidP="00716C81">
      <w:pPr>
        <w:pStyle w:val="Normalnumber"/>
        <w:rPr>
          <w:lang w:val="en-US"/>
        </w:rPr>
      </w:pPr>
      <w:r w:rsidRPr="006A555F">
        <w:rPr>
          <w:lang w:val="en-US"/>
        </w:rPr>
        <w:t>U</w:t>
      </w:r>
      <w:r w:rsidR="007B5473">
        <w:rPr>
          <w:lang w:val="en-US"/>
        </w:rPr>
        <w:t xml:space="preserve">nder item </w:t>
      </w:r>
      <w:r w:rsidR="007B5473" w:rsidRPr="004005CC">
        <w:rPr>
          <w:lang w:val="en-US"/>
        </w:rPr>
        <w:t>3</w:t>
      </w:r>
      <w:r w:rsidRPr="004005CC">
        <w:rPr>
          <w:lang w:val="en-US"/>
        </w:rPr>
        <w:t xml:space="preserve"> of the provisional agenda, the Committee will consider the rotation of the membership. A representative of the </w:t>
      </w:r>
      <w:r w:rsidR="00325EA5" w:rsidRPr="004005CC">
        <w:rPr>
          <w:lang w:val="en-US"/>
        </w:rPr>
        <w:t>S</w:t>
      </w:r>
      <w:r w:rsidRPr="004005CC">
        <w:rPr>
          <w:lang w:val="en-US"/>
        </w:rPr>
        <w:t xml:space="preserve">ecretariat will provide information on the rotation of the membership </w:t>
      </w:r>
      <w:r w:rsidR="00325EA5" w:rsidRPr="004005CC">
        <w:rPr>
          <w:lang w:val="en-US"/>
        </w:rPr>
        <w:t>o</w:t>
      </w:r>
      <w:r w:rsidRPr="004005CC">
        <w:rPr>
          <w:lang w:val="en-US"/>
        </w:rPr>
        <w:t xml:space="preserve">n </w:t>
      </w:r>
      <w:r w:rsidR="00325EA5" w:rsidRPr="004005CC">
        <w:rPr>
          <w:lang w:val="en-US"/>
        </w:rPr>
        <w:t xml:space="preserve">1 </w:t>
      </w:r>
      <w:r w:rsidRPr="004005CC">
        <w:rPr>
          <w:lang w:val="en-US"/>
        </w:rPr>
        <w:t>May 2018, and</w:t>
      </w:r>
      <w:r w:rsidRPr="006A555F">
        <w:rPr>
          <w:lang w:val="en-US"/>
        </w:rPr>
        <w:t xml:space="preserve"> </w:t>
      </w:r>
      <w:r w:rsidR="004467A0">
        <w:rPr>
          <w:lang w:val="en-US"/>
        </w:rPr>
        <w:t xml:space="preserve">on </w:t>
      </w:r>
      <w:r w:rsidRPr="006A555F">
        <w:rPr>
          <w:lang w:val="en-US"/>
        </w:rPr>
        <w:t xml:space="preserve">the newly designated members, if any. </w:t>
      </w:r>
    </w:p>
    <w:p w14:paraId="72020C75" w14:textId="77777777" w:rsidR="007B5473" w:rsidRPr="007B5473" w:rsidRDefault="007B5473" w:rsidP="007B5473">
      <w:pPr>
        <w:pStyle w:val="Normalnumber"/>
        <w:rPr>
          <w:lang w:val="en-US"/>
        </w:rPr>
      </w:pPr>
      <w:r w:rsidRPr="007B5473">
        <w:rPr>
          <w:lang w:val="en-US"/>
        </w:rPr>
        <w:lastRenderedPageBreak/>
        <w:t xml:space="preserve">The Committee will then consider the draft decision guidance documents on acetochlor, hexabromocyclododecane and </w:t>
      </w:r>
      <w:proofErr w:type="spellStart"/>
      <w:r w:rsidRPr="007B5473">
        <w:rPr>
          <w:lang w:val="en-US"/>
        </w:rPr>
        <w:t>phorate</w:t>
      </w:r>
      <w:proofErr w:type="spellEnd"/>
      <w:r w:rsidRPr="007B5473">
        <w:rPr>
          <w:lang w:val="en-US"/>
        </w:rPr>
        <w:t xml:space="preserve"> with a view to f</w:t>
      </w:r>
      <w:r>
        <w:rPr>
          <w:lang w:val="en-US"/>
        </w:rPr>
        <w:t>inalizing them (items 4 (a) (</w:t>
      </w:r>
      <w:proofErr w:type="spellStart"/>
      <w:r>
        <w:rPr>
          <w:lang w:val="en-US"/>
        </w:rPr>
        <w:t>i</w:t>
      </w:r>
      <w:proofErr w:type="spellEnd"/>
      <w:r>
        <w:rPr>
          <w:lang w:val="en-US"/>
        </w:rPr>
        <w:t xml:space="preserve">), (ii) </w:t>
      </w:r>
      <w:r w:rsidRPr="007B5473">
        <w:rPr>
          <w:lang w:val="en-US"/>
        </w:rPr>
        <w:t>and (ii</w:t>
      </w:r>
      <w:r>
        <w:rPr>
          <w:lang w:val="en-US"/>
        </w:rPr>
        <w:t>i</w:t>
      </w:r>
      <w:r w:rsidRPr="007B5473">
        <w:rPr>
          <w:lang w:val="en-US"/>
        </w:rPr>
        <w:t xml:space="preserve">) of the provisional agenda). </w:t>
      </w:r>
    </w:p>
    <w:p w14:paraId="7F8D350D" w14:textId="0FFA28E3" w:rsidR="004F2D38" w:rsidRDefault="006A555F" w:rsidP="004F2D38">
      <w:pPr>
        <w:pStyle w:val="Normalnumber"/>
        <w:rPr>
          <w:lang w:val="en-US"/>
        </w:rPr>
      </w:pPr>
      <w:r w:rsidRPr="004F2D38">
        <w:rPr>
          <w:lang w:val="en-US"/>
        </w:rPr>
        <w:t xml:space="preserve">Following the report of the Bureau on the preliminary review of notifications of final regulatory action (item </w:t>
      </w:r>
      <w:r w:rsidR="007B5473" w:rsidRPr="004F2D38">
        <w:rPr>
          <w:lang w:val="en-US"/>
        </w:rPr>
        <w:t>4</w:t>
      </w:r>
      <w:r w:rsidRPr="004F2D38">
        <w:rPr>
          <w:lang w:val="en-US"/>
        </w:rPr>
        <w:t xml:space="preserve"> (</w:t>
      </w:r>
      <w:r w:rsidR="007B5473" w:rsidRPr="004F2D38">
        <w:rPr>
          <w:lang w:val="en-US"/>
        </w:rPr>
        <w:t>b</w:t>
      </w:r>
      <w:r w:rsidRPr="004F2D38">
        <w:rPr>
          <w:lang w:val="en-US"/>
        </w:rPr>
        <w:t xml:space="preserve">) of the provisional agenda), the Committee will review the notifications of final regulatory action (items </w:t>
      </w:r>
      <w:r w:rsidR="007B5473" w:rsidRPr="004F2D38">
        <w:rPr>
          <w:lang w:val="en-US"/>
        </w:rPr>
        <w:t>4</w:t>
      </w:r>
      <w:r w:rsidRPr="004F2D38">
        <w:rPr>
          <w:lang w:val="en-US"/>
        </w:rPr>
        <w:t xml:space="preserve"> (</w:t>
      </w:r>
      <w:r w:rsidR="007B5473" w:rsidRPr="004F2D38">
        <w:rPr>
          <w:lang w:val="en-US"/>
        </w:rPr>
        <w:t>c) (</w:t>
      </w:r>
      <w:proofErr w:type="spellStart"/>
      <w:r w:rsidR="007B5473" w:rsidRPr="004F2D38">
        <w:rPr>
          <w:lang w:val="en-US"/>
        </w:rPr>
        <w:t>i</w:t>
      </w:r>
      <w:proofErr w:type="spellEnd"/>
      <w:r w:rsidR="007B5473" w:rsidRPr="004F2D38">
        <w:rPr>
          <w:lang w:val="en-US"/>
        </w:rPr>
        <w:t>)</w:t>
      </w:r>
      <w:r w:rsidR="00EC3D80">
        <w:rPr>
          <w:lang w:val="en-US"/>
        </w:rPr>
        <w:t>, (ii)</w:t>
      </w:r>
      <w:r w:rsidR="007B5473" w:rsidRPr="004F2D38">
        <w:rPr>
          <w:lang w:val="en-US"/>
        </w:rPr>
        <w:t xml:space="preserve"> </w:t>
      </w:r>
      <w:r w:rsidR="00EC3D80">
        <w:rPr>
          <w:lang w:val="en-US"/>
        </w:rPr>
        <w:t xml:space="preserve">and </w:t>
      </w:r>
      <w:r w:rsidR="007B5473" w:rsidRPr="004F2D38">
        <w:rPr>
          <w:lang w:val="en-US"/>
        </w:rPr>
        <w:t>(iii</w:t>
      </w:r>
      <w:r w:rsidRPr="004F2D38">
        <w:rPr>
          <w:lang w:val="en-US"/>
        </w:rPr>
        <w:t xml:space="preserve">) of the provisional agenda). On the basis of its review, the Committee will decide whether to recommend that the Conference of the Parties list any of the candidate chemicals in Annex III to the Convention, establish drafting groups and adopt workplans to prepare draft decision guidance documents for the recommended chemicals. </w:t>
      </w:r>
    </w:p>
    <w:p w14:paraId="53A4EA40" w14:textId="77DF4A65" w:rsidR="006A555F" w:rsidRPr="006A555F" w:rsidRDefault="00F12E7D" w:rsidP="00C2765C">
      <w:pPr>
        <w:pStyle w:val="Normalnumber"/>
        <w:rPr>
          <w:lang w:val="en-US"/>
        </w:rPr>
      </w:pPr>
      <w:r w:rsidRPr="004F2D38">
        <w:rPr>
          <w:lang w:val="en-US"/>
        </w:rPr>
        <w:t xml:space="preserve">In the case of </w:t>
      </w:r>
      <w:r w:rsidR="00F13066" w:rsidRPr="004F2D38">
        <w:rPr>
          <w:lang w:val="en-US"/>
        </w:rPr>
        <w:t xml:space="preserve">hexabromocyclododecane, </w:t>
      </w:r>
      <w:r w:rsidR="00505522">
        <w:rPr>
          <w:lang w:val="en-US"/>
        </w:rPr>
        <w:t xml:space="preserve">the Committee </w:t>
      </w:r>
      <w:r w:rsidR="004F2D38">
        <w:rPr>
          <w:lang w:val="en-US"/>
        </w:rPr>
        <w:t xml:space="preserve">may wish to review </w:t>
      </w:r>
      <w:r w:rsidR="00FC75B1">
        <w:rPr>
          <w:lang w:val="en-US"/>
        </w:rPr>
        <w:t>the</w:t>
      </w:r>
      <w:r w:rsidR="004F2D38">
        <w:rPr>
          <w:lang w:val="en-US"/>
        </w:rPr>
        <w:t xml:space="preserve"> additional notification</w:t>
      </w:r>
      <w:r w:rsidR="00FC75B1">
        <w:rPr>
          <w:lang w:val="en-US"/>
        </w:rPr>
        <w:t xml:space="preserve"> received </w:t>
      </w:r>
      <w:r w:rsidR="00C2765C" w:rsidRPr="00C2765C">
        <w:rPr>
          <w:lang w:val="en-US"/>
        </w:rPr>
        <w:t xml:space="preserve">subsequent to </w:t>
      </w:r>
      <w:r w:rsidR="00C2765C">
        <w:rPr>
          <w:lang w:val="en-US"/>
        </w:rPr>
        <w:t>its</w:t>
      </w:r>
      <w:r w:rsidR="00C2765C" w:rsidRPr="00C2765C">
        <w:rPr>
          <w:lang w:val="en-US"/>
        </w:rPr>
        <w:t xml:space="preserve"> thirteenth meeting</w:t>
      </w:r>
      <w:r w:rsidR="004F2D38" w:rsidRPr="00C2765C">
        <w:rPr>
          <w:lang w:val="en-US"/>
        </w:rPr>
        <w:t xml:space="preserve"> </w:t>
      </w:r>
      <w:r w:rsidR="004F2D38">
        <w:rPr>
          <w:lang w:val="en-US"/>
        </w:rPr>
        <w:t xml:space="preserve">and </w:t>
      </w:r>
      <w:r w:rsidR="004F2D38" w:rsidRPr="004F2D38">
        <w:rPr>
          <w:lang w:val="en-US"/>
        </w:rPr>
        <w:t xml:space="preserve">note its decision CRC-13/2 </w:t>
      </w:r>
      <w:r w:rsidR="00C2765C">
        <w:rPr>
          <w:lang w:val="en-US"/>
        </w:rPr>
        <w:t>regarding the chemical.</w:t>
      </w:r>
    </w:p>
    <w:p w14:paraId="78BB7BED" w14:textId="181604D2" w:rsidR="006A555F" w:rsidRPr="006A555F" w:rsidRDefault="007B5473" w:rsidP="00880116">
      <w:pPr>
        <w:pStyle w:val="Normalnumber"/>
        <w:rPr>
          <w:lang w:val="en-US"/>
        </w:rPr>
      </w:pPr>
      <w:r>
        <w:rPr>
          <w:lang w:val="en-US"/>
        </w:rPr>
        <w:t>Under item 5</w:t>
      </w:r>
      <w:r w:rsidR="006A555F" w:rsidRPr="006A555F">
        <w:rPr>
          <w:lang w:val="en-US"/>
        </w:rPr>
        <w:t xml:space="preserve"> of the provisional agenda, </w:t>
      </w:r>
      <w:r w:rsidR="00573F97">
        <w:t>on u</w:t>
      </w:r>
      <w:r w:rsidR="00573F97" w:rsidRPr="009707CD">
        <w:t>pdat</w:t>
      </w:r>
      <w:r w:rsidR="00573F97">
        <w:t>es to</w:t>
      </w:r>
      <w:r w:rsidR="00573F97" w:rsidRPr="009707CD">
        <w:t xml:space="preserve"> the Handbook of Working Procedures and Policy Guidance for the Chemical Review Committee</w:t>
      </w:r>
      <w:r w:rsidR="00573F97">
        <w:t>,</w:t>
      </w:r>
      <w:r w:rsidR="00573F97" w:rsidRPr="006A555F">
        <w:rPr>
          <w:lang w:val="en-US"/>
        </w:rPr>
        <w:t xml:space="preserve"> </w:t>
      </w:r>
      <w:r w:rsidR="006A555F" w:rsidRPr="006A555F">
        <w:rPr>
          <w:lang w:val="en-US"/>
        </w:rPr>
        <w:t xml:space="preserve">the Committee will consider the </w:t>
      </w:r>
      <w:r w:rsidR="00880116">
        <w:rPr>
          <w:lang w:val="en-US"/>
        </w:rPr>
        <w:t xml:space="preserve">updates made to </w:t>
      </w:r>
      <w:r w:rsidR="00880116" w:rsidRPr="00880116">
        <w:rPr>
          <w:lang w:val="en-US"/>
        </w:rPr>
        <w:t xml:space="preserve">section </w:t>
      </w:r>
      <w:r w:rsidR="007C5344">
        <w:rPr>
          <w:lang w:val="en-US"/>
        </w:rPr>
        <w:t>1.4</w:t>
      </w:r>
      <w:r w:rsidR="00880116">
        <w:rPr>
          <w:lang w:val="en-US"/>
        </w:rPr>
        <w:t>, on</w:t>
      </w:r>
      <w:r w:rsidR="00880116" w:rsidRPr="00880116">
        <w:rPr>
          <w:lang w:val="en-US"/>
        </w:rPr>
        <w:t xml:space="preserve"> </w:t>
      </w:r>
      <w:r w:rsidR="0039351A" w:rsidRPr="004E0597">
        <w:rPr>
          <w:lang w:val="en-US"/>
        </w:rPr>
        <w:t>the</w:t>
      </w:r>
      <w:r w:rsidR="0039351A">
        <w:rPr>
          <w:lang w:val="en-US"/>
        </w:rPr>
        <w:t xml:space="preserve"> </w:t>
      </w:r>
      <w:r w:rsidR="00880116" w:rsidRPr="00880116">
        <w:rPr>
          <w:lang w:val="en-US"/>
        </w:rPr>
        <w:t xml:space="preserve">process for determining evidence of ongoing international trade, </w:t>
      </w:r>
      <w:r w:rsidR="00880116">
        <w:rPr>
          <w:lang w:val="en-US"/>
        </w:rPr>
        <w:t xml:space="preserve">and </w:t>
      </w:r>
      <w:r w:rsidR="00880116" w:rsidRPr="00880116">
        <w:rPr>
          <w:lang w:val="en-US"/>
        </w:rPr>
        <w:t xml:space="preserve">section </w:t>
      </w:r>
      <w:r w:rsidR="007C5344">
        <w:rPr>
          <w:lang w:val="en-US"/>
        </w:rPr>
        <w:t>2.6</w:t>
      </w:r>
      <w:r w:rsidR="00880116" w:rsidRPr="00880116">
        <w:rPr>
          <w:lang w:val="en-US"/>
        </w:rPr>
        <w:t xml:space="preserve">, on guidance to assist </w:t>
      </w:r>
      <w:r w:rsidR="00325EA5">
        <w:rPr>
          <w:lang w:val="en-US"/>
        </w:rPr>
        <w:t>P</w:t>
      </w:r>
      <w:r w:rsidR="0039351A" w:rsidRPr="00880116">
        <w:rPr>
          <w:lang w:val="en-US"/>
        </w:rPr>
        <w:t xml:space="preserve">arties </w:t>
      </w:r>
      <w:r w:rsidR="00880116" w:rsidRPr="00880116">
        <w:rPr>
          <w:lang w:val="en-US"/>
        </w:rPr>
        <w:t xml:space="preserve">and the Committee when a chemical under consideration </w:t>
      </w:r>
      <w:r w:rsidR="00325EA5">
        <w:rPr>
          <w:lang w:val="en-US"/>
        </w:rPr>
        <w:t>is</w:t>
      </w:r>
      <w:r w:rsidR="00880116" w:rsidRPr="00880116">
        <w:rPr>
          <w:lang w:val="en-US"/>
        </w:rPr>
        <w:t xml:space="preserve"> a persistent organic pollutant listed under the Stockholm Convention, </w:t>
      </w:r>
      <w:r w:rsidR="006A555F" w:rsidRPr="006A555F">
        <w:rPr>
          <w:lang w:val="en-US"/>
        </w:rPr>
        <w:t xml:space="preserve">with a view to </w:t>
      </w:r>
      <w:r>
        <w:rPr>
          <w:lang w:val="en-US"/>
        </w:rPr>
        <w:t>adopt</w:t>
      </w:r>
      <w:r w:rsidR="007E2274">
        <w:rPr>
          <w:lang w:val="en-US"/>
        </w:rPr>
        <w:t>ing</w:t>
      </w:r>
      <w:r w:rsidR="006A555F" w:rsidRPr="006A555F">
        <w:rPr>
          <w:lang w:val="en-US"/>
        </w:rPr>
        <w:t xml:space="preserve"> the</w:t>
      </w:r>
      <w:r w:rsidR="007E2274">
        <w:rPr>
          <w:lang w:val="en-US"/>
        </w:rPr>
        <w:t>se updates</w:t>
      </w:r>
      <w:r w:rsidR="006A555F" w:rsidRPr="006A555F">
        <w:rPr>
          <w:lang w:val="en-US"/>
        </w:rPr>
        <w:t>.</w:t>
      </w:r>
    </w:p>
    <w:p w14:paraId="4B8E3BC4" w14:textId="77777777" w:rsidR="006A555F" w:rsidRPr="006A555F" w:rsidRDefault="006A555F" w:rsidP="00716C81">
      <w:pPr>
        <w:pStyle w:val="Normalnumber"/>
        <w:rPr>
          <w:lang w:val="en-US"/>
        </w:rPr>
      </w:pPr>
      <w:r w:rsidRPr="006A555F">
        <w:rPr>
          <w:lang w:val="en-US"/>
        </w:rPr>
        <w:t>The Committee will decide on the venue and date of its f</w:t>
      </w:r>
      <w:r w:rsidR="007B5473">
        <w:rPr>
          <w:lang w:val="en-US"/>
        </w:rPr>
        <w:t>ifteenth</w:t>
      </w:r>
      <w:r w:rsidRPr="006A555F">
        <w:rPr>
          <w:lang w:val="en-US"/>
        </w:rPr>
        <w:t xml:space="preserve"> meeting (item </w:t>
      </w:r>
      <w:r w:rsidR="007B5473">
        <w:rPr>
          <w:lang w:val="en-US"/>
        </w:rPr>
        <w:t>6</w:t>
      </w:r>
      <w:r w:rsidRPr="006A555F">
        <w:rPr>
          <w:lang w:val="en-US"/>
        </w:rPr>
        <w:t xml:space="preserve"> of the provisional agenda) and consider any other matters (item </w:t>
      </w:r>
      <w:r w:rsidR="007B5473">
        <w:rPr>
          <w:lang w:val="en-US"/>
        </w:rPr>
        <w:t>7</w:t>
      </w:r>
      <w:r w:rsidRPr="006A555F">
        <w:rPr>
          <w:lang w:val="en-US"/>
        </w:rPr>
        <w:t xml:space="preserve"> of the provisional agenda). </w:t>
      </w:r>
    </w:p>
    <w:p w14:paraId="2A97B408" w14:textId="589AC1C4" w:rsidR="006A555F" w:rsidRPr="006A555F" w:rsidRDefault="006A555F" w:rsidP="007B5473">
      <w:pPr>
        <w:pStyle w:val="Normalnumber"/>
        <w:rPr>
          <w:lang w:val="en-US"/>
        </w:rPr>
      </w:pPr>
      <w:r w:rsidRPr="006A555F">
        <w:rPr>
          <w:lang w:val="en-US"/>
        </w:rPr>
        <w:t xml:space="preserve">The report of the meeting is expected to be adopted during the afternoon of Friday, </w:t>
      </w:r>
      <w:r w:rsidR="007B5473">
        <w:rPr>
          <w:lang w:val="en-US"/>
        </w:rPr>
        <w:t>14</w:t>
      </w:r>
      <w:r w:rsidR="00581BBF">
        <w:rPr>
          <w:lang w:val="en-US"/>
        </w:rPr>
        <w:t> </w:t>
      </w:r>
      <w:r w:rsidR="007B5473">
        <w:rPr>
          <w:lang w:val="en-US"/>
        </w:rPr>
        <w:t>September 2018</w:t>
      </w:r>
      <w:r w:rsidRPr="006A555F">
        <w:rPr>
          <w:lang w:val="en-US"/>
        </w:rPr>
        <w:t xml:space="preserve"> (item </w:t>
      </w:r>
      <w:r w:rsidR="007B5473">
        <w:rPr>
          <w:lang w:val="en-US"/>
        </w:rPr>
        <w:t>8</w:t>
      </w:r>
      <w:r w:rsidRPr="006A555F">
        <w:rPr>
          <w:lang w:val="en-US"/>
        </w:rPr>
        <w:t xml:space="preserve"> of the provisional agenda). The Committee will approve the report of the meeting as at the end of the plenary session of the afternoon of Thursday, </w:t>
      </w:r>
      <w:r w:rsidR="007B5473">
        <w:rPr>
          <w:lang w:val="en-US"/>
        </w:rPr>
        <w:t>13 September 2018</w:t>
      </w:r>
      <w:r w:rsidRPr="006A555F">
        <w:rPr>
          <w:lang w:val="en-US"/>
        </w:rPr>
        <w:t xml:space="preserve">, with any amendments that it may consider necessary. Consistent with past practice, the Committee may agree that the section of the report pertaining to the plenary sessions held on Friday, </w:t>
      </w:r>
      <w:r w:rsidR="007B5473" w:rsidRPr="007B5473">
        <w:rPr>
          <w:lang w:val="en-US"/>
        </w:rPr>
        <w:t>14 September 2018</w:t>
      </w:r>
      <w:r w:rsidRPr="006A555F">
        <w:rPr>
          <w:lang w:val="en-US"/>
        </w:rPr>
        <w:t xml:space="preserve"> will be prepared by the rapporteur, in cooperation with the </w:t>
      </w:r>
      <w:r w:rsidR="00325EA5">
        <w:rPr>
          <w:lang w:val="en-US"/>
        </w:rPr>
        <w:t>S</w:t>
      </w:r>
      <w:r w:rsidRPr="006A555F">
        <w:rPr>
          <w:lang w:val="en-US"/>
        </w:rPr>
        <w:t>ecretariat, and incorporated into the final meeting report under the authority of the Chair.</w:t>
      </w:r>
    </w:p>
    <w:p w14:paraId="18E26AFA" w14:textId="77777777" w:rsidR="006A555F" w:rsidRPr="006A555F" w:rsidRDefault="006A555F" w:rsidP="007B5473">
      <w:pPr>
        <w:pStyle w:val="Normalnumber"/>
        <w:rPr>
          <w:lang w:val="en-US"/>
        </w:rPr>
      </w:pPr>
      <w:r w:rsidRPr="006A555F">
        <w:rPr>
          <w:lang w:val="en-US"/>
        </w:rPr>
        <w:t>Upon the conclusion of the matters before the Committee, the Chair</w:t>
      </w:r>
      <w:r w:rsidR="007B5473">
        <w:rPr>
          <w:lang w:val="en-US"/>
        </w:rPr>
        <w:t xml:space="preserve"> will close the meeting (item 9</w:t>
      </w:r>
      <w:r w:rsidRPr="006A555F">
        <w:rPr>
          <w:lang w:val="en-US"/>
        </w:rPr>
        <w:t xml:space="preserve"> of the provisional agenda) on Friday, </w:t>
      </w:r>
      <w:r w:rsidR="007B5473" w:rsidRPr="007B5473">
        <w:rPr>
          <w:lang w:val="en-US"/>
        </w:rPr>
        <w:t>14 September 2018</w:t>
      </w:r>
      <w:r w:rsidRPr="007B5473">
        <w:rPr>
          <w:lang w:val="en-US"/>
        </w:rPr>
        <w:t>.</w:t>
      </w:r>
    </w:p>
    <w:p w14:paraId="412ECB04" w14:textId="77777777" w:rsidR="006A555F" w:rsidRPr="006A555F" w:rsidRDefault="006A555F" w:rsidP="006A555F"/>
    <w:tbl>
      <w:tblPr>
        <w:tblW w:w="5000" w:type="pct"/>
        <w:jc w:val="right"/>
        <w:tblLook w:val="00A0" w:firstRow="1" w:lastRow="0" w:firstColumn="1" w:lastColumn="0" w:noHBand="0" w:noVBand="0"/>
      </w:tblPr>
      <w:tblGrid>
        <w:gridCol w:w="1898"/>
        <w:gridCol w:w="1899"/>
        <w:gridCol w:w="1899"/>
        <w:gridCol w:w="1900"/>
        <w:gridCol w:w="1900"/>
      </w:tblGrid>
      <w:tr w:rsidR="006A555F" w:rsidRPr="006A555F" w14:paraId="281A3ADE" w14:textId="77777777" w:rsidTr="00EC04C2">
        <w:trPr>
          <w:trHeight w:val="637"/>
          <w:jc w:val="right"/>
        </w:trPr>
        <w:tc>
          <w:tcPr>
            <w:tcW w:w="1942" w:type="dxa"/>
          </w:tcPr>
          <w:p w14:paraId="3B2F3C42" w14:textId="77777777" w:rsidR="006A555F" w:rsidRPr="006A555F" w:rsidRDefault="006A555F" w:rsidP="006A555F">
            <w:pPr>
              <w:spacing w:before="520"/>
            </w:pPr>
          </w:p>
        </w:tc>
        <w:tc>
          <w:tcPr>
            <w:tcW w:w="1942" w:type="dxa"/>
          </w:tcPr>
          <w:p w14:paraId="1E2787B8" w14:textId="77777777" w:rsidR="006A555F" w:rsidRPr="006A555F" w:rsidRDefault="006A555F" w:rsidP="006A555F">
            <w:pPr>
              <w:spacing w:before="520"/>
            </w:pPr>
          </w:p>
        </w:tc>
        <w:tc>
          <w:tcPr>
            <w:tcW w:w="1942" w:type="dxa"/>
            <w:tcBorders>
              <w:bottom w:val="single" w:sz="4" w:space="0" w:color="auto"/>
            </w:tcBorders>
          </w:tcPr>
          <w:p w14:paraId="6D8E6C37" w14:textId="77777777" w:rsidR="006A555F" w:rsidRPr="006A555F" w:rsidRDefault="006A555F" w:rsidP="006A555F">
            <w:pPr>
              <w:spacing w:before="520"/>
            </w:pPr>
          </w:p>
        </w:tc>
        <w:tc>
          <w:tcPr>
            <w:tcW w:w="1943" w:type="dxa"/>
          </w:tcPr>
          <w:p w14:paraId="0BDA7A09" w14:textId="77777777" w:rsidR="006A555F" w:rsidRPr="006A555F" w:rsidRDefault="006A555F" w:rsidP="006A555F">
            <w:pPr>
              <w:spacing w:before="520"/>
            </w:pPr>
          </w:p>
        </w:tc>
        <w:tc>
          <w:tcPr>
            <w:tcW w:w="1943" w:type="dxa"/>
          </w:tcPr>
          <w:p w14:paraId="57886F14" w14:textId="77777777" w:rsidR="006A555F" w:rsidRPr="006A555F" w:rsidRDefault="006A555F" w:rsidP="006A555F">
            <w:pPr>
              <w:spacing w:before="520"/>
            </w:pPr>
          </w:p>
        </w:tc>
      </w:tr>
    </w:tbl>
    <w:p w14:paraId="11512002" w14:textId="77777777" w:rsidR="00C558DA" w:rsidRPr="00C558DA" w:rsidRDefault="00C558DA" w:rsidP="0099519B">
      <w:pPr>
        <w:pStyle w:val="Footer"/>
      </w:pPr>
    </w:p>
    <w:sectPr w:rsidR="00C558DA" w:rsidRPr="00C558DA" w:rsidSect="006E6722">
      <w:headerReference w:type="even" r:id="rId13"/>
      <w:headerReference w:type="default" r:id="rId14"/>
      <w:footerReference w:type="even" r:id="rId15"/>
      <w:footerReference w:type="defaul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0E13" w14:textId="77777777" w:rsidR="00A7135E" w:rsidRDefault="00A7135E">
      <w:r>
        <w:separator/>
      </w:r>
    </w:p>
  </w:endnote>
  <w:endnote w:type="continuationSeparator" w:id="0">
    <w:p w14:paraId="48E06AEF" w14:textId="77777777" w:rsidR="00A7135E" w:rsidRDefault="00A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3E2B" w14:textId="2093C7B9" w:rsidR="00EC04C2" w:rsidRDefault="00EC04C2">
    <w:pPr>
      <w:pStyle w:val="Footer"/>
    </w:pPr>
    <w:r>
      <w:rPr>
        <w:rStyle w:val="PageNumber"/>
      </w:rPr>
      <w:fldChar w:fldCharType="begin"/>
    </w:r>
    <w:r>
      <w:rPr>
        <w:rStyle w:val="PageNumber"/>
      </w:rPr>
      <w:instrText xml:space="preserve"> PAGE </w:instrText>
    </w:r>
    <w:r>
      <w:rPr>
        <w:rStyle w:val="PageNumber"/>
      </w:rPr>
      <w:fldChar w:fldCharType="separate"/>
    </w:r>
    <w:r w:rsidR="00C27F9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ADBE" w14:textId="250EE9DA" w:rsidR="00EC04C2" w:rsidRDefault="00EC04C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27F9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73C9" w14:textId="2177BE06" w:rsidR="00287343" w:rsidRDefault="00827BA0" w:rsidP="00287343">
    <w:pPr>
      <w:pStyle w:val="Footer"/>
      <w:tabs>
        <w:tab w:val="clear" w:pos="1814"/>
        <w:tab w:val="clear" w:pos="2381"/>
        <w:tab w:val="clear" w:pos="2948"/>
        <w:tab w:val="clear" w:pos="3515"/>
        <w:tab w:val="clear" w:pos="4320"/>
        <w:tab w:val="clear" w:pos="8640"/>
        <w:tab w:val="left" w:pos="624"/>
      </w:tabs>
    </w:pPr>
    <w:r>
      <w:t>K1801645</w:t>
    </w:r>
    <w:r>
      <w:tab/>
      <w:t>20</w:t>
    </w:r>
    <w:r w:rsidR="00287343">
      <w:t>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8A44" w14:textId="77777777" w:rsidR="00A7135E" w:rsidRPr="00716C81" w:rsidRDefault="00A7135E" w:rsidP="00716C81">
      <w:pPr>
        <w:tabs>
          <w:tab w:val="clear" w:pos="1247"/>
          <w:tab w:val="clear" w:pos="1814"/>
          <w:tab w:val="clear" w:pos="2381"/>
          <w:tab w:val="clear" w:pos="2948"/>
          <w:tab w:val="clear" w:pos="3515"/>
          <w:tab w:val="left" w:pos="624"/>
        </w:tabs>
        <w:spacing w:before="60"/>
        <w:ind w:left="624"/>
        <w:rPr>
          <w:sz w:val="18"/>
          <w:szCs w:val="18"/>
        </w:rPr>
      </w:pPr>
      <w:r w:rsidRPr="00716C81">
        <w:rPr>
          <w:sz w:val="18"/>
          <w:szCs w:val="18"/>
        </w:rPr>
        <w:separator/>
      </w:r>
    </w:p>
  </w:footnote>
  <w:footnote w:type="continuationSeparator" w:id="0">
    <w:p w14:paraId="64DEE367" w14:textId="77777777" w:rsidR="00A7135E" w:rsidRDefault="00A7135E">
      <w:r>
        <w:continuationSeparator/>
      </w:r>
    </w:p>
  </w:footnote>
  <w:footnote w:id="1">
    <w:p w14:paraId="1DBB4F28" w14:textId="77777777" w:rsidR="007C5344" w:rsidRPr="00CA76A6" w:rsidRDefault="007C5344" w:rsidP="007C5344">
      <w:pPr>
        <w:pStyle w:val="FootnoteText"/>
        <w:tabs>
          <w:tab w:val="left" w:pos="624"/>
        </w:tabs>
        <w:rPr>
          <w:szCs w:val="18"/>
        </w:rPr>
      </w:pPr>
      <w:r>
        <w:rPr>
          <w:szCs w:val="18"/>
        </w:rPr>
        <w:t>* UNEP/FAO/RC/CRC.14/1.</w:t>
      </w:r>
    </w:p>
  </w:footnote>
  <w:footnote w:id="2">
    <w:p w14:paraId="5B9F014C" w14:textId="1746E69C" w:rsidR="00E30EEB" w:rsidRPr="00505522" w:rsidRDefault="00E30EEB">
      <w:pPr>
        <w:pStyle w:val="FootnoteText"/>
        <w:rPr>
          <w:lang w:val="en-US"/>
        </w:rPr>
      </w:pPr>
      <w:r>
        <w:rPr>
          <w:rStyle w:val="FootnoteReference"/>
        </w:rPr>
        <w:footnoteRef/>
      </w:r>
      <w:r>
        <w:t xml:space="preserve"> </w:t>
      </w:r>
      <w:r>
        <w:rPr>
          <w:lang w:val="en-US"/>
        </w:rPr>
        <w:t xml:space="preserve">By decision CRC-13/2, the Committee at its thirteenth meeting </w:t>
      </w:r>
      <w:r w:rsidRPr="00505522">
        <w:t>concluded</w:t>
      </w:r>
      <w:r w:rsidRPr="00E512E1">
        <w:t xml:space="preserve"> that notifications of final regulatory action for </w:t>
      </w:r>
      <w:r w:rsidRPr="003F6236">
        <w:rPr>
          <w:lang w:eastAsia="en-GB"/>
        </w:rPr>
        <w:t xml:space="preserve">hexabromocyclododecane </w:t>
      </w:r>
      <w:r w:rsidRPr="00E512E1">
        <w:t xml:space="preserve">submitted by </w:t>
      </w:r>
      <w:r>
        <w:t>Japan and Norway</w:t>
      </w:r>
      <w:r w:rsidRPr="00E512E1">
        <w:t xml:space="preserve"> met the criteria set out in Annex II to the Convention</w:t>
      </w:r>
      <w:r>
        <w:t xml:space="preserve"> and recommended that</w:t>
      </w:r>
      <w:r w:rsidRPr="00E512E1">
        <w:t xml:space="preserve"> the Conference of the Parties list </w:t>
      </w:r>
      <w:r w:rsidRPr="00E56A03">
        <w:rPr>
          <w:lang w:eastAsia="en-GB"/>
        </w:rPr>
        <w:t xml:space="preserve">hexabromocyclododecane </w:t>
      </w:r>
      <w:r w:rsidRPr="00E512E1">
        <w:t xml:space="preserve">in </w:t>
      </w:r>
      <w:r>
        <w:t xml:space="preserve">Annex III to the Convention as an industrial chemical.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3D2" w14:textId="77777777" w:rsidR="00EC04C2" w:rsidRPr="00C71ADB" w:rsidRDefault="003E12B6" w:rsidP="00C71ADB">
    <w:pPr>
      <w:pStyle w:val="Header"/>
      <w:rPr>
        <w:szCs w:val="18"/>
      </w:rPr>
    </w:pPr>
    <w:r>
      <w:rPr>
        <w:szCs w:val="18"/>
      </w:rPr>
      <w:t>UNEP/FAO/RC/CRC.14</w:t>
    </w:r>
    <w:r w:rsidR="00EC04C2" w:rsidRPr="006A555F">
      <w:rPr>
        <w:szCs w:val="18"/>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F08" w14:textId="4E7CD999" w:rsidR="00EC04C2" w:rsidRPr="00C71ADB" w:rsidRDefault="00EC04C2" w:rsidP="00C71ADB">
    <w:pPr>
      <w:pStyle w:val="Header"/>
      <w:jc w:val="right"/>
      <w:rPr>
        <w:szCs w:val="18"/>
      </w:rPr>
    </w:pPr>
    <w:r w:rsidRPr="006A555F">
      <w:rPr>
        <w:szCs w:val="18"/>
      </w:rPr>
      <w:t>UNEP/FAO/RC/CRC.1</w:t>
    </w:r>
    <w:r w:rsidR="004E21AE">
      <w:rPr>
        <w:szCs w:val="18"/>
      </w:rPr>
      <w:t>4</w:t>
    </w:r>
    <w:r w:rsidRPr="006A555F">
      <w:rPr>
        <w:szCs w:val="18"/>
      </w:rP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361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2D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24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01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0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2" w15:restartNumberingAfterBreak="0">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3" w15:restartNumberingAfterBreak="0">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4" w15:restartNumberingAfterBreak="0">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1113A7"/>
    <w:multiLevelType w:val="multilevel"/>
    <w:tmpl w:val="48241D10"/>
    <w:numStyleLink w:val="Normallist"/>
  </w:abstractNum>
  <w:abstractNum w:abstractNumId="1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06683E"/>
    <w:multiLevelType w:val="hybridMultilevel"/>
    <w:tmpl w:val="A98E1D2C"/>
    <w:lvl w:ilvl="0" w:tplc="1F263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15:restartNumberingAfterBreak="0">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3" w15:restartNumberingAfterBreak="0">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4" w15:restartNumberingAfterBreak="0">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6" w15:restartNumberingAfterBreak="0">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9" w15:restartNumberingAfterBreak="0">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0" w15:restartNumberingAfterBreak="0">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1" w15:restartNumberingAfterBreak="0">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2" w15:restartNumberingAfterBreak="0">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3" w15:restartNumberingAfterBreak="0">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num w:numId="1">
    <w:abstractNumId w:val="10"/>
  </w:num>
  <w:num w:numId="2">
    <w:abstractNumId w:val="2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27"/>
  </w:num>
  <w:num w:numId="17">
    <w:abstractNumId w:val="27"/>
  </w:num>
  <w:num w:numId="18">
    <w:abstractNumId w:val="27"/>
  </w:num>
  <w:num w:numId="19">
    <w:abstractNumId w:val="32"/>
  </w:num>
  <w:num w:numId="20">
    <w:abstractNumId w:val="13"/>
  </w:num>
  <w:num w:numId="21">
    <w:abstractNumId w:val="33"/>
  </w:num>
  <w:num w:numId="22">
    <w:abstractNumId w:val="28"/>
  </w:num>
  <w:num w:numId="23">
    <w:abstractNumId w:val="25"/>
  </w:num>
  <w:num w:numId="24">
    <w:abstractNumId w:val="27"/>
  </w:num>
  <w:num w:numId="25">
    <w:abstractNumId w:val="27"/>
  </w:num>
  <w:num w:numId="26">
    <w:abstractNumId w:val="24"/>
  </w:num>
  <w:num w:numId="27">
    <w:abstractNumId w:val="14"/>
  </w:num>
  <w:num w:numId="28">
    <w:abstractNumId w:val="12"/>
  </w:num>
  <w:num w:numId="29">
    <w:abstractNumId w:val="23"/>
  </w:num>
  <w:num w:numId="30">
    <w:abstractNumId w:val="30"/>
  </w:num>
  <w:num w:numId="31">
    <w:abstractNumId w:val="22"/>
  </w:num>
  <w:num w:numId="32">
    <w:abstractNumId w:val="19"/>
  </w:num>
  <w:num w:numId="33">
    <w:abstractNumId w:val="29"/>
  </w:num>
  <w:num w:numId="34">
    <w:abstractNumId w:val="11"/>
  </w:num>
  <w:num w:numId="35">
    <w:abstractNumId w:val="31"/>
  </w:num>
  <w:num w:numId="36">
    <w:abstractNumId w:val="20"/>
  </w:num>
  <w:num w:numId="37">
    <w:abstractNumId w:val="15"/>
    <w:lvlOverride w:ilvl="1">
      <w:lvl w:ilvl="1">
        <w:start w:val="1"/>
        <w:numFmt w:val="lowerLetter"/>
        <w:lvlText w:val="(%2)"/>
        <w:lvlJc w:val="left"/>
        <w:pPr>
          <w:tabs>
            <w:tab w:val="num" w:pos="567"/>
          </w:tabs>
          <w:ind w:left="1247" w:firstLine="567"/>
        </w:pPr>
        <w:rPr>
          <w:rFonts w:hint="default"/>
        </w:rPr>
      </w:lvl>
    </w:lvlOverride>
  </w:num>
  <w:num w:numId="38">
    <w:abstractNumId w:val="15"/>
  </w:num>
  <w:num w:numId="39">
    <w:abstractNumId w:val="15"/>
  </w:num>
  <w:num w:numId="40">
    <w:abstractNumId w:val="15"/>
  </w:num>
  <w:num w:numId="41">
    <w:abstractNumId w:val="15"/>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5F"/>
    <w:rsid w:val="000149E6"/>
    <w:rsid w:val="000247B0"/>
    <w:rsid w:val="00026997"/>
    <w:rsid w:val="00033E0B"/>
    <w:rsid w:val="00035EDE"/>
    <w:rsid w:val="000509B4"/>
    <w:rsid w:val="00071886"/>
    <w:rsid w:val="000742BC"/>
    <w:rsid w:val="00082A0C"/>
    <w:rsid w:val="0009640C"/>
    <w:rsid w:val="000D33C0"/>
    <w:rsid w:val="00104096"/>
    <w:rsid w:val="001163DE"/>
    <w:rsid w:val="001202E3"/>
    <w:rsid w:val="0013059D"/>
    <w:rsid w:val="00141A55"/>
    <w:rsid w:val="00181EC8"/>
    <w:rsid w:val="00184349"/>
    <w:rsid w:val="001C72CE"/>
    <w:rsid w:val="001D3874"/>
    <w:rsid w:val="001D7E75"/>
    <w:rsid w:val="001E56D2"/>
    <w:rsid w:val="001E7D56"/>
    <w:rsid w:val="001F75DE"/>
    <w:rsid w:val="00200D58"/>
    <w:rsid w:val="002013BE"/>
    <w:rsid w:val="002063A4"/>
    <w:rsid w:val="0021145B"/>
    <w:rsid w:val="00223596"/>
    <w:rsid w:val="0023418A"/>
    <w:rsid w:val="002368C0"/>
    <w:rsid w:val="00247707"/>
    <w:rsid w:val="002652DB"/>
    <w:rsid w:val="00265545"/>
    <w:rsid w:val="00286740"/>
    <w:rsid w:val="00287343"/>
    <w:rsid w:val="002929D8"/>
    <w:rsid w:val="002A237D"/>
    <w:rsid w:val="002A4C53"/>
    <w:rsid w:val="002A6864"/>
    <w:rsid w:val="002C145D"/>
    <w:rsid w:val="002C2C3E"/>
    <w:rsid w:val="002C533E"/>
    <w:rsid w:val="002D027F"/>
    <w:rsid w:val="002D6327"/>
    <w:rsid w:val="002D7B60"/>
    <w:rsid w:val="002F4761"/>
    <w:rsid w:val="0031413F"/>
    <w:rsid w:val="00325EA5"/>
    <w:rsid w:val="00355EA9"/>
    <w:rsid w:val="0039351A"/>
    <w:rsid w:val="00396257"/>
    <w:rsid w:val="00397EB8"/>
    <w:rsid w:val="003A33FC"/>
    <w:rsid w:val="003A3B10"/>
    <w:rsid w:val="003A4F66"/>
    <w:rsid w:val="003A4FD0"/>
    <w:rsid w:val="003A69D1"/>
    <w:rsid w:val="003B1545"/>
    <w:rsid w:val="003C1F16"/>
    <w:rsid w:val="003C409D"/>
    <w:rsid w:val="003E12B6"/>
    <w:rsid w:val="003F0E85"/>
    <w:rsid w:val="003F3695"/>
    <w:rsid w:val="004005CC"/>
    <w:rsid w:val="00410C55"/>
    <w:rsid w:val="00417725"/>
    <w:rsid w:val="0042060F"/>
    <w:rsid w:val="00432151"/>
    <w:rsid w:val="00437F26"/>
    <w:rsid w:val="004467A0"/>
    <w:rsid w:val="00454769"/>
    <w:rsid w:val="00455D05"/>
    <w:rsid w:val="00461FF6"/>
    <w:rsid w:val="00466991"/>
    <w:rsid w:val="0047064C"/>
    <w:rsid w:val="004B2B94"/>
    <w:rsid w:val="004C5C96"/>
    <w:rsid w:val="004D06A4"/>
    <w:rsid w:val="004E0597"/>
    <w:rsid w:val="004E21AE"/>
    <w:rsid w:val="004F1A81"/>
    <w:rsid w:val="004F2D38"/>
    <w:rsid w:val="004F7784"/>
    <w:rsid w:val="00505522"/>
    <w:rsid w:val="005218D9"/>
    <w:rsid w:val="00536186"/>
    <w:rsid w:val="00570F15"/>
    <w:rsid w:val="0057315F"/>
    <w:rsid w:val="00573F97"/>
    <w:rsid w:val="00581BBF"/>
    <w:rsid w:val="005A0F86"/>
    <w:rsid w:val="005C67C8"/>
    <w:rsid w:val="005D0249"/>
    <w:rsid w:val="005F100C"/>
    <w:rsid w:val="006303B4"/>
    <w:rsid w:val="00641703"/>
    <w:rsid w:val="006431A6"/>
    <w:rsid w:val="006501AD"/>
    <w:rsid w:val="00651BFA"/>
    <w:rsid w:val="00692E2A"/>
    <w:rsid w:val="006A555F"/>
    <w:rsid w:val="006A76F2"/>
    <w:rsid w:val="006E6722"/>
    <w:rsid w:val="007027B9"/>
    <w:rsid w:val="00715E88"/>
    <w:rsid w:val="00716C81"/>
    <w:rsid w:val="00734CAA"/>
    <w:rsid w:val="00757581"/>
    <w:rsid w:val="00783F88"/>
    <w:rsid w:val="007A09ED"/>
    <w:rsid w:val="007A5C12"/>
    <w:rsid w:val="007A67EB"/>
    <w:rsid w:val="007B13B9"/>
    <w:rsid w:val="007B5473"/>
    <w:rsid w:val="007C5344"/>
    <w:rsid w:val="007D57E0"/>
    <w:rsid w:val="007E003F"/>
    <w:rsid w:val="007E2274"/>
    <w:rsid w:val="00802A4D"/>
    <w:rsid w:val="00827BA0"/>
    <w:rsid w:val="00830E26"/>
    <w:rsid w:val="00843576"/>
    <w:rsid w:val="00843B64"/>
    <w:rsid w:val="00867BFF"/>
    <w:rsid w:val="00880116"/>
    <w:rsid w:val="0088480A"/>
    <w:rsid w:val="00890159"/>
    <w:rsid w:val="008947D9"/>
    <w:rsid w:val="008957DD"/>
    <w:rsid w:val="00897D98"/>
    <w:rsid w:val="008A10F2"/>
    <w:rsid w:val="008A6DF2"/>
    <w:rsid w:val="008B5F03"/>
    <w:rsid w:val="008D7C99"/>
    <w:rsid w:val="008E0FCB"/>
    <w:rsid w:val="008E3F6A"/>
    <w:rsid w:val="00900227"/>
    <w:rsid w:val="0092178C"/>
    <w:rsid w:val="0094179A"/>
    <w:rsid w:val="0094459E"/>
    <w:rsid w:val="00944DBC"/>
    <w:rsid w:val="00950977"/>
    <w:rsid w:val="009564A6"/>
    <w:rsid w:val="00970D27"/>
    <w:rsid w:val="0099519B"/>
    <w:rsid w:val="009B4A0F"/>
    <w:rsid w:val="009D0B63"/>
    <w:rsid w:val="009D661D"/>
    <w:rsid w:val="009F5E9D"/>
    <w:rsid w:val="00A1348D"/>
    <w:rsid w:val="00A232EE"/>
    <w:rsid w:val="00A37EDE"/>
    <w:rsid w:val="00A44411"/>
    <w:rsid w:val="00A469FA"/>
    <w:rsid w:val="00A55B01"/>
    <w:rsid w:val="00A56B5B"/>
    <w:rsid w:val="00A575D9"/>
    <w:rsid w:val="00A657DD"/>
    <w:rsid w:val="00A666A6"/>
    <w:rsid w:val="00A7135E"/>
    <w:rsid w:val="00A80611"/>
    <w:rsid w:val="00AB5340"/>
    <w:rsid w:val="00AC7C96"/>
    <w:rsid w:val="00AE237D"/>
    <w:rsid w:val="00AF7C07"/>
    <w:rsid w:val="00B0228B"/>
    <w:rsid w:val="00B405B7"/>
    <w:rsid w:val="00B66901"/>
    <w:rsid w:val="00B71E6D"/>
    <w:rsid w:val="00B72070"/>
    <w:rsid w:val="00B779E1"/>
    <w:rsid w:val="00B92549"/>
    <w:rsid w:val="00BA1A67"/>
    <w:rsid w:val="00BB1F21"/>
    <w:rsid w:val="00BE1537"/>
    <w:rsid w:val="00BE5B45"/>
    <w:rsid w:val="00C2765C"/>
    <w:rsid w:val="00C27F94"/>
    <w:rsid w:val="00C30C63"/>
    <w:rsid w:val="00C42ED4"/>
    <w:rsid w:val="00C558DA"/>
    <w:rsid w:val="00C5734C"/>
    <w:rsid w:val="00C71ADB"/>
    <w:rsid w:val="00C84759"/>
    <w:rsid w:val="00CA6C7F"/>
    <w:rsid w:val="00CC10A6"/>
    <w:rsid w:val="00CD7044"/>
    <w:rsid w:val="00CE524C"/>
    <w:rsid w:val="00CF141F"/>
    <w:rsid w:val="00CF4777"/>
    <w:rsid w:val="00D169AF"/>
    <w:rsid w:val="00D25249"/>
    <w:rsid w:val="00D26272"/>
    <w:rsid w:val="00D44172"/>
    <w:rsid w:val="00D63B8C"/>
    <w:rsid w:val="00D739CC"/>
    <w:rsid w:val="00D8093D"/>
    <w:rsid w:val="00D8108C"/>
    <w:rsid w:val="00D842AE"/>
    <w:rsid w:val="00D9211C"/>
    <w:rsid w:val="00DA1BCA"/>
    <w:rsid w:val="00DC46FF"/>
    <w:rsid w:val="00DD1A4F"/>
    <w:rsid w:val="00DD7C2C"/>
    <w:rsid w:val="00E06797"/>
    <w:rsid w:val="00E21C83"/>
    <w:rsid w:val="00E27D67"/>
    <w:rsid w:val="00E30EEB"/>
    <w:rsid w:val="00E46D9A"/>
    <w:rsid w:val="00E565FF"/>
    <w:rsid w:val="00E62F6A"/>
    <w:rsid w:val="00E65388"/>
    <w:rsid w:val="00E8343F"/>
    <w:rsid w:val="00E85B7D"/>
    <w:rsid w:val="00E9121B"/>
    <w:rsid w:val="00EA39E5"/>
    <w:rsid w:val="00EB0FC5"/>
    <w:rsid w:val="00EC04C2"/>
    <w:rsid w:val="00EC3D80"/>
    <w:rsid w:val="00EC53E6"/>
    <w:rsid w:val="00EC5A46"/>
    <w:rsid w:val="00EC63E2"/>
    <w:rsid w:val="00EF22B3"/>
    <w:rsid w:val="00F113DA"/>
    <w:rsid w:val="00F12E7D"/>
    <w:rsid w:val="00F13066"/>
    <w:rsid w:val="00F26604"/>
    <w:rsid w:val="00F37DC8"/>
    <w:rsid w:val="00F650C3"/>
    <w:rsid w:val="00F8091E"/>
    <w:rsid w:val="00F8615C"/>
    <w:rsid w:val="00FA4386"/>
    <w:rsid w:val="00FB4A8F"/>
    <w:rsid w:val="00FC75B1"/>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28943B"/>
  <w15:docId w15:val="{D0491C7F-37FC-4F77-86A3-2134C4ED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pool"/>
    <w:next w:val="NormalNonumber"/>
    <w:qFormat/>
    <w:rsid w:val="002A6864"/>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aliases w:val="Chpt"/>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4"/>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2C3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2C3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2C3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tabs>
        <w:tab w:val="clear" w:pos="1814"/>
        <w:tab w:val="clear" w:pos="2381"/>
        <w:tab w:val="clear" w:pos="2948"/>
        <w:tab w:val="clear" w:pos="3515"/>
      </w:tabs>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aliases w:val="16 Point,Superscript 6 Point,ftref,(Ref. de nota al pie),number,SUPERS,Footnote Reference Superscript"/>
    <w:basedOn w:val="DefaultParagraphFont"/>
    <w:uiPriority w:val="99"/>
    <w:rsid w:val="009B4A0F"/>
    <w:rPr>
      <w:rFonts w:ascii="Times New Roman" w:hAnsi="Times New Roman"/>
      <w:color w:val="auto"/>
      <w:sz w:val="20"/>
      <w:szCs w:val="18"/>
      <w:vertAlign w:val="superscript"/>
    </w:rPr>
  </w:style>
  <w:style w:type="paragraph" w:styleId="FootnoteText">
    <w:name w:val="footnote text"/>
    <w:basedOn w:val="Normal"/>
    <w:semiHidden/>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aliases w:val="Footer-pool"/>
    <w:basedOn w:val="Normal"/>
    <w:rsid w:val="002A6864"/>
    <w:pPr>
      <w:tabs>
        <w:tab w:val="clear" w:pos="1247"/>
        <w:tab w:val="center" w:pos="4320"/>
        <w:tab w:val="right" w:pos="8640"/>
      </w:tabs>
      <w:spacing w:before="60" w:after="120"/>
    </w:pPr>
  </w:style>
  <w:style w:type="paragraph" w:styleId="Header">
    <w:name w:val="header"/>
    <w:aliases w:val="Header-pool"/>
    <w:basedOn w:val="Normal"/>
    <w:rsid w:val="00AB53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16"/>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071886"/>
    <w:pPr>
      <w:numPr>
        <w:numId w:val="37"/>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2C2C3E"/>
    <w:pPr>
      <w:tabs>
        <w:tab w:val="clear" w:pos="1814"/>
        <w:tab w:val="clear" w:pos="2948"/>
        <w:tab w:val="clear" w:pos="3515"/>
        <w:tab w:val="right" w:leader="dot" w:pos="9486"/>
      </w:tabs>
      <w:ind w:left="2381" w:hanging="567"/>
    </w:pPr>
  </w:style>
  <w:style w:type="paragraph" w:styleId="TOC3">
    <w:name w:val="toc 3"/>
    <w:basedOn w:val="Normal"/>
    <w:next w:val="Normal"/>
    <w:rsid w:val="002929D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2929D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47707"/>
    <w:pPr>
      <w:tabs>
        <w:tab w:val="clear" w:pos="1814"/>
        <w:tab w:val="clear" w:pos="2381"/>
        <w:tab w:val="clear" w:pos="2948"/>
        <w:tab w:val="clear" w:pos="3515"/>
      </w:tabs>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numbering" w:customStyle="1" w:styleId="Normallist1">
    <w:name w:val="Normal_list1"/>
    <w:rsid w:val="006A555F"/>
  </w:style>
  <w:style w:type="paragraph" w:styleId="BalloonText">
    <w:name w:val="Balloon Text"/>
    <w:basedOn w:val="Normal"/>
    <w:link w:val="BalloonTextChar"/>
    <w:rsid w:val="007B13B9"/>
    <w:rPr>
      <w:rFonts w:ascii="Tahoma" w:hAnsi="Tahoma" w:cs="Tahoma"/>
      <w:sz w:val="16"/>
      <w:szCs w:val="16"/>
    </w:rPr>
  </w:style>
  <w:style w:type="character" w:customStyle="1" w:styleId="BalloonTextChar">
    <w:name w:val="Balloon Text Char"/>
    <w:basedOn w:val="DefaultParagraphFont"/>
    <w:link w:val="BalloonText"/>
    <w:rsid w:val="007B13B9"/>
    <w:rPr>
      <w:rFonts w:ascii="Tahoma" w:hAnsi="Tahoma" w:cs="Tahoma"/>
      <w:sz w:val="16"/>
      <w:szCs w:val="16"/>
      <w:lang w:val="en-GB"/>
    </w:rPr>
  </w:style>
  <w:style w:type="paragraph" w:styleId="ListParagraph">
    <w:name w:val="List Paragraph"/>
    <w:basedOn w:val="Normal"/>
    <w:uiPriority w:val="34"/>
    <w:qFormat/>
    <w:rsid w:val="003E12B6"/>
    <w:pPr>
      <w:ind w:left="720"/>
      <w:contextualSpacing/>
    </w:pPr>
  </w:style>
  <w:style w:type="character" w:styleId="CommentReference">
    <w:name w:val="annotation reference"/>
    <w:basedOn w:val="DefaultParagraphFont"/>
    <w:unhideWhenUsed/>
    <w:rsid w:val="004B2B94"/>
    <w:rPr>
      <w:sz w:val="16"/>
      <w:szCs w:val="16"/>
    </w:rPr>
  </w:style>
  <w:style w:type="paragraph" w:styleId="CommentText">
    <w:name w:val="annotation text"/>
    <w:basedOn w:val="Normal"/>
    <w:link w:val="CommentTextChar"/>
    <w:unhideWhenUsed/>
    <w:rsid w:val="004B2B94"/>
  </w:style>
  <w:style w:type="character" w:customStyle="1" w:styleId="CommentTextChar">
    <w:name w:val="Comment Text Char"/>
    <w:basedOn w:val="DefaultParagraphFont"/>
    <w:link w:val="CommentText"/>
    <w:rsid w:val="004B2B94"/>
    <w:rPr>
      <w:lang w:val="en-GB"/>
    </w:rPr>
  </w:style>
  <w:style w:type="paragraph" w:styleId="CommentSubject">
    <w:name w:val="annotation subject"/>
    <w:basedOn w:val="CommentText"/>
    <w:next w:val="CommentText"/>
    <w:link w:val="CommentSubjectChar"/>
    <w:semiHidden/>
    <w:unhideWhenUsed/>
    <w:rsid w:val="004B2B94"/>
    <w:rPr>
      <w:b/>
      <w:bCs/>
    </w:rPr>
  </w:style>
  <w:style w:type="character" w:customStyle="1" w:styleId="CommentSubjectChar">
    <w:name w:val="Comment Subject Char"/>
    <w:basedOn w:val="CommentTextChar"/>
    <w:link w:val="CommentSubject"/>
    <w:semiHidden/>
    <w:rsid w:val="004B2B9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i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7A7D-0A41-44E5-ACDE-5706DD72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Ariel Dayao</cp:lastModifiedBy>
  <cp:revision>5</cp:revision>
  <cp:lastPrinted>2017-08-14T07:56:00Z</cp:lastPrinted>
  <dcterms:created xsi:type="dcterms:W3CDTF">2018-07-19T14:21:00Z</dcterms:created>
  <dcterms:modified xsi:type="dcterms:W3CDTF">2018-07-23T12:11:00Z</dcterms:modified>
</cp:coreProperties>
</file>