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D54D6" w14:textId="77777777" w:rsidR="002B0DBA" w:rsidRPr="00900014" w:rsidRDefault="002B0DBA" w:rsidP="002B0DBA">
      <w:pPr>
        <w:spacing w:line="240" w:lineRule="atLeast"/>
        <w:ind w:left="-143" w:right="-69"/>
        <w:jc w:val="center"/>
        <w:rPr>
          <w:b/>
          <w:sz w:val="36"/>
          <w:szCs w:val="36"/>
          <w:lang w:val="es-ES"/>
        </w:rPr>
      </w:pPr>
      <w:r w:rsidRPr="00900014">
        <w:rPr>
          <w:b/>
          <w:sz w:val="36"/>
          <w:szCs w:val="36"/>
          <w:lang w:val="es-ES"/>
        </w:rPr>
        <w:t>Convenio de Rotterdam</w:t>
      </w:r>
    </w:p>
    <w:p w14:paraId="3C7C5847" w14:textId="77777777" w:rsidR="002B0DBA" w:rsidRPr="00900014" w:rsidRDefault="002B0DBA" w:rsidP="002B0DBA">
      <w:pPr>
        <w:spacing w:line="240" w:lineRule="atLeast"/>
        <w:ind w:left="-143" w:right="-69"/>
        <w:jc w:val="center"/>
        <w:rPr>
          <w:b/>
          <w:sz w:val="36"/>
          <w:szCs w:val="36"/>
          <w:lang w:val="es-ES"/>
        </w:rPr>
      </w:pPr>
    </w:p>
    <w:p w14:paraId="09538106" w14:textId="77777777" w:rsidR="002B0DBA" w:rsidRPr="00900014" w:rsidRDefault="002B0DBA" w:rsidP="002B0DBA">
      <w:pPr>
        <w:spacing w:line="240" w:lineRule="atLeast"/>
        <w:ind w:left="-143" w:right="-69"/>
        <w:jc w:val="center"/>
        <w:rPr>
          <w:b/>
          <w:sz w:val="36"/>
          <w:szCs w:val="36"/>
          <w:lang w:val="es-ES"/>
        </w:rPr>
      </w:pPr>
      <w:r w:rsidRPr="00900014">
        <w:rPr>
          <w:b/>
          <w:sz w:val="36"/>
          <w:szCs w:val="36"/>
          <w:lang w:val="es-ES"/>
        </w:rPr>
        <w:t>Aplicación del procedimiento de consentimiento fundamentado previo a productos químicos prohibidos o rigurosamente restringidos</w:t>
      </w:r>
    </w:p>
    <w:p w14:paraId="638985DD" w14:textId="77777777" w:rsidR="002B0DBA" w:rsidRPr="00900014" w:rsidRDefault="002B0DBA" w:rsidP="002B0DBA">
      <w:pPr>
        <w:spacing w:line="240" w:lineRule="atLeast"/>
        <w:rPr>
          <w:b/>
          <w:sz w:val="36"/>
          <w:szCs w:val="36"/>
          <w:lang w:val="es-ES"/>
        </w:rPr>
      </w:pPr>
    </w:p>
    <w:p w14:paraId="2DE16274" w14:textId="77777777" w:rsidR="002B0DBA" w:rsidRPr="00900014" w:rsidRDefault="002B0DBA" w:rsidP="002B0DBA">
      <w:pPr>
        <w:tabs>
          <w:tab w:val="left" w:pos="7530"/>
        </w:tabs>
        <w:spacing w:line="240" w:lineRule="atLeast"/>
        <w:rPr>
          <w:b/>
          <w:sz w:val="36"/>
          <w:szCs w:val="36"/>
          <w:lang w:val="es-ES"/>
        </w:rPr>
      </w:pPr>
    </w:p>
    <w:p w14:paraId="3A8AB696" w14:textId="77777777" w:rsidR="002B0DBA" w:rsidRPr="00900014" w:rsidRDefault="002B0DBA" w:rsidP="002B0DBA">
      <w:pPr>
        <w:spacing w:line="240" w:lineRule="atLeast"/>
        <w:jc w:val="center"/>
        <w:rPr>
          <w:b/>
          <w:sz w:val="48"/>
          <w:szCs w:val="38"/>
          <w:lang w:val="es-ES"/>
        </w:rPr>
      </w:pPr>
    </w:p>
    <w:p w14:paraId="768B660A" w14:textId="77777777" w:rsidR="002B0DBA" w:rsidRPr="00900014" w:rsidRDefault="002B0DBA" w:rsidP="002B0DBA">
      <w:pPr>
        <w:spacing w:line="240" w:lineRule="atLeast"/>
        <w:jc w:val="center"/>
        <w:rPr>
          <w:b/>
          <w:sz w:val="48"/>
          <w:szCs w:val="38"/>
          <w:lang w:val="es-ES"/>
        </w:rPr>
      </w:pPr>
    </w:p>
    <w:p w14:paraId="5CD68DC2" w14:textId="46318A39" w:rsidR="002B0DBA" w:rsidRPr="00900014" w:rsidRDefault="00145467" w:rsidP="002B0DBA">
      <w:pPr>
        <w:spacing w:line="240" w:lineRule="atLeast"/>
        <w:jc w:val="center"/>
        <w:rPr>
          <w:b/>
          <w:sz w:val="48"/>
          <w:szCs w:val="48"/>
          <w:lang w:val="es-ES"/>
        </w:rPr>
      </w:pPr>
      <w:r>
        <w:rPr>
          <w:b/>
          <w:sz w:val="48"/>
          <w:szCs w:val="48"/>
          <w:lang w:val="es-ES"/>
        </w:rPr>
        <w:t>D</w:t>
      </w:r>
      <w:r w:rsidR="002B0DBA" w:rsidRPr="00900014">
        <w:rPr>
          <w:b/>
          <w:sz w:val="48"/>
          <w:szCs w:val="48"/>
          <w:lang w:val="es-ES"/>
        </w:rPr>
        <w:t>ocumento de orientación para la adopción de decisiones</w:t>
      </w:r>
    </w:p>
    <w:p w14:paraId="2E093CB2" w14:textId="77777777" w:rsidR="002B0DBA" w:rsidRPr="00900014" w:rsidRDefault="002B0DBA" w:rsidP="002B0DBA">
      <w:pPr>
        <w:spacing w:line="240" w:lineRule="atLeast"/>
        <w:jc w:val="center"/>
        <w:rPr>
          <w:b/>
          <w:sz w:val="48"/>
          <w:szCs w:val="48"/>
          <w:lang w:val="es-ES"/>
        </w:rPr>
      </w:pPr>
    </w:p>
    <w:p w14:paraId="336A3DC0" w14:textId="77777777" w:rsidR="002B0DBA" w:rsidRPr="00900014" w:rsidRDefault="002B0DBA" w:rsidP="002B0DBA">
      <w:pPr>
        <w:ind w:left="-426"/>
        <w:jc w:val="center"/>
        <w:rPr>
          <w:b/>
          <w:sz w:val="48"/>
          <w:szCs w:val="48"/>
          <w:lang w:val="es-ES"/>
        </w:rPr>
      </w:pPr>
      <w:r w:rsidRPr="00900014">
        <w:rPr>
          <w:b/>
          <w:sz w:val="48"/>
          <w:szCs w:val="48"/>
          <w:lang w:val="es-ES"/>
        </w:rPr>
        <w:t>Forato</w:t>
      </w:r>
    </w:p>
    <w:p w14:paraId="0DCFB45D" w14:textId="77777777" w:rsidR="002B0DBA" w:rsidRPr="00900014" w:rsidRDefault="002B0DBA" w:rsidP="002B0DBA">
      <w:pPr>
        <w:ind w:left="-426"/>
        <w:rPr>
          <w:b/>
          <w:sz w:val="48"/>
          <w:szCs w:val="48"/>
          <w:lang w:val="es-ES"/>
        </w:rPr>
      </w:pPr>
    </w:p>
    <w:p w14:paraId="7446FD71" w14:textId="77777777" w:rsidR="002B0DBA" w:rsidRPr="00900014" w:rsidRDefault="002B0DBA" w:rsidP="002B0DBA">
      <w:pPr>
        <w:ind w:left="-426"/>
        <w:rPr>
          <w:lang w:val="es-ES"/>
        </w:rPr>
      </w:pPr>
    </w:p>
    <w:p w14:paraId="6275D7F4" w14:textId="77777777" w:rsidR="002B0DBA" w:rsidRPr="00900014" w:rsidRDefault="002B0DBA" w:rsidP="002B0DBA">
      <w:pPr>
        <w:ind w:left="-426"/>
        <w:rPr>
          <w:lang w:val="es-ES"/>
        </w:rPr>
      </w:pPr>
    </w:p>
    <w:p w14:paraId="5DEA87E0" w14:textId="77777777" w:rsidR="002B0DBA" w:rsidRPr="00900014" w:rsidRDefault="002B0DBA" w:rsidP="002B0DBA">
      <w:pPr>
        <w:ind w:left="-426"/>
        <w:rPr>
          <w:lang w:val="es-ES"/>
        </w:rPr>
      </w:pPr>
    </w:p>
    <w:p w14:paraId="096B8D38" w14:textId="77777777" w:rsidR="002B0DBA" w:rsidRPr="00900014" w:rsidRDefault="002B0DBA" w:rsidP="002B0DBA">
      <w:pPr>
        <w:ind w:left="-426"/>
        <w:rPr>
          <w:lang w:val="es-ES"/>
        </w:rPr>
      </w:pPr>
    </w:p>
    <w:p w14:paraId="7E1565F2" w14:textId="77777777" w:rsidR="002B0DBA" w:rsidRPr="00900014" w:rsidRDefault="002B0DBA" w:rsidP="002B0DBA">
      <w:pPr>
        <w:ind w:left="-426"/>
        <w:rPr>
          <w:lang w:val="es-ES"/>
        </w:rPr>
      </w:pPr>
    </w:p>
    <w:p w14:paraId="15F4F57E" w14:textId="77777777" w:rsidR="002B0DBA" w:rsidRPr="00900014" w:rsidRDefault="002B0DBA" w:rsidP="002B0DBA">
      <w:pPr>
        <w:ind w:left="-426"/>
        <w:rPr>
          <w:lang w:val="es-ES"/>
        </w:rPr>
      </w:pPr>
    </w:p>
    <w:p w14:paraId="717AB0EC" w14:textId="77777777" w:rsidR="002B0DBA" w:rsidRPr="00900014" w:rsidRDefault="002B0DBA" w:rsidP="002B0DBA">
      <w:pPr>
        <w:ind w:left="-426"/>
        <w:rPr>
          <w:lang w:val="es-ES"/>
        </w:rPr>
      </w:pPr>
    </w:p>
    <w:p w14:paraId="0AE238E3" w14:textId="77777777" w:rsidR="002B0DBA" w:rsidRPr="00900014" w:rsidRDefault="002B0DBA" w:rsidP="002B0DBA">
      <w:pPr>
        <w:ind w:left="-426"/>
        <w:rPr>
          <w:lang w:val="es-ES"/>
        </w:rPr>
      </w:pPr>
    </w:p>
    <w:p w14:paraId="23AD065A" w14:textId="77777777" w:rsidR="002B0DBA" w:rsidRPr="00900014" w:rsidRDefault="002B0DBA" w:rsidP="002B0DBA">
      <w:pPr>
        <w:ind w:left="-426"/>
        <w:rPr>
          <w:lang w:val="es-ES"/>
        </w:rPr>
      </w:pPr>
    </w:p>
    <w:p w14:paraId="3FD972C7" w14:textId="77777777" w:rsidR="002B0DBA" w:rsidRPr="00900014" w:rsidRDefault="002B0DBA" w:rsidP="002B0DBA">
      <w:pPr>
        <w:ind w:left="-426"/>
        <w:rPr>
          <w:lang w:val="es-ES"/>
        </w:rPr>
      </w:pPr>
    </w:p>
    <w:p w14:paraId="14150C18" w14:textId="77777777" w:rsidR="002B0DBA" w:rsidRPr="00900014" w:rsidRDefault="002B0DBA" w:rsidP="002B0DBA">
      <w:pPr>
        <w:ind w:left="-426"/>
        <w:rPr>
          <w:lang w:val="es-ES"/>
        </w:rPr>
      </w:pPr>
    </w:p>
    <w:p w14:paraId="067DB95B" w14:textId="77777777" w:rsidR="002B0DBA" w:rsidRPr="00900014" w:rsidRDefault="002B0DBA" w:rsidP="002B0DBA">
      <w:pPr>
        <w:ind w:left="-426"/>
        <w:rPr>
          <w:lang w:val="es-ES"/>
        </w:rPr>
      </w:pPr>
    </w:p>
    <w:p w14:paraId="203C9A39" w14:textId="77777777" w:rsidR="002B0DBA" w:rsidRPr="00900014" w:rsidRDefault="002B0DBA" w:rsidP="002B0DBA">
      <w:pPr>
        <w:ind w:left="-426"/>
        <w:rPr>
          <w:lang w:val="es-ES"/>
        </w:rPr>
      </w:pPr>
    </w:p>
    <w:p w14:paraId="4FF53F18" w14:textId="77777777" w:rsidR="002B0DBA" w:rsidRPr="00900014" w:rsidRDefault="002B0DBA" w:rsidP="002B0DBA">
      <w:pPr>
        <w:ind w:left="-426"/>
        <w:rPr>
          <w:lang w:val="es-ES"/>
        </w:rPr>
      </w:pPr>
    </w:p>
    <w:p w14:paraId="0E825303" w14:textId="77777777" w:rsidR="002B0DBA" w:rsidRPr="00900014" w:rsidRDefault="002B0DBA" w:rsidP="002B0DBA">
      <w:pPr>
        <w:ind w:left="-426"/>
        <w:rPr>
          <w:lang w:val="es-ES"/>
        </w:rPr>
      </w:pPr>
    </w:p>
    <w:p w14:paraId="38B76505" w14:textId="77777777" w:rsidR="002B0DBA" w:rsidRPr="00900014" w:rsidRDefault="002B0DBA" w:rsidP="002B0DBA">
      <w:pPr>
        <w:ind w:left="-426"/>
        <w:rPr>
          <w:lang w:val="es-ES"/>
        </w:rPr>
      </w:pPr>
    </w:p>
    <w:tbl>
      <w:tblPr>
        <w:tblW w:w="0" w:type="auto"/>
        <w:tblInd w:w="-34" w:type="dxa"/>
        <w:tblLayout w:type="fixed"/>
        <w:tblLook w:val="04A0" w:firstRow="1" w:lastRow="0" w:firstColumn="1" w:lastColumn="0" w:noHBand="0" w:noVBand="1"/>
      </w:tblPr>
      <w:tblGrid>
        <w:gridCol w:w="1702"/>
        <w:gridCol w:w="7908"/>
      </w:tblGrid>
      <w:tr w:rsidR="002B0DBA" w:rsidRPr="00AB7E72" w14:paraId="692C170C" w14:textId="77777777" w:rsidTr="002B0DBA">
        <w:trPr>
          <w:trHeight w:val="964"/>
        </w:trPr>
        <w:tc>
          <w:tcPr>
            <w:tcW w:w="1702" w:type="dxa"/>
          </w:tcPr>
          <w:p w14:paraId="6EAB3CDE" w14:textId="77777777" w:rsidR="002B0DBA" w:rsidRPr="00900014" w:rsidRDefault="002B0DBA" w:rsidP="002B0DBA">
            <w:pPr>
              <w:tabs>
                <w:tab w:val="left" w:pos="-720"/>
                <w:tab w:val="left" w:pos="0"/>
                <w:tab w:val="left" w:pos="720"/>
              </w:tabs>
              <w:suppressAutoHyphens/>
              <w:rPr>
                <w:sz w:val="10"/>
                <w:szCs w:val="10"/>
                <w:lang w:val="es-ES"/>
              </w:rPr>
            </w:pPr>
            <w:r w:rsidRPr="00900014">
              <w:rPr>
                <w:noProof/>
                <w:sz w:val="10"/>
                <w:szCs w:val="10"/>
                <w:lang w:val="es-ES" w:eastAsia="es-ES"/>
              </w:rPr>
              <w:drawing>
                <wp:inline distT="0" distB="0" distL="0" distR="0" wp14:anchorId="46C3A72C" wp14:editId="5AF1242A">
                  <wp:extent cx="8572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33425"/>
                          </a:xfrm>
                          <a:prstGeom prst="rect">
                            <a:avLst/>
                          </a:prstGeom>
                          <a:noFill/>
                          <a:ln>
                            <a:noFill/>
                          </a:ln>
                        </pic:spPr>
                      </pic:pic>
                    </a:graphicData>
                  </a:graphic>
                </wp:inline>
              </w:drawing>
            </w:r>
          </w:p>
        </w:tc>
        <w:tc>
          <w:tcPr>
            <w:tcW w:w="7908" w:type="dxa"/>
          </w:tcPr>
          <w:p w14:paraId="3A4AF880" w14:textId="77777777" w:rsidR="002B0DBA" w:rsidRPr="00900014" w:rsidRDefault="002B0DBA" w:rsidP="002B0DBA">
            <w:pPr>
              <w:tabs>
                <w:tab w:val="left" w:pos="-720"/>
                <w:tab w:val="left" w:pos="0"/>
                <w:tab w:val="left" w:pos="720"/>
              </w:tabs>
              <w:suppressAutoHyphens/>
              <w:rPr>
                <w:b/>
                <w:lang w:val="es-ES"/>
              </w:rPr>
            </w:pPr>
            <w:r w:rsidRPr="00236F29">
              <w:rPr>
                <w:b/>
                <w:bCs/>
                <w:lang w:val="es-ES_tradnl"/>
              </w:rPr>
              <w:t>Secretaría del Convenio de Rotterdam</w:t>
            </w:r>
            <w:r w:rsidRPr="00236F29">
              <w:rPr>
                <w:lang w:val="es-ES_tradnl"/>
              </w:rPr>
              <w:t xml:space="preserve"> </w:t>
            </w:r>
            <w:r w:rsidRPr="00236F29">
              <w:rPr>
                <w:b/>
                <w:bCs/>
                <w:lang w:val="es-ES_tradnl"/>
              </w:rPr>
              <w:t xml:space="preserve">sobre el </w:t>
            </w:r>
            <w:r>
              <w:rPr>
                <w:b/>
                <w:bCs/>
                <w:lang w:val="es-ES_tradnl"/>
              </w:rPr>
              <w:br/>
            </w:r>
            <w:r w:rsidRPr="00236F29">
              <w:rPr>
                <w:b/>
                <w:bCs/>
                <w:lang w:val="es-ES_tradnl"/>
              </w:rPr>
              <w:t xml:space="preserve">Procedimiento de Consentimiento Fundamentado </w:t>
            </w:r>
            <w:r>
              <w:rPr>
                <w:b/>
                <w:bCs/>
                <w:lang w:val="es-ES_tradnl"/>
              </w:rPr>
              <w:br/>
            </w:r>
            <w:r w:rsidRPr="00236F29">
              <w:rPr>
                <w:b/>
                <w:bCs/>
                <w:lang w:val="es-ES_tradnl"/>
              </w:rPr>
              <w:t>Previo</w:t>
            </w:r>
            <w:r w:rsidRPr="00236F29">
              <w:rPr>
                <w:lang w:val="es-ES_tradnl"/>
              </w:rPr>
              <w:t xml:space="preserve"> </w:t>
            </w:r>
            <w:r w:rsidRPr="00236F29">
              <w:rPr>
                <w:b/>
                <w:bCs/>
                <w:lang w:val="es-ES_tradnl"/>
              </w:rPr>
              <w:t xml:space="preserve">Aplicable a Ciertos Plaguicidas y Productos </w:t>
            </w:r>
            <w:r>
              <w:rPr>
                <w:b/>
                <w:bCs/>
                <w:lang w:val="es-ES_tradnl"/>
              </w:rPr>
              <w:br/>
            </w:r>
            <w:r w:rsidRPr="00236F29">
              <w:rPr>
                <w:b/>
                <w:bCs/>
                <w:lang w:val="es-ES_tradnl"/>
              </w:rPr>
              <w:t>Químicos Peligrosos</w:t>
            </w:r>
            <w:r w:rsidRPr="00236F29">
              <w:rPr>
                <w:lang w:val="es-ES_tradnl"/>
              </w:rPr>
              <w:t xml:space="preserve"> </w:t>
            </w:r>
            <w:r w:rsidRPr="00236F29">
              <w:rPr>
                <w:b/>
                <w:bCs/>
                <w:lang w:val="es-ES_tradnl"/>
              </w:rPr>
              <w:t>Objeto de Comercio Internacional</w:t>
            </w:r>
          </w:p>
        </w:tc>
      </w:tr>
    </w:tbl>
    <w:p w14:paraId="5B7D0B50" w14:textId="77777777" w:rsidR="002B0DBA" w:rsidRPr="00900014" w:rsidRDefault="002B0DBA" w:rsidP="002B0DBA">
      <w:pPr>
        <w:tabs>
          <w:tab w:val="left" w:pos="7418"/>
        </w:tabs>
        <w:rPr>
          <w:sz w:val="36"/>
          <w:szCs w:val="28"/>
          <w:lang w:val="es-ES"/>
        </w:rPr>
      </w:pPr>
      <w:r w:rsidRPr="00900014">
        <w:rPr>
          <w:sz w:val="36"/>
          <w:szCs w:val="28"/>
          <w:lang w:val="es-ES"/>
        </w:rPr>
        <w:tab/>
      </w:r>
    </w:p>
    <w:tbl>
      <w:tblPr>
        <w:tblW w:w="9576" w:type="dxa"/>
        <w:tblLayout w:type="fixed"/>
        <w:tblLook w:val="04A0" w:firstRow="1" w:lastRow="0" w:firstColumn="1" w:lastColumn="0" w:noHBand="0" w:noVBand="1"/>
      </w:tblPr>
      <w:tblGrid>
        <w:gridCol w:w="5670"/>
        <w:gridCol w:w="3906"/>
      </w:tblGrid>
      <w:tr w:rsidR="002B0DBA" w:rsidRPr="00900014" w14:paraId="66D564F8" w14:textId="77777777" w:rsidTr="001946EF">
        <w:tc>
          <w:tcPr>
            <w:tcW w:w="5670" w:type="dxa"/>
          </w:tcPr>
          <w:p w14:paraId="6727E1BD" w14:textId="77777777" w:rsidR="002B0DBA" w:rsidRPr="00900014" w:rsidRDefault="002B0DBA" w:rsidP="002B0DBA">
            <w:pPr>
              <w:rPr>
                <w:sz w:val="22"/>
                <w:lang w:val="es-ES"/>
              </w:rPr>
            </w:pPr>
            <w:r w:rsidRPr="00B14470">
              <w:rPr>
                <w:lang w:val="es-ES"/>
              </w:rPr>
              <w:object w:dxaOrig="3720" w:dyaOrig="810" w14:anchorId="14985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pt;height:45.35pt" o:ole="">
                  <v:imagedata r:id="rId9" o:title=""/>
                </v:shape>
                <o:OLEObject Type="Embed" ProgID="PBrush" ShapeID="_x0000_i1025" DrawAspect="Content" ObjectID="_1622629628" r:id="rId10"/>
              </w:object>
            </w:r>
          </w:p>
        </w:tc>
        <w:tc>
          <w:tcPr>
            <w:tcW w:w="3906" w:type="dxa"/>
          </w:tcPr>
          <w:p w14:paraId="000BFC29" w14:textId="77777777" w:rsidR="002B0DBA" w:rsidRPr="00CB3B88" w:rsidRDefault="002B0DBA" w:rsidP="002B0DBA">
            <w:pPr>
              <w:jc w:val="right"/>
              <w:rPr>
                <w:b/>
                <w:sz w:val="22"/>
                <w:lang w:val="es-ES"/>
              </w:rPr>
            </w:pPr>
            <w:r w:rsidRPr="00CB3B88">
              <w:rPr>
                <w:b/>
                <w:lang w:val="es-ES"/>
              </w:rPr>
              <w:object w:dxaOrig="960" w:dyaOrig="960" w14:anchorId="337F1739">
                <v:shape id="_x0000_i1026" type="#_x0000_t75" style="width:49.1pt;height:49.1pt" o:ole="">
                  <v:imagedata r:id="rId11" o:title="" croptop="5897f" cropbottom="39980f" cropleft="24092f" cropright="26812f"/>
                </v:shape>
                <o:OLEObject Type="Embed" ProgID="PBrush" ShapeID="_x0000_i1026" DrawAspect="Content" ObjectID="_1622629629" r:id="rId12"/>
              </w:object>
            </w:r>
          </w:p>
        </w:tc>
      </w:tr>
    </w:tbl>
    <w:p w14:paraId="7A775E79" w14:textId="77777777" w:rsidR="00D15666" w:rsidRDefault="00D15666">
      <w:pPr>
        <w:tabs>
          <w:tab w:val="clear" w:pos="1247"/>
          <w:tab w:val="clear" w:pos="1814"/>
          <w:tab w:val="clear" w:pos="2381"/>
          <w:tab w:val="clear" w:pos="2948"/>
          <w:tab w:val="clear" w:pos="3515"/>
        </w:tabs>
        <w:rPr>
          <w:sz w:val="28"/>
          <w:szCs w:val="38"/>
          <w:lang w:val="es-ES"/>
        </w:rPr>
      </w:pPr>
      <w:r>
        <w:rPr>
          <w:sz w:val="28"/>
          <w:szCs w:val="38"/>
          <w:lang w:val="es-ES"/>
        </w:rPr>
        <w:br w:type="page"/>
      </w:r>
    </w:p>
    <w:p w14:paraId="597D138A" w14:textId="77777777" w:rsidR="002B0DBA" w:rsidRPr="00900014" w:rsidRDefault="002B0DBA" w:rsidP="001946EF">
      <w:pPr>
        <w:spacing w:after="120"/>
        <w:ind w:left="1247"/>
        <w:rPr>
          <w:b/>
          <w:sz w:val="22"/>
          <w:szCs w:val="22"/>
          <w:lang w:val="es-ES"/>
        </w:rPr>
      </w:pPr>
      <w:r w:rsidRPr="00900014">
        <w:rPr>
          <w:b/>
          <w:sz w:val="22"/>
          <w:szCs w:val="22"/>
          <w:lang w:val="es-ES"/>
        </w:rPr>
        <w:lastRenderedPageBreak/>
        <w:t>Introducción</w:t>
      </w:r>
    </w:p>
    <w:p w14:paraId="2E637C4F" w14:textId="444CFD1E" w:rsidR="002B0DBA" w:rsidRPr="00900014" w:rsidRDefault="002B0DBA" w:rsidP="001946EF">
      <w:pPr>
        <w:spacing w:after="120"/>
        <w:ind w:left="1247"/>
        <w:rPr>
          <w:lang w:val="es-ES"/>
        </w:rPr>
      </w:pPr>
      <w:r w:rsidRPr="00900014">
        <w:rPr>
          <w:lang w:val="es-ES"/>
        </w:rPr>
        <w:t xml:space="preserve">El objetivo del Convenio de Rotterdam es promover la responsabilidad compartida y los esfuerzos conjuntos de las Partes en el ámbito del comercio internacional de ciertos productos químicos peligrosos, a fin de proteger la salud humana y el medio ambiente frente a posibles daños y contribuir a su utilización ambientalmente racional, facilitando el intercambio de información sobre sus características, estableciendo un proceso nacional de adopción de decisiones sobre su importación y exportación, y difundiendo esas decisiones a las Partes. El Programa de las </w:t>
      </w:r>
      <w:r w:rsidR="00217363">
        <w:rPr>
          <w:lang w:val="es-ES"/>
        </w:rPr>
        <w:t>Naciones Unidas</w:t>
      </w:r>
      <w:r w:rsidRPr="00900014">
        <w:rPr>
          <w:lang w:val="es-ES"/>
        </w:rPr>
        <w:t xml:space="preserve"> para el Medio Ambiente (PNUMA) y la Organización de las </w:t>
      </w:r>
      <w:r w:rsidR="00217363">
        <w:rPr>
          <w:lang w:val="es-ES"/>
        </w:rPr>
        <w:t>Naciones Unidas</w:t>
      </w:r>
      <w:r w:rsidRPr="00900014">
        <w:rPr>
          <w:lang w:val="es-ES"/>
        </w:rPr>
        <w:t xml:space="preserve"> para la Alimentación y la Agricultura (FAO) ejercen conjuntamente las funciones de secretaría del Convenio.</w:t>
      </w:r>
    </w:p>
    <w:p w14:paraId="39A4C11C" w14:textId="7AA09790" w:rsidR="002B0DBA" w:rsidRPr="00900014" w:rsidRDefault="002B0DBA" w:rsidP="001946EF">
      <w:pPr>
        <w:spacing w:after="120"/>
        <w:ind w:left="1247"/>
        <w:rPr>
          <w:lang w:val="es-ES"/>
        </w:rPr>
      </w:pPr>
      <w:r w:rsidRPr="00900014">
        <w:rPr>
          <w:lang w:val="es-ES"/>
        </w:rPr>
        <w:t>Los productos químicos propuestos</w:t>
      </w:r>
      <w:r w:rsidRPr="00900014">
        <w:rPr>
          <w:vertAlign w:val="superscript"/>
          <w:lang w:val="es-ES"/>
        </w:rPr>
        <w:footnoteReference w:id="1"/>
      </w:r>
      <w:r w:rsidRPr="00900014">
        <w:rPr>
          <w:lang w:val="es-ES"/>
        </w:rPr>
        <w:t xml:space="preserve"> para su inclusión en el procedimiento de consentimiento fundamentado previo (CFP) del convenio de Rotterdam corresponden a aquellos que han sido prohibidos o rigurosamente restringidos por una medida reglamentaria nacional en dos o más Partes</w:t>
      </w:r>
      <w:r w:rsidRPr="00900014">
        <w:rPr>
          <w:vertAlign w:val="superscript"/>
          <w:lang w:val="es-ES"/>
        </w:rPr>
        <w:footnoteReference w:id="2"/>
      </w:r>
      <w:r w:rsidRPr="00900014">
        <w:rPr>
          <w:lang w:val="es-ES"/>
        </w:rPr>
        <w:t xml:space="preserve"> en dos regiones diferentes. La inclusión de un producto químico en el procedimiento de CFP se basa en las medidas reglamentarias tomadas por las Partes que se han ocupado del problema de los riesgos asociados con el producto químico, prohibiéndolo o restringiéndolo rigurosamente. </w:t>
      </w:r>
      <w:r w:rsidR="00D15666" w:rsidRPr="00900014">
        <w:rPr>
          <w:lang w:val="es-ES"/>
        </w:rPr>
        <w:t>Tal</w:t>
      </w:r>
      <w:r w:rsidR="00D15666">
        <w:rPr>
          <w:lang w:val="es-ES"/>
        </w:rPr>
        <w:t> </w:t>
      </w:r>
      <w:r w:rsidRPr="00900014">
        <w:rPr>
          <w:lang w:val="es-ES"/>
        </w:rPr>
        <w:t xml:space="preserve">vez existan otras formas de reducir o controlar esos riesgos. Sin embargo, la inclusión no implica que todas las </w:t>
      </w:r>
      <w:r w:rsidR="00D15666" w:rsidRPr="00900014">
        <w:rPr>
          <w:lang w:val="es-ES"/>
        </w:rPr>
        <w:t>Partes</w:t>
      </w:r>
      <w:r w:rsidR="00D15666">
        <w:rPr>
          <w:lang w:val="es-ES"/>
        </w:rPr>
        <w:t> </w:t>
      </w:r>
      <w:r w:rsidRPr="00900014">
        <w:rPr>
          <w:lang w:val="es-ES"/>
        </w:rPr>
        <w:t xml:space="preserve">del Convenio hayan prohibido o restringido rigurosamente ese producto químico. Para cada producto </w:t>
      </w:r>
      <w:r w:rsidR="00D15666" w:rsidRPr="00900014">
        <w:rPr>
          <w:lang w:val="es-ES"/>
        </w:rPr>
        <w:t>químico</w:t>
      </w:r>
      <w:r w:rsidR="00D15666">
        <w:rPr>
          <w:lang w:val="es-ES"/>
        </w:rPr>
        <w:t> </w:t>
      </w:r>
      <w:r w:rsidRPr="00900014">
        <w:rPr>
          <w:lang w:val="es-ES"/>
        </w:rPr>
        <w:t xml:space="preserve">incluido en el anexo III del Convenio de Rotterdam y sujeto al procedimiento </w:t>
      </w:r>
      <w:r w:rsidR="004C4741" w:rsidRPr="00900014">
        <w:rPr>
          <w:lang w:val="es-ES"/>
        </w:rPr>
        <w:t>de</w:t>
      </w:r>
      <w:r w:rsidR="004C4741">
        <w:rPr>
          <w:lang w:val="es-ES"/>
        </w:rPr>
        <w:t> </w:t>
      </w:r>
      <w:r w:rsidRPr="00900014">
        <w:rPr>
          <w:lang w:val="es-ES"/>
        </w:rPr>
        <w:t xml:space="preserve">CFP, se solicita a las </w:t>
      </w:r>
      <w:r w:rsidR="00D15666" w:rsidRPr="00900014">
        <w:rPr>
          <w:lang w:val="es-ES"/>
        </w:rPr>
        <w:t>Partes</w:t>
      </w:r>
      <w:r w:rsidR="00D15666">
        <w:rPr>
          <w:lang w:val="es-ES"/>
        </w:rPr>
        <w:t> </w:t>
      </w:r>
      <w:r w:rsidRPr="00900014">
        <w:rPr>
          <w:lang w:val="es-ES"/>
        </w:rPr>
        <w:t>que adopten una decisión fundamentada sobre si dan su consentimiento acerca de la futura importación del producto químico.</w:t>
      </w:r>
    </w:p>
    <w:p w14:paraId="009123EC" w14:textId="3907E962" w:rsidR="002B0DBA" w:rsidRPr="00900014" w:rsidRDefault="002B0DBA" w:rsidP="001946EF">
      <w:pPr>
        <w:spacing w:after="120"/>
        <w:ind w:left="1247"/>
        <w:rPr>
          <w:lang w:val="es-ES"/>
        </w:rPr>
      </w:pPr>
      <w:r w:rsidRPr="00900014">
        <w:rPr>
          <w:lang w:val="es-ES"/>
        </w:rPr>
        <w:t xml:space="preserve">En su </w:t>
      </w:r>
      <w:r w:rsidR="00145467">
        <w:rPr>
          <w:lang w:val="es-ES"/>
        </w:rPr>
        <w:t xml:space="preserve">novena </w:t>
      </w:r>
      <w:r w:rsidRPr="00900014">
        <w:rPr>
          <w:lang w:val="es-ES"/>
        </w:rPr>
        <w:t xml:space="preserve">reunión, celebrada en </w:t>
      </w:r>
      <w:r w:rsidR="00145467">
        <w:rPr>
          <w:lang w:val="es-ES"/>
        </w:rPr>
        <w:t xml:space="preserve">Ginebra </w:t>
      </w:r>
      <w:r w:rsidRPr="00900014">
        <w:rPr>
          <w:lang w:val="es-ES"/>
        </w:rPr>
        <w:t xml:space="preserve">los días </w:t>
      </w:r>
      <w:r w:rsidR="00145467">
        <w:rPr>
          <w:lang w:val="es-ES"/>
        </w:rPr>
        <w:t>29 de abril a 10 de mayo de 2019</w:t>
      </w:r>
      <w:r w:rsidR="00145467" w:rsidRPr="00900014">
        <w:rPr>
          <w:lang w:val="es-ES"/>
        </w:rPr>
        <w:t xml:space="preserve">, </w:t>
      </w:r>
      <w:r w:rsidRPr="00900014">
        <w:rPr>
          <w:lang w:val="es-ES"/>
        </w:rPr>
        <w:t>la Conferencia de las Partes acordó incluir el en el anexo</w:t>
      </w:r>
      <w:r w:rsidR="00217363">
        <w:rPr>
          <w:lang w:val="es-ES"/>
        </w:rPr>
        <w:t> </w:t>
      </w:r>
      <w:r w:rsidRPr="00900014">
        <w:rPr>
          <w:lang w:val="es-ES"/>
        </w:rPr>
        <w:t>III del Convenio y aprobó el documento de orientación para la adopción de decisiones a los efectos de que este producto químico quedase sujeto al procedimiento de consentimiento fundamentado previo.</w:t>
      </w:r>
    </w:p>
    <w:p w14:paraId="5B1BB28E" w14:textId="7F91327C" w:rsidR="002B0DBA" w:rsidRPr="00900014" w:rsidRDefault="002B0DBA" w:rsidP="001946EF">
      <w:pPr>
        <w:spacing w:after="120"/>
        <w:ind w:left="1247"/>
        <w:rPr>
          <w:lang w:val="es-ES"/>
        </w:rPr>
      </w:pPr>
      <w:r w:rsidRPr="00900014">
        <w:rPr>
          <w:lang w:val="es-ES"/>
        </w:rPr>
        <w:t xml:space="preserve">El presente documento de orientación para la adopción de decisiones se transmitió a las autoridades nacionales designadas el día </w:t>
      </w:r>
      <w:r w:rsidR="00145467">
        <w:rPr>
          <w:lang w:val="es-ES"/>
        </w:rPr>
        <w:t>16 de septiembre de 2019</w:t>
      </w:r>
      <w:r w:rsidR="00145467" w:rsidRPr="00900014">
        <w:rPr>
          <w:lang w:val="es-ES"/>
        </w:rPr>
        <w:t xml:space="preserve">, </w:t>
      </w:r>
      <w:r w:rsidRPr="00900014">
        <w:rPr>
          <w:lang w:val="es-ES"/>
        </w:rPr>
        <w:t>de conformidad con los artículos 7 y 10 del Convenio de Rotterdam.</w:t>
      </w:r>
    </w:p>
    <w:p w14:paraId="509DD6AA" w14:textId="77777777" w:rsidR="002B0DBA" w:rsidRPr="00900014" w:rsidRDefault="002B0DBA" w:rsidP="001946EF">
      <w:pPr>
        <w:spacing w:after="120"/>
        <w:ind w:left="1247"/>
        <w:rPr>
          <w:b/>
          <w:sz w:val="22"/>
          <w:szCs w:val="22"/>
          <w:lang w:val="es-ES"/>
        </w:rPr>
      </w:pPr>
      <w:r w:rsidRPr="00900014">
        <w:rPr>
          <w:b/>
          <w:sz w:val="22"/>
          <w:szCs w:val="22"/>
          <w:lang w:val="es-ES"/>
        </w:rPr>
        <w:t>Finalidad del documento de orientación para la adopción de decisiones</w:t>
      </w:r>
    </w:p>
    <w:p w14:paraId="52411E55" w14:textId="61D8232C" w:rsidR="002B0DBA" w:rsidRPr="00900014" w:rsidRDefault="002B0DBA" w:rsidP="001946EF">
      <w:pPr>
        <w:spacing w:after="120"/>
        <w:ind w:left="1247"/>
        <w:rPr>
          <w:lang w:val="es-ES"/>
        </w:rPr>
      </w:pPr>
      <w:r w:rsidRPr="00900014">
        <w:rPr>
          <w:lang w:val="es-ES"/>
        </w:rPr>
        <w:t>Para cada producto químico incluido en el anexo</w:t>
      </w:r>
      <w:r w:rsidR="001946EF">
        <w:rPr>
          <w:lang w:val="es-ES"/>
        </w:rPr>
        <w:t> </w:t>
      </w:r>
      <w:r w:rsidRPr="00900014">
        <w:rPr>
          <w:lang w:val="es-ES"/>
        </w:rPr>
        <w:t>III del Convenio de Rotterdam, la Conferencia de las Partes aprueba un documento de orientación para la adopción de decisiones. Estos documentos se envían a todas las Partes solicitándoseles que adopten una decisión sobre las futuras importaciones del producto químico.</w:t>
      </w:r>
    </w:p>
    <w:p w14:paraId="27359645" w14:textId="54918EB4" w:rsidR="002B0DBA" w:rsidRPr="00900014" w:rsidRDefault="002B0DBA" w:rsidP="001946EF">
      <w:pPr>
        <w:spacing w:after="120"/>
        <w:ind w:left="1247"/>
        <w:rPr>
          <w:lang w:val="es-ES"/>
        </w:rPr>
      </w:pPr>
      <w:r w:rsidRPr="00900014">
        <w:rPr>
          <w:lang w:val="es-ES"/>
        </w:rPr>
        <w:t>El Comité de Examen de Productos Químicos elabora los documentos de orientación para la adopción de decisiones. El Comité consiste en un grupo de expertos designados por los gobiernos según lo establecido en el artículo</w:t>
      </w:r>
      <w:r w:rsidR="00633664">
        <w:rPr>
          <w:lang w:val="es-ES"/>
        </w:rPr>
        <w:t> </w:t>
      </w:r>
      <w:r w:rsidRPr="00900014">
        <w:rPr>
          <w:lang w:val="es-ES"/>
        </w:rPr>
        <w:t>18 del Convenio, que se encarga de evaluar los productos químicos propuestos para su posible inclusión en el anexo</w:t>
      </w:r>
      <w:r w:rsidR="00B2714B">
        <w:rPr>
          <w:lang w:val="es-ES"/>
        </w:rPr>
        <w:t> </w:t>
      </w:r>
      <w:r w:rsidRPr="00900014">
        <w:rPr>
          <w:lang w:val="es-ES"/>
        </w:rPr>
        <w:t>III del Convenio. El documento de orientación para la adopción de decisiones refleja la información notificada por dos o más Partes para justificar las medidas reglamentarias que han adoptado a nivel nacional a fin de prohibir o restringir rigurosamente el producto químico. No se considera la única fuente de información sobre un producto químico ni tampoco se actualiza o revisa una vez aprobado por la Conferencia de las Partes.</w:t>
      </w:r>
    </w:p>
    <w:p w14:paraId="4DD2A46A" w14:textId="77777777" w:rsidR="002B0DBA" w:rsidRPr="00900014" w:rsidRDefault="002B0DBA" w:rsidP="001946EF">
      <w:pPr>
        <w:spacing w:after="120"/>
        <w:ind w:left="1247"/>
        <w:rPr>
          <w:lang w:val="es-ES"/>
        </w:rPr>
      </w:pPr>
      <w:r w:rsidRPr="00900014">
        <w:rPr>
          <w:lang w:val="es-ES"/>
        </w:rPr>
        <w:t>Puede haber más Partes que hayan tomado medidas reglamentarias para prohibir o restringir rigurosamente el producto químico y otras que no lo hayan hecho. Las evaluaciones de los riesgos o la información sobre las medidas alternativas de mitigación presentadas por esas Partes pueden consultarse en el sitio web del Convenio de Rotterdam (www.pic.int).</w:t>
      </w:r>
      <w:bookmarkStart w:id="0" w:name="_GoBack"/>
      <w:bookmarkEnd w:id="0"/>
    </w:p>
    <w:p w14:paraId="24FA5E10" w14:textId="77777777" w:rsidR="002B0DBA" w:rsidRPr="00900014" w:rsidRDefault="002B0DBA" w:rsidP="001946EF">
      <w:pPr>
        <w:spacing w:after="120"/>
        <w:ind w:left="1247"/>
        <w:rPr>
          <w:lang w:val="es-ES"/>
        </w:rPr>
      </w:pPr>
      <w:r w:rsidRPr="00900014">
        <w:rPr>
          <w:lang w:val="es-ES"/>
        </w:rPr>
        <w:t>Según se establece en el artículo 14 del Convenio, las Partes pueden intercambiar información científica, técnica, económica y jurídica relativa a los productos químicos comprendidos en el ámbito de aplicación del Convenio, incluida información toxicológica, ecotoxicológica y de seguridad. Esta información puede enviarse a las otras Partes directamente o a través de la Secretaría. La información enviada a la Secretaría se publicará en el sitio web del Convenio de Rotterdam.</w:t>
      </w:r>
    </w:p>
    <w:p w14:paraId="33F74057" w14:textId="77777777" w:rsidR="002B0DBA" w:rsidRPr="00900014" w:rsidRDefault="002B0DBA" w:rsidP="001946EF">
      <w:pPr>
        <w:spacing w:after="120"/>
        <w:ind w:left="1247"/>
        <w:rPr>
          <w:lang w:val="es-ES"/>
        </w:rPr>
      </w:pPr>
      <w:r w:rsidRPr="00900014">
        <w:rPr>
          <w:lang w:val="es-ES"/>
        </w:rPr>
        <w:t>Tal vez pueda encontrarse más información sobre el producto químico en otras fuentes.</w:t>
      </w:r>
    </w:p>
    <w:p w14:paraId="5EBEAA71" w14:textId="77777777" w:rsidR="002B0DBA" w:rsidRPr="00900014" w:rsidRDefault="002B0DBA" w:rsidP="001946EF">
      <w:pPr>
        <w:spacing w:after="120"/>
        <w:ind w:left="1247"/>
        <w:jc w:val="both"/>
        <w:rPr>
          <w:b/>
          <w:sz w:val="22"/>
          <w:szCs w:val="22"/>
          <w:lang w:val="es-ES"/>
        </w:rPr>
      </w:pPr>
      <w:r w:rsidRPr="00900014">
        <w:rPr>
          <w:b/>
          <w:sz w:val="22"/>
          <w:szCs w:val="22"/>
          <w:lang w:val="es-ES"/>
        </w:rPr>
        <w:t>Descargo de responsabilidad</w:t>
      </w:r>
    </w:p>
    <w:p w14:paraId="539DAAE2" w14:textId="77777777" w:rsidR="002B0DBA" w:rsidRPr="00A14196" w:rsidRDefault="002B0DBA" w:rsidP="001946EF">
      <w:pPr>
        <w:spacing w:after="120"/>
        <w:ind w:left="1247"/>
        <w:rPr>
          <w:lang w:val="es-ES"/>
        </w:rPr>
      </w:pPr>
      <w:r w:rsidRPr="00A14196">
        <w:rPr>
          <w:lang w:val="es-ES"/>
        </w:rPr>
        <w:t>El empleo de nombres comerciales en el presente documento tiene por objeto principal facilitar la correcta identificación del producto químico. No entraña aprobación o reprobación de ninguna empresa. Dada la imposibilidad de incluir en el presente documento todos los nombres comerciales que se utilizan en la actualidad, solo se incluyen algunos comúnmente utilizados y publicados.</w:t>
      </w:r>
    </w:p>
    <w:p w14:paraId="62B18747" w14:textId="058756C3" w:rsidR="002B0DBA" w:rsidRPr="00A14196" w:rsidRDefault="002B0DBA" w:rsidP="001946EF">
      <w:pPr>
        <w:spacing w:after="120"/>
        <w:ind w:left="1247"/>
        <w:rPr>
          <w:lang w:val="es-ES"/>
        </w:rPr>
      </w:pPr>
      <w:r w:rsidRPr="00A14196">
        <w:rPr>
          <w:lang w:val="es-ES"/>
        </w:rPr>
        <w:t>Aunque se estima que la información proporcionada es exacta según los datos disponibles a la fecha de preparación del presente documento de orientación para la adopción de decisiones, la FAO y el</w:t>
      </w:r>
      <w:r w:rsidR="00217363">
        <w:rPr>
          <w:lang w:val="es-ES"/>
        </w:rPr>
        <w:t> </w:t>
      </w:r>
      <w:r w:rsidRPr="00A14196">
        <w:rPr>
          <w:lang w:val="es-ES"/>
        </w:rPr>
        <w:t>PNUMA declinan toda responsabilidad por las posibles omisiones o por las consecuencias que de ellas pudieran derivarse. Ni la FAO ni el</w:t>
      </w:r>
      <w:r>
        <w:rPr>
          <w:lang w:val="es-ES"/>
        </w:rPr>
        <w:t> </w:t>
      </w:r>
      <w:r w:rsidRPr="00A14196">
        <w:rPr>
          <w:lang w:val="es-ES"/>
        </w:rPr>
        <w:t>PNUMA serán responsables de lesiones, pérdidas, daños o perjuicios del tipo que fueren a que pudiera dar lugar la importación o prohibición de la importación de ese producto químico.</w:t>
      </w:r>
    </w:p>
    <w:p w14:paraId="4F9F8D34" w14:textId="77777777" w:rsidR="002B0DBA" w:rsidRPr="00A14196" w:rsidRDefault="002B0DBA" w:rsidP="001946EF">
      <w:pPr>
        <w:spacing w:after="120"/>
        <w:ind w:left="1247"/>
        <w:rPr>
          <w:lang w:val="es-ES"/>
        </w:rPr>
      </w:pPr>
      <w:r w:rsidRPr="00A14196">
        <w:rPr>
          <w:lang w:val="es-ES"/>
        </w:rPr>
        <w:t>Las denominaciones utilizadas y la presentación del material en la presente publicación no suponen la expresión de opinión alguna, sea cual fuere, por parte de la FAO o el PNUMA, con respecto a la situación jurídica de ningún país, territorio, ciudad o región o sus autoridades, ni con respecto a la delimitación de sus fronteras o límites.</w:t>
      </w:r>
    </w:p>
    <w:p w14:paraId="36F8D8A3" w14:textId="77777777" w:rsidR="002B0DBA" w:rsidRDefault="002B0DBA" w:rsidP="002B0DBA">
      <w:pPr>
        <w:rPr>
          <w:b/>
          <w:lang w:val="es-ES"/>
        </w:rPr>
      </w:pPr>
      <w:r>
        <w:rPr>
          <w:b/>
          <w:lang w:val="es-ES"/>
        </w:rPr>
        <w:br w:type="page"/>
      </w:r>
    </w:p>
    <w:p w14:paraId="039BA967" w14:textId="34182C44" w:rsidR="002B0DBA" w:rsidRPr="00900014" w:rsidRDefault="002B0DBA" w:rsidP="00432727">
      <w:pPr>
        <w:shd w:val="clear" w:color="auto" w:fill="FFFFFF"/>
        <w:tabs>
          <w:tab w:val="left" w:pos="624"/>
          <w:tab w:val="left" w:pos="1871"/>
          <w:tab w:val="left" w:pos="2495"/>
        </w:tabs>
        <w:spacing w:after="120"/>
        <w:rPr>
          <w:b/>
          <w:color w:val="000000"/>
          <w:lang w:val="es-ES"/>
        </w:rPr>
      </w:pPr>
      <w:r w:rsidRPr="00236F29">
        <w:rPr>
          <w:b/>
          <w:bCs/>
          <w:lang w:val="es-ES_tradnl"/>
        </w:rPr>
        <w:t>Lista básica de siglas y abreviaturas habituales</w:t>
      </w:r>
      <w:r w:rsidRPr="00900014">
        <w:rPr>
          <w:rStyle w:val="FootnoteReference"/>
          <w:b/>
          <w:color w:val="000000"/>
          <w:lang w:val="es-ES"/>
        </w:rPr>
        <w:footnoteReference w:id="3"/>
      </w:r>
    </w:p>
    <w:tbl>
      <w:tblPr>
        <w:tblW w:w="92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9"/>
        <w:gridCol w:w="7825"/>
      </w:tblGrid>
      <w:tr w:rsidR="002B0DBA" w:rsidRPr="00AB7E72" w14:paraId="7B1F5A76" w14:textId="77777777" w:rsidTr="00432727">
        <w:trPr>
          <w:tblHeader/>
        </w:trPr>
        <w:tc>
          <w:tcPr>
            <w:tcW w:w="9214" w:type="dxa"/>
            <w:gridSpan w:val="2"/>
            <w:tcBorders>
              <w:top w:val="single" w:sz="4" w:space="0" w:color="auto"/>
              <w:bottom w:val="single" w:sz="4" w:space="0" w:color="auto"/>
            </w:tcBorders>
          </w:tcPr>
          <w:p w14:paraId="05BE9323" w14:textId="77777777" w:rsidR="002B0DBA" w:rsidRPr="00AB7E72" w:rsidRDefault="002B0DBA" w:rsidP="002B0DBA">
            <w:pPr>
              <w:tabs>
                <w:tab w:val="left" w:pos="624"/>
                <w:tab w:val="left" w:pos="1871"/>
                <w:tab w:val="left" w:pos="2495"/>
              </w:tabs>
              <w:suppressAutoHyphens/>
              <w:ind w:left="-108" w:right="33" w:firstLine="142"/>
              <w:rPr>
                <w:b/>
                <w:color w:val="000000"/>
                <w:lang w:val="es-ES"/>
              </w:rPr>
            </w:pPr>
            <w:r w:rsidRPr="00AB7E72">
              <w:rPr>
                <w:b/>
                <w:lang w:val="es-ES"/>
              </w:rPr>
              <w:t xml:space="preserve">LISTA BÁSICA DE ABREVIATURAS </w:t>
            </w:r>
            <w:r w:rsidRPr="00AB7E72">
              <w:rPr>
                <w:b/>
                <w:bCs/>
                <w:lang w:val="es-ES_tradnl"/>
              </w:rPr>
              <w:t>Y SIGLAS CORRIENTES</w:t>
            </w:r>
          </w:p>
        </w:tc>
      </w:tr>
      <w:tr w:rsidR="002B0DBA" w:rsidRPr="00AB7E72" w14:paraId="42EF74F3" w14:textId="77777777" w:rsidTr="00432727">
        <w:tc>
          <w:tcPr>
            <w:tcW w:w="1389" w:type="dxa"/>
            <w:tcBorders>
              <w:top w:val="single" w:sz="4" w:space="0" w:color="auto"/>
            </w:tcBorders>
          </w:tcPr>
          <w:p w14:paraId="7CDE5C45"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&lt;</w:t>
            </w:r>
          </w:p>
        </w:tc>
        <w:tc>
          <w:tcPr>
            <w:tcW w:w="7825" w:type="dxa"/>
            <w:tcBorders>
              <w:top w:val="single" w:sz="4" w:space="0" w:color="auto"/>
            </w:tcBorders>
          </w:tcPr>
          <w:p w14:paraId="7986C98F"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menor que</w:t>
            </w:r>
          </w:p>
        </w:tc>
      </w:tr>
      <w:tr w:rsidR="002B0DBA" w:rsidRPr="00AB7E72" w14:paraId="3163E245" w14:textId="77777777" w:rsidTr="00432727">
        <w:tc>
          <w:tcPr>
            <w:tcW w:w="1389" w:type="dxa"/>
          </w:tcPr>
          <w:p w14:paraId="77666DCF"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w:t>
            </w:r>
          </w:p>
        </w:tc>
        <w:tc>
          <w:tcPr>
            <w:tcW w:w="7825" w:type="dxa"/>
          </w:tcPr>
          <w:p w14:paraId="2F8F8EBE"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menor o igual a</w:t>
            </w:r>
          </w:p>
        </w:tc>
      </w:tr>
      <w:tr w:rsidR="002B0DBA" w:rsidRPr="00AB7E72" w14:paraId="02F8DE14" w14:textId="77777777" w:rsidTr="00432727">
        <w:tc>
          <w:tcPr>
            <w:tcW w:w="1389" w:type="dxa"/>
          </w:tcPr>
          <w:p w14:paraId="5FEC4356" w14:textId="77777777" w:rsidR="002B0DBA" w:rsidRPr="00AB7E72" w:rsidRDefault="002B0DBA" w:rsidP="002B0DBA">
            <w:pPr>
              <w:tabs>
                <w:tab w:val="left" w:pos="624"/>
                <w:tab w:val="left" w:pos="1871"/>
                <w:tab w:val="left" w:pos="2495"/>
              </w:tabs>
              <w:ind w:left="176" w:hanging="142"/>
              <w:rPr>
                <w:color w:val="000000"/>
                <w:lang w:val="es-ES"/>
              </w:rPr>
            </w:pPr>
            <w:bookmarkStart w:id="1" w:name="_Hlk519254161"/>
            <w:r w:rsidRPr="00AB7E72">
              <w:rPr>
                <w:lang w:val="es-ES"/>
              </w:rPr>
              <w:t>&gt;</w:t>
            </w:r>
            <w:bookmarkEnd w:id="1"/>
          </w:p>
        </w:tc>
        <w:tc>
          <w:tcPr>
            <w:tcW w:w="7825" w:type="dxa"/>
          </w:tcPr>
          <w:p w14:paraId="05E02505"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mayor que</w:t>
            </w:r>
          </w:p>
        </w:tc>
      </w:tr>
      <w:tr w:rsidR="002B0DBA" w:rsidRPr="00AB7E72" w14:paraId="73775F3C" w14:textId="77777777" w:rsidTr="00432727">
        <w:tc>
          <w:tcPr>
            <w:tcW w:w="1389" w:type="dxa"/>
          </w:tcPr>
          <w:p w14:paraId="206C4DA7"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w:t>
            </w:r>
          </w:p>
        </w:tc>
        <w:tc>
          <w:tcPr>
            <w:tcW w:w="7825" w:type="dxa"/>
          </w:tcPr>
          <w:p w14:paraId="75EBD5D6"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mayor o igual a</w:t>
            </w:r>
          </w:p>
        </w:tc>
      </w:tr>
      <w:tr w:rsidR="002B0DBA" w:rsidRPr="00AB7E72" w14:paraId="1B6204DF" w14:textId="77777777" w:rsidTr="00432727">
        <w:tc>
          <w:tcPr>
            <w:tcW w:w="1389" w:type="dxa"/>
          </w:tcPr>
          <w:p w14:paraId="458D8199" w14:textId="77777777" w:rsidR="002B0DBA" w:rsidRPr="00AB7E72" w:rsidRDefault="002B0DBA" w:rsidP="002B0DBA">
            <w:pPr>
              <w:tabs>
                <w:tab w:val="left" w:pos="624"/>
                <w:tab w:val="left" w:pos="1871"/>
                <w:tab w:val="left" w:pos="2495"/>
              </w:tabs>
              <w:ind w:left="176" w:hanging="142"/>
              <w:rPr>
                <w:color w:val="000000"/>
                <w:lang w:val="es-ES"/>
              </w:rPr>
            </w:pPr>
          </w:p>
        </w:tc>
        <w:tc>
          <w:tcPr>
            <w:tcW w:w="7825" w:type="dxa"/>
          </w:tcPr>
          <w:p w14:paraId="60B1ADB6" w14:textId="77777777" w:rsidR="002B0DBA" w:rsidRPr="00AB7E72" w:rsidRDefault="002B0DBA" w:rsidP="002B0DBA">
            <w:pPr>
              <w:tabs>
                <w:tab w:val="left" w:pos="624"/>
                <w:tab w:val="left" w:pos="1871"/>
                <w:tab w:val="left" w:pos="2495"/>
              </w:tabs>
              <w:ind w:left="176"/>
              <w:rPr>
                <w:color w:val="000000"/>
                <w:lang w:val="es-ES"/>
              </w:rPr>
            </w:pPr>
          </w:p>
        </w:tc>
      </w:tr>
      <w:tr w:rsidR="002B0DBA" w:rsidRPr="00AB7E72" w14:paraId="23EB50A1" w14:textId="77777777" w:rsidTr="00432727">
        <w:tc>
          <w:tcPr>
            <w:tcW w:w="1389" w:type="dxa"/>
          </w:tcPr>
          <w:p w14:paraId="1A61AC1E"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µg</w:t>
            </w:r>
          </w:p>
        </w:tc>
        <w:tc>
          <w:tcPr>
            <w:tcW w:w="7825" w:type="dxa"/>
          </w:tcPr>
          <w:p w14:paraId="3014AADB"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microgramo</w:t>
            </w:r>
          </w:p>
        </w:tc>
      </w:tr>
      <w:tr w:rsidR="002B0DBA" w:rsidRPr="00AB7E72" w14:paraId="77D7C0BA" w14:textId="77777777" w:rsidTr="00432727">
        <w:tc>
          <w:tcPr>
            <w:tcW w:w="1389" w:type="dxa"/>
          </w:tcPr>
          <w:p w14:paraId="1580E564" w14:textId="77777777" w:rsidR="002B0DBA" w:rsidRPr="00AB7E72" w:rsidRDefault="002B0DBA" w:rsidP="002B0DBA">
            <w:pPr>
              <w:tabs>
                <w:tab w:val="left" w:pos="624"/>
                <w:tab w:val="left" w:pos="1871"/>
                <w:tab w:val="left" w:pos="2495"/>
              </w:tabs>
              <w:ind w:left="176" w:hanging="142"/>
              <w:rPr>
                <w:color w:val="000000"/>
                <w:lang w:val="es-ES"/>
              </w:rPr>
            </w:pPr>
            <w:r w:rsidRPr="00AB7E72">
              <w:rPr>
                <w:color w:val="000000"/>
                <w:lang w:val="es-ES"/>
              </w:rPr>
              <w:sym w:font="Symbol" w:char="F06D"/>
            </w:r>
            <w:r w:rsidRPr="00AB7E72">
              <w:rPr>
                <w:lang w:val="es-ES"/>
              </w:rPr>
              <w:t>m</w:t>
            </w:r>
          </w:p>
        </w:tc>
        <w:tc>
          <w:tcPr>
            <w:tcW w:w="7825" w:type="dxa"/>
          </w:tcPr>
          <w:p w14:paraId="0CECE9F3"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micrómetro</w:t>
            </w:r>
          </w:p>
        </w:tc>
      </w:tr>
      <w:tr w:rsidR="002B0DBA" w:rsidRPr="00AB7E72" w14:paraId="75943BC3" w14:textId="77777777" w:rsidTr="00432727">
        <w:tc>
          <w:tcPr>
            <w:tcW w:w="1389" w:type="dxa"/>
          </w:tcPr>
          <w:p w14:paraId="2B099B47" w14:textId="77777777" w:rsidR="002B0DBA" w:rsidRPr="00AB7E72" w:rsidRDefault="002B0DBA" w:rsidP="002B0DBA">
            <w:pPr>
              <w:tabs>
                <w:tab w:val="left" w:pos="624"/>
                <w:tab w:val="left" w:pos="1871"/>
                <w:tab w:val="left" w:pos="2495"/>
              </w:tabs>
              <w:ind w:left="176" w:hanging="142"/>
              <w:rPr>
                <w:color w:val="000000"/>
                <w:lang w:val="es-ES"/>
              </w:rPr>
            </w:pPr>
          </w:p>
        </w:tc>
        <w:tc>
          <w:tcPr>
            <w:tcW w:w="7825" w:type="dxa"/>
          </w:tcPr>
          <w:p w14:paraId="2A96C870" w14:textId="77777777" w:rsidR="002B0DBA" w:rsidRPr="00AB7E72" w:rsidRDefault="002B0DBA" w:rsidP="002B0DBA">
            <w:pPr>
              <w:tabs>
                <w:tab w:val="left" w:pos="624"/>
                <w:tab w:val="left" w:pos="1871"/>
                <w:tab w:val="left" w:pos="2495"/>
              </w:tabs>
              <w:ind w:left="214"/>
              <w:rPr>
                <w:color w:val="000000"/>
                <w:lang w:val="es-ES"/>
              </w:rPr>
            </w:pPr>
          </w:p>
        </w:tc>
      </w:tr>
      <w:tr w:rsidR="002B0DBA" w:rsidRPr="00AB7E72" w14:paraId="33DA502A" w14:textId="77777777" w:rsidTr="00432727">
        <w:tc>
          <w:tcPr>
            <w:tcW w:w="1389" w:type="dxa"/>
          </w:tcPr>
          <w:p w14:paraId="52C5A831"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AND</w:t>
            </w:r>
          </w:p>
        </w:tc>
        <w:tc>
          <w:tcPr>
            <w:tcW w:w="7825" w:type="dxa"/>
          </w:tcPr>
          <w:p w14:paraId="03D23F7D"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ácido desoxirribonucleico</w:t>
            </w:r>
          </w:p>
        </w:tc>
      </w:tr>
      <w:tr w:rsidR="002B0DBA" w:rsidRPr="00AB7E72" w14:paraId="3FA7F85F" w14:textId="77777777" w:rsidTr="00432727">
        <w:tc>
          <w:tcPr>
            <w:tcW w:w="1389" w:type="dxa"/>
          </w:tcPr>
          <w:p w14:paraId="5942261C" w14:textId="77777777" w:rsidR="002B0DBA" w:rsidRPr="00AB7E72" w:rsidRDefault="002B0DBA" w:rsidP="002B0DBA">
            <w:pPr>
              <w:ind w:left="176" w:hanging="142"/>
              <w:rPr>
                <w:lang w:val="es-ES"/>
              </w:rPr>
            </w:pPr>
            <w:r w:rsidRPr="00AB7E72">
              <w:rPr>
                <w:lang w:val="es-ES"/>
              </w:rPr>
              <w:t>ANVISA</w:t>
            </w:r>
          </w:p>
        </w:tc>
        <w:tc>
          <w:tcPr>
            <w:tcW w:w="7825" w:type="dxa"/>
          </w:tcPr>
          <w:p w14:paraId="59BCEB9E" w14:textId="77777777" w:rsidR="002B0DBA" w:rsidRPr="00AB7E72" w:rsidRDefault="002B0DBA" w:rsidP="002B0DBA">
            <w:pPr>
              <w:ind w:left="176"/>
              <w:rPr>
                <w:lang w:val="es-ES"/>
              </w:rPr>
            </w:pPr>
            <w:r w:rsidRPr="00AB7E72">
              <w:rPr>
                <w:lang w:val="es-ES"/>
              </w:rPr>
              <w:t>Agencia Nacional de Vigilancia Sanitaria del Brasil</w:t>
            </w:r>
          </w:p>
        </w:tc>
      </w:tr>
      <w:tr w:rsidR="002B0DBA" w:rsidRPr="00AB7E72" w14:paraId="7EBF33DC" w14:textId="77777777" w:rsidTr="00432727">
        <w:tc>
          <w:tcPr>
            <w:tcW w:w="1389" w:type="dxa"/>
          </w:tcPr>
          <w:p w14:paraId="29F02489"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7CB6754E" w14:textId="77777777" w:rsidR="002B0DBA" w:rsidRPr="00AB7E72" w:rsidRDefault="002B0DBA" w:rsidP="002B0DBA">
            <w:pPr>
              <w:tabs>
                <w:tab w:val="left" w:pos="624"/>
                <w:tab w:val="left" w:pos="1871"/>
                <w:tab w:val="left" w:pos="2495"/>
              </w:tabs>
              <w:ind w:left="176"/>
              <w:rPr>
                <w:lang w:val="es-ES"/>
              </w:rPr>
            </w:pPr>
          </w:p>
        </w:tc>
      </w:tr>
      <w:tr w:rsidR="002B0DBA" w:rsidRPr="00AB7E72" w14:paraId="3E286D3C" w14:textId="77777777" w:rsidTr="00432727">
        <w:tc>
          <w:tcPr>
            <w:tcW w:w="1389" w:type="dxa"/>
          </w:tcPr>
          <w:p w14:paraId="083568F3" w14:textId="65C4DBE8" w:rsidR="002B0DBA" w:rsidRPr="00AB7E72" w:rsidRDefault="002B0DBA" w:rsidP="002B0DBA">
            <w:pPr>
              <w:tabs>
                <w:tab w:val="left" w:pos="624"/>
                <w:tab w:val="left" w:pos="1871"/>
                <w:tab w:val="left" w:pos="2495"/>
              </w:tabs>
              <w:ind w:left="176" w:hanging="142"/>
              <w:rPr>
                <w:lang w:val="es-ES"/>
              </w:rPr>
            </w:pPr>
            <w:r w:rsidRPr="00AB7E72">
              <w:rPr>
                <w:lang w:val="es-ES"/>
              </w:rPr>
              <w:t>º</w:t>
            </w:r>
            <w:r w:rsidR="00217363" w:rsidRPr="00AB7E72">
              <w:rPr>
                <w:lang w:val="es-ES"/>
              </w:rPr>
              <w:t> </w:t>
            </w:r>
            <w:r w:rsidRPr="00AB7E72">
              <w:rPr>
                <w:lang w:val="es-ES"/>
              </w:rPr>
              <w:t>C</w:t>
            </w:r>
          </w:p>
        </w:tc>
        <w:tc>
          <w:tcPr>
            <w:tcW w:w="7825" w:type="dxa"/>
          </w:tcPr>
          <w:p w14:paraId="0407E6A8" w14:textId="77777777" w:rsidR="002B0DBA" w:rsidRPr="00AB7E72" w:rsidRDefault="002B0DBA" w:rsidP="002B0DBA">
            <w:pPr>
              <w:tabs>
                <w:tab w:val="left" w:pos="624"/>
                <w:tab w:val="left" w:pos="1871"/>
                <w:tab w:val="left" w:pos="2495"/>
              </w:tabs>
              <w:ind w:left="176"/>
              <w:rPr>
                <w:lang w:val="es-ES"/>
              </w:rPr>
            </w:pPr>
            <w:r w:rsidRPr="00AB7E72">
              <w:rPr>
                <w:lang w:val="es-ES"/>
              </w:rPr>
              <w:t>grado Celsius (centígrado)</w:t>
            </w:r>
          </w:p>
        </w:tc>
      </w:tr>
      <w:tr w:rsidR="002B0DBA" w:rsidRPr="00AB7E72" w14:paraId="1861A0B2" w14:textId="77777777" w:rsidTr="00432727">
        <w:tc>
          <w:tcPr>
            <w:tcW w:w="1389" w:type="dxa"/>
          </w:tcPr>
          <w:p w14:paraId="2FF36519"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CAS</w:t>
            </w:r>
          </w:p>
        </w:tc>
        <w:tc>
          <w:tcPr>
            <w:tcW w:w="7825" w:type="dxa"/>
          </w:tcPr>
          <w:p w14:paraId="277A42CE"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Chemical Abstracts Service</w:t>
            </w:r>
          </w:p>
        </w:tc>
      </w:tr>
      <w:tr w:rsidR="002B0DBA" w:rsidRPr="00AB7E72" w14:paraId="6CB8B063" w14:textId="77777777" w:rsidTr="00432727">
        <w:tc>
          <w:tcPr>
            <w:tcW w:w="1389" w:type="dxa"/>
          </w:tcPr>
          <w:p w14:paraId="745E878E"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cc</w:t>
            </w:r>
          </w:p>
        </w:tc>
        <w:tc>
          <w:tcPr>
            <w:tcW w:w="7825" w:type="dxa"/>
          </w:tcPr>
          <w:p w14:paraId="698349F2"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centímetro cúbico</w:t>
            </w:r>
          </w:p>
        </w:tc>
      </w:tr>
      <w:tr w:rsidR="002B0DBA" w:rsidRPr="00AB7E72" w14:paraId="3E433646" w14:textId="77777777" w:rsidTr="00432727">
        <w:tc>
          <w:tcPr>
            <w:tcW w:w="1389" w:type="dxa"/>
          </w:tcPr>
          <w:p w14:paraId="0453C040" w14:textId="77777777" w:rsidR="002B0DBA" w:rsidRPr="00AB7E72" w:rsidRDefault="002B0DBA" w:rsidP="002B0DBA">
            <w:pPr>
              <w:tabs>
                <w:tab w:val="left" w:pos="624"/>
                <w:tab w:val="left" w:pos="1871"/>
                <w:tab w:val="left" w:pos="2495"/>
              </w:tabs>
              <w:ind w:left="34"/>
              <w:rPr>
                <w:color w:val="000000"/>
                <w:lang w:val="es-ES"/>
              </w:rPr>
            </w:pPr>
            <w:r w:rsidRPr="00AB7E72">
              <w:rPr>
                <w:lang w:val="es-ES"/>
              </w:rPr>
              <w:t>CE</w:t>
            </w:r>
          </w:p>
        </w:tc>
        <w:tc>
          <w:tcPr>
            <w:tcW w:w="7825" w:type="dxa"/>
          </w:tcPr>
          <w:p w14:paraId="1C031B83"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Comunidad Europea</w:t>
            </w:r>
          </w:p>
        </w:tc>
      </w:tr>
      <w:tr w:rsidR="002B0DBA" w:rsidRPr="00AB7E72" w14:paraId="291D5935" w14:textId="77777777" w:rsidTr="00432727">
        <w:tc>
          <w:tcPr>
            <w:tcW w:w="1389" w:type="dxa"/>
          </w:tcPr>
          <w:p w14:paraId="3385F26C"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CE</w:t>
            </w:r>
            <w:r w:rsidRPr="00C47EF7">
              <w:rPr>
                <w:vertAlign w:val="subscript"/>
                <w:lang w:val="es-ES"/>
              </w:rPr>
              <w:t>50</w:t>
            </w:r>
          </w:p>
        </w:tc>
        <w:tc>
          <w:tcPr>
            <w:tcW w:w="7825" w:type="dxa"/>
          </w:tcPr>
          <w:p w14:paraId="34B1EEA7"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concentración eficaz media</w:t>
            </w:r>
          </w:p>
        </w:tc>
      </w:tr>
      <w:tr w:rsidR="002B0DBA" w:rsidRPr="00AB7E72" w14:paraId="6B36C370" w14:textId="77777777" w:rsidTr="00432727">
        <w:tc>
          <w:tcPr>
            <w:tcW w:w="1389" w:type="dxa"/>
          </w:tcPr>
          <w:p w14:paraId="65F4063E"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CEE</w:t>
            </w:r>
          </w:p>
        </w:tc>
        <w:tc>
          <w:tcPr>
            <w:tcW w:w="7825" w:type="dxa"/>
          </w:tcPr>
          <w:p w14:paraId="5DA05702"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Comunidad Económica Europea</w:t>
            </w:r>
          </w:p>
        </w:tc>
      </w:tr>
      <w:tr w:rsidR="002B0DBA" w:rsidRPr="00AB7E72" w14:paraId="25FB2E6B" w14:textId="77777777" w:rsidTr="00432727">
        <w:tc>
          <w:tcPr>
            <w:tcW w:w="1389" w:type="dxa"/>
          </w:tcPr>
          <w:p w14:paraId="56851F57"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CIIC</w:t>
            </w:r>
          </w:p>
        </w:tc>
        <w:tc>
          <w:tcPr>
            <w:tcW w:w="7825" w:type="dxa"/>
          </w:tcPr>
          <w:p w14:paraId="4C103CD9"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Centro Internacional de Investigaciones sobre el Cáncer</w:t>
            </w:r>
          </w:p>
        </w:tc>
      </w:tr>
      <w:tr w:rsidR="002B0DBA" w:rsidRPr="00AB7E72" w14:paraId="2E171B19" w14:textId="77777777" w:rsidTr="00432727">
        <w:tc>
          <w:tcPr>
            <w:tcW w:w="1389" w:type="dxa"/>
          </w:tcPr>
          <w:p w14:paraId="303093B1"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CL</w:t>
            </w:r>
            <w:r w:rsidRPr="00AB7E72">
              <w:rPr>
                <w:vertAlign w:val="subscript"/>
                <w:lang w:val="es-ES"/>
              </w:rPr>
              <w:t>50</w:t>
            </w:r>
          </w:p>
        </w:tc>
        <w:tc>
          <w:tcPr>
            <w:tcW w:w="7825" w:type="dxa"/>
          </w:tcPr>
          <w:p w14:paraId="529EB874"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concentración letal media</w:t>
            </w:r>
          </w:p>
        </w:tc>
      </w:tr>
      <w:tr w:rsidR="002B0DBA" w:rsidRPr="00AB7E72" w14:paraId="396F7AC4" w14:textId="77777777" w:rsidTr="00432727">
        <w:tc>
          <w:tcPr>
            <w:tcW w:w="1389" w:type="dxa"/>
          </w:tcPr>
          <w:p w14:paraId="47776992"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cm</w:t>
            </w:r>
          </w:p>
        </w:tc>
        <w:tc>
          <w:tcPr>
            <w:tcW w:w="7825" w:type="dxa"/>
          </w:tcPr>
          <w:p w14:paraId="4B19D790"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centímetro</w:t>
            </w:r>
          </w:p>
        </w:tc>
      </w:tr>
      <w:tr w:rsidR="002B0DBA" w:rsidRPr="00AB7E72" w14:paraId="7E6A3A6D" w14:textId="77777777" w:rsidTr="00432727">
        <w:tc>
          <w:tcPr>
            <w:tcW w:w="1389" w:type="dxa"/>
          </w:tcPr>
          <w:p w14:paraId="04C587AD"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COV</w:t>
            </w:r>
          </w:p>
        </w:tc>
        <w:tc>
          <w:tcPr>
            <w:tcW w:w="7825" w:type="dxa"/>
          </w:tcPr>
          <w:p w14:paraId="28F29C7D"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compuesto orgánico volátil</w:t>
            </w:r>
          </w:p>
        </w:tc>
      </w:tr>
      <w:tr w:rsidR="002B0DBA" w:rsidRPr="00AB7E72" w14:paraId="6CDCDF44" w14:textId="77777777" w:rsidTr="00432727">
        <w:tc>
          <w:tcPr>
            <w:tcW w:w="1389" w:type="dxa"/>
          </w:tcPr>
          <w:p w14:paraId="4C5071B1"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45266426" w14:textId="77777777" w:rsidR="002B0DBA" w:rsidRPr="00AB7E72" w:rsidRDefault="002B0DBA" w:rsidP="002B0DBA">
            <w:pPr>
              <w:tabs>
                <w:tab w:val="left" w:pos="624"/>
                <w:tab w:val="left" w:pos="1871"/>
                <w:tab w:val="left" w:pos="2495"/>
              </w:tabs>
              <w:ind w:left="176"/>
              <w:rPr>
                <w:lang w:val="es-ES"/>
              </w:rPr>
            </w:pPr>
          </w:p>
        </w:tc>
      </w:tr>
      <w:tr w:rsidR="002B0DBA" w:rsidRPr="00AB7E72" w14:paraId="05BAD0C2" w14:textId="77777777" w:rsidTr="00432727">
        <w:tc>
          <w:tcPr>
            <w:tcW w:w="1389" w:type="dxa"/>
          </w:tcPr>
          <w:p w14:paraId="706E2F42"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DE</w:t>
            </w:r>
            <w:r w:rsidRPr="00C47EF7">
              <w:rPr>
                <w:vertAlign w:val="subscript"/>
                <w:lang w:val="es-ES"/>
              </w:rPr>
              <w:t>50</w:t>
            </w:r>
          </w:p>
        </w:tc>
        <w:tc>
          <w:tcPr>
            <w:tcW w:w="7825" w:type="dxa"/>
          </w:tcPr>
          <w:p w14:paraId="4E17E50C"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dosis eficaz media</w:t>
            </w:r>
          </w:p>
        </w:tc>
      </w:tr>
      <w:tr w:rsidR="002B0DBA" w:rsidRPr="00AB7E72" w14:paraId="1259563D" w14:textId="77777777" w:rsidTr="00432727">
        <w:tc>
          <w:tcPr>
            <w:tcW w:w="1389" w:type="dxa"/>
          </w:tcPr>
          <w:p w14:paraId="6AE75C52"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DRA</w:t>
            </w:r>
          </w:p>
        </w:tc>
        <w:tc>
          <w:tcPr>
            <w:tcW w:w="7825" w:type="dxa"/>
          </w:tcPr>
          <w:p w14:paraId="48CD9852"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dosis de referencia aguda</w:t>
            </w:r>
          </w:p>
        </w:tc>
      </w:tr>
      <w:tr w:rsidR="002B0DBA" w:rsidRPr="00AB7E72" w14:paraId="25BE3F26" w14:textId="77777777" w:rsidTr="00432727">
        <w:tc>
          <w:tcPr>
            <w:tcW w:w="1389" w:type="dxa"/>
          </w:tcPr>
          <w:p w14:paraId="084E0A7A" w14:textId="77777777" w:rsidR="002B0DBA" w:rsidRPr="00AB7E72" w:rsidRDefault="002B0DBA" w:rsidP="002B0DBA">
            <w:pPr>
              <w:tabs>
                <w:tab w:val="left" w:pos="624"/>
                <w:tab w:val="left" w:pos="1871"/>
                <w:tab w:val="left" w:pos="2495"/>
              </w:tabs>
              <w:ind w:left="34"/>
              <w:rPr>
                <w:color w:val="000000"/>
                <w:lang w:val="es-ES"/>
              </w:rPr>
            </w:pPr>
            <w:r w:rsidRPr="00AB7E72">
              <w:rPr>
                <w:lang w:val="es-ES"/>
              </w:rPr>
              <w:t>DT</w:t>
            </w:r>
            <w:r w:rsidRPr="00AB7E72">
              <w:rPr>
                <w:vertAlign w:val="subscript"/>
                <w:lang w:val="es-ES"/>
              </w:rPr>
              <w:t>50</w:t>
            </w:r>
          </w:p>
        </w:tc>
        <w:tc>
          <w:tcPr>
            <w:tcW w:w="7825" w:type="dxa"/>
          </w:tcPr>
          <w:p w14:paraId="34F49328"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tiempo de disipación</w:t>
            </w:r>
          </w:p>
        </w:tc>
      </w:tr>
      <w:tr w:rsidR="002B0DBA" w:rsidRPr="00AB7E72" w14:paraId="59CEBFD9" w14:textId="77777777" w:rsidTr="00432727">
        <w:tc>
          <w:tcPr>
            <w:tcW w:w="1389" w:type="dxa"/>
          </w:tcPr>
          <w:p w14:paraId="0E895193"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450B33CB" w14:textId="77777777" w:rsidR="002B0DBA" w:rsidRPr="00AB7E72" w:rsidRDefault="002B0DBA" w:rsidP="002B0DBA">
            <w:pPr>
              <w:tabs>
                <w:tab w:val="left" w:pos="624"/>
                <w:tab w:val="left" w:pos="1871"/>
                <w:tab w:val="left" w:pos="2495"/>
              </w:tabs>
              <w:ind w:left="176"/>
              <w:rPr>
                <w:lang w:val="es-ES"/>
              </w:rPr>
            </w:pPr>
          </w:p>
        </w:tc>
      </w:tr>
      <w:tr w:rsidR="002B0DBA" w:rsidRPr="00AB7E72" w14:paraId="1E012823" w14:textId="77777777" w:rsidTr="00432727">
        <w:tc>
          <w:tcPr>
            <w:tcW w:w="1389" w:type="dxa"/>
          </w:tcPr>
          <w:p w14:paraId="6BA2BE26"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EHC</w:t>
            </w:r>
          </w:p>
        </w:tc>
        <w:tc>
          <w:tcPr>
            <w:tcW w:w="7825" w:type="dxa"/>
          </w:tcPr>
          <w:p w14:paraId="5D659B3C"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Environmental Health Criteria</w:t>
            </w:r>
          </w:p>
        </w:tc>
      </w:tr>
      <w:tr w:rsidR="002B0DBA" w:rsidRPr="00AB7E72" w14:paraId="10B198D8" w14:textId="77777777" w:rsidTr="00432727">
        <w:tc>
          <w:tcPr>
            <w:tcW w:w="1389" w:type="dxa"/>
          </w:tcPr>
          <w:p w14:paraId="2D6D8A4D"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EPP</w:t>
            </w:r>
          </w:p>
        </w:tc>
        <w:tc>
          <w:tcPr>
            <w:tcW w:w="7825" w:type="dxa"/>
          </w:tcPr>
          <w:p w14:paraId="5E5F7FAB"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equipo de protección personal</w:t>
            </w:r>
          </w:p>
        </w:tc>
      </w:tr>
      <w:tr w:rsidR="002B0DBA" w:rsidRPr="00AB7E72" w14:paraId="1DA24141" w14:textId="77777777" w:rsidTr="00432727">
        <w:tc>
          <w:tcPr>
            <w:tcW w:w="1389" w:type="dxa"/>
          </w:tcPr>
          <w:p w14:paraId="08414228"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4A93A809" w14:textId="77777777" w:rsidR="002B0DBA" w:rsidRPr="00AB7E72" w:rsidRDefault="002B0DBA" w:rsidP="002B0DBA">
            <w:pPr>
              <w:tabs>
                <w:tab w:val="left" w:pos="624"/>
                <w:tab w:val="left" w:pos="1871"/>
                <w:tab w:val="left" w:pos="2495"/>
              </w:tabs>
              <w:ind w:left="176"/>
              <w:rPr>
                <w:lang w:val="es-ES"/>
              </w:rPr>
            </w:pPr>
          </w:p>
        </w:tc>
      </w:tr>
      <w:tr w:rsidR="002B0DBA" w:rsidRPr="00AB7E72" w14:paraId="3F0BF3D9" w14:textId="77777777" w:rsidTr="00432727">
        <w:tc>
          <w:tcPr>
            <w:tcW w:w="1389" w:type="dxa"/>
          </w:tcPr>
          <w:p w14:paraId="74AE283C"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FAO</w:t>
            </w:r>
          </w:p>
        </w:tc>
        <w:tc>
          <w:tcPr>
            <w:tcW w:w="7825" w:type="dxa"/>
          </w:tcPr>
          <w:p w14:paraId="584A8CE4" w14:textId="1E66F3BD" w:rsidR="002B0DBA" w:rsidRPr="00AB7E72" w:rsidRDefault="002B0DBA" w:rsidP="002B0DBA">
            <w:pPr>
              <w:tabs>
                <w:tab w:val="left" w:pos="624"/>
                <w:tab w:val="left" w:pos="1871"/>
                <w:tab w:val="left" w:pos="2495"/>
              </w:tabs>
              <w:ind w:left="176"/>
              <w:rPr>
                <w:color w:val="000000"/>
                <w:lang w:val="es-ES"/>
              </w:rPr>
            </w:pPr>
            <w:r w:rsidRPr="00AB7E72">
              <w:rPr>
                <w:lang w:val="es-ES"/>
              </w:rPr>
              <w:t xml:space="preserve">Organización de las </w:t>
            </w:r>
            <w:r w:rsidR="00217363" w:rsidRPr="00AB7E72">
              <w:rPr>
                <w:lang w:val="es-ES"/>
              </w:rPr>
              <w:t>Naciones Unidas</w:t>
            </w:r>
            <w:r w:rsidRPr="00AB7E72">
              <w:rPr>
                <w:lang w:val="es-ES"/>
              </w:rPr>
              <w:t xml:space="preserve"> para la Alimentación y la Agricultura</w:t>
            </w:r>
          </w:p>
        </w:tc>
      </w:tr>
      <w:tr w:rsidR="002B0DBA" w:rsidRPr="00AB7E72" w14:paraId="562F6AD9" w14:textId="77777777" w:rsidTr="00432727">
        <w:tc>
          <w:tcPr>
            <w:tcW w:w="1389" w:type="dxa"/>
          </w:tcPr>
          <w:p w14:paraId="4896B0AF"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58051625" w14:textId="77777777" w:rsidR="002B0DBA" w:rsidRPr="00AB7E72" w:rsidRDefault="002B0DBA" w:rsidP="002B0DBA">
            <w:pPr>
              <w:tabs>
                <w:tab w:val="left" w:pos="624"/>
                <w:tab w:val="left" w:pos="1871"/>
                <w:tab w:val="left" w:pos="2495"/>
              </w:tabs>
              <w:ind w:left="176"/>
              <w:rPr>
                <w:lang w:val="es-ES"/>
              </w:rPr>
            </w:pPr>
          </w:p>
        </w:tc>
      </w:tr>
      <w:tr w:rsidR="002B0DBA" w:rsidRPr="00AB7E72" w14:paraId="0C1E10A4" w14:textId="77777777" w:rsidTr="00432727">
        <w:tc>
          <w:tcPr>
            <w:tcW w:w="1389" w:type="dxa"/>
          </w:tcPr>
          <w:p w14:paraId="7422E5C3"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g</w:t>
            </w:r>
          </w:p>
        </w:tc>
        <w:tc>
          <w:tcPr>
            <w:tcW w:w="7825" w:type="dxa"/>
          </w:tcPr>
          <w:p w14:paraId="79D56F5C"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gramo</w:t>
            </w:r>
          </w:p>
        </w:tc>
      </w:tr>
      <w:tr w:rsidR="002B0DBA" w:rsidRPr="00AB7E72" w14:paraId="0F951454" w14:textId="77777777" w:rsidTr="00432727">
        <w:tc>
          <w:tcPr>
            <w:tcW w:w="1389" w:type="dxa"/>
          </w:tcPr>
          <w:p w14:paraId="78710C90"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23FBD7DE" w14:textId="77777777" w:rsidR="002B0DBA" w:rsidRPr="00AB7E72" w:rsidRDefault="002B0DBA" w:rsidP="002B0DBA">
            <w:pPr>
              <w:tabs>
                <w:tab w:val="left" w:pos="624"/>
                <w:tab w:val="left" w:pos="1871"/>
                <w:tab w:val="left" w:pos="2495"/>
              </w:tabs>
              <w:ind w:left="176"/>
              <w:rPr>
                <w:lang w:val="es-ES"/>
              </w:rPr>
            </w:pPr>
          </w:p>
        </w:tc>
      </w:tr>
      <w:tr w:rsidR="002B0DBA" w:rsidRPr="00AB7E72" w14:paraId="132C9E79" w14:textId="77777777" w:rsidTr="00432727">
        <w:tc>
          <w:tcPr>
            <w:tcW w:w="1389" w:type="dxa"/>
          </w:tcPr>
          <w:p w14:paraId="6539823A"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h</w:t>
            </w:r>
          </w:p>
        </w:tc>
        <w:tc>
          <w:tcPr>
            <w:tcW w:w="7825" w:type="dxa"/>
          </w:tcPr>
          <w:p w14:paraId="6A45CF3F"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hora</w:t>
            </w:r>
          </w:p>
        </w:tc>
      </w:tr>
      <w:tr w:rsidR="002B0DBA" w:rsidRPr="00AB7E72" w14:paraId="71D7E8D7" w14:textId="77777777" w:rsidTr="00432727">
        <w:tc>
          <w:tcPr>
            <w:tcW w:w="1389" w:type="dxa"/>
          </w:tcPr>
          <w:p w14:paraId="31C841BA"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ha</w:t>
            </w:r>
          </w:p>
        </w:tc>
        <w:tc>
          <w:tcPr>
            <w:tcW w:w="7825" w:type="dxa"/>
          </w:tcPr>
          <w:p w14:paraId="6A8E5821"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hectárea</w:t>
            </w:r>
          </w:p>
        </w:tc>
      </w:tr>
      <w:tr w:rsidR="002B0DBA" w:rsidRPr="00AB7E72" w14:paraId="556072E9" w14:textId="77777777" w:rsidTr="00432727">
        <w:tc>
          <w:tcPr>
            <w:tcW w:w="1389" w:type="dxa"/>
          </w:tcPr>
          <w:p w14:paraId="030C6DCE"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0EDD2851" w14:textId="77777777" w:rsidR="002B0DBA" w:rsidRPr="00AB7E72" w:rsidRDefault="002B0DBA" w:rsidP="002B0DBA">
            <w:pPr>
              <w:tabs>
                <w:tab w:val="left" w:pos="624"/>
                <w:tab w:val="left" w:pos="1871"/>
                <w:tab w:val="left" w:pos="2495"/>
              </w:tabs>
              <w:ind w:left="176"/>
              <w:rPr>
                <w:lang w:val="es-ES"/>
              </w:rPr>
            </w:pPr>
          </w:p>
        </w:tc>
      </w:tr>
      <w:tr w:rsidR="002B0DBA" w:rsidRPr="00AB7E72" w14:paraId="06A130C3" w14:textId="77777777" w:rsidTr="00432727">
        <w:tc>
          <w:tcPr>
            <w:tcW w:w="1389" w:type="dxa"/>
          </w:tcPr>
          <w:p w14:paraId="70252A0F"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i.m.</w:t>
            </w:r>
          </w:p>
        </w:tc>
        <w:tc>
          <w:tcPr>
            <w:tcW w:w="7825" w:type="dxa"/>
          </w:tcPr>
          <w:p w14:paraId="5CCB8459"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Intramuscular</w:t>
            </w:r>
          </w:p>
        </w:tc>
      </w:tr>
      <w:tr w:rsidR="002B0DBA" w:rsidRPr="00AB7E72" w14:paraId="65EDF299" w14:textId="77777777" w:rsidTr="00432727">
        <w:tc>
          <w:tcPr>
            <w:tcW w:w="1389" w:type="dxa"/>
          </w:tcPr>
          <w:p w14:paraId="70D867ED"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i.p.</w:t>
            </w:r>
          </w:p>
        </w:tc>
        <w:tc>
          <w:tcPr>
            <w:tcW w:w="7825" w:type="dxa"/>
          </w:tcPr>
          <w:p w14:paraId="3917ED0E"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Intraperitoneal</w:t>
            </w:r>
          </w:p>
        </w:tc>
      </w:tr>
      <w:tr w:rsidR="002B0DBA" w:rsidRPr="00AB7E72" w14:paraId="62B9BAC4" w14:textId="77777777" w:rsidTr="00432727">
        <w:tc>
          <w:tcPr>
            <w:tcW w:w="1389" w:type="dxa"/>
          </w:tcPr>
          <w:p w14:paraId="7480C07B"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IBAMA</w:t>
            </w:r>
          </w:p>
        </w:tc>
        <w:tc>
          <w:tcPr>
            <w:tcW w:w="7825" w:type="dxa"/>
          </w:tcPr>
          <w:p w14:paraId="0A6513EA"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Instituto Brasileño del Medio Ambiente y los Recursos Naturales Renovables</w:t>
            </w:r>
          </w:p>
        </w:tc>
      </w:tr>
      <w:tr w:rsidR="002B0DBA" w:rsidRPr="00AB7E72" w14:paraId="19CA5E64" w14:textId="77777777" w:rsidTr="00432727">
        <w:tc>
          <w:tcPr>
            <w:tcW w:w="1389" w:type="dxa"/>
          </w:tcPr>
          <w:p w14:paraId="0A3EEB57"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IDA</w:t>
            </w:r>
          </w:p>
        </w:tc>
        <w:tc>
          <w:tcPr>
            <w:tcW w:w="7825" w:type="dxa"/>
          </w:tcPr>
          <w:p w14:paraId="2AD71EEE" w14:textId="77777777" w:rsidR="002B0DBA" w:rsidRPr="00AB7E72" w:rsidRDefault="002B0DBA" w:rsidP="001946EF">
            <w:pPr>
              <w:tabs>
                <w:tab w:val="left" w:pos="624"/>
                <w:tab w:val="left" w:pos="1871"/>
                <w:tab w:val="left" w:pos="2495"/>
              </w:tabs>
              <w:ind w:left="176"/>
              <w:rPr>
                <w:color w:val="000000"/>
                <w:lang w:val="es-ES"/>
              </w:rPr>
            </w:pPr>
            <w:r w:rsidRPr="00AB7E72">
              <w:rPr>
                <w:lang w:val="es-ES"/>
              </w:rPr>
              <w:t>ingesta diaria admisible</w:t>
            </w:r>
          </w:p>
        </w:tc>
      </w:tr>
      <w:tr w:rsidR="002B0DBA" w:rsidRPr="00AB7E72" w14:paraId="273EA6DE" w14:textId="77777777" w:rsidTr="00432727">
        <w:tc>
          <w:tcPr>
            <w:tcW w:w="1389" w:type="dxa"/>
          </w:tcPr>
          <w:p w14:paraId="0393D236"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58F417B7" w14:textId="77777777" w:rsidR="002B0DBA" w:rsidRPr="00AB7E72" w:rsidRDefault="002B0DBA" w:rsidP="002B0DBA">
            <w:pPr>
              <w:tabs>
                <w:tab w:val="left" w:pos="624"/>
                <w:tab w:val="left" w:pos="1871"/>
                <w:tab w:val="left" w:pos="2495"/>
              </w:tabs>
              <w:ind w:left="176"/>
              <w:rPr>
                <w:lang w:val="es-ES"/>
              </w:rPr>
            </w:pPr>
          </w:p>
        </w:tc>
      </w:tr>
      <w:tr w:rsidR="002B0DBA" w:rsidRPr="00AB7E72" w14:paraId="4B13A135" w14:textId="77777777" w:rsidTr="00432727">
        <w:tc>
          <w:tcPr>
            <w:tcW w:w="1389" w:type="dxa"/>
          </w:tcPr>
          <w:p w14:paraId="29944EE4"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JMPR</w:t>
            </w:r>
          </w:p>
        </w:tc>
        <w:tc>
          <w:tcPr>
            <w:tcW w:w="7825" w:type="dxa"/>
          </w:tcPr>
          <w:p w14:paraId="39A35C2B"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Reunión Conjunta de la FAO y la OMS sobre Residuos de Plaguicidas (reunión conjunta del Grupo de expertos de la FAO sobre residuos de plaguicidas en los alimentos y el medio ambiente)</w:t>
            </w:r>
          </w:p>
        </w:tc>
      </w:tr>
      <w:tr w:rsidR="002B0DBA" w:rsidRPr="00AB7E72" w14:paraId="1F9CF4AF" w14:textId="77777777" w:rsidTr="00432727">
        <w:tc>
          <w:tcPr>
            <w:tcW w:w="1389" w:type="dxa"/>
          </w:tcPr>
          <w:p w14:paraId="4B1C41F3"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161ADD00" w14:textId="77777777" w:rsidR="002B0DBA" w:rsidRPr="00AB7E72" w:rsidRDefault="002B0DBA" w:rsidP="002B0DBA">
            <w:pPr>
              <w:tabs>
                <w:tab w:val="left" w:pos="624"/>
                <w:tab w:val="left" w:pos="1871"/>
                <w:tab w:val="left" w:pos="2495"/>
              </w:tabs>
              <w:ind w:left="176"/>
              <w:rPr>
                <w:lang w:val="es-ES"/>
              </w:rPr>
            </w:pPr>
          </w:p>
        </w:tc>
      </w:tr>
      <w:tr w:rsidR="002B0DBA" w:rsidRPr="00AB7E72" w14:paraId="130AE4E6" w14:textId="77777777" w:rsidTr="00432727">
        <w:tc>
          <w:tcPr>
            <w:tcW w:w="1389" w:type="dxa"/>
          </w:tcPr>
          <w:p w14:paraId="6363B371"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k</w:t>
            </w:r>
          </w:p>
        </w:tc>
        <w:tc>
          <w:tcPr>
            <w:tcW w:w="7825" w:type="dxa"/>
          </w:tcPr>
          <w:p w14:paraId="02E7D60A"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kilo (x 1.000)</w:t>
            </w:r>
          </w:p>
        </w:tc>
      </w:tr>
      <w:tr w:rsidR="002B0DBA" w:rsidRPr="00AB7E72" w14:paraId="35B13865" w14:textId="77777777" w:rsidTr="00432727">
        <w:tc>
          <w:tcPr>
            <w:tcW w:w="1389" w:type="dxa"/>
          </w:tcPr>
          <w:p w14:paraId="23FC05EE"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kg</w:t>
            </w:r>
          </w:p>
        </w:tc>
        <w:tc>
          <w:tcPr>
            <w:tcW w:w="7825" w:type="dxa"/>
          </w:tcPr>
          <w:p w14:paraId="167C32B0"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kilogramo</w:t>
            </w:r>
          </w:p>
        </w:tc>
      </w:tr>
      <w:tr w:rsidR="002B0DBA" w:rsidRPr="00AB7E72" w14:paraId="1403413D" w14:textId="77777777" w:rsidTr="00432727">
        <w:tc>
          <w:tcPr>
            <w:tcW w:w="1389" w:type="dxa"/>
          </w:tcPr>
          <w:p w14:paraId="6ACD45D8"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K</w:t>
            </w:r>
            <w:r w:rsidRPr="00AB7E72">
              <w:rPr>
                <w:vertAlign w:val="subscript"/>
                <w:lang w:val="es-ES"/>
              </w:rPr>
              <w:t>oc</w:t>
            </w:r>
          </w:p>
        </w:tc>
        <w:tc>
          <w:tcPr>
            <w:tcW w:w="7825" w:type="dxa"/>
          </w:tcPr>
          <w:p w14:paraId="5FFD506D"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coeficiente de separación orgánico-suelo</w:t>
            </w:r>
          </w:p>
        </w:tc>
      </w:tr>
      <w:tr w:rsidR="002B0DBA" w:rsidRPr="00AB7E72" w14:paraId="1C447DA8" w14:textId="77777777" w:rsidTr="00432727">
        <w:tc>
          <w:tcPr>
            <w:tcW w:w="1389" w:type="dxa"/>
          </w:tcPr>
          <w:p w14:paraId="5BEA7A41"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K</w:t>
            </w:r>
            <w:r w:rsidRPr="00AB7E72">
              <w:rPr>
                <w:vertAlign w:val="subscript"/>
                <w:lang w:val="es-ES"/>
              </w:rPr>
              <w:t>ow</w:t>
            </w:r>
          </w:p>
        </w:tc>
        <w:tc>
          <w:tcPr>
            <w:tcW w:w="7825" w:type="dxa"/>
          </w:tcPr>
          <w:p w14:paraId="4D60F930"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coeficiente de separación octano y agua</w:t>
            </w:r>
          </w:p>
        </w:tc>
      </w:tr>
      <w:tr w:rsidR="002B0DBA" w:rsidRPr="00AB7E72" w14:paraId="02D13DE5" w14:textId="77777777" w:rsidTr="00432727">
        <w:tc>
          <w:tcPr>
            <w:tcW w:w="1389" w:type="dxa"/>
          </w:tcPr>
          <w:p w14:paraId="0A9559FF"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kPa</w:t>
            </w:r>
          </w:p>
        </w:tc>
        <w:tc>
          <w:tcPr>
            <w:tcW w:w="7825" w:type="dxa"/>
          </w:tcPr>
          <w:p w14:paraId="1EAA3573"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kilopascal</w:t>
            </w:r>
          </w:p>
        </w:tc>
      </w:tr>
      <w:tr w:rsidR="002B0DBA" w:rsidRPr="00AB7E72" w14:paraId="7BCA10C6" w14:textId="77777777" w:rsidTr="00432727">
        <w:tc>
          <w:tcPr>
            <w:tcW w:w="1389" w:type="dxa"/>
          </w:tcPr>
          <w:p w14:paraId="304027C0"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2841B504" w14:textId="77777777" w:rsidR="002B0DBA" w:rsidRPr="00AB7E72" w:rsidRDefault="002B0DBA" w:rsidP="002B0DBA">
            <w:pPr>
              <w:tabs>
                <w:tab w:val="left" w:pos="624"/>
                <w:tab w:val="left" w:pos="1871"/>
                <w:tab w:val="left" w:pos="2495"/>
              </w:tabs>
              <w:ind w:left="176"/>
              <w:rPr>
                <w:lang w:val="es-ES"/>
              </w:rPr>
            </w:pPr>
          </w:p>
        </w:tc>
      </w:tr>
      <w:tr w:rsidR="002B0DBA" w:rsidRPr="00AB7E72" w14:paraId="3C7F58F4" w14:textId="77777777" w:rsidTr="00432727">
        <w:tc>
          <w:tcPr>
            <w:tcW w:w="1389" w:type="dxa"/>
          </w:tcPr>
          <w:p w14:paraId="11F27039"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l</w:t>
            </w:r>
          </w:p>
        </w:tc>
        <w:tc>
          <w:tcPr>
            <w:tcW w:w="7825" w:type="dxa"/>
          </w:tcPr>
          <w:p w14:paraId="1CC7EA97"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litro</w:t>
            </w:r>
          </w:p>
        </w:tc>
      </w:tr>
      <w:tr w:rsidR="002B0DBA" w:rsidRPr="00AB7E72" w14:paraId="179A4A5C" w14:textId="77777777" w:rsidTr="00432727">
        <w:tc>
          <w:tcPr>
            <w:tcW w:w="1389" w:type="dxa"/>
          </w:tcPr>
          <w:p w14:paraId="7C846805" w14:textId="4C8A2066" w:rsidR="002B0DBA" w:rsidRPr="00AB7E72" w:rsidRDefault="002B0DBA" w:rsidP="002B0DBA">
            <w:pPr>
              <w:tabs>
                <w:tab w:val="left" w:pos="624"/>
                <w:tab w:val="left" w:pos="1871"/>
                <w:tab w:val="left" w:pos="2495"/>
              </w:tabs>
              <w:ind w:left="176" w:hanging="142"/>
              <w:rPr>
                <w:color w:val="000000"/>
                <w:lang w:val="es-ES"/>
              </w:rPr>
            </w:pPr>
            <w:r w:rsidRPr="00C47EF7">
              <w:rPr>
                <w:lang w:val="es-ES"/>
              </w:rPr>
              <w:t>D</w:t>
            </w:r>
            <w:r w:rsidR="00C47EF7" w:rsidRPr="00C47EF7">
              <w:rPr>
                <w:lang w:val="es-ES"/>
              </w:rPr>
              <w:t>L</w:t>
            </w:r>
            <w:r w:rsidRPr="00C47EF7">
              <w:rPr>
                <w:vertAlign w:val="subscript"/>
                <w:lang w:val="es-ES"/>
              </w:rPr>
              <w:t>50</w:t>
            </w:r>
          </w:p>
        </w:tc>
        <w:tc>
          <w:tcPr>
            <w:tcW w:w="7825" w:type="dxa"/>
          </w:tcPr>
          <w:p w14:paraId="7E9790C8"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dosis letal media</w:t>
            </w:r>
          </w:p>
        </w:tc>
      </w:tr>
      <w:tr w:rsidR="002B0DBA" w:rsidRPr="00AB7E72" w14:paraId="62AD35D7" w14:textId="77777777" w:rsidTr="00432727">
        <w:tc>
          <w:tcPr>
            <w:tcW w:w="1389" w:type="dxa"/>
          </w:tcPr>
          <w:p w14:paraId="15236F16"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LOAEL</w:t>
            </w:r>
          </w:p>
        </w:tc>
        <w:tc>
          <w:tcPr>
            <w:tcW w:w="7825" w:type="dxa"/>
          </w:tcPr>
          <w:p w14:paraId="0B69534C"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nivel con mínimo efecto nocivo observado</w:t>
            </w:r>
          </w:p>
        </w:tc>
      </w:tr>
      <w:tr w:rsidR="002B0DBA" w:rsidRPr="00AB7E72" w14:paraId="65682BB9" w14:textId="77777777" w:rsidTr="00432727">
        <w:tc>
          <w:tcPr>
            <w:tcW w:w="1389" w:type="dxa"/>
          </w:tcPr>
          <w:p w14:paraId="29F771E4"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LOEL</w:t>
            </w:r>
          </w:p>
        </w:tc>
        <w:tc>
          <w:tcPr>
            <w:tcW w:w="7825" w:type="dxa"/>
          </w:tcPr>
          <w:p w14:paraId="14D90A2D"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nivel con mínimo efecto observado</w:t>
            </w:r>
          </w:p>
        </w:tc>
      </w:tr>
      <w:tr w:rsidR="002B0DBA" w:rsidRPr="00AB7E72" w14:paraId="77B36767" w14:textId="77777777" w:rsidTr="00432727">
        <w:tc>
          <w:tcPr>
            <w:tcW w:w="1389" w:type="dxa"/>
          </w:tcPr>
          <w:p w14:paraId="68624E11"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1E59D7AA" w14:textId="77777777" w:rsidR="002B0DBA" w:rsidRPr="00AB7E72" w:rsidRDefault="002B0DBA" w:rsidP="002B0DBA">
            <w:pPr>
              <w:tabs>
                <w:tab w:val="left" w:pos="624"/>
                <w:tab w:val="left" w:pos="1871"/>
                <w:tab w:val="left" w:pos="2495"/>
              </w:tabs>
              <w:ind w:left="176"/>
              <w:rPr>
                <w:lang w:val="es-ES"/>
              </w:rPr>
            </w:pPr>
          </w:p>
        </w:tc>
      </w:tr>
      <w:tr w:rsidR="002B0DBA" w:rsidRPr="00AB7E72" w14:paraId="729898DD" w14:textId="77777777" w:rsidTr="00432727">
        <w:tc>
          <w:tcPr>
            <w:tcW w:w="1389" w:type="dxa"/>
          </w:tcPr>
          <w:p w14:paraId="3892C1AC"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m</w:t>
            </w:r>
          </w:p>
        </w:tc>
        <w:tc>
          <w:tcPr>
            <w:tcW w:w="7825" w:type="dxa"/>
          </w:tcPr>
          <w:p w14:paraId="711CA2A5"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metro</w:t>
            </w:r>
          </w:p>
        </w:tc>
      </w:tr>
      <w:tr w:rsidR="002B0DBA" w:rsidRPr="00AB7E72" w14:paraId="49BB78C0" w14:textId="77777777" w:rsidTr="00432727">
        <w:tc>
          <w:tcPr>
            <w:tcW w:w="1389" w:type="dxa"/>
          </w:tcPr>
          <w:p w14:paraId="632D391D"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MAPA</w:t>
            </w:r>
          </w:p>
        </w:tc>
        <w:tc>
          <w:tcPr>
            <w:tcW w:w="7825" w:type="dxa"/>
          </w:tcPr>
          <w:p w14:paraId="58F4FDDA"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Ministerio de Agricultura, Ganadería y Abastecimientos</w:t>
            </w:r>
          </w:p>
        </w:tc>
      </w:tr>
      <w:tr w:rsidR="002B0DBA" w:rsidRPr="00AB7E72" w14:paraId="48EFAED4" w14:textId="77777777" w:rsidTr="00432727">
        <w:tc>
          <w:tcPr>
            <w:tcW w:w="1389" w:type="dxa"/>
          </w:tcPr>
          <w:p w14:paraId="38142E73"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MDE</w:t>
            </w:r>
          </w:p>
          <w:p w14:paraId="7946BD4D"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mPa</w:t>
            </w:r>
          </w:p>
        </w:tc>
        <w:tc>
          <w:tcPr>
            <w:tcW w:w="7825" w:type="dxa"/>
          </w:tcPr>
          <w:p w14:paraId="29D936C6"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margen de exposición</w:t>
            </w:r>
          </w:p>
          <w:p w14:paraId="0D1710E4"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miliPascal</w:t>
            </w:r>
          </w:p>
        </w:tc>
      </w:tr>
      <w:tr w:rsidR="002B0DBA" w:rsidRPr="00AB7E72" w14:paraId="6C68C48A" w14:textId="77777777" w:rsidTr="00432727">
        <w:tc>
          <w:tcPr>
            <w:tcW w:w="1389" w:type="dxa"/>
          </w:tcPr>
          <w:p w14:paraId="2E12D71B"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mg</w:t>
            </w:r>
          </w:p>
        </w:tc>
        <w:tc>
          <w:tcPr>
            <w:tcW w:w="7825" w:type="dxa"/>
          </w:tcPr>
          <w:p w14:paraId="23D2E35A"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miligramo</w:t>
            </w:r>
          </w:p>
        </w:tc>
      </w:tr>
      <w:tr w:rsidR="002B0DBA" w:rsidRPr="00AB7E72" w14:paraId="1CF76EB0" w14:textId="77777777" w:rsidTr="00432727">
        <w:tc>
          <w:tcPr>
            <w:tcW w:w="1389" w:type="dxa"/>
          </w:tcPr>
          <w:p w14:paraId="0A48E1F7"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MIP</w:t>
            </w:r>
          </w:p>
        </w:tc>
        <w:tc>
          <w:tcPr>
            <w:tcW w:w="7825" w:type="dxa"/>
          </w:tcPr>
          <w:p w14:paraId="29116FB6"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manejo integrado de plagas</w:t>
            </w:r>
          </w:p>
        </w:tc>
      </w:tr>
      <w:tr w:rsidR="002B0DBA" w:rsidRPr="00AB7E72" w14:paraId="38C306D4" w14:textId="77777777" w:rsidTr="00432727">
        <w:tc>
          <w:tcPr>
            <w:tcW w:w="1389" w:type="dxa"/>
          </w:tcPr>
          <w:p w14:paraId="5B5E1A0C"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ml</w:t>
            </w:r>
          </w:p>
        </w:tc>
        <w:tc>
          <w:tcPr>
            <w:tcW w:w="7825" w:type="dxa"/>
          </w:tcPr>
          <w:p w14:paraId="441A1C78"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mililitro</w:t>
            </w:r>
          </w:p>
        </w:tc>
      </w:tr>
      <w:tr w:rsidR="002B0DBA" w:rsidRPr="00AB7E72" w14:paraId="1B0E895F" w14:textId="77777777" w:rsidTr="00432727">
        <w:tc>
          <w:tcPr>
            <w:tcW w:w="1389" w:type="dxa"/>
          </w:tcPr>
          <w:p w14:paraId="2CE9C7B0"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MRL</w:t>
            </w:r>
          </w:p>
        </w:tc>
        <w:tc>
          <w:tcPr>
            <w:tcW w:w="7825" w:type="dxa"/>
          </w:tcPr>
          <w:p w14:paraId="1F9E6828" w14:textId="77777777" w:rsidR="002B0DBA" w:rsidRPr="00AB7E72" w:rsidDel="004C4261" w:rsidRDefault="002B0DBA" w:rsidP="002B0DBA">
            <w:pPr>
              <w:tabs>
                <w:tab w:val="left" w:pos="624"/>
                <w:tab w:val="left" w:pos="1871"/>
                <w:tab w:val="left" w:pos="2495"/>
              </w:tabs>
              <w:ind w:left="176"/>
              <w:rPr>
                <w:color w:val="000000"/>
                <w:lang w:val="es-ES"/>
              </w:rPr>
            </w:pPr>
            <w:r w:rsidRPr="00AB7E72">
              <w:rPr>
                <w:lang w:val="es-ES"/>
              </w:rPr>
              <w:t>límite máximo para residuos</w:t>
            </w:r>
          </w:p>
        </w:tc>
      </w:tr>
      <w:tr w:rsidR="002B0DBA" w:rsidRPr="00AB7E72" w14:paraId="78896734" w14:textId="77777777" w:rsidTr="00432727">
        <w:tc>
          <w:tcPr>
            <w:tcW w:w="1389" w:type="dxa"/>
          </w:tcPr>
          <w:p w14:paraId="17B8B5E4"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MTD</w:t>
            </w:r>
          </w:p>
        </w:tc>
        <w:tc>
          <w:tcPr>
            <w:tcW w:w="7825" w:type="dxa"/>
          </w:tcPr>
          <w:p w14:paraId="24269E08"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dosis máxima tolerada</w:t>
            </w:r>
          </w:p>
        </w:tc>
      </w:tr>
      <w:tr w:rsidR="002B0DBA" w:rsidRPr="00AB7E72" w:rsidDel="00357419" w14:paraId="1E06721B" w14:textId="77777777" w:rsidTr="00432727">
        <w:tc>
          <w:tcPr>
            <w:tcW w:w="1389" w:type="dxa"/>
          </w:tcPr>
          <w:p w14:paraId="4A492EF9" w14:textId="77777777" w:rsidR="002B0DBA" w:rsidRPr="00AB7E72" w:rsidRDefault="002B0DBA" w:rsidP="002B0DBA">
            <w:pPr>
              <w:tabs>
                <w:tab w:val="left" w:pos="624"/>
                <w:tab w:val="left" w:pos="1871"/>
                <w:tab w:val="left" w:pos="2495"/>
              </w:tabs>
              <w:rPr>
                <w:lang w:val="es-ES"/>
              </w:rPr>
            </w:pPr>
          </w:p>
        </w:tc>
        <w:tc>
          <w:tcPr>
            <w:tcW w:w="7825" w:type="dxa"/>
          </w:tcPr>
          <w:p w14:paraId="749BF4AC" w14:textId="77777777" w:rsidR="002B0DBA" w:rsidRPr="00AB7E72" w:rsidRDefault="002B0DBA" w:rsidP="002B0DBA">
            <w:pPr>
              <w:tabs>
                <w:tab w:val="left" w:pos="624"/>
                <w:tab w:val="left" w:pos="1871"/>
                <w:tab w:val="left" w:pos="2495"/>
              </w:tabs>
              <w:rPr>
                <w:lang w:val="es-ES"/>
              </w:rPr>
            </w:pPr>
          </w:p>
        </w:tc>
      </w:tr>
      <w:tr w:rsidR="002B0DBA" w:rsidRPr="00AB7E72" w:rsidDel="00357419" w14:paraId="41C6A90B" w14:textId="77777777" w:rsidTr="00432727">
        <w:tc>
          <w:tcPr>
            <w:tcW w:w="1389" w:type="dxa"/>
          </w:tcPr>
          <w:p w14:paraId="785446F4" w14:textId="77777777" w:rsidR="002B0DBA" w:rsidRPr="00AB7E72" w:rsidDel="00357419" w:rsidRDefault="002B0DBA" w:rsidP="002B0DBA">
            <w:pPr>
              <w:tabs>
                <w:tab w:val="left" w:pos="624"/>
                <w:tab w:val="left" w:pos="1871"/>
                <w:tab w:val="left" w:pos="2495"/>
              </w:tabs>
              <w:rPr>
                <w:color w:val="000000"/>
                <w:lang w:val="es-ES"/>
              </w:rPr>
            </w:pPr>
            <w:r w:rsidRPr="00AB7E72">
              <w:rPr>
                <w:lang w:val="es-ES"/>
              </w:rPr>
              <w:t>NEAO</w:t>
            </w:r>
          </w:p>
        </w:tc>
        <w:tc>
          <w:tcPr>
            <w:tcW w:w="7825" w:type="dxa"/>
          </w:tcPr>
          <w:p w14:paraId="5432F3FA" w14:textId="77777777" w:rsidR="002B0DBA" w:rsidRPr="00AB7E72" w:rsidDel="00357419" w:rsidRDefault="002B0DBA" w:rsidP="002B0DBA">
            <w:pPr>
              <w:tabs>
                <w:tab w:val="left" w:pos="624"/>
                <w:tab w:val="left" w:pos="1871"/>
                <w:tab w:val="left" w:pos="2495"/>
              </w:tabs>
              <w:ind w:left="176"/>
              <w:rPr>
                <w:color w:val="000000"/>
                <w:lang w:val="es-ES"/>
              </w:rPr>
            </w:pPr>
            <w:r w:rsidRPr="00AB7E72">
              <w:rPr>
                <w:lang w:val="es-ES"/>
              </w:rPr>
              <w:t>nivel de exposición admisible para el operario</w:t>
            </w:r>
          </w:p>
        </w:tc>
      </w:tr>
      <w:tr w:rsidR="002B0DBA" w:rsidRPr="00AB7E72" w14:paraId="2EFDE905" w14:textId="77777777" w:rsidTr="00432727">
        <w:tc>
          <w:tcPr>
            <w:tcW w:w="1389" w:type="dxa"/>
          </w:tcPr>
          <w:p w14:paraId="7D4FE20F"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ng</w:t>
            </w:r>
          </w:p>
        </w:tc>
        <w:tc>
          <w:tcPr>
            <w:tcW w:w="7825" w:type="dxa"/>
          </w:tcPr>
          <w:p w14:paraId="7CA05C32"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nanogramo</w:t>
            </w:r>
          </w:p>
        </w:tc>
      </w:tr>
      <w:tr w:rsidR="002B0DBA" w:rsidRPr="00AB7E72" w14:paraId="669F05AD" w14:textId="77777777" w:rsidTr="00432727">
        <w:tc>
          <w:tcPr>
            <w:tcW w:w="1389" w:type="dxa"/>
          </w:tcPr>
          <w:p w14:paraId="5DE12C39"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NOAEC</w:t>
            </w:r>
          </w:p>
        </w:tc>
        <w:tc>
          <w:tcPr>
            <w:tcW w:w="7825" w:type="dxa"/>
          </w:tcPr>
          <w:p w14:paraId="226A6485"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concentración sin efectos nocivos observados</w:t>
            </w:r>
          </w:p>
        </w:tc>
      </w:tr>
      <w:tr w:rsidR="002B0DBA" w:rsidRPr="00AB7E72" w14:paraId="5CD20BA0" w14:textId="77777777" w:rsidTr="00432727">
        <w:tc>
          <w:tcPr>
            <w:tcW w:w="1389" w:type="dxa"/>
          </w:tcPr>
          <w:p w14:paraId="7DA9A2FF"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NOAEL</w:t>
            </w:r>
          </w:p>
        </w:tc>
        <w:tc>
          <w:tcPr>
            <w:tcW w:w="7825" w:type="dxa"/>
          </w:tcPr>
          <w:p w14:paraId="6FDF1914"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nivel sin efecto nocivo observado</w:t>
            </w:r>
          </w:p>
        </w:tc>
      </w:tr>
      <w:tr w:rsidR="002B0DBA" w:rsidRPr="00AB7E72" w14:paraId="2E46D3E9" w14:textId="77777777" w:rsidTr="00432727">
        <w:tc>
          <w:tcPr>
            <w:tcW w:w="1389" w:type="dxa"/>
          </w:tcPr>
          <w:p w14:paraId="0114E09B"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NOEC</w:t>
            </w:r>
          </w:p>
        </w:tc>
        <w:tc>
          <w:tcPr>
            <w:tcW w:w="7825" w:type="dxa"/>
          </w:tcPr>
          <w:p w14:paraId="18F947DE"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concentración sin efecto observado</w:t>
            </w:r>
          </w:p>
        </w:tc>
      </w:tr>
      <w:tr w:rsidR="002B0DBA" w:rsidRPr="00AB7E72" w14:paraId="5B5EB6F9" w14:textId="77777777" w:rsidTr="00432727">
        <w:tc>
          <w:tcPr>
            <w:tcW w:w="1389" w:type="dxa"/>
          </w:tcPr>
          <w:p w14:paraId="6E3C62D4"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NOEL</w:t>
            </w:r>
          </w:p>
        </w:tc>
        <w:tc>
          <w:tcPr>
            <w:tcW w:w="7825" w:type="dxa"/>
          </w:tcPr>
          <w:p w14:paraId="1DA844A9"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nivel sin efecto observado</w:t>
            </w:r>
          </w:p>
        </w:tc>
      </w:tr>
      <w:tr w:rsidR="002B0DBA" w:rsidRPr="00AB7E72" w14:paraId="6F51CF69" w14:textId="77777777" w:rsidTr="00432727">
        <w:tc>
          <w:tcPr>
            <w:tcW w:w="1389" w:type="dxa"/>
          </w:tcPr>
          <w:p w14:paraId="5B9E5568"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643F66A6" w14:textId="77777777" w:rsidR="002B0DBA" w:rsidRPr="00AB7E72" w:rsidRDefault="002B0DBA" w:rsidP="002B0DBA">
            <w:pPr>
              <w:tabs>
                <w:tab w:val="left" w:pos="624"/>
                <w:tab w:val="left" w:pos="1871"/>
                <w:tab w:val="left" w:pos="2495"/>
              </w:tabs>
              <w:ind w:left="176"/>
              <w:rPr>
                <w:lang w:val="es-ES"/>
              </w:rPr>
            </w:pPr>
          </w:p>
        </w:tc>
      </w:tr>
      <w:tr w:rsidR="002B0DBA" w:rsidRPr="00AB7E72" w14:paraId="598F4FDC" w14:textId="77777777" w:rsidTr="00432727">
        <w:tc>
          <w:tcPr>
            <w:tcW w:w="1389" w:type="dxa"/>
          </w:tcPr>
          <w:p w14:paraId="308ED892"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OCDE</w:t>
            </w:r>
          </w:p>
        </w:tc>
        <w:tc>
          <w:tcPr>
            <w:tcW w:w="7825" w:type="dxa"/>
          </w:tcPr>
          <w:p w14:paraId="73172264"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Organización de Cooperación y Desarrollo Económicos</w:t>
            </w:r>
          </w:p>
        </w:tc>
      </w:tr>
      <w:tr w:rsidR="002B0DBA" w:rsidRPr="00AB7E72" w14:paraId="7AB11DFD" w14:textId="77777777" w:rsidTr="00432727">
        <w:tc>
          <w:tcPr>
            <w:tcW w:w="1389" w:type="dxa"/>
          </w:tcPr>
          <w:p w14:paraId="69F79CBC"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OIT</w:t>
            </w:r>
          </w:p>
        </w:tc>
        <w:tc>
          <w:tcPr>
            <w:tcW w:w="7825" w:type="dxa"/>
          </w:tcPr>
          <w:p w14:paraId="5B44D520"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Organización Internacional del Trabajo</w:t>
            </w:r>
          </w:p>
        </w:tc>
      </w:tr>
      <w:tr w:rsidR="002B0DBA" w:rsidRPr="00AB7E72" w14:paraId="7C5EB3AA" w14:textId="77777777" w:rsidTr="00432727">
        <w:tc>
          <w:tcPr>
            <w:tcW w:w="1389" w:type="dxa"/>
          </w:tcPr>
          <w:p w14:paraId="77D86C4A"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OMS</w:t>
            </w:r>
          </w:p>
        </w:tc>
        <w:tc>
          <w:tcPr>
            <w:tcW w:w="7825" w:type="dxa"/>
          </w:tcPr>
          <w:p w14:paraId="44BF5CFA" w14:textId="77777777" w:rsidR="002B0DBA" w:rsidRPr="00AB7E72" w:rsidRDefault="002B0DBA" w:rsidP="002B0DBA">
            <w:pPr>
              <w:tabs>
                <w:tab w:val="left" w:pos="624"/>
                <w:tab w:val="left" w:pos="1871"/>
                <w:tab w:val="left" w:pos="2495"/>
              </w:tabs>
              <w:ind w:left="176"/>
              <w:rPr>
                <w:color w:val="000000"/>
                <w:lang w:val="es-ES"/>
              </w:rPr>
            </w:pPr>
            <w:r w:rsidRPr="00AB7E72">
              <w:rPr>
                <w:lang w:val="es-ES"/>
              </w:rPr>
              <w:t>Organización Mundial de la Salud</w:t>
            </w:r>
          </w:p>
        </w:tc>
      </w:tr>
      <w:tr w:rsidR="002B0DBA" w:rsidRPr="00AB7E72" w14:paraId="26F61A50" w14:textId="77777777" w:rsidTr="00432727">
        <w:tc>
          <w:tcPr>
            <w:tcW w:w="1389" w:type="dxa"/>
          </w:tcPr>
          <w:p w14:paraId="581F8096"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4B94CFD6" w14:textId="77777777" w:rsidR="002B0DBA" w:rsidRPr="00AB7E72" w:rsidRDefault="002B0DBA" w:rsidP="002B0DBA">
            <w:pPr>
              <w:tabs>
                <w:tab w:val="left" w:pos="624"/>
                <w:tab w:val="left" w:pos="1871"/>
                <w:tab w:val="left" w:pos="2495"/>
              </w:tabs>
              <w:ind w:left="214"/>
              <w:rPr>
                <w:lang w:val="es-ES"/>
              </w:rPr>
            </w:pPr>
          </w:p>
        </w:tc>
      </w:tr>
      <w:tr w:rsidR="002B0DBA" w:rsidRPr="00AB7E72" w14:paraId="55B160F4" w14:textId="77777777" w:rsidTr="00432727">
        <w:tc>
          <w:tcPr>
            <w:tcW w:w="1389" w:type="dxa"/>
          </w:tcPr>
          <w:p w14:paraId="4A5C332C"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p.a.</w:t>
            </w:r>
          </w:p>
        </w:tc>
        <w:tc>
          <w:tcPr>
            <w:tcW w:w="7825" w:type="dxa"/>
          </w:tcPr>
          <w:p w14:paraId="4E23FD18"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principio activo</w:t>
            </w:r>
          </w:p>
        </w:tc>
      </w:tr>
      <w:tr w:rsidR="002B0DBA" w:rsidRPr="00AB7E72" w14:paraId="2A7F4BFE" w14:textId="77777777" w:rsidTr="00432727">
        <w:tc>
          <w:tcPr>
            <w:tcW w:w="1389" w:type="dxa"/>
          </w:tcPr>
          <w:p w14:paraId="10E14550"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p.e.</w:t>
            </w:r>
          </w:p>
        </w:tc>
        <w:tc>
          <w:tcPr>
            <w:tcW w:w="7825" w:type="dxa"/>
          </w:tcPr>
          <w:p w14:paraId="2D2CCB48"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punto de ebullición</w:t>
            </w:r>
          </w:p>
        </w:tc>
      </w:tr>
      <w:tr w:rsidR="002B0DBA" w:rsidRPr="00AB7E72" w14:paraId="47AA347B" w14:textId="77777777" w:rsidTr="00432727">
        <w:tc>
          <w:tcPr>
            <w:tcW w:w="1389" w:type="dxa"/>
          </w:tcPr>
          <w:p w14:paraId="70932A02"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p.f.</w:t>
            </w:r>
          </w:p>
        </w:tc>
        <w:tc>
          <w:tcPr>
            <w:tcW w:w="7825" w:type="dxa"/>
          </w:tcPr>
          <w:p w14:paraId="58BF8DA7"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punto de fusión</w:t>
            </w:r>
          </w:p>
        </w:tc>
      </w:tr>
      <w:tr w:rsidR="002B0DBA" w:rsidRPr="00AB7E72" w14:paraId="61E41422" w14:textId="77777777" w:rsidTr="00432727">
        <w:tc>
          <w:tcPr>
            <w:tcW w:w="1389" w:type="dxa"/>
          </w:tcPr>
          <w:p w14:paraId="67AC3357" w14:textId="77777777" w:rsidR="002B0DBA" w:rsidRPr="00AB7E72" w:rsidRDefault="002B0DBA" w:rsidP="002B0DBA">
            <w:pPr>
              <w:tabs>
                <w:tab w:val="left" w:pos="624"/>
                <w:tab w:val="left" w:pos="1871"/>
                <w:tab w:val="left" w:pos="2495"/>
              </w:tabs>
              <w:ind w:left="176" w:hanging="142"/>
              <w:rPr>
                <w:color w:val="000000"/>
                <w:lang w:val="es-ES"/>
              </w:rPr>
            </w:pPr>
            <w:bookmarkStart w:id="2" w:name="_Hlk519257679"/>
            <w:r w:rsidRPr="00AB7E72">
              <w:rPr>
                <w:lang w:val="es-ES"/>
              </w:rPr>
              <w:t>p.c.</w:t>
            </w:r>
          </w:p>
        </w:tc>
        <w:tc>
          <w:tcPr>
            <w:tcW w:w="7825" w:type="dxa"/>
          </w:tcPr>
          <w:p w14:paraId="543A7695"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peso corporal</w:t>
            </w:r>
          </w:p>
        </w:tc>
      </w:tr>
      <w:bookmarkEnd w:id="2"/>
      <w:tr w:rsidR="002B0DBA" w:rsidRPr="00AB7E72" w14:paraId="4DE15D8B" w14:textId="77777777" w:rsidTr="00432727">
        <w:tc>
          <w:tcPr>
            <w:tcW w:w="1389" w:type="dxa"/>
          </w:tcPr>
          <w:p w14:paraId="05E54CAC"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PEC</w:t>
            </w:r>
          </w:p>
        </w:tc>
        <w:tc>
          <w:tcPr>
            <w:tcW w:w="7825" w:type="dxa"/>
          </w:tcPr>
          <w:p w14:paraId="48BB20AD"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concentración ambiental prevista</w:t>
            </w:r>
          </w:p>
        </w:tc>
      </w:tr>
      <w:tr w:rsidR="002B0DBA" w:rsidRPr="00AB7E72" w14:paraId="447F844D" w14:textId="77777777" w:rsidTr="00432727">
        <w:tc>
          <w:tcPr>
            <w:tcW w:w="1389" w:type="dxa"/>
          </w:tcPr>
          <w:p w14:paraId="59CE8F63"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PISSQ</w:t>
            </w:r>
          </w:p>
        </w:tc>
        <w:tc>
          <w:tcPr>
            <w:tcW w:w="7825" w:type="dxa"/>
          </w:tcPr>
          <w:p w14:paraId="645FA666"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Programa Internacional sobre Seguridad de las Sustancias Químicas</w:t>
            </w:r>
          </w:p>
        </w:tc>
      </w:tr>
      <w:tr w:rsidR="002B0DBA" w:rsidRPr="00AB7E72" w14:paraId="5BD17C97" w14:textId="77777777" w:rsidTr="00432727">
        <w:tc>
          <w:tcPr>
            <w:tcW w:w="1389" w:type="dxa"/>
          </w:tcPr>
          <w:p w14:paraId="6B03515E"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PMRA</w:t>
            </w:r>
          </w:p>
        </w:tc>
        <w:tc>
          <w:tcPr>
            <w:tcW w:w="7825" w:type="dxa"/>
          </w:tcPr>
          <w:p w14:paraId="7955635A"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Organismo Regulador de la Gestión de Plagas (Canadá)</w:t>
            </w:r>
          </w:p>
        </w:tc>
      </w:tr>
      <w:tr w:rsidR="002B0DBA" w:rsidRPr="00AB7E72" w14:paraId="7F3CF080" w14:textId="77777777" w:rsidTr="00432727">
        <w:tc>
          <w:tcPr>
            <w:tcW w:w="1389" w:type="dxa"/>
          </w:tcPr>
          <w:p w14:paraId="0EA5814E"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PNUMA</w:t>
            </w:r>
          </w:p>
        </w:tc>
        <w:tc>
          <w:tcPr>
            <w:tcW w:w="7825" w:type="dxa"/>
          </w:tcPr>
          <w:p w14:paraId="7E5E35A5" w14:textId="6EA154A0" w:rsidR="002B0DBA" w:rsidRPr="00AB7E72" w:rsidRDefault="002B0DBA" w:rsidP="002B0DBA">
            <w:pPr>
              <w:tabs>
                <w:tab w:val="left" w:pos="624"/>
                <w:tab w:val="left" w:pos="1871"/>
                <w:tab w:val="left" w:pos="2495"/>
              </w:tabs>
              <w:ind w:left="214"/>
              <w:rPr>
                <w:color w:val="000000"/>
                <w:lang w:val="es-ES"/>
              </w:rPr>
            </w:pPr>
            <w:r w:rsidRPr="00AB7E72">
              <w:rPr>
                <w:lang w:val="es-ES"/>
              </w:rPr>
              <w:t xml:space="preserve">Programa de las </w:t>
            </w:r>
            <w:r w:rsidR="00217363" w:rsidRPr="00AB7E72">
              <w:rPr>
                <w:lang w:val="es-ES"/>
              </w:rPr>
              <w:t>Naciones Unidas</w:t>
            </w:r>
            <w:r w:rsidRPr="00AB7E72">
              <w:rPr>
                <w:lang w:val="es-ES"/>
              </w:rPr>
              <w:t xml:space="preserve"> para el Medio Ambiente</w:t>
            </w:r>
          </w:p>
        </w:tc>
      </w:tr>
      <w:tr w:rsidR="002B0DBA" w:rsidRPr="00AB7E72" w14:paraId="4C06D84A" w14:textId="77777777" w:rsidTr="00432727">
        <w:tc>
          <w:tcPr>
            <w:tcW w:w="1389" w:type="dxa"/>
          </w:tcPr>
          <w:p w14:paraId="5FE35E8D"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Pow</w:t>
            </w:r>
          </w:p>
        </w:tc>
        <w:tc>
          <w:tcPr>
            <w:tcW w:w="7825" w:type="dxa"/>
          </w:tcPr>
          <w:p w14:paraId="30AF3166"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coeficiente de separación octanol-agua, también denominado K</w:t>
            </w:r>
            <w:r w:rsidRPr="00AB7E72">
              <w:rPr>
                <w:vertAlign w:val="subscript"/>
                <w:lang w:val="es-ES"/>
              </w:rPr>
              <w:t>ow</w:t>
            </w:r>
          </w:p>
        </w:tc>
      </w:tr>
      <w:tr w:rsidR="002B0DBA" w:rsidRPr="00AB7E72" w14:paraId="24932334" w14:textId="77777777" w:rsidTr="00432727">
        <w:tc>
          <w:tcPr>
            <w:tcW w:w="1389" w:type="dxa"/>
          </w:tcPr>
          <w:p w14:paraId="3DA47E9A"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ppm</w:t>
            </w:r>
          </w:p>
        </w:tc>
        <w:tc>
          <w:tcPr>
            <w:tcW w:w="7825" w:type="dxa"/>
          </w:tcPr>
          <w:p w14:paraId="6A99AD1D"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partes por millón (se utiliza únicamente con referencia a la concentración de plaguicida en un régimen alimentario experimental. En todos los demás contextos se emplean los términos mg/kg o mg/l).</w:t>
            </w:r>
          </w:p>
        </w:tc>
      </w:tr>
      <w:tr w:rsidR="002B0DBA" w:rsidRPr="00AB7E72" w14:paraId="66DB14F4" w14:textId="77777777" w:rsidTr="00432727">
        <w:tblPrEx>
          <w:tblCellMar>
            <w:left w:w="70" w:type="dxa"/>
            <w:right w:w="70" w:type="dxa"/>
          </w:tblCellMar>
        </w:tblPrEx>
        <w:tc>
          <w:tcPr>
            <w:tcW w:w="1389" w:type="dxa"/>
          </w:tcPr>
          <w:p w14:paraId="3BBA4A6C"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74C5E47A" w14:textId="77777777" w:rsidR="002B0DBA" w:rsidRPr="00AB7E72" w:rsidRDefault="002B0DBA" w:rsidP="002B0DBA">
            <w:pPr>
              <w:tabs>
                <w:tab w:val="left" w:pos="624"/>
                <w:tab w:val="left" w:pos="1871"/>
                <w:tab w:val="left" w:pos="2495"/>
              </w:tabs>
              <w:ind w:left="176"/>
              <w:rPr>
                <w:lang w:val="es-ES"/>
              </w:rPr>
            </w:pPr>
          </w:p>
        </w:tc>
      </w:tr>
      <w:tr w:rsidR="002B0DBA" w:rsidRPr="00AB7E72" w14:paraId="60A0A9AB" w14:textId="77777777" w:rsidTr="00432727">
        <w:tblPrEx>
          <w:tblCellMar>
            <w:left w:w="70" w:type="dxa"/>
            <w:right w:w="70" w:type="dxa"/>
          </w:tblCellMar>
        </w:tblPrEx>
        <w:tc>
          <w:tcPr>
            <w:tcW w:w="1389" w:type="dxa"/>
          </w:tcPr>
          <w:p w14:paraId="7DBFBF8F"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RfD</w:t>
            </w:r>
          </w:p>
        </w:tc>
        <w:tc>
          <w:tcPr>
            <w:tcW w:w="7825" w:type="dxa"/>
          </w:tcPr>
          <w:p w14:paraId="4024D8DF"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dosis de referencia (para exposición oral crónica; comparable a la IDA)</w:t>
            </w:r>
          </w:p>
        </w:tc>
      </w:tr>
      <w:tr w:rsidR="002B0DBA" w:rsidRPr="00AB7E72" w14:paraId="603907F3" w14:textId="77777777" w:rsidTr="00432727">
        <w:tc>
          <w:tcPr>
            <w:tcW w:w="1389" w:type="dxa"/>
          </w:tcPr>
          <w:p w14:paraId="0E99E9FA"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41B1E207" w14:textId="77777777" w:rsidR="002B0DBA" w:rsidRPr="00AB7E72" w:rsidRDefault="002B0DBA" w:rsidP="002B0DBA">
            <w:pPr>
              <w:tabs>
                <w:tab w:val="left" w:pos="624"/>
                <w:tab w:val="left" w:pos="1871"/>
                <w:tab w:val="left" w:pos="2495"/>
              </w:tabs>
              <w:ind w:left="176"/>
              <w:rPr>
                <w:lang w:val="es-ES"/>
              </w:rPr>
            </w:pPr>
          </w:p>
        </w:tc>
      </w:tr>
      <w:tr w:rsidR="002B0DBA" w:rsidRPr="00AB7E72" w14:paraId="757871FE" w14:textId="77777777" w:rsidTr="00432727">
        <w:tc>
          <w:tcPr>
            <w:tcW w:w="1389" w:type="dxa"/>
          </w:tcPr>
          <w:p w14:paraId="06F2D437"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SMR</w:t>
            </w:r>
          </w:p>
        </w:tc>
        <w:tc>
          <w:tcPr>
            <w:tcW w:w="7825" w:type="dxa"/>
          </w:tcPr>
          <w:p w14:paraId="2CC3FAC7"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tasa estandarizada de mortalidad</w:t>
            </w:r>
          </w:p>
        </w:tc>
      </w:tr>
      <w:tr w:rsidR="002B0DBA" w:rsidRPr="00AB7E72" w14:paraId="3BCD816B" w14:textId="77777777" w:rsidTr="00432727">
        <w:tc>
          <w:tcPr>
            <w:tcW w:w="1389" w:type="dxa"/>
          </w:tcPr>
          <w:p w14:paraId="28BA04FA"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STEL</w:t>
            </w:r>
          </w:p>
        </w:tc>
        <w:tc>
          <w:tcPr>
            <w:tcW w:w="7825" w:type="dxa"/>
          </w:tcPr>
          <w:p w14:paraId="035DAD49"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límite para exposición de corto plazo</w:t>
            </w:r>
          </w:p>
        </w:tc>
      </w:tr>
      <w:tr w:rsidR="002B0DBA" w:rsidRPr="00AB7E72" w14:paraId="479B608B" w14:textId="77777777" w:rsidTr="00432727">
        <w:tc>
          <w:tcPr>
            <w:tcW w:w="1389" w:type="dxa"/>
          </w:tcPr>
          <w:p w14:paraId="55EAACAD"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26EF5BA4" w14:textId="77777777" w:rsidR="002B0DBA" w:rsidRPr="00AB7E72" w:rsidRDefault="002B0DBA" w:rsidP="002B0DBA">
            <w:pPr>
              <w:tabs>
                <w:tab w:val="left" w:pos="624"/>
                <w:tab w:val="left" w:pos="1871"/>
                <w:tab w:val="left" w:pos="2495"/>
              </w:tabs>
              <w:ind w:left="176"/>
              <w:rPr>
                <w:lang w:val="es-ES"/>
              </w:rPr>
            </w:pPr>
          </w:p>
        </w:tc>
      </w:tr>
      <w:tr w:rsidR="002B0DBA" w:rsidRPr="00AB7E72" w14:paraId="7AB6B642" w14:textId="77777777" w:rsidTr="00432727">
        <w:tc>
          <w:tcPr>
            <w:tcW w:w="1389" w:type="dxa"/>
          </w:tcPr>
          <w:p w14:paraId="2ED396A7"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TER</w:t>
            </w:r>
          </w:p>
        </w:tc>
        <w:tc>
          <w:tcPr>
            <w:tcW w:w="7825" w:type="dxa"/>
          </w:tcPr>
          <w:p w14:paraId="06475C90" w14:textId="77777777" w:rsidR="002B0DBA" w:rsidRPr="00AB7E72" w:rsidDel="00710496" w:rsidRDefault="002B0DBA" w:rsidP="002B0DBA">
            <w:pPr>
              <w:tabs>
                <w:tab w:val="left" w:pos="624"/>
                <w:tab w:val="left" w:pos="1871"/>
                <w:tab w:val="left" w:pos="2495"/>
              </w:tabs>
              <w:ind w:left="214"/>
              <w:rPr>
                <w:color w:val="000000"/>
                <w:lang w:val="es-ES"/>
              </w:rPr>
            </w:pPr>
            <w:r w:rsidRPr="00AB7E72">
              <w:rPr>
                <w:lang w:val="es-ES"/>
              </w:rPr>
              <w:t>proporción toxicidad/exposición</w:t>
            </w:r>
          </w:p>
        </w:tc>
      </w:tr>
      <w:tr w:rsidR="002B0DBA" w:rsidRPr="00AB7E72" w14:paraId="0C8BC51C" w14:textId="77777777" w:rsidTr="00432727">
        <w:tc>
          <w:tcPr>
            <w:tcW w:w="1389" w:type="dxa"/>
          </w:tcPr>
          <w:p w14:paraId="4E7AF9C9"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TWA</w:t>
            </w:r>
          </w:p>
        </w:tc>
        <w:tc>
          <w:tcPr>
            <w:tcW w:w="7825" w:type="dxa"/>
          </w:tcPr>
          <w:p w14:paraId="5ECD7EF1"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media ponderada en el tiempo</w:t>
            </w:r>
          </w:p>
        </w:tc>
      </w:tr>
      <w:tr w:rsidR="002B0DBA" w:rsidRPr="00AB7E72" w14:paraId="5DFE5370" w14:textId="77777777" w:rsidTr="00432727">
        <w:tc>
          <w:tcPr>
            <w:tcW w:w="1389" w:type="dxa"/>
          </w:tcPr>
          <w:p w14:paraId="691589AD"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7A4FAF20" w14:textId="77777777" w:rsidR="002B0DBA" w:rsidRPr="00AB7E72" w:rsidRDefault="002B0DBA" w:rsidP="002B0DBA">
            <w:pPr>
              <w:tabs>
                <w:tab w:val="left" w:pos="624"/>
                <w:tab w:val="left" w:pos="1871"/>
                <w:tab w:val="left" w:pos="2495"/>
              </w:tabs>
              <w:ind w:left="176"/>
              <w:rPr>
                <w:lang w:val="es-ES"/>
              </w:rPr>
            </w:pPr>
          </w:p>
        </w:tc>
      </w:tr>
      <w:tr w:rsidR="002B0DBA" w:rsidRPr="00AB7E72" w14:paraId="77ED80CF" w14:textId="77777777" w:rsidTr="00432727">
        <w:tc>
          <w:tcPr>
            <w:tcW w:w="1389" w:type="dxa"/>
          </w:tcPr>
          <w:p w14:paraId="00D3D06D"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UE</w:t>
            </w:r>
          </w:p>
        </w:tc>
        <w:tc>
          <w:tcPr>
            <w:tcW w:w="7825" w:type="dxa"/>
          </w:tcPr>
          <w:p w14:paraId="58EF85D1"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Unión Europea</w:t>
            </w:r>
          </w:p>
        </w:tc>
      </w:tr>
      <w:tr w:rsidR="002B0DBA" w:rsidRPr="00AB7E72" w14:paraId="5706DF98" w14:textId="77777777" w:rsidTr="00432727">
        <w:tc>
          <w:tcPr>
            <w:tcW w:w="1389" w:type="dxa"/>
          </w:tcPr>
          <w:p w14:paraId="6D73815A"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UICPA</w:t>
            </w:r>
          </w:p>
        </w:tc>
        <w:tc>
          <w:tcPr>
            <w:tcW w:w="7825" w:type="dxa"/>
          </w:tcPr>
          <w:p w14:paraId="03365927"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Unión Internacional de Química Pura y Aplicada</w:t>
            </w:r>
          </w:p>
        </w:tc>
      </w:tr>
      <w:tr w:rsidR="002B0DBA" w:rsidRPr="00AB7E72" w14:paraId="22159C48" w14:textId="77777777" w:rsidTr="00432727">
        <w:tc>
          <w:tcPr>
            <w:tcW w:w="1389" w:type="dxa"/>
          </w:tcPr>
          <w:p w14:paraId="3DBCAD6D"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USEPA</w:t>
            </w:r>
          </w:p>
        </w:tc>
        <w:tc>
          <w:tcPr>
            <w:tcW w:w="7825" w:type="dxa"/>
          </w:tcPr>
          <w:p w14:paraId="0A560BF6"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Agencia de Protección Ambiental de los Estados Unidos</w:t>
            </w:r>
          </w:p>
        </w:tc>
      </w:tr>
      <w:tr w:rsidR="002B0DBA" w:rsidRPr="00AB7E72" w14:paraId="2B7DCC7B" w14:textId="77777777" w:rsidTr="00432727">
        <w:tc>
          <w:tcPr>
            <w:tcW w:w="1389" w:type="dxa"/>
          </w:tcPr>
          <w:p w14:paraId="32194DAC"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UV</w:t>
            </w:r>
          </w:p>
        </w:tc>
        <w:tc>
          <w:tcPr>
            <w:tcW w:w="7825" w:type="dxa"/>
          </w:tcPr>
          <w:p w14:paraId="0FC59F52"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ultravioleta</w:t>
            </w:r>
          </w:p>
        </w:tc>
      </w:tr>
      <w:tr w:rsidR="002B0DBA" w:rsidRPr="00AB7E72" w14:paraId="2F7A2DFB" w14:textId="77777777" w:rsidTr="00432727">
        <w:tc>
          <w:tcPr>
            <w:tcW w:w="1389" w:type="dxa"/>
          </w:tcPr>
          <w:p w14:paraId="141A4D4C"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50142271" w14:textId="77777777" w:rsidR="002B0DBA" w:rsidRPr="00AB7E72" w:rsidRDefault="002B0DBA" w:rsidP="002B0DBA">
            <w:pPr>
              <w:tabs>
                <w:tab w:val="left" w:pos="624"/>
                <w:tab w:val="left" w:pos="1871"/>
                <w:tab w:val="left" w:pos="2495"/>
              </w:tabs>
              <w:ind w:left="176"/>
              <w:rPr>
                <w:lang w:val="es-ES"/>
              </w:rPr>
            </w:pPr>
          </w:p>
        </w:tc>
      </w:tr>
      <w:tr w:rsidR="002B0DBA" w:rsidRPr="00AB7E72" w14:paraId="08DC6824" w14:textId="77777777" w:rsidTr="00432727">
        <w:tc>
          <w:tcPr>
            <w:tcW w:w="1389" w:type="dxa"/>
          </w:tcPr>
          <w:p w14:paraId="7D42C35B"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VUL</w:t>
            </w:r>
          </w:p>
        </w:tc>
        <w:tc>
          <w:tcPr>
            <w:tcW w:w="7825" w:type="dxa"/>
          </w:tcPr>
          <w:p w14:paraId="054D7DB6"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valor umbral límite</w:t>
            </w:r>
          </w:p>
        </w:tc>
      </w:tr>
      <w:tr w:rsidR="002B0DBA" w:rsidRPr="00AB7E72" w14:paraId="06D91794" w14:textId="77777777" w:rsidTr="00432727">
        <w:tc>
          <w:tcPr>
            <w:tcW w:w="1389" w:type="dxa"/>
          </w:tcPr>
          <w:p w14:paraId="0A93E953" w14:textId="77777777" w:rsidR="002B0DBA" w:rsidRPr="00AB7E72" w:rsidRDefault="002B0DBA" w:rsidP="002B0DBA">
            <w:pPr>
              <w:tabs>
                <w:tab w:val="left" w:pos="624"/>
                <w:tab w:val="left" w:pos="1871"/>
                <w:tab w:val="left" w:pos="2495"/>
              </w:tabs>
              <w:ind w:left="176" w:hanging="142"/>
              <w:rPr>
                <w:lang w:val="es-ES"/>
              </w:rPr>
            </w:pPr>
          </w:p>
        </w:tc>
        <w:tc>
          <w:tcPr>
            <w:tcW w:w="7825" w:type="dxa"/>
          </w:tcPr>
          <w:p w14:paraId="676ACA20" w14:textId="77777777" w:rsidR="002B0DBA" w:rsidRPr="00AB7E72" w:rsidRDefault="002B0DBA" w:rsidP="002B0DBA">
            <w:pPr>
              <w:tabs>
                <w:tab w:val="left" w:pos="624"/>
                <w:tab w:val="left" w:pos="1871"/>
                <w:tab w:val="left" w:pos="2495"/>
              </w:tabs>
              <w:ind w:left="176"/>
              <w:rPr>
                <w:lang w:val="es-ES"/>
              </w:rPr>
            </w:pPr>
          </w:p>
        </w:tc>
      </w:tr>
      <w:tr w:rsidR="002B0DBA" w:rsidRPr="00AB7E72" w14:paraId="066BB486" w14:textId="77777777" w:rsidTr="00432727">
        <w:tc>
          <w:tcPr>
            <w:tcW w:w="1389" w:type="dxa"/>
          </w:tcPr>
          <w:p w14:paraId="516A3619"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w/w</w:t>
            </w:r>
          </w:p>
        </w:tc>
        <w:tc>
          <w:tcPr>
            <w:tcW w:w="7825" w:type="dxa"/>
          </w:tcPr>
          <w:p w14:paraId="72AA32CC"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peso por peso</w:t>
            </w:r>
          </w:p>
        </w:tc>
      </w:tr>
      <w:tr w:rsidR="002B0DBA" w:rsidRPr="00AB7E72" w14:paraId="2E9C3E1E" w14:textId="77777777" w:rsidTr="00432727">
        <w:tc>
          <w:tcPr>
            <w:tcW w:w="1389" w:type="dxa"/>
          </w:tcPr>
          <w:p w14:paraId="6CF92842" w14:textId="77777777" w:rsidR="002B0DBA" w:rsidRPr="00AB7E72" w:rsidRDefault="002B0DBA" w:rsidP="002B0DBA">
            <w:pPr>
              <w:tabs>
                <w:tab w:val="left" w:pos="624"/>
                <w:tab w:val="left" w:pos="1871"/>
                <w:tab w:val="left" w:pos="2495"/>
              </w:tabs>
              <w:ind w:left="176" w:hanging="142"/>
              <w:rPr>
                <w:color w:val="000000"/>
                <w:lang w:val="es-ES"/>
              </w:rPr>
            </w:pPr>
            <w:r w:rsidRPr="00AB7E72">
              <w:rPr>
                <w:lang w:val="es-ES"/>
              </w:rPr>
              <w:t>wt</w:t>
            </w:r>
          </w:p>
        </w:tc>
        <w:tc>
          <w:tcPr>
            <w:tcW w:w="7825" w:type="dxa"/>
          </w:tcPr>
          <w:p w14:paraId="2D8A52EE" w14:textId="77777777" w:rsidR="002B0DBA" w:rsidRPr="00AB7E72" w:rsidRDefault="002B0DBA" w:rsidP="002B0DBA">
            <w:pPr>
              <w:tabs>
                <w:tab w:val="left" w:pos="624"/>
                <w:tab w:val="left" w:pos="1871"/>
                <w:tab w:val="left" w:pos="2495"/>
              </w:tabs>
              <w:ind w:left="214"/>
              <w:rPr>
                <w:color w:val="000000"/>
                <w:lang w:val="es-ES"/>
              </w:rPr>
            </w:pPr>
            <w:r w:rsidRPr="00AB7E72">
              <w:rPr>
                <w:lang w:val="es-ES"/>
              </w:rPr>
              <w:t>peso</w:t>
            </w:r>
          </w:p>
        </w:tc>
      </w:tr>
    </w:tbl>
    <w:p w14:paraId="3B07CD94" w14:textId="77777777" w:rsidR="002B0DBA" w:rsidRPr="00900014" w:rsidRDefault="002B0DBA" w:rsidP="002B0DBA">
      <w:pPr>
        <w:spacing w:after="120"/>
        <w:ind w:firstLine="720"/>
        <w:rPr>
          <w:lang w:val="es-ES"/>
        </w:rPr>
      </w:pPr>
      <w:r w:rsidRPr="00900014">
        <w:rPr>
          <w:lang w:val="es-ES"/>
        </w:rPr>
        <w:br w:type="page"/>
      </w:r>
    </w:p>
    <w:tbl>
      <w:tblPr>
        <w:tblW w:w="93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356"/>
      </w:tblGrid>
      <w:tr w:rsidR="002B0DBA" w:rsidRPr="00AB7E72" w14:paraId="397A3F4F" w14:textId="77777777" w:rsidTr="00233860">
        <w:tc>
          <w:tcPr>
            <w:tcW w:w="9356" w:type="dxa"/>
            <w:tcBorders>
              <w:bottom w:val="single" w:sz="6" w:space="0" w:color="808080"/>
            </w:tcBorders>
            <w:shd w:val="pct10" w:color="auto" w:fill="auto"/>
          </w:tcPr>
          <w:p w14:paraId="356687F3" w14:textId="77777777" w:rsidR="002B0DBA" w:rsidRPr="00AB7E72" w:rsidRDefault="002B0DBA" w:rsidP="002B0DBA">
            <w:pPr>
              <w:keepNext/>
              <w:keepLines/>
              <w:spacing w:before="40" w:after="60"/>
              <w:outlineLvl w:val="0"/>
              <w:rPr>
                <w:b/>
                <w:bCs/>
                <w:kern w:val="28"/>
                <w:lang w:val="es-ES"/>
              </w:rPr>
            </w:pPr>
            <w:r w:rsidRPr="00AB7E72">
              <w:rPr>
                <w:b/>
                <w:lang w:val="es-ES"/>
              </w:rPr>
              <w:t>Documento de orientación para la adopción de decisiones respecto de un producto químico prohibido o rigurosamente restringido</w:t>
            </w:r>
          </w:p>
        </w:tc>
      </w:tr>
    </w:tbl>
    <w:p w14:paraId="0B3ADC3A" w14:textId="753E2707" w:rsidR="00233860" w:rsidRDefault="00233860">
      <w:pPr>
        <w:rPr>
          <w:lang w:val="es-ES"/>
        </w:rPr>
      </w:pPr>
    </w:p>
    <w:tbl>
      <w:tblPr>
        <w:tblW w:w="93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49"/>
        <w:gridCol w:w="851"/>
        <w:gridCol w:w="4097"/>
        <w:gridCol w:w="3159"/>
      </w:tblGrid>
      <w:tr w:rsidR="002B0DBA" w:rsidRPr="00AB7E72" w14:paraId="1DCEF664" w14:textId="77777777" w:rsidTr="00233860">
        <w:tc>
          <w:tcPr>
            <w:tcW w:w="6197" w:type="dxa"/>
            <w:gridSpan w:val="3"/>
            <w:tcBorders>
              <w:top w:val="single" w:sz="6" w:space="0" w:color="808080"/>
              <w:left w:val="single" w:sz="6" w:space="0" w:color="808080"/>
              <w:bottom w:val="single" w:sz="6" w:space="0" w:color="808080"/>
            </w:tcBorders>
            <w:shd w:val="clear" w:color="auto" w:fill="FFFFFF"/>
          </w:tcPr>
          <w:p w14:paraId="69341C66" w14:textId="77777777" w:rsidR="002B0DBA" w:rsidRPr="00AB7E72" w:rsidRDefault="002B0DBA" w:rsidP="00233860">
            <w:pPr>
              <w:rPr>
                <w:b/>
                <w:bCs/>
                <w:i/>
                <w:kern w:val="28"/>
                <w:lang w:val="es-ES"/>
              </w:rPr>
            </w:pPr>
            <w:r w:rsidRPr="00AB7E72">
              <w:rPr>
                <w:i/>
                <w:lang w:val="es-ES"/>
              </w:rPr>
              <w:t>Forato</w:t>
            </w:r>
          </w:p>
        </w:tc>
        <w:tc>
          <w:tcPr>
            <w:tcW w:w="3159" w:type="dxa"/>
            <w:tcBorders>
              <w:top w:val="single" w:sz="6" w:space="0" w:color="808080"/>
              <w:bottom w:val="single" w:sz="6" w:space="0" w:color="808080"/>
              <w:right w:val="single" w:sz="6" w:space="0" w:color="808080"/>
            </w:tcBorders>
            <w:shd w:val="clear" w:color="auto" w:fill="FFFFFF"/>
          </w:tcPr>
          <w:p w14:paraId="0F327569" w14:textId="0F14213D" w:rsidR="002B0DBA" w:rsidRPr="00AB7E72" w:rsidRDefault="002B0DBA" w:rsidP="00233860">
            <w:pPr>
              <w:jc w:val="center"/>
              <w:rPr>
                <w:b/>
                <w:bCs/>
                <w:i/>
                <w:kern w:val="28"/>
                <w:lang w:val="es-ES"/>
              </w:rPr>
            </w:pPr>
            <w:r w:rsidRPr="00AB7E72">
              <w:rPr>
                <w:b/>
                <w:lang w:val="es-ES"/>
              </w:rPr>
              <w:t>Publicado:</w:t>
            </w:r>
            <w:r w:rsidR="00145467" w:rsidRPr="00AB7E72">
              <w:rPr>
                <w:b/>
                <w:lang w:val="es-ES"/>
              </w:rPr>
              <w:t xml:space="preserve"> septiembre de 2019</w:t>
            </w:r>
          </w:p>
        </w:tc>
      </w:tr>
      <w:tr w:rsidR="002B0DBA" w:rsidRPr="00AB7E72" w14:paraId="51C3B64B" w14:textId="77777777" w:rsidTr="00233860">
        <w:tc>
          <w:tcPr>
            <w:tcW w:w="9356" w:type="dxa"/>
            <w:gridSpan w:val="4"/>
            <w:tcBorders>
              <w:top w:val="single" w:sz="6" w:space="0" w:color="808080"/>
            </w:tcBorders>
          </w:tcPr>
          <w:p w14:paraId="27CF2B7A" w14:textId="77777777" w:rsidR="002B0DBA" w:rsidRPr="00AB7E72" w:rsidRDefault="002B0DBA" w:rsidP="00233860">
            <w:pPr>
              <w:rPr>
                <w:lang w:val="es-ES"/>
              </w:rPr>
            </w:pPr>
          </w:p>
        </w:tc>
      </w:tr>
      <w:tr w:rsidR="002B0DBA" w:rsidRPr="00AB7E72" w14:paraId="02D780EC" w14:textId="77777777" w:rsidTr="00233860">
        <w:tblPrEx>
          <w:tblBorders>
            <w:insideH w:val="none" w:sz="0" w:space="0" w:color="auto"/>
            <w:insideV w:val="none" w:sz="0" w:space="0" w:color="auto"/>
          </w:tblBorders>
        </w:tblPrEx>
        <w:tc>
          <w:tcPr>
            <w:tcW w:w="9356" w:type="dxa"/>
            <w:gridSpan w:val="4"/>
            <w:tcBorders>
              <w:top w:val="single" w:sz="6" w:space="0" w:color="808080"/>
              <w:left w:val="single" w:sz="6" w:space="0" w:color="808080"/>
              <w:bottom w:val="single" w:sz="6" w:space="0" w:color="808080"/>
              <w:right w:val="single" w:sz="6" w:space="0" w:color="808080"/>
            </w:tcBorders>
            <w:shd w:val="pct10" w:color="auto" w:fill="auto"/>
          </w:tcPr>
          <w:p w14:paraId="5C354651" w14:textId="77777777" w:rsidR="002B0DBA" w:rsidRPr="00AB7E72" w:rsidRDefault="002B0DBA" w:rsidP="00233860">
            <w:pPr>
              <w:rPr>
                <w:b/>
                <w:lang w:val="es-ES"/>
              </w:rPr>
            </w:pPr>
            <w:r w:rsidRPr="00AB7E72">
              <w:rPr>
                <w:b/>
                <w:lang w:val="es-ES"/>
              </w:rPr>
              <w:t>1. Identificación y usos (para más detalles, véase el anexo I)</w:t>
            </w:r>
          </w:p>
        </w:tc>
      </w:tr>
      <w:tr w:rsidR="002B0DBA" w:rsidRPr="00AB7E72" w14:paraId="02621589"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20799C01" w14:textId="77777777" w:rsidR="002B0DBA" w:rsidRPr="00AB7E72" w:rsidRDefault="002B0DBA" w:rsidP="00233860">
            <w:pPr>
              <w:spacing w:before="20" w:after="20"/>
              <w:outlineLvl w:val="2"/>
              <w:rPr>
                <w:b/>
                <w:bCs/>
                <w:lang w:val="es-ES"/>
              </w:rPr>
            </w:pPr>
            <w:r w:rsidRPr="00AB7E72">
              <w:rPr>
                <w:b/>
                <w:lang w:val="es-ES"/>
              </w:rPr>
              <w:t>Nombre común:</w:t>
            </w:r>
          </w:p>
        </w:tc>
        <w:tc>
          <w:tcPr>
            <w:tcW w:w="7256" w:type="dxa"/>
            <w:gridSpan w:val="2"/>
          </w:tcPr>
          <w:p w14:paraId="746283AA" w14:textId="77777777" w:rsidR="002B0DBA" w:rsidRPr="00AB7E72" w:rsidRDefault="002B0DBA" w:rsidP="00233860">
            <w:pPr>
              <w:rPr>
                <w:lang w:val="es-ES"/>
              </w:rPr>
            </w:pPr>
            <w:r w:rsidRPr="00AB7E72">
              <w:rPr>
                <w:lang w:val="es-ES"/>
              </w:rPr>
              <w:t>Forato</w:t>
            </w:r>
          </w:p>
        </w:tc>
      </w:tr>
      <w:tr w:rsidR="002B0DBA" w:rsidRPr="00AB7E72" w14:paraId="25DDE41B"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07E0D727" w14:textId="77777777" w:rsidR="002B0DBA" w:rsidRPr="00AB7E72" w:rsidRDefault="002B0DBA" w:rsidP="00233860">
            <w:pPr>
              <w:spacing w:before="120"/>
              <w:outlineLvl w:val="2"/>
              <w:rPr>
                <w:b/>
                <w:bCs/>
                <w:lang w:val="es-ES"/>
              </w:rPr>
            </w:pPr>
            <w:r w:rsidRPr="00AB7E72">
              <w:rPr>
                <w:b/>
                <w:lang w:val="es-ES"/>
              </w:rPr>
              <w:t>Nombre químico y otros nombres o sinónimos</w:t>
            </w:r>
          </w:p>
        </w:tc>
        <w:tc>
          <w:tcPr>
            <w:tcW w:w="7256" w:type="dxa"/>
            <w:gridSpan w:val="2"/>
          </w:tcPr>
          <w:p w14:paraId="57AAB75B" w14:textId="77777777" w:rsidR="002B0DBA" w:rsidRPr="00AB7E72" w:rsidRDefault="002B0DBA" w:rsidP="00233860">
            <w:pPr>
              <w:spacing w:before="120"/>
              <w:jc w:val="both"/>
              <w:rPr>
                <w:lang w:val="es-ES"/>
              </w:rPr>
            </w:pPr>
            <w:r w:rsidRPr="00AB7E72">
              <w:rPr>
                <w:u w:val="single"/>
                <w:lang w:val="es-ES"/>
              </w:rPr>
              <w:t>UICPA:</w:t>
            </w:r>
            <w:r w:rsidRPr="00AB7E72">
              <w:rPr>
                <w:lang w:val="es-ES"/>
              </w:rPr>
              <w:t xml:space="preserve"> fosforoditioato de O,O-dietil S-etiltiometil;</w:t>
            </w:r>
          </w:p>
          <w:p w14:paraId="4B48F3C4" w14:textId="77777777" w:rsidR="002B0DBA" w:rsidRPr="00AB7E72" w:rsidRDefault="002B0DBA" w:rsidP="00233860">
            <w:pPr>
              <w:jc w:val="both"/>
              <w:rPr>
                <w:lang w:val="es-ES"/>
              </w:rPr>
            </w:pPr>
            <w:r w:rsidRPr="00AB7E72">
              <w:rPr>
                <w:lang w:val="es-ES"/>
              </w:rPr>
              <w:t>dietil {[(etilsulfanil)metil]sulfanil}(sulfanilideno)fosfonato;</w:t>
            </w:r>
          </w:p>
          <w:p w14:paraId="48BC8F54" w14:textId="13E1DA03" w:rsidR="002B0DBA" w:rsidRPr="00AB7E72" w:rsidRDefault="002B0DBA" w:rsidP="00233860">
            <w:pPr>
              <w:spacing w:after="120"/>
              <w:jc w:val="both"/>
              <w:rPr>
                <w:lang w:val="es-ES"/>
              </w:rPr>
            </w:pPr>
            <w:r w:rsidRPr="00AB7E72">
              <w:rPr>
                <w:u w:val="single"/>
                <w:lang w:val="es-ES"/>
              </w:rPr>
              <w:t>CAS:</w:t>
            </w:r>
            <w:r w:rsidRPr="00AB7E72">
              <w:rPr>
                <w:lang w:val="es-ES"/>
              </w:rPr>
              <w:t xml:space="preserve"> fosforoditioato de O,O-dietil S-[(etiltio)metil</w:t>
            </w:r>
            <w:r w:rsidR="00AB7E72" w:rsidRPr="00AB7E72">
              <w:rPr>
                <w:lang w:val="es-ES"/>
              </w:rPr>
              <w:t>]</w:t>
            </w:r>
            <w:r w:rsidRPr="00AB7E72">
              <w:rPr>
                <w:lang w:val="es-ES"/>
              </w:rPr>
              <w:t>.</w:t>
            </w:r>
          </w:p>
          <w:p w14:paraId="04D35D4A" w14:textId="77777777" w:rsidR="002B0DBA" w:rsidRPr="00AB7E72" w:rsidRDefault="002B0DBA" w:rsidP="00233860">
            <w:pPr>
              <w:pStyle w:val="Default"/>
              <w:jc w:val="both"/>
              <w:rPr>
                <w:sz w:val="20"/>
                <w:szCs w:val="20"/>
                <w:lang w:val="es-ES"/>
              </w:rPr>
            </w:pPr>
            <w:r w:rsidRPr="00AB7E72">
              <w:rPr>
                <w:sz w:val="20"/>
                <w:szCs w:val="20"/>
                <w:lang w:val="es-ES"/>
              </w:rPr>
              <w:t>También: éster de ácido fosforoditioico de O,O-dietil S-[(etiltio)metil]</w:t>
            </w:r>
          </w:p>
          <w:p w14:paraId="3BAE9635" w14:textId="03967ADE" w:rsidR="002B0DBA" w:rsidRPr="00AB7E72" w:rsidRDefault="002B0DBA" w:rsidP="00233860">
            <w:pPr>
              <w:pStyle w:val="Default"/>
              <w:jc w:val="both"/>
              <w:rPr>
                <w:sz w:val="20"/>
                <w:szCs w:val="20"/>
                <w:lang w:val="es-ES"/>
              </w:rPr>
            </w:pPr>
            <w:r w:rsidRPr="00AB7E72">
              <w:rPr>
                <w:sz w:val="20"/>
                <w:szCs w:val="20"/>
                <w:lang w:val="es-ES"/>
              </w:rPr>
              <w:t>ácido fosforoditioico, O,O-dietil S-(etiltio)</w:t>
            </w:r>
            <w:r w:rsidR="00AB7E72">
              <w:rPr>
                <w:sz w:val="20"/>
                <w:szCs w:val="20"/>
                <w:lang w:val="es-ES"/>
              </w:rPr>
              <w:t xml:space="preserve"> </w:t>
            </w:r>
            <w:r w:rsidRPr="00AB7E72">
              <w:rPr>
                <w:sz w:val="20"/>
                <w:szCs w:val="20"/>
                <w:lang w:val="es-ES"/>
              </w:rPr>
              <w:t>éster metílico;</w:t>
            </w:r>
          </w:p>
          <w:p w14:paraId="33C53D2E" w14:textId="77777777" w:rsidR="002B0DBA" w:rsidRPr="00AB7E72" w:rsidRDefault="002B0DBA" w:rsidP="00233860">
            <w:pPr>
              <w:pStyle w:val="Default"/>
              <w:spacing w:after="120"/>
              <w:jc w:val="both"/>
              <w:rPr>
                <w:sz w:val="20"/>
                <w:szCs w:val="20"/>
                <w:lang w:val="es-ES"/>
              </w:rPr>
            </w:pPr>
            <w:r w:rsidRPr="00AB7E72">
              <w:rPr>
                <w:sz w:val="20"/>
                <w:szCs w:val="20"/>
                <w:lang w:val="es-ES"/>
              </w:rPr>
              <w:t>fosforoditioato de O,O-dietil S-etilmercaptometil.</w:t>
            </w:r>
          </w:p>
          <w:p w14:paraId="30C8E3F4" w14:textId="24B141C2" w:rsidR="002B0DBA" w:rsidRPr="00AB7E72" w:rsidRDefault="002B0DBA" w:rsidP="00233860">
            <w:pPr>
              <w:spacing w:after="120"/>
              <w:jc w:val="both"/>
              <w:rPr>
                <w:lang w:val="es-ES"/>
              </w:rPr>
            </w:pPr>
            <w:r w:rsidRPr="00AB7E72">
              <w:rPr>
                <w:lang w:val="es-ES"/>
              </w:rPr>
              <w:t>Códigos de los fabricantes: AC 8911, CL 35,024;</w:t>
            </w:r>
            <w:r w:rsidR="00633664" w:rsidRPr="00AB7E72">
              <w:rPr>
                <w:lang w:val="es-ES"/>
              </w:rPr>
              <w:t xml:space="preserve"> </w:t>
            </w:r>
            <w:r w:rsidRPr="00AB7E72">
              <w:rPr>
                <w:lang w:val="es-ES"/>
              </w:rPr>
              <w:t>EI 3911;</w:t>
            </w:r>
            <w:r w:rsidR="007D21D4" w:rsidRPr="00AB7E72">
              <w:rPr>
                <w:lang w:val="es-ES"/>
              </w:rPr>
              <w:t xml:space="preserve"> </w:t>
            </w:r>
            <w:r w:rsidRPr="00AB7E72">
              <w:rPr>
                <w:lang w:val="es-ES"/>
              </w:rPr>
              <w:t>AC 3911;</w:t>
            </w:r>
            <w:r w:rsidR="00432727" w:rsidRPr="00AB7E72">
              <w:rPr>
                <w:lang w:val="es-ES"/>
              </w:rPr>
              <w:t xml:space="preserve"> </w:t>
            </w:r>
            <w:r w:rsidRPr="00AB7E72">
              <w:rPr>
                <w:lang w:val="es-ES"/>
              </w:rPr>
              <w:t>ENT 24042</w:t>
            </w:r>
          </w:p>
        </w:tc>
      </w:tr>
      <w:tr w:rsidR="002B0DBA" w:rsidRPr="00AB7E72" w14:paraId="2D0F5308"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4C8498D4" w14:textId="77777777" w:rsidR="002B0DBA" w:rsidRPr="00AB7E72" w:rsidRDefault="002B0DBA" w:rsidP="00233860">
            <w:pPr>
              <w:spacing w:after="120"/>
              <w:jc w:val="both"/>
              <w:rPr>
                <w:b/>
                <w:lang w:val="es-ES"/>
              </w:rPr>
            </w:pPr>
            <w:r w:rsidRPr="00AB7E72">
              <w:rPr>
                <w:b/>
                <w:lang w:val="es-ES"/>
              </w:rPr>
              <w:t>Fórmula molecular</w:t>
            </w:r>
          </w:p>
        </w:tc>
        <w:tc>
          <w:tcPr>
            <w:tcW w:w="7256" w:type="dxa"/>
            <w:gridSpan w:val="2"/>
          </w:tcPr>
          <w:p w14:paraId="15E7DFA0" w14:textId="77777777" w:rsidR="002B0DBA" w:rsidRPr="00AB7E72" w:rsidRDefault="002B0DBA" w:rsidP="00233860">
            <w:pPr>
              <w:spacing w:after="120"/>
              <w:jc w:val="both"/>
              <w:rPr>
                <w:lang w:val="es-ES"/>
              </w:rPr>
            </w:pPr>
            <w:r w:rsidRPr="00AB7E72">
              <w:rPr>
                <w:lang w:val="es-ES"/>
              </w:rPr>
              <w:t>C</w:t>
            </w:r>
            <w:r w:rsidRPr="00AB7E72">
              <w:rPr>
                <w:vertAlign w:val="subscript"/>
                <w:lang w:val="es-ES"/>
              </w:rPr>
              <w:t>7</w:t>
            </w:r>
            <w:r w:rsidRPr="00AB7E72">
              <w:rPr>
                <w:lang w:val="es-ES"/>
              </w:rPr>
              <w:t>H</w:t>
            </w:r>
            <w:r w:rsidRPr="00AB7E72">
              <w:rPr>
                <w:vertAlign w:val="subscript"/>
                <w:lang w:val="es-ES"/>
              </w:rPr>
              <w:t>17</w:t>
            </w:r>
            <w:r w:rsidRPr="00AB7E72">
              <w:rPr>
                <w:lang w:val="es-ES"/>
              </w:rPr>
              <w:t>O</w:t>
            </w:r>
            <w:r w:rsidRPr="00AB7E72">
              <w:rPr>
                <w:vertAlign w:val="subscript"/>
                <w:lang w:val="es-ES"/>
              </w:rPr>
              <w:t>2</w:t>
            </w:r>
            <w:r w:rsidRPr="00AB7E72">
              <w:rPr>
                <w:lang w:val="es-ES"/>
              </w:rPr>
              <w:t>PS</w:t>
            </w:r>
            <w:r w:rsidRPr="00AB7E72">
              <w:rPr>
                <w:vertAlign w:val="subscript"/>
                <w:lang w:val="es-ES"/>
              </w:rPr>
              <w:t>3</w:t>
            </w:r>
          </w:p>
          <w:p w14:paraId="7B7AB219" w14:textId="77777777" w:rsidR="002B0DBA" w:rsidRPr="00AB7E72" w:rsidRDefault="002B0DBA" w:rsidP="00233860">
            <w:pPr>
              <w:rPr>
                <w:lang w:val="es-ES"/>
              </w:rPr>
            </w:pPr>
          </w:p>
        </w:tc>
      </w:tr>
      <w:tr w:rsidR="002B0DBA" w:rsidRPr="00AB7E72" w14:paraId="7DEA1995"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3FF12DC0" w14:textId="77777777" w:rsidR="002B0DBA" w:rsidRPr="00AB7E72" w:rsidRDefault="002B0DBA" w:rsidP="00233860">
            <w:pPr>
              <w:rPr>
                <w:b/>
                <w:lang w:val="es-ES"/>
              </w:rPr>
            </w:pPr>
            <w:r w:rsidRPr="00AB7E72">
              <w:rPr>
                <w:b/>
                <w:lang w:val="es-ES"/>
              </w:rPr>
              <w:t>Estructura química</w:t>
            </w:r>
          </w:p>
        </w:tc>
        <w:tc>
          <w:tcPr>
            <w:tcW w:w="7256" w:type="dxa"/>
            <w:gridSpan w:val="2"/>
          </w:tcPr>
          <w:p w14:paraId="22750268" w14:textId="77777777" w:rsidR="002B0DBA" w:rsidRPr="00AB7E72" w:rsidRDefault="002B0DBA" w:rsidP="00233860">
            <w:pPr>
              <w:rPr>
                <w:lang w:val="es-ES"/>
              </w:rPr>
            </w:pPr>
            <w:r w:rsidRPr="00AB7E72">
              <w:rPr>
                <w:noProof/>
                <w:lang w:val="es-ES" w:eastAsia="es-ES"/>
              </w:rPr>
              <w:drawing>
                <wp:inline distT="0" distB="0" distL="0" distR="0" wp14:anchorId="70054FA6" wp14:editId="16CD7ED4">
                  <wp:extent cx="2266950" cy="1046539"/>
                  <wp:effectExtent l="0" t="0" r="0" b="1270"/>
                  <wp:docPr id="2" name="Picture 2" descr="mfcd00036348-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cd00036348-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0" cy="1046539"/>
                          </a:xfrm>
                          <a:prstGeom prst="rect">
                            <a:avLst/>
                          </a:prstGeom>
                          <a:noFill/>
                          <a:ln>
                            <a:noFill/>
                          </a:ln>
                        </pic:spPr>
                      </pic:pic>
                    </a:graphicData>
                  </a:graphic>
                </wp:inline>
              </w:drawing>
            </w:r>
          </w:p>
        </w:tc>
      </w:tr>
      <w:tr w:rsidR="002B0DBA" w:rsidRPr="00AB7E72" w14:paraId="042B398C"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18E4661D" w14:textId="77777777" w:rsidR="002B0DBA" w:rsidRPr="00AB7E72" w:rsidRDefault="002B0DBA" w:rsidP="00233860">
            <w:pPr>
              <w:rPr>
                <w:b/>
                <w:lang w:val="es-ES"/>
              </w:rPr>
            </w:pPr>
            <w:r w:rsidRPr="00AB7E72">
              <w:rPr>
                <w:b/>
                <w:bCs/>
                <w:lang w:val="es-ES"/>
              </w:rPr>
              <w:t>Números de CAS</w:t>
            </w:r>
          </w:p>
          <w:p w14:paraId="0D2E191D" w14:textId="77777777" w:rsidR="002B0DBA" w:rsidRPr="00AB7E72" w:rsidRDefault="002B0DBA" w:rsidP="00233860">
            <w:pPr>
              <w:rPr>
                <w:b/>
                <w:lang w:val="es-ES"/>
              </w:rPr>
            </w:pPr>
          </w:p>
        </w:tc>
        <w:tc>
          <w:tcPr>
            <w:tcW w:w="7256" w:type="dxa"/>
            <w:gridSpan w:val="2"/>
          </w:tcPr>
          <w:p w14:paraId="3C863850" w14:textId="77777777" w:rsidR="002B0DBA" w:rsidRPr="00AB7E72" w:rsidRDefault="002B0DBA" w:rsidP="00233860">
            <w:pPr>
              <w:rPr>
                <w:lang w:val="es-ES"/>
              </w:rPr>
            </w:pPr>
            <w:r w:rsidRPr="00AB7E72">
              <w:rPr>
                <w:lang w:val="es-ES"/>
              </w:rPr>
              <w:t>298-02-2</w:t>
            </w:r>
          </w:p>
        </w:tc>
      </w:tr>
      <w:tr w:rsidR="002B0DBA" w:rsidRPr="00AB7E72" w14:paraId="78631AE7"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094B533B" w14:textId="77777777" w:rsidR="002B0DBA" w:rsidRPr="00AB7E72" w:rsidRDefault="002B0DBA" w:rsidP="00233860">
            <w:pPr>
              <w:outlineLvl w:val="2"/>
              <w:rPr>
                <w:b/>
                <w:bCs/>
                <w:lang w:val="es-ES"/>
              </w:rPr>
            </w:pPr>
            <w:r w:rsidRPr="00AB7E72">
              <w:rPr>
                <w:b/>
                <w:lang w:val="es-ES"/>
              </w:rPr>
              <w:t>Código Aduanero del Sistema Armonizado</w:t>
            </w:r>
          </w:p>
        </w:tc>
        <w:tc>
          <w:tcPr>
            <w:tcW w:w="7256" w:type="dxa"/>
            <w:gridSpan w:val="2"/>
          </w:tcPr>
          <w:p w14:paraId="29C4A7B9" w14:textId="77777777" w:rsidR="002B0DBA" w:rsidRPr="00AB7E72" w:rsidRDefault="002B0DBA" w:rsidP="00233860">
            <w:pPr>
              <w:rPr>
                <w:lang w:val="es-ES"/>
              </w:rPr>
            </w:pPr>
          </w:p>
        </w:tc>
      </w:tr>
      <w:tr w:rsidR="002B0DBA" w:rsidRPr="00AB7E72" w14:paraId="61AEC29B"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0D0C00B0" w14:textId="77777777" w:rsidR="002B0DBA" w:rsidRPr="00AB7E72" w:rsidRDefault="002B0DBA" w:rsidP="00233860">
            <w:pPr>
              <w:outlineLvl w:val="2"/>
              <w:rPr>
                <w:b/>
                <w:bCs/>
                <w:lang w:val="es-ES"/>
              </w:rPr>
            </w:pPr>
            <w:r w:rsidRPr="00AB7E72">
              <w:rPr>
                <w:b/>
                <w:bCs/>
                <w:lang w:val="es-ES"/>
              </w:rPr>
              <w:t>Otros números</w:t>
            </w:r>
          </w:p>
        </w:tc>
        <w:tc>
          <w:tcPr>
            <w:tcW w:w="7256" w:type="dxa"/>
            <w:gridSpan w:val="2"/>
          </w:tcPr>
          <w:p w14:paraId="208321A7" w14:textId="253C572B" w:rsidR="002B0DBA" w:rsidRPr="00AB7E72" w:rsidRDefault="002B0DBA" w:rsidP="00233860">
            <w:pPr>
              <w:spacing w:after="120"/>
              <w:rPr>
                <w:color w:val="000000"/>
                <w:lang w:val="es-ES"/>
              </w:rPr>
            </w:pPr>
            <w:r w:rsidRPr="00AB7E72">
              <w:rPr>
                <w:lang w:val="es-ES"/>
              </w:rPr>
              <w:t>EC N</w:t>
            </w:r>
            <w:r w:rsidR="001946EF" w:rsidRPr="00AB7E72">
              <w:rPr>
                <w:lang w:val="es-ES"/>
              </w:rPr>
              <w:t>úm.</w:t>
            </w:r>
            <w:r w:rsidRPr="00AB7E72">
              <w:rPr>
                <w:lang w:val="es-ES"/>
              </w:rPr>
              <w:t>: 206-052-2, código OSHA IMIS: 2064, número de Caswell 660, número de registro CCOHS 502, RCRA número de desechos TD945000</w:t>
            </w:r>
          </w:p>
        </w:tc>
      </w:tr>
      <w:tr w:rsidR="002B0DBA" w:rsidRPr="00AB7E72" w14:paraId="65C6A658"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086CA455" w14:textId="77777777" w:rsidR="002B0DBA" w:rsidRPr="00AB7E72" w:rsidRDefault="002B0DBA" w:rsidP="00233860">
            <w:pPr>
              <w:outlineLvl w:val="2"/>
              <w:rPr>
                <w:b/>
                <w:bCs/>
                <w:lang w:val="es-ES"/>
              </w:rPr>
            </w:pPr>
            <w:r w:rsidRPr="00AB7E72">
              <w:rPr>
                <w:b/>
                <w:lang w:val="es-ES"/>
              </w:rPr>
              <w:t>Categoría</w:t>
            </w:r>
          </w:p>
        </w:tc>
        <w:tc>
          <w:tcPr>
            <w:tcW w:w="7256" w:type="dxa"/>
            <w:gridSpan w:val="2"/>
          </w:tcPr>
          <w:p w14:paraId="4AE8F332" w14:textId="77777777" w:rsidR="002B0DBA" w:rsidRPr="00AB7E72" w:rsidRDefault="002B0DBA" w:rsidP="00233860">
            <w:pPr>
              <w:spacing w:after="120"/>
              <w:rPr>
                <w:color w:val="000000"/>
                <w:lang w:val="es-ES"/>
              </w:rPr>
            </w:pPr>
            <w:r w:rsidRPr="00AB7E72">
              <w:rPr>
                <w:lang w:val="es-ES"/>
              </w:rPr>
              <w:t>Plaguicida</w:t>
            </w:r>
          </w:p>
        </w:tc>
      </w:tr>
      <w:tr w:rsidR="002B0DBA" w:rsidRPr="00AB7E72" w14:paraId="5C50D27D"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10E86E5D" w14:textId="77777777" w:rsidR="002B0DBA" w:rsidRPr="00AB7E72" w:rsidRDefault="002B0DBA" w:rsidP="00233860">
            <w:pPr>
              <w:outlineLvl w:val="2"/>
              <w:rPr>
                <w:b/>
                <w:bCs/>
                <w:lang w:val="es-ES"/>
              </w:rPr>
            </w:pPr>
            <w:r w:rsidRPr="00AB7E72">
              <w:rPr>
                <w:b/>
                <w:lang w:val="es-ES"/>
              </w:rPr>
              <w:t>Categoría regulada</w:t>
            </w:r>
          </w:p>
        </w:tc>
        <w:tc>
          <w:tcPr>
            <w:tcW w:w="7256" w:type="dxa"/>
            <w:gridSpan w:val="2"/>
          </w:tcPr>
          <w:p w14:paraId="3FDEAAF2" w14:textId="77777777" w:rsidR="002B0DBA" w:rsidRPr="00AB7E72" w:rsidRDefault="002B0DBA" w:rsidP="00233860">
            <w:pPr>
              <w:spacing w:after="120"/>
              <w:rPr>
                <w:color w:val="000000"/>
                <w:lang w:val="es-ES"/>
              </w:rPr>
            </w:pPr>
            <w:r w:rsidRPr="00AB7E72">
              <w:rPr>
                <w:lang w:val="es-ES"/>
              </w:rPr>
              <w:t>Plaguicida</w:t>
            </w:r>
          </w:p>
        </w:tc>
      </w:tr>
      <w:tr w:rsidR="002B0DBA" w:rsidRPr="00AB7E72" w14:paraId="63CCBA06"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23A7F7AE" w14:textId="77777777" w:rsidR="002B0DBA" w:rsidRPr="00AB7E72" w:rsidRDefault="002B0DBA" w:rsidP="00233860">
            <w:pPr>
              <w:outlineLvl w:val="2"/>
              <w:rPr>
                <w:b/>
                <w:bCs/>
                <w:lang w:val="es-ES"/>
              </w:rPr>
            </w:pPr>
            <w:r w:rsidRPr="00AB7E72">
              <w:rPr>
                <w:b/>
                <w:lang w:val="es-ES"/>
              </w:rPr>
              <w:t>Uso(s) en la categoría regulada</w:t>
            </w:r>
          </w:p>
        </w:tc>
        <w:tc>
          <w:tcPr>
            <w:tcW w:w="7256" w:type="dxa"/>
            <w:gridSpan w:val="2"/>
          </w:tcPr>
          <w:p w14:paraId="7DD581C2" w14:textId="77777777" w:rsidR="002B0DBA" w:rsidRPr="00AB7E72" w:rsidRDefault="002B0DBA" w:rsidP="00233860">
            <w:pPr>
              <w:spacing w:after="120"/>
              <w:rPr>
                <w:color w:val="000000"/>
                <w:lang w:val="es-ES"/>
              </w:rPr>
            </w:pPr>
            <w:r w:rsidRPr="00AB7E72">
              <w:rPr>
                <w:lang w:val="es-ES"/>
              </w:rPr>
              <w:t>Se autorizó el forato en el Brasil como insecticida exclusivamente para uso agrícola en cultivos de algodón, patatas, café, frijoles y maíz.</w:t>
            </w:r>
          </w:p>
          <w:p w14:paraId="02DFEE7C" w14:textId="77777777" w:rsidR="002B0DBA" w:rsidRPr="00AB7E72" w:rsidRDefault="002B0DBA" w:rsidP="00233860">
            <w:pPr>
              <w:spacing w:after="120"/>
              <w:rPr>
                <w:color w:val="000000"/>
                <w:lang w:val="es-ES"/>
              </w:rPr>
            </w:pPr>
            <w:r w:rsidRPr="00AB7E72">
              <w:rPr>
                <w:lang w:val="es-ES"/>
              </w:rPr>
              <w:t>El forato es un insecticida sistémico que, al momento de tomarse las medidas de reglamentación, estaba registrado en el Canadá para uso en patatas, frijoles, maíz, lechuga y colinabos.</w:t>
            </w:r>
          </w:p>
        </w:tc>
      </w:tr>
      <w:tr w:rsidR="002B0DBA" w:rsidRPr="00AB7E72" w14:paraId="2341C059"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4009741D" w14:textId="77777777" w:rsidR="002B0DBA" w:rsidRPr="00AB7E72" w:rsidRDefault="002B0DBA" w:rsidP="00233860">
            <w:pPr>
              <w:outlineLvl w:val="2"/>
              <w:rPr>
                <w:b/>
                <w:bCs/>
                <w:lang w:val="es-ES"/>
              </w:rPr>
            </w:pPr>
            <w:r w:rsidRPr="00AB7E72">
              <w:rPr>
                <w:b/>
                <w:lang w:val="es-ES"/>
              </w:rPr>
              <w:t>Nombres comerciales</w:t>
            </w:r>
          </w:p>
        </w:tc>
        <w:tc>
          <w:tcPr>
            <w:tcW w:w="7256" w:type="dxa"/>
            <w:gridSpan w:val="2"/>
          </w:tcPr>
          <w:p w14:paraId="45B857A6" w14:textId="77777777" w:rsidR="002B0DBA" w:rsidRPr="00AB7E72" w:rsidRDefault="002B0DBA" w:rsidP="00233860">
            <w:pPr>
              <w:spacing w:after="120"/>
              <w:rPr>
                <w:color w:val="000000"/>
                <w:lang w:val="es-ES"/>
              </w:rPr>
            </w:pPr>
            <w:r w:rsidRPr="00AB7E72">
              <w:rPr>
                <w:lang w:val="es-ES"/>
              </w:rPr>
              <w:t>Nombres comerciales indicados por el Brasil: Granutox y Granutox 150 G.</w:t>
            </w:r>
          </w:p>
          <w:p w14:paraId="4C075059" w14:textId="77777777" w:rsidR="002B0DBA" w:rsidRPr="00AB7E72" w:rsidRDefault="002B0DBA" w:rsidP="00233860">
            <w:pPr>
              <w:spacing w:after="120"/>
              <w:rPr>
                <w:color w:val="000000"/>
                <w:lang w:val="es-ES"/>
              </w:rPr>
            </w:pPr>
            <w:r w:rsidRPr="00AB7E72">
              <w:rPr>
                <w:lang w:val="es-ES"/>
              </w:rPr>
              <w:t>Nombres comerciales indicados por el Canadá al momento de tomarse las medidas de reglamentación: insecticida granular para suelos y sistémico Thimet 15G.</w:t>
            </w:r>
          </w:p>
          <w:p w14:paraId="4FA24664" w14:textId="4FEE192D" w:rsidR="002B0DBA" w:rsidRPr="00AB7E72" w:rsidRDefault="002B0DBA" w:rsidP="00233860">
            <w:pPr>
              <w:spacing w:after="120"/>
              <w:rPr>
                <w:color w:val="000000"/>
                <w:lang w:val="es-ES"/>
              </w:rPr>
            </w:pPr>
            <w:r w:rsidRPr="00AB7E72">
              <w:rPr>
                <w:lang w:val="es-ES"/>
              </w:rPr>
              <w:t>Otros nombres comerciales (se indica el fabricante entre paréntesis): insecticida para suelos y sistémico Thimet 15G, Cecurafox (Cequisa), Dhan (Dhanuka), Granural, Granutox, Granutox 150 G;</w:t>
            </w:r>
            <w:r w:rsidR="00AB7E72">
              <w:rPr>
                <w:lang w:val="es-ES"/>
              </w:rPr>
              <w:t xml:space="preserve"> </w:t>
            </w:r>
            <w:r w:rsidRPr="00AB7E72">
              <w:rPr>
                <w:lang w:val="es-ES"/>
              </w:rPr>
              <w:t>Kurunal (Ramcides), Umet (United Phosphorus), Volphor (Voltas), Warrant (Searle India), Agromet, Geomet, Phorate 10G, Rampart, Thimenox, Thimet (Cyanamid), Vegfru Foratox, Timet y Vegfru.</w:t>
            </w:r>
          </w:p>
          <w:p w14:paraId="1F733EED" w14:textId="77777777" w:rsidR="002B0DBA" w:rsidRPr="00AB7E72" w:rsidRDefault="002B0DBA" w:rsidP="00233860">
            <w:pPr>
              <w:spacing w:after="120"/>
              <w:rPr>
                <w:color w:val="000000"/>
                <w:lang w:val="es-ES"/>
              </w:rPr>
            </w:pPr>
            <w:r w:rsidRPr="00AB7E72">
              <w:rPr>
                <w:lang w:val="es-ES"/>
              </w:rPr>
              <w:t>Esta lista de nombres comerciales es meramente indicativa y no pretende ser exhaustiva.</w:t>
            </w:r>
          </w:p>
        </w:tc>
      </w:tr>
      <w:tr w:rsidR="002B0DBA" w:rsidRPr="00AB7E72" w14:paraId="00C15EFA"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2C7CDD4A" w14:textId="77777777" w:rsidR="002B0DBA" w:rsidRPr="00AB7E72" w:rsidRDefault="002B0DBA" w:rsidP="00233860">
            <w:pPr>
              <w:outlineLvl w:val="2"/>
              <w:rPr>
                <w:b/>
                <w:bCs/>
                <w:lang w:val="es-ES"/>
              </w:rPr>
            </w:pPr>
            <w:r w:rsidRPr="00AB7E72">
              <w:rPr>
                <w:b/>
                <w:bCs/>
                <w:lang w:val="es-ES"/>
              </w:rPr>
              <w:t>Tipos de formulaciones</w:t>
            </w:r>
          </w:p>
        </w:tc>
        <w:tc>
          <w:tcPr>
            <w:tcW w:w="7256" w:type="dxa"/>
            <w:gridSpan w:val="2"/>
          </w:tcPr>
          <w:p w14:paraId="4D423A3F" w14:textId="77777777" w:rsidR="002B0DBA" w:rsidRPr="00AB7E72" w:rsidRDefault="002B0DBA" w:rsidP="00233860">
            <w:pPr>
              <w:tabs>
                <w:tab w:val="left" w:pos="1005"/>
              </w:tabs>
              <w:spacing w:after="120"/>
              <w:rPr>
                <w:color w:val="000000"/>
                <w:lang w:val="es-ES"/>
              </w:rPr>
            </w:pPr>
            <w:r w:rsidRPr="00AB7E72">
              <w:rPr>
                <w:lang w:val="es-ES"/>
              </w:rPr>
              <w:t>Granutox y Granutox 150 G son gránulos. La notificación canadiense indica tipo “G”: granular.</w:t>
            </w:r>
          </w:p>
        </w:tc>
      </w:tr>
      <w:tr w:rsidR="002B0DBA" w:rsidRPr="00AB7E72" w14:paraId="72A4CCD1"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1565595E" w14:textId="77777777" w:rsidR="002B0DBA" w:rsidRPr="00AB7E72" w:rsidRDefault="002B0DBA" w:rsidP="00233860">
            <w:pPr>
              <w:spacing w:after="120"/>
              <w:outlineLvl w:val="2"/>
              <w:rPr>
                <w:b/>
                <w:bCs/>
                <w:lang w:val="es-ES"/>
              </w:rPr>
            </w:pPr>
            <w:r w:rsidRPr="00AB7E72">
              <w:rPr>
                <w:b/>
                <w:lang w:val="es-ES"/>
              </w:rPr>
              <w:t>Usos en otras categorías</w:t>
            </w:r>
          </w:p>
        </w:tc>
        <w:tc>
          <w:tcPr>
            <w:tcW w:w="7256" w:type="dxa"/>
            <w:gridSpan w:val="2"/>
          </w:tcPr>
          <w:p w14:paraId="6C2215A2" w14:textId="77777777" w:rsidR="002B0DBA" w:rsidRPr="00AB7E72" w:rsidRDefault="002B0DBA" w:rsidP="00233860">
            <w:pPr>
              <w:spacing w:after="120"/>
              <w:rPr>
                <w:color w:val="000000"/>
                <w:lang w:val="es-ES"/>
              </w:rPr>
            </w:pPr>
            <w:r w:rsidRPr="00AB7E72">
              <w:rPr>
                <w:lang w:val="es-ES"/>
              </w:rPr>
              <w:t>No se ha notificado ningún uso como producto químico industrial.</w:t>
            </w:r>
          </w:p>
        </w:tc>
      </w:tr>
      <w:tr w:rsidR="002B0DBA" w:rsidRPr="00AB7E72" w14:paraId="319E277E"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375251CE" w14:textId="77777777" w:rsidR="002B0DBA" w:rsidRPr="00AB7E72" w:rsidRDefault="002B0DBA" w:rsidP="00233860">
            <w:pPr>
              <w:keepNext/>
              <w:keepLines/>
              <w:spacing w:after="120"/>
              <w:outlineLvl w:val="2"/>
              <w:rPr>
                <w:b/>
                <w:bCs/>
                <w:lang w:val="es-ES"/>
              </w:rPr>
            </w:pPr>
            <w:r w:rsidRPr="00AB7E72">
              <w:rPr>
                <w:b/>
                <w:bCs/>
                <w:lang w:val="es-ES"/>
              </w:rPr>
              <w:t>Principales fabricantes</w:t>
            </w:r>
          </w:p>
        </w:tc>
        <w:tc>
          <w:tcPr>
            <w:tcW w:w="7256" w:type="dxa"/>
            <w:gridSpan w:val="2"/>
          </w:tcPr>
          <w:p w14:paraId="6C192A9E" w14:textId="77777777" w:rsidR="002B0DBA" w:rsidRPr="00AB7E72" w:rsidRDefault="002B0DBA" w:rsidP="00233860">
            <w:pPr>
              <w:keepNext/>
              <w:keepLines/>
              <w:spacing w:after="60"/>
              <w:rPr>
                <w:color w:val="000000"/>
                <w:lang w:val="es-ES"/>
              </w:rPr>
            </w:pPr>
            <w:r w:rsidRPr="00AB7E72">
              <w:rPr>
                <w:lang w:val="en-US"/>
              </w:rPr>
              <w:t xml:space="preserve">AMVAC Chemical Corporation, BASF, Paramount Pesticides Ltd., Insecticides (India) Ltd., P. I. Industries Ltd., Gujarat Pesticides Pvt.Ltd., Vimal Crop Care Pvt.Ltd., Modern Chemicals Pvt.Ltd., Sanova Pharma Chem Pvt.Ltd., Prime Agro Industries Pvt.Ltd., Insecticides India Ltd., Sudarshan Fertilisers, Sunray Chemical Industries, Trans Yamuna Fertilizers Pvt.Ltd., P. I. Industries Limited, Balaa Pesticides, Jai Chemicals (fuente: e-World Trade Fair), American Cyanamid Co. </w:t>
            </w:r>
            <w:r w:rsidRPr="00AB7E72">
              <w:rPr>
                <w:lang w:val="es-ES"/>
              </w:rPr>
              <w:t>One Cyanamid Plaza (fuente: Toxnet, 2017), United Phosphorus, Cequisa, Dhanuka, Ramcides, Voltas, Searle India (Manual de plaguicidas, 11ª edición en (UNEP/FAO/RC/CRC.5/9/Add.1)).</w:t>
            </w:r>
          </w:p>
          <w:p w14:paraId="1C84E6FD" w14:textId="3E387C74" w:rsidR="002B0DBA" w:rsidRPr="00AB7E72" w:rsidRDefault="002B0DBA" w:rsidP="00233860">
            <w:pPr>
              <w:keepNext/>
              <w:keepLines/>
              <w:spacing w:after="120"/>
              <w:jc w:val="both"/>
              <w:rPr>
                <w:lang w:val="es-ES"/>
              </w:rPr>
            </w:pPr>
            <w:r w:rsidRPr="00AB7E72">
              <w:rPr>
                <w:i/>
                <w:iCs/>
                <w:lang w:val="es-ES"/>
              </w:rPr>
              <w:t>Esta es una lista indicativa de los fabricantes actuales y anteriores y no pretende ser</w:t>
            </w:r>
            <w:r w:rsidR="00217363" w:rsidRPr="00AB7E72">
              <w:rPr>
                <w:i/>
                <w:iCs/>
                <w:lang w:val="es-ES"/>
              </w:rPr>
              <w:t> </w:t>
            </w:r>
            <w:r w:rsidRPr="00AB7E72">
              <w:rPr>
                <w:i/>
                <w:iCs/>
                <w:lang w:val="es-ES"/>
              </w:rPr>
              <w:t>exhaustiva.</w:t>
            </w:r>
          </w:p>
        </w:tc>
      </w:tr>
      <w:tr w:rsidR="002B0DBA" w:rsidRPr="00AB7E72" w14:paraId="1B4221FE" w14:textId="77777777" w:rsidTr="0023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gridSpan w:val="2"/>
          </w:tcPr>
          <w:p w14:paraId="1B5DCD5D" w14:textId="77777777" w:rsidR="002B0DBA" w:rsidRPr="00AB7E72" w:rsidRDefault="002B0DBA" w:rsidP="00233860">
            <w:pPr>
              <w:keepNext/>
              <w:keepLines/>
              <w:spacing w:after="120"/>
              <w:outlineLvl w:val="2"/>
              <w:rPr>
                <w:b/>
                <w:bCs/>
                <w:lang w:val="es-ES"/>
              </w:rPr>
            </w:pPr>
          </w:p>
        </w:tc>
        <w:tc>
          <w:tcPr>
            <w:tcW w:w="7256" w:type="dxa"/>
            <w:gridSpan w:val="2"/>
          </w:tcPr>
          <w:p w14:paraId="789C3249" w14:textId="77777777" w:rsidR="002B0DBA" w:rsidRPr="00AB7E72" w:rsidRDefault="002B0DBA" w:rsidP="00233860">
            <w:pPr>
              <w:keepNext/>
              <w:keepLines/>
              <w:spacing w:after="60"/>
              <w:rPr>
                <w:lang w:val="es-ES"/>
              </w:rPr>
            </w:pPr>
          </w:p>
        </w:tc>
      </w:tr>
      <w:tr w:rsidR="002B0DBA" w:rsidRPr="00AB7E72" w14:paraId="602B3C85" w14:textId="77777777" w:rsidTr="00233860">
        <w:tblPrEx>
          <w:tblBorders>
            <w:insideH w:val="none" w:sz="0" w:space="0" w:color="auto"/>
            <w:insideV w:val="none" w:sz="0" w:space="0" w:color="auto"/>
          </w:tblBorders>
        </w:tblPrEx>
        <w:tc>
          <w:tcPr>
            <w:tcW w:w="9356" w:type="dxa"/>
            <w:gridSpan w:val="4"/>
            <w:tcBorders>
              <w:top w:val="single" w:sz="6" w:space="0" w:color="808080"/>
              <w:bottom w:val="single" w:sz="6" w:space="0" w:color="808080"/>
            </w:tcBorders>
            <w:shd w:val="pct10" w:color="auto" w:fill="auto"/>
          </w:tcPr>
          <w:p w14:paraId="531ED055" w14:textId="77777777" w:rsidR="002B0DBA" w:rsidRPr="00AB7E72" w:rsidRDefault="002B0DBA" w:rsidP="00233860">
            <w:pPr>
              <w:keepNext/>
              <w:keepLines/>
              <w:spacing w:before="40" w:after="60"/>
              <w:outlineLvl w:val="0"/>
              <w:rPr>
                <w:b/>
                <w:bCs/>
                <w:kern w:val="28"/>
                <w:lang w:val="es-ES"/>
              </w:rPr>
            </w:pPr>
            <w:r w:rsidRPr="00AB7E72">
              <w:rPr>
                <w:b/>
                <w:lang w:val="es-ES"/>
              </w:rPr>
              <w:t>2. Razones para su inclusión en el procedimiento de CFP</w:t>
            </w:r>
          </w:p>
        </w:tc>
      </w:tr>
      <w:tr w:rsidR="002B0DBA" w:rsidRPr="00AB7E72" w14:paraId="089E2987" w14:textId="77777777" w:rsidTr="00233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Borders>
              <w:top w:val="nil"/>
              <w:left w:val="nil"/>
              <w:bottom w:val="single" w:sz="4" w:space="0" w:color="auto"/>
              <w:right w:val="nil"/>
            </w:tcBorders>
          </w:tcPr>
          <w:p w14:paraId="75BDACE1" w14:textId="77777777" w:rsidR="002B0DBA" w:rsidRPr="00AB7E72" w:rsidRDefault="002B0DBA" w:rsidP="00233860">
            <w:pPr>
              <w:keepNext/>
              <w:keepLines/>
              <w:spacing w:after="120"/>
              <w:rPr>
                <w:bCs/>
                <w:lang w:val="es-ES"/>
              </w:rPr>
            </w:pPr>
            <w:r w:rsidRPr="00AB7E72">
              <w:rPr>
                <w:lang w:val="es-ES"/>
              </w:rPr>
              <w:t>El forato figura en la categoría de plaguicidas en el procedimiento de CFP. Su inclusión se basa en las medidas reglamentarias firmes para prohibir su uso notificadas por el Brasil y para restringir rigurosamente su uso, notificadas por el Canadá.</w:t>
            </w:r>
          </w:p>
        </w:tc>
      </w:tr>
      <w:tr w:rsidR="002B0DBA" w:rsidRPr="00AB7E72" w14:paraId="7BF7C34A" w14:textId="77777777" w:rsidTr="00233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tcPr>
          <w:p w14:paraId="36ABE833" w14:textId="77777777" w:rsidR="002B0DBA" w:rsidRPr="00AB7E72" w:rsidRDefault="002B0DBA" w:rsidP="00233860">
            <w:pPr>
              <w:keepNext/>
              <w:keepLines/>
              <w:outlineLvl w:val="1"/>
              <w:rPr>
                <w:b/>
                <w:bCs/>
                <w:lang w:val="es-ES"/>
              </w:rPr>
            </w:pPr>
            <w:r w:rsidRPr="00AB7E72">
              <w:rPr>
                <w:b/>
                <w:lang w:val="es-ES"/>
              </w:rPr>
              <w:t>2.1 Medida reglamentaria firme (para más información, véase el anexo 2)</w:t>
            </w:r>
          </w:p>
        </w:tc>
      </w:tr>
      <w:tr w:rsidR="002B0DBA" w:rsidRPr="00AB7E72" w14:paraId="62A228AA" w14:textId="77777777" w:rsidTr="00233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9356" w:type="dxa"/>
            <w:gridSpan w:val="4"/>
            <w:tcBorders>
              <w:top w:val="single" w:sz="4" w:space="0" w:color="auto"/>
              <w:left w:val="nil"/>
              <w:bottom w:val="nil"/>
              <w:right w:val="nil"/>
            </w:tcBorders>
          </w:tcPr>
          <w:p w14:paraId="6B0BFB1F" w14:textId="77777777" w:rsidR="002B0DBA" w:rsidRPr="00AB7E72" w:rsidRDefault="002B0DBA" w:rsidP="00233860">
            <w:pPr>
              <w:keepNext/>
              <w:keepLines/>
              <w:spacing w:before="120" w:after="120"/>
              <w:outlineLvl w:val="2"/>
              <w:rPr>
                <w:b/>
                <w:bCs/>
                <w:u w:val="single"/>
                <w:lang w:val="es-ES"/>
              </w:rPr>
            </w:pPr>
            <w:r w:rsidRPr="00AB7E72">
              <w:rPr>
                <w:b/>
                <w:u w:val="single"/>
                <w:lang w:val="es-ES"/>
              </w:rPr>
              <w:t>Brasil</w:t>
            </w:r>
          </w:p>
          <w:p w14:paraId="45ADBD3C" w14:textId="07073D69" w:rsidR="002B0DBA" w:rsidRPr="00AB7E72" w:rsidRDefault="002B0DBA" w:rsidP="00233860">
            <w:pPr>
              <w:keepNext/>
              <w:keepLines/>
              <w:spacing w:after="120"/>
              <w:rPr>
                <w:color w:val="000000"/>
                <w:lang w:val="es-ES"/>
              </w:rPr>
            </w:pPr>
            <w:r w:rsidRPr="00AB7E72">
              <w:rPr>
                <w:lang w:val="es-ES"/>
              </w:rPr>
              <w:t>De conformidad con la Ley 7.802/89 (Ley sobre los pesticidas), la referencia jurídica para el manejo de pesticidas,</w:t>
            </w:r>
            <w:r w:rsidR="001946EF" w:rsidRPr="00AB7E72">
              <w:rPr>
                <w:lang w:val="es-ES"/>
              </w:rPr>
              <w:t xml:space="preserve"> reglamentada por el decreto Núm.</w:t>
            </w:r>
            <w:r w:rsidRPr="00AB7E72">
              <w:rPr>
                <w:lang w:val="es-ES"/>
              </w:rPr>
              <w:t xml:space="preserve"> 4.074/02, se prohíbe la fabricación, importación, exportación, comercialización y utilización de todo plaguicida que no esté registrado en el Brasil.</w:t>
            </w:r>
          </w:p>
          <w:p w14:paraId="35419312" w14:textId="1609ED32" w:rsidR="002B0DBA" w:rsidRPr="00AB7E72" w:rsidRDefault="002B0DBA" w:rsidP="00233860">
            <w:pPr>
              <w:keepNext/>
              <w:keepLines/>
              <w:spacing w:after="120"/>
              <w:rPr>
                <w:color w:val="000000"/>
                <w:lang w:val="es-ES"/>
              </w:rPr>
            </w:pPr>
            <w:r w:rsidRPr="00AB7E72">
              <w:rPr>
                <w:lang w:val="es-ES"/>
              </w:rPr>
              <w:t>La resolución RDC N</w:t>
            </w:r>
            <w:r w:rsidR="001946EF" w:rsidRPr="00AB7E72">
              <w:rPr>
                <w:lang w:val="es-ES"/>
              </w:rPr>
              <w:t>úm.</w:t>
            </w:r>
            <w:r w:rsidRPr="00AB7E72">
              <w:rPr>
                <w:lang w:val="es-ES"/>
              </w:rPr>
              <w:t xml:space="preserve"> 12 del 13 de marzo de 2015, emitida por la Agencia Nacional de Vigilancia Sanitaria (ANVISA), prohíbe el uso de todos los productos técnicos y formulados que se basen en el principio activo de forato en Brasil. Por ello, se prohibió la producción, el uso, el comercio, la importación y la exportación de forato. La resolución canceló los informes de evaluación toxicológica de todos los productos técnicos y formulados que se basen en el forato y excluyó la monografía del forato principio activo de la fecha de publicación de la resolución. Obligó a las empresas que contaban con existencias de productos basados en forato a realizar su adecuada eliminación definitiva.</w:t>
            </w:r>
          </w:p>
          <w:p w14:paraId="2FB3DF13" w14:textId="77777777" w:rsidR="002B0DBA" w:rsidRPr="00AB7E72" w:rsidRDefault="002B0DBA" w:rsidP="00233860">
            <w:pPr>
              <w:keepNext/>
              <w:keepLines/>
              <w:spacing w:after="120"/>
              <w:rPr>
                <w:color w:val="000000"/>
                <w:lang w:val="es-ES"/>
              </w:rPr>
            </w:pPr>
            <w:r w:rsidRPr="00AB7E72">
              <w:rPr>
                <w:lang w:val="es-ES"/>
              </w:rPr>
              <w:t>La resolución se fundamentó en la nota técnica de la nueva evaluación toxicológica del ingrediente activo forato elaborada por ANVISA con la colaboración de la Fundación Oswaldo Cruz.</w:t>
            </w:r>
          </w:p>
          <w:p w14:paraId="2281A4F6" w14:textId="77777777" w:rsidR="002B0DBA" w:rsidRPr="00AB7E72" w:rsidRDefault="002B0DBA" w:rsidP="00233860">
            <w:pPr>
              <w:keepNext/>
              <w:keepLines/>
              <w:spacing w:after="120"/>
              <w:rPr>
                <w:lang w:val="es-ES"/>
              </w:rPr>
            </w:pPr>
            <w:r w:rsidRPr="00AB7E72">
              <w:rPr>
                <w:lang w:val="es-ES"/>
              </w:rPr>
              <w:t>Se adoptó la medida reglamentaria firme para la categoría de plaguicidas con el fin de proteger la salud humana.</w:t>
            </w:r>
          </w:p>
        </w:tc>
      </w:tr>
      <w:tr w:rsidR="002B0DBA" w:rsidRPr="00AB7E72" w14:paraId="165CAE2A" w14:textId="77777777" w:rsidTr="00233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249" w:type="dxa"/>
            <w:tcBorders>
              <w:top w:val="nil"/>
              <w:left w:val="nil"/>
              <w:bottom w:val="nil"/>
              <w:right w:val="nil"/>
            </w:tcBorders>
          </w:tcPr>
          <w:p w14:paraId="01FEDD8D" w14:textId="77777777" w:rsidR="002B0DBA" w:rsidRPr="00AB7E72" w:rsidRDefault="002B0DBA" w:rsidP="00233860">
            <w:pPr>
              <w:spacing w:before="20" w:after="20"/>
              <w:outlineLvl w:val="2"/>
              <w:rPr>
                <w:b/>
                <w:bCs/>
                <w:lang w:val="es-ES"/>
              </w:rPr>
            </w:pPr>
            <w:r w:rsidRPr="00AB7E72">
              <w:rPr>
                <w:b/>
                <w:bCs/>
                <w:lang w:val="es-ES"/>
              </w:rPr>
              <w:t>Razón:</w:t>
            </w:r>
          </w:p>
        </w:tc>
        <w:tc>
          <w:tcPr>
            <w:tcW w:w="8107" w:type="dxa"/>
            <w:gridSpan w:val="3"/>
            <w:tcBorders>
              <w:top w:val="nil"/>
              <w:left w:val="nil"/>
              <w:bottom w:val="nil"/>
              <w:right w:val="nil"/>
            </w:tcBorders>
          </w:tcPr>
          <w:p w14:paraId="29860AE5" w14:textId="77777777" w:rsidR="002B0DBA" w:rsidRPr="00AB7E72" w:rsidRDefault="002B0DBA" w:rsidP="00233860">
            <w:pPr>
              <w:keepNext/>
              <w:keepLines/>
              <w:spacing w:before="20" w:after="20"/>
              <w:outlineLvl w:val="2"/>
              <w:rPr>
                <w:b/>
                <w:bCs/>
                <w:lang w:val="es-ES"/>
              </w:rPr>
            </w:pPr>
            <w:r w:rsidRPr="00AB7E72">
              <w:rPr>
                <w:b/>
                <w:bCs/>
                <w:lang w:val="es-ES"/>
              </w:rPr>
              <w:t>Salud humana</w:t>
            </w:r>
          </w:p>
        </w:tc>
      </w:tr>
      <w:tr w:rsidR="002B0DBA" w:rsidRPr="00AB7E72" w14:paraId="7B663F75" w14:textId="77777777" w:rsidTr="00233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356" w:type="dxa"/>
            <w:gridSpan w:val="4"/>
            <w:tcBorders>
              <w:top w:val="nil"/>
              <w:left w:val="nil"/>
              <w:bottom w:val="nil"/>
              <w:right w:val="nil"/>
            </w:tcBorders>
          </w:tcPr>
          <w:p w14:paraId="7C9249DC" w14:textId="77777777" w:rsidR="002B0DBA" w:rsidRPr="00AB7E72" w:rsidRDefault="002B0DBA" w:rsidP="00233860">
            <w:pPr>
              <w:spacing w:before="120" w:after="120"/>
              <w:rPr>
                <w:b/>
                <w:u w:val="single"/>
                <w:lang w:val="es-ES"/>
              </w:rPr>
            </w:pPr>
            <w:r w:rsidRPr="00AB7E72">
              <w:rPr>
                <w:b/>
                <w:u w:val="single"/>
                <w:lang w:val="es-ES"/>
              </w:rPr>
              <w:t>Canadá</w:t>
            </w:r>
          </w:p>
          <w:p w14:paraId="13287D80" w14:textId="180B5193" w:rsidR="002B0DBA" w:rsidRPr="00AB7E72" w:rsidRDefault="002B0DBA" w:rsidP="00233860">
            <w:pPr>
              <w:spacing w:before="120" w:after="120"/>
              <w:rPr>
                <w:lang w:val="es-ES"/>
              </w:rPr>
            </w:pPr>
            <w:r w:rsidRPr="00AB7E72">
              <w:rPr>
                <w:lang w:val="es-ES"/>
              </w:rPr>
              <w:t>El Organismo Regulador de la Gestión de Plagas realizó una nueva evaluación del principio activo forato, mediante el examen de la información disponible, y llegó a la conclusión de que el uso del forato y los productos finales asociados (EP) conllevan un r</w:t>
            </w:r>
            <w:r w:rsidR="00217363" w:rsidRPr="00AB7E72">
              <w:rPr>
                <w:lang w:val="es-ES"/>
              </w:rPr>
              <w:t>ies</w:t>
            </w:r>
            <w:r w:rsidRPr="00AB7E72">
              <w:rPr>
                <w:lang w:val="es-ES"/>
              </w:rPr>
              <w:t>go inaceptable de daños al medio ambiente conforme al artículo 20 del reglamento canadiense sobre productos para el control de plagas (PCP). Como consecuencia, el PMRA determinó que debían eliminarse todos los usos de forato. A fines de diciembre de 2004 se eliminaron los usos del forato y los productos finales asociados en cultivos de maíz, lechuga, frijoles y colinabos.</w:t>
            </w:r>
          </w:p>
          <w:p w14:paraId="136365A7" w14:textId="77777777" w:rsidR="002B0DBA" w:rsidRPr="00AB7E72" w:rsidRDefault="002B0DBA" w:rsidP="00233860">
            <w:pPr>
              <w:spacing w:before="120" w:after="120"/>
              <w:rPr>
                <w:lang w:val="es-ES"/>
              </w:rPr>
            </w:pPr>
            <w:r w:rsidRPr="00AB7E72">
              <w:rPr>
                <w:lang w:val="es-ES"/>
              </w:rPr>
              <w:t>Debido a la falta de alternativas al forato para el control del gusano alambre en patatas, podía continuarse utilizando forato solo para este fin, hasta el 1 de agosto de 2008, con medidas provisionales de alivio destinadas a proteger a los trabajadores (</w:t>
            </w:r>
            <w:bookmarkStart w:id="3" w:name="_Hlk519681425"/>
            <w:r w:rsidRPr="00AB7E72">
              <w:rPr>
                <w:lang w:val="es-ES"/>
              </w:rPr>
              <w:t>controles de ingeniería, requisitos relativos al equipo de protección personal (EPP) extra y medio ambiente (declaración ambiental en la etiqueta</w:t>
            </w:r>
            <w:bookmarkEnd w:id="3"/>
            <w:r w:rsidRPr="00AB7E72">
              <w:rPr>
                <w:lang w:val="es-ES"/>
              </w:rPr>
              <w:t>). Posteriormente se extendió su uso en cultivos de patatas hasta agosto de 2015. En el año 2015, se registró un nuevo producto forato, combinado con un equipo de aplicación destinado a reducir la exposición ambiental.</w:t>
            </w:r>
          </w:p>
          <w:p w14:paraId="673F7C73" w14:textId="77777777" w:rsidR="002B0DBA" w:rsidRPr="00AB7E72" w:rsidRDefault="002B0DBA" w:rsidP="00233860">
            <w:pPr>
              <w:spacing w:before="120"/>
              <w:rPr>
                <w:lang w:val="es-ES"/>
              </w:rPr>
            </w:pPr>
            <w:r w:rsidRPr="00AB7E72">
              <w:rPr>
                <w:lang w:val="es-ES"/>
              </w:rPr>
              <w:t>Los documentos normativos pertinentes son:</w:t>
            </w:r>
          </w:p>
          <w:p w14:paraId="09963E3E" w14:textId="77777777" w:rsidR="002B0DBA" w:rsidRPr="00AB7E72" w:rsidRDefault="002B0DBA" w:rsidP="00233860">
            <w:pPr>
              <w:pStyle w:val="ListParagraph"/>
              <w:numPr>
                <w:ilvl w:val="0"/>
                <w:numId w:val="44"/>
              </w:numPr>
              <w:ind w:left="357" w:hanging="357"/>
              <w:contextualSpacing w:val="0"/>
              <w:rPr>
                <w:sz w:val="20"/>
                <w:szCs w:val="20"/>
                <w:lang w:val="es-ES"/>
              </w:rPr>
            </w:pPr>
            <w:r w:rsidRPr="00AB7E72">
              <w:rPr>
                <w:sz w:val="20"/>
                <w:szCs w:val="20"/>
                <w:lang w:val="es-ES"/>
              </w:rPr>
              <w:t>Health Canada (2003): Proposed Acceptability for Continuing Registration (“Aceptabilidad propuesta para continuar el registro”) (PACR 2003-01), Organismo Regulador de la Gestión de Plagas (PMRA) Nueva evaluación del forato, 24 de enero de 2003 (véase UNEP/FAO/RC/CRC.5/9/Add.1)</w:t>
            </w:r>
          </w:p>
          <w:p w14:paraId="63DE8AAA" w14:textId="77777777" w:rsidR="002B0DBA" w:rsidRPr="00AB7E72" w:rsidRDefault="002B0DBA" w:rsidP="00233860">
            <w:pPr>
              <w:pStyle w:val="ListParagraph"/>
              <w:numPr>
                <w:ilvl w:val="0"/>
                <w:numId w:val="44"/>
              </w:numPr>
              <w:spacing w:after="120"/>
              <w:ind w:left="357" w:hanging="357"/>
              <w:contextualSpacing w:val="0"/>
              <w:rPr>
                <w:sz w:val="20"/>
                <w:szCs w:val="20"/>
                <w:lang w:val="es-ES"/>
              </w:rPr>
            </w:pPr>
            <w:r w:rsidRPr="00AB7E72">
              <w:rPr>
                <w:sz w:val="20"/>
                <w:szCs w:val="20"/>
                <w:lang w:val="es-ES"/>
              </w:rPr>
              <w:t>Health Canada (2004): documento de decisión de la nueva evaluación (RRD 2004-11) forato, 13 de mayo de (véase UNEP/FAO/RC/CRC.5/9/Add.1)</w:t>
            </w:r>
          </w:p>
          <w:p w14:paraId="6B7A9A29" w14:textId="77777777" w:rsidR="002B0DBA" w:rsidRPr="00AB7E72" w:rsidRDefault="002B0DBA" w:rsidP="00233860">
            <w:pPr>
              <w:keepNext/>
              <w:keepLines/>
              <w:numPr>
                <w:ilvl w:val="0"/>
                <w:numId w:val="44"/>
              </w:numPr>
              <w:tabs>
                <w:tab w:val="clear" w:pos="1247"/>
                <w:tab w:val="clear" w:pos="1814"/>
                <w:tab w:val="clear" w:pos="2381"/>
                <w:tab w:val="clear" w:pos="2948"/>
                <w:tab w:val="clear" w:pos="3515"/>
              </w:tabs>
              <w:ind w:left="357"/>
              <w:rPr>
                <w:color w:val="000000"/>
                <w:lang w:val="es-ES"/>
              </w:rPr>
            </w:pPr>
            <w:r w:rsidRPr="00AB7E72">
              <w:rPr>
                <w:lang w:val="es-ES"/>
              </w:rPr>
              <w:t>Health Canada (2007): nota de nueva evaluación, REV2007-07, Update on the Use of Phorate on Potatoes (“Actualización sobre el uso de forato en patatas”), 5 de junio de 2007 (véase UNEP/FAO/RC/CRC.5/9/Add.1)</w:t>
            </w:r>
          </w:p>
          <w:p w14:paraId="59790124" w14:textId="77777777" w:rsidR="002B0DBA" w:rsidRPr="00AB7E72" w:rsidRDefault="002B0DBA" w:rsidP="00233860">
            <w:pPr>
              <w:keepNext/>
              <w:keepLines/>
              <w:numPr>
                <w:ilvl w:val="0"/>
                <w:numId w:val="44"/>
              </w:numPr>
              <w:tabs>
                <w:tab w:val="clear" w:pos="1247"/>
                <w:tab w:val="clear" w:pos="1814"/>
                <w:tab w:val="clear" w:pos="2381"/>
                <w:tab w:val="clear" w:pos="2948"/>
                <w:tab w:val="clear" w:pos="3515"/>
              </w:tabs>
              <w:ind w:left="357"/>
              <w:rPr>
                <w:color w:val="000000"/>
                <w:lang w:val="es-ES"/>
              </w:rPr>
            </w:pPr>
            <w:r w:rsidRPr="00AB7E72">
              <w:rPr>
                <w:lang w:val="es-ES"/>
              </w:rPr>
              <w:t>Health Canada (2008): REV2008-05: Update on the Use of Phorate on Potatoes (“Actualización sobre el uso de forato en patatas”).</w:t>
            </w:r>
          </w:p>
          <w:p w14:paraId="122DB1CD" w14:textId="77777777" w:rsidR="002B0DBA" w:rsidRPr="00AB7E72" w:rsidRDefault="002B0DBA" w:rsidP="00233860">
            <w:pPr>
              <w:pStyle w:val="CommentText"/>
              <w:keepNext/>
              <w:keepLines/>
              <w:numPr>
                <w:ilvl w:val="0"/>
                <w:numId w:val="44"/>
              </w:numPr>
              <w:tabs>
                <w:tab w:val="clear" w:pos="1247"/>
                <w:tab w:val="clear" w:pos="1814"/>
                <w:tab w:val="clear" w:pos="2381"/>
                <w:tab w:val="clear" w:pos="2948"/>
                <w:tab w:val="clear" w:pos="3515"/>
              </w:tabs>
              <w:spacing w:after="120"/>
              <w:rPr>
                <w:rFonts w:eastAsia="SimSun"/>
                <w:color w:val="000000"/>
                <w:lang w:val="es-ES"/>
              </w:rPr>
            </w:pPr>
            <w:r w:rsidRPr="00AB7E72">
              <w:rPr>
                <w:lang w:val="es-ES"/>
              </w:rPr>
              <w:t>Health Canada (2012): nota de nueva evaluación, REV2012-01: Update of the Use of Phorate on Potatoes (“Actualización sobre el uso de forato en patatas”). Organismo Regulador de la Gestión de Plagas, 28 de mayo de 2012.</w:t>
            </w:r>
          </w:p>
          <w:p w14:paraId="7E0AB247" w14:textId="77777777" w:rsidR="002B0DBA" w:rsidRPr="00AB7E72" w:rsidRDefault="002B0DBA" w:rsidP="00233860">
            <w:pPr>
              <w:keepNext/>
              <w:keepLines/>
              <w:spacing w:before="20" w:after="120"/>
              <w:rPr>
                <w:b/>
                <w:lang w:val="es-ES"/>
              </w:rPr>
            </w:pPr>
            <w:r w:rsidRPr="00AB7E72">
              <w:rPr>
                <w:lang w:val="es-ES"/>
              </w:rPr>
              <w:t>Se adoptó la medida reglamentaria firme para la categoría de plaguicidas con el fin de proteger el medio ambiente.</w:t>
            </w:r>
          </w:p>
        </w:tc>
      </w:tr>
      <w:tr w:rsidR="002B0DBA" w:rsidRPr="00AB7E72" w14:paraId="57BD7C01" w14:textId="77777777" w:rsidTr="00233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249" w:type="dxa"/>
            <w:tcBorders>
              <w:top w:val="nil"/>
              <w:left w:val="nil"/>
              <w:bottom w:val="nil"/>
              <w:right w:val="nil"/>
            </w:tcBorders>
          </w:tcPr>
          <w:p w14:paraId="1C9D5A7A" w14:textId="77777777" w:rsidR="002B0DBA" w:rsidRPr="00AB7E72" w:rsidRDefault="002B0DBA" w:rsidP="00233860">
            <w:pPr>
              <w:spacing w:before="20" w:after="20"/>
              <w:outlineLvl w:val="2"/>
              <w:rPr>
                <w:b/>
                <w:bCs/>
                <w:lang w:val="es-ES"/>
              </w:rPr>
            </w:pPr>
            <w:r w:rsidRPr="00AB7E72">
              <w:rPr>
                <w:b/>
                <w:bCs/>
                <w:lang w:val="es-ES"/>
              </w:rPr>
              <w:t>Razón:</w:t>
            </w:r>
          </w:p>
        </w:tc>
        <w:tc>
          <w:tcPr>
            <w:tcW w:w="8107" w:type="dxa"/>
            <w:gridSpan w:val="3"/>
            <w:tcBorders>
              <w:top w:val="nil"/>
              <w:left w:val="nil"/>
              <w:bottom w:val="nil"/>
              <w:right w:val="nil"/>
            </w:tcBorders>
          </w:tcPr>
          <w:p w14:paraId="5BA4AE3F" w14:textId="77777777" w:rsidR="002B0DBA" w:rsidRPr="00AB7E72" w:rsidRDefault="002B0DBA" w:rsidP="00233860">
            <w:pPr>
              <w:keepNext/>
              <w:keepLines/>
              <w:spacing w:before="20" w:after="20"/>
              <w:outlineLvl w:val="2"/>
              <w:rPr>
                <w:b/>
                <w:bCs/>
                <w:lang w:val="es-ES"/>
              </w:rPr>
            </w:pPr>
            <w:r w:rsidRPr="00AB7E72">
              <w:rPr>
                <w:b/>
                <w:bCs/>
                <w:lang w:val="es-ES"/>
              </w:rPr>
              <w:t>Medio ambiente</w:t>
            </w:r>
          </w:p>
        </w:tc>
      </w:tr>
      <w:tr w:rsidR="002B0DBA" w:rsidRPr="00AB7E72" w14:paraId="1AF85276" w14:textId="77777777" w:rsidTr="00233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249" w:type="dxa"/>
            <w:tcBorders>
              <w:top w:val="nil"/>
              <w:left w:val="nil"/>
              <w:bottom w:val="nil"/>
              <w:right w:val="nil"/>
            </w:tcBorders>
          </w:tcPr>
          <w:p w14:paraId="1B4B1964" w14:textId="77777777" w:rsidR="002B0DBA" w:rsidRPr="00AB7E72" w:rsidRDefault="002B0DBA" w:rsidP="00233860">
            <w:pPr>
              <w:spacing w:before="20" w:after="20"/>
              <w:outlineLvl w:val="2"/>
              <w:rPr>
                <w:b/>
                <w:bCs/>
                <w:lang w:val="es-ES"/>
              </w:rPr>
            </w:pPr>
          </w:p>
        </w:tc>
        <w:tc>
          <w:tcPr>
            <w:tcW w:w="8107" w:type="dxa"/>
            <w:gridSpan w:val="3"/>
            <w:tcBorders>
              <w:top w:val="nil"/>
              <w:left w:val="nil"/>
              <w:bottom w:val="nil"/>
              <w:right w:val="nil"/>
            </w:tcBorders>
          </w:tcPr>
          <w:p w14:paraId="2B19E1CD" w14:textId="77777777" w:rsidR="002B0DBA" w:rsidRPr="00AB7E72" w:rsidRDefault="002B0DBA" w:rsidP="00233860">
            <w:pPr>
              <w:keepNext/>
              <w:keepLines/>
              <w:spacing w:before="20" w:after="20"/>
              <w:outlineLvl w:val="2"/>
              <w:rPr>
                <w:b/>
                <w:bCs/>
                <w:lang w:val="es-ES"/>
              </w:rPr>
            </w:pPr>
          </w:p>
        </w:tc>
      </w:tr>
      <w:tr w:rsidR="002B0DBA" w:rsidRPr="00AB7E72" w14:paraId="29964219" w14:textId="77777777" w:rsidTr="0023386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356" w:type="dxa"/>
            <w:gridSpan w:val="4"/>
            <w:tcBorders>
              <w:top w:val="single" w:sz="4" w:space="0" w:color="auto"/>
              <w:left w:val="single" w:sz="4" w:space="0" w:color="auto"/>
              <w:bottom w:val="single" w:sz="4" w:space="0" w:color="auto"/>
              <w:right w:val="single" w:sz="4" w:space="0" w:color="auto"/>
            </w:tcBorders>
          </w:tcPr>
          <w:p w14:paraId="43803C4E" w14:textId="77777777" w:rsidR="002B0DBA" w:rsidRPr="00AB7E72" w:rsidRDefault="002B0DBA" w:rsidP="00233860">
            <w:pPr>
              <w:keepNext/>
              <w:keepLines/>
              <w:outlineLvl w:val="1"/>
              <w:rPr>
                <w:b/>
                <w:bCs/>
                <w:lang w:val="es-ES"/>
              </w:rPr>
            </w:pPr>
            <w:r w:rsidRPr="00AB7E72">
              <w:rPr>
                <w:b/>
                <w:lang w:val="es-ES"/>
              </w:rPr>
              <w:t>2.2 Evaluación de los riesgos (para más información véase el anexo 1)</w:t>
            </w:r>
          </w:p>
        </w:tc>
      </w:tr>
    </w:tbl>
    <w:p w14:paraId="047270AF" w14:textId="77777777" w:rsidR="002B0DBA" w:rsidRPr="00900014" w:rsidRDefault="002B0DBA" w:rsidP="002B0DBA">
      <w:pPr>
        <w:pStyle w:val="Caption"/>
        <w:spacing w:before="240" w:after="120"/>
        <w:rPr>
          <w:rFonts w:ascii="Times New Roman" w:hAnsi="Times New Roman" w:cs="Times New Roman"/>
          <w:b/>
          <w:color w:val="000000"/>
          <w:u w:val="single"/>
          <w:lang w:val="es-ES"/>
        </w:rPr>
      </w:pPr>
      <w:r w:rsidRPr="00900014">
        <w:rPr>
          <w:rFonts w:ascii="Times New Roman" w:hAnsi="Times New Roman" w:cs="Times New Roman"/>
          <w:b/>
          <w:u w:val="single"/>
          <w:lang w:val="es-ES"/>
        </w:rPr>
        <w:t>Brasil</w:t>
      </w:r>
    </w:p>
    <w:p w14:paraId="35599482" w14:textId="77777777" w:rsidR="002B0DBA" w:rsidRPr="00900014" w:rsidRDefault="002B0DBA" w:rsidP="002B0DBA">
      <w:pPr>
        <w:spacing w:after="120"/>
        <w:rPr>
          <w:color w:val="000000"/>
          <w:lang w:val="es-ES"/>
        </w:rPr>
      </w:pPr>
      <w:r w:rsidRPr="00900014">
        <w:rPr>
          <w:lang w:val="es-ES"/>
        </w:rPr>
        <w:t>La medida reglamentaria firme se basó en una evaluación del riesgo o de los peligros.</w:t>
      </w:r>
    </w:p>
    <w:p w14:paraId="48A31C23" w14:textId="0545294E" w:rsidR="002B0DBA" w:rsidRPr="00900014" w:rsidRDefault="002B0DBA" w:rsidP="002B0DBA">
      <w:pPr>
        <w:spacing w:after="120"/>
        <w:rPr>
          <w:color w:val="000000"/>
          <w:lang w:val="es-ES"/>
        </w:rPr>
      </w:pPr>
      <w:r w:rsidRPr="00900014">
        <w:rPr>
          <w:lang w:val="es-ES"/>
        </w:rPr>
        <w:t xml:space="preserve">De conformidad con la ley brasileña de plaguicidas, los organismos gubernamentales responsables del registro de plaguicidas (ANVISA, IBAMA (Instituto Brasileño del Medio Ambiente y los Recursos Naturales Renovables) </w:t>
      </w:r>
      <w:r w:rsidR="006A6965" w:rsidRPr="00900014">
        <w:rPr>
          <w:lang w:val="es-ES"/>
        </w:rPr>
        <w:t>o</w:t>
      </w:r>
      <w:r w:rsidR="006A6965">
        <w:rPr>
          <w:lang w:val="es-ES"/>
        </w:rPr>
        <w:t> </w:t>
      </w:r>
      <w:r w:rsidRPr="00900014">
        <w:rPr>
          <w:lang w:val="es-ES"/>
        </w:rPr>
        <w:t>MAPA (Ministerio de Agricultura, Ganadería y Abastecimientos)) pueden volver a evaluar el registro de un plaguicida cuando haya pruebas de que ha disminuido la eficiencia agronómica o han cambiado los riesgos para la salud humana o el medio ambiente. Se elaboran notas técnicas sobre la toxicología o los posibles riesgos ambientales del ingrediente activo a partir de los datos extraídos de los estudios y sondeos realizados por instituciones nacionales e internacionales acreditadas y de la información facilitada por el Sistema Nacional de Información Toxicofarmacológica (SINITOX), el Programa de Análisis de Residuos de Plaguicidas en los Alimentos o quienes solicitan el registro de los plaguicidas. Concluida la nueva evaluación, podrían adoptarse medidas para restringir, suspender o prohibir la producción e importación de plaguicidas, o bien, de cumplirse el criterio de su prohibición, anular el registro.</w:t>
      </w:r>
    </w:p>
    <w:p w14:paraId="347B4D8C" w14:textId="77777777" w:rsidR="002B0DBA" w:rsidRPr="00900014" w:rsidRDefault="002B0DBA" w:rsidP="002B0DBA">
      <w:pPr>
        <w:pStyle w:val="Caption"/>
        <w:spacing w:before="240" w:after="120"/>
        <w:rPr>
          <w:rFonts w:ascii="Times New Roman" w:hAnsi="Times New Roman" w:cs="Times New Roman"/>
          <w:b/>
          <w:snapToGrid w:val="0"/>
          <w:lang w:val="es-ES"/>
        </w:rPr>
      </w:pPr>
      <w:r w:rsidRPr="00900014">
        <w:rPr>
          <w:rFonts w:ascii="Times New Roman" w:hAnsi="Times New Roman" w:cs="Times New Roman"/>
          <w:b/>
          <w:bCs/>
          <w:lang w:val="es-ES"/>
        </w:rPr>
        <w:t>Salud humana</w:t>
      </w:r>
    </w:p>
    <w:p w14:paraId="795ABDBC" w14:textId="77777777" w:rsidR="002B0DBA" w:rsidRPr="00900014" w:rsidRDefault="002B0DBA" w:rsidP="002B0DBA">
      <w:pPr>
        <w:spacing w:after="120"/>
        <w:rPr>
          <w:color w:val="000000"/>
          <w:lang w:val="es-ES"/>
        </w:rPr>
      </w:pPr>
      <w:r w:rsidRPr="00900014">
        <w:rPr>
          <w:lang w:val="es-ES"/>
        </w:rPr>
        <w:t>En la evaluación del riesgo del forato realizada por el Brasil se tuvo en cuenta la toxicología y la salud pública, la salud y seguridad en el trabajo, las condiciones de uso, los efectos en el medio ambiente y la disponibilidad de alternativas de menor riesgo. Se emprendió un amplio examen de los datos pertinentes sobre los peligros y riesgos del forato mediante el análisis de documentos, los informes y la bibliografía publicados sobre el asunto.</w:t>
      </w:r>
    </w:p>
    <w:p w14:paraId="292DD93F" w14:textId="39A2A51D" w:rsidR="002B0DBA" w:rsidRPr="00900014" w:rsidRDefault="002B0DBA" w:rsidP="002B0DBA">
      <w:pPr>
        <w:spacing w:after="120"/>
        <w:rPr>
          <w:color w:val="000000"/>
          <w:lang w:val="es-ES"/>
        </w:rPr>
      </w:pPr>
      <w:r w:rsidRPr="00900014">
        <w:rPr>
          <w:lang w:val="es-ES"/>
        </w:rPr>
        <w:t>A partir de los datos disponibles se estableció que el forato y sus metabolitos se absorben con facilidad a través de la piel y las membranas mucosas y bloquean de forma irreversible la actividad catalítica de la acetilcolinesterasa (AChE), enzima re</w:t>
      </w:r>
      <w:r w:rsidR="001946EF">
        <w:rPr>
          <w:lang w:val="es-ES"/>
        </w:rPr>
        <w:t xml:space="preserve">sponsable de la mediación del </w:t>
      </w:r>
      <w:r w:rsidRPr="00900014">
        <w:rPr>
          <w:lang w:val="es-ES"/>
        </w:rPr>
        <w:t>hidrólisis de la acetilcolina en ácido acético y colina. Por tanto, el forato y sus metabolitos interrumpen la transmisión de impulsos nerviosos en las sinapsis colinérgicas del sistema nervioso central (SNC), el sistema nervioso autónomo (SNA) y la unión neuromuscular. La inactivación de la AChE es causa de hiperestimulación colinérgica por acumulación de acetilcolina en la hendidura sináptica.</w:t>
      </w:r>
    </w:p>
    <w:p w14:paraId="5EF41AC7" w14:textId="77777777" w:rsidR="002B0DBA" w:rsidRPr="00900014" w:rsidRDefault="002B0DBA" w:rsidP="002B0DBA">
      <w:pPr>
        <w:spacing w:after="120"/>
        <w:rPr>
          <w:color w:val="000000"/>
          <w:lang w:val="es-ES"/>
        </w:rPr>
      </w:pPr>
      <w:r w:rsidRPr="00900014">
        <w:rPr>
          <w:lang w:val="es-ES"/>
        </w:rPr>
        <w:t>Según los estudios experimentales y epidemiológicos del forato en relación con las vías respiratorias, la sustancia es muy tóxica para este sistema.</w:t>
      </w:r>
    </w:p>
    <w:p w14:paraId="55B43CC7" w14:textId="77777777" w:rsidR="002B0DBA" w:rsidRPr="00900014" w:rsidRDefault="002B0DBA" w:rsidP="002B0DBA">
      <w:pPr>
        <w:spacing w:after="120"/>
        <w:rPr>
          <w:color w:val="000000"/>
          <w:lang w:val="es-ES"/>
        </w:rPr>
      </w:pPr>
      <w:r w:rsidRPr="00900014">
        <w:rPr>
          <w:lang w:val="es-ES"/>
        </w:rPr>
        <w:t>Los datos confirman que el forato puede ser causa de complejos trastornos neurológicos en las personas, como encefalopatía, síndrome intermedio y polineuropatía tardía. En cambio, en animales de laboratorio expuestos a forato, no se registraron casos de síndrome intermedio ni de polineuropatía tardía, lo que llevó a ANVISA a la conclusión de que este plaguicida demuestra ser más tóxico para los seres humanos que para los animales a los que se lo administró.</w:t>
      </w:r>
    </w:p>
    <w:p w14:paraId="7E8C7B20" w14:textId="515EFA80" w:rsidR="002B0DBA" w:rsidRPr="00900014" w:rsidRDefault="002B0DBA" w:rsidP="002B0DBA">
      <w:pPr>
        <w:spacing w:after="120"/>
        <w:rPr>
          <w:color w:val="000000"/>
          <w:lang w:val="es-ES"/>
        </w:rPr>
      </w:pPr>
      <w:r>
        <w:rPr>
          <w:lang w:val="es-ES"/>
        </w:rPr>
        <w:t>Tal y como se indica en la notificación del Brasil, a</w:t>
      </w:r>
      <w:r w:rsidRPr="00900014">
        <w:rPr>
          <w:lang w:val="es-ES"/>
        </w:rPr>
        <w:t xml:space="preserve">demás de </w:t>
      </w:r>
      <w:r>
        <w:rPr>
          <w:lang w:val="es-ES"/>
        </w:rPr>
        <w:t xml:space="preserve">sus </w:t>
      </w:r>
      <w:r w:rsidRPr="00900014">
        <w:rPr>
          <w:lang w:val="es-ES"/>
        </w:rPr>
        <w:t xml:space="preserve">efectos neurotóxicos, se </w:t>
      </w:r>
      <w:r>
        <w:rPr>
          <w:lang w:val="es-ES"/>
        </w:rPr>
        <w:t xml:space="preserve">demostró </w:t>
      </w:r>
      <w:r w:rsidRPr="00900014">
        <w:rPr>
          <w:lang w:val="es-ES"/>
        </w:rPr>
        <w:t>que el forato puede incidir negativamente en los procesos endocrinos que regulan las hormonas esteroideas de los seres humanos</w:t>
      </w:r>
      <w:r>
        <w:rPr>
          <w:lang w:val="es-ES"/>
        </w:rPr>
        <w:t xml:space="preserve"> (Usmani, 2003)</w:t>
      </w:r>
      <w:r w:rsidRPr="00900014">
        <w:rPr>
          <w:lang w:val="es-ES"/>
        </w:rPr>
        <w:t>, lo que a su vez podría contribuir a un aumento de los casos de cáncer</w:t>
      </w:r>
      <w:r w:rsidR="001946EF">
        <w:rPr>
          <w:lang w:val="es-ES"/>
        </w:rPr>
        <w:t xml:space="preserve"> (Alavanja y otros, 2002; Mahajan y otros, 2006; Koutros y otros</w:t>
      </w:r>
      <w:r>
        <w:rPr>
          <w:lang w:val="es-ES"/>
        </w:rPr>
        <w:t>, 2010)</w:t>
      </w:r>
      <w:r w:rsidRPr="00900014">
        <w:rPr>
          <w:lang w:val="es-ES"/>
        </w:rPr>
        <w:t>.</w:t>
      </w:r>
    </w:p>
    <w:p w14:paraId="6E5C7CD9" w14:textId="77777777" w:rsidR="002B0DBA" w:rsidRPr="00900014" w:rsidRDefault="002B0DBA" w:rsidP="002B0DBA">
      <w:pPr>
        <w:spacing w:after="120"/>
        <w:rPr>
          <w:color w:val="000000"/>
          <w:lang w:val="es-ES"/>
        </w:rPr>
      </w:pPr>
      <w:r w:rsidRPr="00900014">
        <w:rPr>
          <w:lang w:val="es-ES"/>
        </w:rPr>
        <w:t>Según varios estudios analizados por el Brasil, algunos trabajadores agrícolas expuestos al forato han sufrido intoxicaciones y muertes relacionadas con la toxicidad del ingrediente activo. La exposición se vuelve aún más peligrosa por las dificultades relacionadas con la disponibilidad o ineficacia de los equipos de protección personal (EPP). De acuerdo con la conclusión de un estudio exhaustivo de las condiciones de uso del plaguicida en algunos municipios del estado de Amazonas, Brasil, los agricultores no estaban preparados para utilizar los plaguicidas como es debido y desconocían los riesgos que entrañan para la salud humana y el medio ambiente. No se utilizan equipos de protección personal porque son caros, incómodos e inadecuados para el clima caluroso de la región. La falta de capacitación y el conocimiento escaso del peligro de los plaguicidas contribuyen a la manipulación incorrecta del plaguicida durante su preparación y aplicación, así como durante la eliminación de los envases vacíos. Estas condiciones propician una exposición elevada de los agricultores, sus familias, los consumidores y el medio ambiente.</w:t>
      </w:r>
    </w:p>
    <w:p w14:paraId="6D2E8558" w14:textId="77777777" w:rsidR="002B0DBA" w:rsidRPr="00900014" w:rsidRDefault="002B0DBA" w:rsidP="002B0DBA">
      <w:pPr>
        <w:spacing w:after="120"/>
        <w:rPr>
          <w:color w:val="000000"/>
          <w:lang w:val="es-ES"/>
        </w:rPr>
      </w:pPr>
      <w:r w:rsidRPr="00900014">
        <w:rPr>
          <w:lang w:val="es-ES"/>
        </w:rPr>
        <w:t>La decisión de prohibir el forato fue adoptada sobre la base de la evaluación de sus propiedades peligrosas, así como de la exposición prevista de los trabajadores agrícolas a los plaguicidas en general, y también al forato, en las condiciones conocidas de uso en el Brasil. ANVISA llegó a la conclusión de que este principio activo tiene el potencial de causar trastornos hormonales en humanos y es más tóxico para estos que para los animales de laboratorio sometidos a ensayos, los cuales constituyen criterios prohibitivos para el registro de plaguicidas en el Brasil.</w:t>
      </w:r>
    </w:p>
    <w:p w14:paraId="2CBE6C31" w14:textId="77777777" w:rsidR="002B0DBA" w:rsidRPr="00900014" w:rsidRDefault="002B0DBA" w:rsidP="002B0DBA">
      <w:pPr>
        <w:pStyle w:val="Caption"/>
        <w:spacing w:after="120"/>
        <w:ind w:left="34"/>
        <w:rPr>
          <w:rFonts w:ascii="Times New Roman" w:hAnsi="Times New Roman" w:cs="Times New Roman"/>
          <w:b/>
          <w:snapToGrid w:val="0"/>
          <w:u w:val="single"/>
          <w:lang w:val="es-ES"/>
        </w:rPr>
      </w:pPr>
      <w:r w:rsidRPr="00900014">
        <w:rPr>
          <w:rFonts w:ascii="Times New Roman" w:hAnsi="Times New Roman" w:cs="Times New Roman"/>
          <w:b/>
          <w:u w:val="single"/>
          <w:lang w:val="es-ES"/>
        </w:rPr>
        <w:t>Canadá</w:t>
      </w:r>
    </w:p>
    <w:p w14:paraId="20496AF2" w14:textId="77777777" w:rsidR="002B0DBA" w:rsidRPr="00900014" w:rsidRDefault="002B0DBA" w:rsidP="002B0DBA">
      <w:pPr>
        <w:spacing w:after="120"/>
        <w:ind w:left="34"/>
        <w:rPr>
          <w:rStyle w:val="FontStyle95"/>
          <w:lang w:val="es-ES"/>
        </w:rPr>
      </w:pPr>
      <w:r w:rsidRPr="00900014">
        <w:rPr>
          <w:lang w:val="es-ES"/>
        </w:rPr>
        <w:t>De conformidad con el Artículo 16 del Ley de Productos Plaguicidas, el PMRA realiza una nueva evaluación de todos los plaguicidas registrados antes de 1995, y también vuelve a evaluar todos los plaguicidas cada 15 años. Asimismo, puede iniciar una nueva evaluación si se modificaron las necesidades de información o los procedimientos utilizados para evaluar el riesgo. La nueva evaluación se vale de los abordajes científicos actuales para ponderar los riesgos potenciales para la salud humana y el medio ambiente, y para determinar si los usos registrados de los plaguicidas siguen siendo aceptables.</w:t>
      </w:r>
    </w:p>
    <w:p w14:paraId="3B9882E8" w14:textId="77777777" w:rsidR="002B0DBA" w:rsidRPr="00900014" w:rsidRDefault="002B0DBA" w:rsidP="002B0DBA">
      <w:pPr>
        <w:pStyle w:val="Style21"/>
        <w:keepNext/>
        <w:keepLines/>
        <w:widowControl/>
        <w:spacing w:before="240" w:after="120" w:line="240" w:lineRule="auto"/>
        <w:ind w:left="34"/>
        <w:jc w:val="both"/>
        <w:rPr>
          <w:rFonts w:ascii="Times New Roman" w:hAnsi="Times New Roman" w:cs="Times New Roman"/>
          <w:color w:val="000000"/>
          <w:sz w:val="20"/>
          <w:szCs w:val="20"/>
          <w:lang w:val="es-ES"/>
        </w:rPr>
      </w:pPr>
      <w:r w:rsidRPr="00900014">
        <w:rPr>
          <w:rFonts w:ascii="Times New Roman" w:hAnsi="Times New Roman" w:cs="Times New Roman"/>
          <w:b/>
          <w:bCs/>
          <w:sz w:val="20"/>
          <w:szCs w:val="20"/>
          <w:lang w:val="es-ES"/>
        </w:rPr>
        <w:t>Medio ambiente</w:t>
      </w:r>
    </w:p>
    <w:p w14:paraId="64E2D293" w14:textId="77777777" w:rsidR="002B0DBA" w:rsidRPr="00900014" w:rsidRDefault="002B0DBA" w:rsidP="002B0DBA">
      <w:pPr>
        <w:keepNext/>
        <w:keepLines/>
        <w:spacing w:after="120"/>
        <w:ind w:left="34"/>
        <w:rPr>
          <w:color w:val="000000"/>
          <w:lang w:val="es-ES"/>
        </w:rPr>
      </w:pPr>
      <w:r w:rsidRPr="00900014">
        <w:rPr>
          <w:lang w:val="es-ES"/>
        </w:rPr>
        <w:t>Sobre la base de una evaluación determinista del riesgo para el medio ambiente de los productos para el control de plagas que contienen forato realizada por el PMRA, se descubrió que el forato es muy tóxico para todas las especies terrestres y acuáticas que se han sometido a ensayo. Los informes de incidentes de mortalidad de aves y mamíferos en el Canadá, los Estados Unidos de América y el Reino Unido de Gran Bretaña e Irlanda del Norte respaldan la conclusión de que el forato presenta un riesgo significativo para las aves y la fauna y flora silvestres. Los tratamientos masivos en superficie presentan el máximo riesgo, debido a la gran cantidad de gránulos expuestos en la superficie. Si bien se espera que la incorporación al suelo reduzca el riesgo de exposición terrestre y acuática, sigue presentando un riesgo importante debido a que los gránulos no incorporados permanecen expuestos en la superficie. El riesgo que plantea para las aves y los mamíferos de pequeño y mediano tamaño sigue siendo alto a muy alto utilizando cualquiera de los dos métodos de aplicación. Debido a su toxicidad extrema para todos los organismos sometidos a ensayo, al riesgo muy alto para las aves y los mamíferos de tamaño mediano y más pequeño, a los informes de incidentes de la mortalidad de aves y mamíferos (entre ellos los grandes rapaces en el Canadá), además de la persistencia y movilidad de los productos tóxicos de la transformación de sulfóxidos y sulfona, el Canadá ha llegado a la conclusión de que el uso de forato en el país presenta un riesgo alto para el medio ambiente.</w:t>
      </w:r>
    </w:p>
    <w:tbl>
      <w:tblPr>
        <w:tblW w:w="9640" w:type="dxa"/>
        <w:tblInd w:w="-34"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640"/>
      </w:tblGrid>
      <w:tr w:rsidR="002B0DBA" w:rsidRPr="00AB7E72" w14:paraId="7F45844D" w14:textId="77777777" w:rsidTr="002B0DBA">
        <w:tc>
          <w:tcPr>
            <w:tcW w:w="9640" w:type="dxa"/>
            <w:shd w:val="pct10" w:color="auto" w:fill="auto"/>
          </w:tcPr>
          <w:p w14:paraId="6CB53880" w14:textId="77777777" w:rsidR="002B0DBA" w:rsidRPr="00C62322" w:rsidRDefault="002B0DBA" w:rsidP="002B0DBA">
            <w:pPr>
              <w:keepNext/>
              <w:spacing w:before="40" w:after="60"/>
              <w:outlineLvl w:val="0"/>
              <w:rPr>
                <w:b/>
                <w:bCs/>
                <w:kern w:val="28"/>
                <w:lang w:val="es-ES"/>
              </w:rPr>
            </w:pPr>
            <w:r w:rsidRPr="00C62322">
              <w:rPr>
                <w:b/>
                <w:lang w:val="es-ES"/>
              </w:rPr>
              <w:t>3.</w:t>
            </w:r>
            <w:r>
              <w:rPr>
                <w:b/>
                <w:lang w:val="es-ES"/>
              </w:rPr>
              <w:t xml:space="preserve"> </w:t>
            </w:r>
            <w:r w:rsidRPr="00C62322">
              <w:rPr>
                <w:b/>
                <w:lang w:val="es-ES"/>
              </w:rPr>
              <w:t>Medidas de protección aplicadas en relación con el producto químico</w:t>
            </w:r>
          </w:p>
        </w:tc>
      </w:tr>
    </w:tbl>
    <w:p w14:paraId="28F17D47" w14:textId="77777777" w:rsidR="002B0DBA" w:rsidRPr="00900014" w:rsidRDefault="002B0DBA" w:rsidP="002B0DBA">
      <w:pPr>
        <w:tabs>
          <w:tab w:val="left" w:pos="-720"/>
          <w:tab w:val="left" w:pos="0"/>
          <w:tab w:val="left" w:pos="720"/>
        </w:tabs>
        <w:suppressAutoHyphens/>
        <w:rPr>
          <w:lang w:val="es-ES"/>
        </w:rPr>
      </w:pPr>
    </w:p>
    <w:tbl>
      <w:tblPr>
        <w:tblW w:w="9588"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50"/>
        <w:gridCol w:w="8238"/>
      </w:tblGrid>
      <w:tr w:rsidR="002B0DBA" w:rsidRPr="00AB7E72" w14:paraId="1EE0C064" w14:textId="77777777" w:rsidTr="002B0DBA">
        <w:tc>
          <w:tcPr>
            <w:tcW w:w="9588" w:type="dxa"/>
            <w:gridSpan w:val="2"/>
            <w:tcBorders>
              <w:top w:val="single" w:sz="4" w:space="0" w:color="auto"/>
              <w:left w:val="single" w:sz="4" w:space="0" w:color="auto"/>
              <w:bottom w:val="single" w:sz="4" w:space="0" w:color="auto"/>
              <w:right w:val="single" w:sz="4" w:space="0" w:color="auto"/>
            </w:tcBorders>
          </w:tcPr>
          <w:p w14:paraId="535FD7A5" w14:textId="77777777" w:rsidR="002B0DBA" w:rsidRPr="00900014" w:rsidRDefault="002B0DBA" w:rsidP="002B0DBA">
            <w:pPr>
              <w:keepNext/>
              <w:outlineLvl w:val="1"/>
              <w:rPr>
                <w:b/>
                <w:bCs/>
                <w:lang w:val="es-ES"/>
              </w:rPr>
            </w:pPr>
            <w:r w:rsidRPr="00900014">
              <w:rPr>
                <w:b/>
                <w:lang w:val="es-ES"/>
              </w:rPr>
              <w:t>3.1</w:t>
            </w:r>
            <w:r>
              <w:rPr>
                <w:b/>
                <w:lang w:val="es-ES"/>
              </w:rPr>
              <w:t xml:space="preserve"> </w:t>
            </w:r>
            <w:r w:rsidRPr="00900014">
              <w:rPr>
                <w:b/>
                <w:lang w:val="es-ES"/>
              </w:rPr>
              <w:t>Medidas reglamentarias para reducir la exposición</w:t>
            </w:r>
          </w:p>
        </w:tc>
      </w:tr>
      <w:tr w:rsidR="002B0DBA" w:rsidRPr="00AB7E72" w14:paraId="6F028527" w14:textId="77777777" w:rsidTr="002B0DBA">
        <w:tblPrEx>
          <w:tblBorders>
            <w:top w:val="none" w:sz="0" w:space="0" w:color="auto"/>
            <w:left w:val="none" w:sz="0" w:space="0" w:color="auto"/>
            <w:bottom w:val="none" w:sz="0" w:space="0" w:color="auto"/>
            <w:right w:val="none" w:sz="0" w:space="0" w:color="auto"/>
          </w:tblBorders>
        </w:tblPrEx>
        <w:tc>
          <w:tcPr>
            <w:tcW w:w="1350" w:type="dxa"/>
          </w:tcPr>
          <w:p w14:paraId="2F4181F0" w14:textId="77777777" w:rsidR="002B0DBA" w:rsidRPr="00900014" w:rsidRDefault="002B0DBA" w:rsidP="002B0DBA">
            <w:pPr>
              <w:spacing w:before="120" w:after="120"/>
              <w:jc w:val="both"/>
              <w:outlineLvl w:val="2"/>
              <w:rPr>
                <w:b/>
                <w:bCs/>
                <w:u w:val="single"/>
                <w:lang w:val="es-ES"/>
              </w:rPr>
            </w:pPr>
            <w:r w:rsidRPr="00900014">
              <w:rPr>
                <w:b/>
                <w:u w:val="single"/>
                <w:lang w:val="es-ES"/>
              </w:rPr>
              <w:t>Brasil</w:t>
            </w:r>
          </w:p>
        </w:tc>
        <w:tc>
          <w:tcPr>
            <w:tcW w:w="8238" w:type="dxa"/>
          </w:tcPr>
          <w:p w14:paraId="7F22A435" w14:textId="33929BDF" w:rsidR="002B0DBA" w:rsidRPr="00900014" w:rsidRDefault="001946EF" w:rsidP="002B0DBA">
            <w:pPr>
              <w:spacing w:before="120" w:after="120"/>
              <w:rPr>
                <w:b/>
                <w:bCs/>
                <w:i/>
                <w:lang w:val="es-ES"/>
              </w:rPr>
            </w:pPr>
            <w:r>
              <w:rPr>
                <w:lang w:val="es-ES"/>
              </w:rPr>
              <w:t>La resolución RDC Núm.</w:t>
            </w:r>
            <w:r w:rsidR="002B0DBA" w:rsidRPr="00900014">
              <w:rPr>
                <w:lang w:val="es-ES"/>
              </w:rPr>
              <w:t xml:space="preserve"> 12 del 13 de marzo de 2015 de ANVISA prohibió la producción, el uso, el comercio, la importación y la exportación de productos en base al forato. La fecha de entrada en vigor definitiva de la medida reglamentaria firme fue el 16 de marzo de 2015.</w:t>
            </w:r>
          </w:p>
        </w:tc>
      </w:tr>
      <w:tr w:rsidR="002B0DBA" w:rsidRPr="00AB7E72" w14:paraId="7D44B2FB" w14:textId="77777777" w:rsidTr="002B0DBA">
        <w:tblPrEx>
          <w:tblBorders>
            <w:top w:val="none" w:sz="0" w:space="0" w:color="auto"/>
            <w:left w:val="none" w:sz="0" w:space="0" w:color="auto"/>
            <w:bottom w:val="none" w:sz="0" w:space="0" w:color="auto"/>
            <w:right w:val="none" w:sz="0" w:space="0" w:color="auto"/>
          </w:tblBorders>
        </w:tblPrEx>
        <w:tc>
          <w:tcPr>
            <w:tcW w:w="1350" w:type="dxa"/>
          </w:tcPr>
          <w:p w14:paraId="4EBB2BC4" w14:textId="77777777" w:rsidR="002B0DBA" w:rsidRPr="00900014" w:rsidRDefault="002B0DBA" w:rsidP="002B0DBA">
            <w:pPr>
              <w:spacing w:after="120"/>
              <w:jc w:val="both"/>
              <w:outlineLvl w:val="2"/>
              <w:rPr>
                <w:b/>
                <w:bCs/>
                <w:u w:val="single"/>
                <w:lang w:val="es-ES"/>
              </w:rPr>
            </w:pPr>
            <w:r w:rsidRPr="00900014">
              <w:rPr>
                <w:b/>
                <w:u w:val="single"/>
                <w:lang w:val="es-ES"/>
              </w:rPr>
              <w:t>Canadá</w:t>
            </w:r>
          </w:p>
        </w:tc>
        <w:tc>
          <w:tcPr>
            <w:tcW w:w="8238" w:type="dxa"/>
          </w:tcPr>
          <w:p w14:paraId="7D8AEF1E" w14:textId="77777777" w:rsidR="002B0DBA" w:rsidRPr="00900014" w:rsidRDefault="002B0DBA" w:rsidP="002B0DBA">
            <w:pPr>
              <w:spacing w:after="120"/>
              <w:rPr>
                <w:bCs/>
                <w:lang w:val="es-ES"/>
              </w:rPr>
            </w:pPr>
            <w:r w:rsidRPr="00900014">
              <w:rPr>
                <w:lang w:val="es-ES"/>
              </w:rPr>
              <w:t>A fines de diciembre de 2004 se eliminó el uso del forato y los productos finales asociados en cultivos de maíz, lechuga, frijoles y colinabos. Con posterioridad a diciembre de 2004, no se permitió ningún otro uso, excepto en patatas, en cuyo caso se permitió continuar utilizandolo para controlar los gusanos alambre hasta el 1 de agosto de 2008. Posteriormente se extendió su uso en cultivos de patatas hasta agosto de 2015. En el año 2015, se registró un nuevo producto forato, combinado con un equipo de aplicación destinado a reducir la exposición ambiental.</w:t>
            </w:r>
          </w:p>
          <w:p w14:paraId="560447D6" w14:textId="77777777" w:rsidR="002B0DBA" w:rsidRPr="00900014" w:rsidRDefault="002B0DBA" w:rsidP="002B0DBA">
            <w:pPr>
              <w:spacing w:after="120"/>
              <w:rPr>
                <w:b/>
                <w:bCs/>
                <w:lang w:val="es-ES"/>
              </w:rPr>
            </w:pPr>
            <w:r w:rsidRPr="00900014">
              <w:rPr>
                <w:lang w:val="es-ES"/>
              </w:rPr>
              <w:t>En la sección 2.1 se presentan los documentos normativos pertinentes.</w:t>
            </w:r>
          </w:p>
        </w:tc>
      </w:tr>
      <w:tr w:rsidR="002B0DBA" w:rsidRPr="00AB7E72" w14:paraId="608B0E42" w14:textId="77777777" w:rsidTr="002B0DBA">
        <w:tc>
          <w:tcPr>
            <w:tcW w:w="9588" w:type="dxa"/>
            <w:gridSpan w:val="2"/>
            <w:tcBorders>
              <w:top w:val="single" w:sz="4" w:space="0" w:color="auto"/>
              <w:left w:val="single" w:sz="4" w:space="0" w:color="auto"/>
              <w:bottom w:val="single" w:sz="4" w:space="0" w:color="auto"/>
              <w:right w:val="single" w:sz="4" w:space="0" w:color="auto"/>
            </w:tcBorders>
          </w:tcPr>
          <w:p w14:paraId="4F934A02" w14:textId="77777777" w:rsidR="002B0DBA" w:rsidRPr="00900014" w:rsidRDefault="002B0DBA" w:rsidP="002B0DBA">
            <w:pPr>
              <w:outlineLvl w:val="1"/>
              <w:rPr>
                <w:b/>
                <w:bCs/>
                <w:strike/>
                <w:lang w:val="es-ES"/>
              </w:rPr>
            </w:pPr>
            <w:r w:rsidRPr="00900014">
              <w:rPr>
                <w:b/>
                <w:lang w:val="es-ES"/>
              </w:rPr>
              <w:t>3.2</w:t>
            </w:r>
            <w:r>
              <w:rPr>
                <w:b/>
                <w:lang w:val="es-ES"/>
              </w:rPr>
              <w:t xml:space="preserve"> </w:t>
            </w:r>
            <w:r w:rsidRPr="00900014">
              <w:rPr>
                <w:b/>
                <w:lang w:val="es-ES"/>
              </w:rPr>
              <w:t>Otras medidas para reducir la exposición</w:t>
            </w:r>
          </w:p>
        </w:tc>
      </w:tr>
    </w:tbl>
    <w:p w14:paraId="51AEEA85" w14:textId="77777777" w:rsidR="002B0DBA" w:rsidRPr="00900014" w:rsidRDefault="002B0DBA" w:rsidP="002B0DBA">
      <w:pPr>
        <w:spacing w:before="120"/>
        <w:jc w:val="both"/>
        <w:outlineLvl w:val="2"/>
        <w:rPr>
          <w:b/>
          <w:bCs/>
          <w:u w:val="single"/>
          <w:lang w:val="es-ES"/>
        </w:rPr>
      </w:pPr>
      <w:r w:rsidRPr="00900014">
        <w:rPr>
          <w:b/>
          <w:u w:val="single"/>
          <w:lang w:val="es-ES"/>
        </w:rPr>
        <w:t>Brasil</w:t>
      </w:r>
    </w:p>
    <w:p w14:paraId="3E67C36A" w14:textId="77777777" w:rsidR="002B0DBA" w:rsidRPr="00900014" w:rsidRDefault="002B0DBA" w:rsidP="002B0DBA">
      <w:pPr>
        <w:rPr>
          <w:iCs/>
          <w:lang w:val="es-ES"/>
        </w:rPr>
      </w:pPr>
      <w:r w:rsidRPr="00900014">
        <w:rPr>
          <w:lang w:val="es-ES"/>
        </w:rPr>
        <w:t>Ninguna notificada.</w:t>
      </w:r>
    </w:p>
    <w:p w14:paraId="2DC07DD8" w14:textId="77777777" w:rsidR="002B0DBA" w:rsidRPr="00900014" w:rsidRDefault="002B0DBA" w:rsidP="002B0DBA">
      <w:pPr>
        <w:spacing w:before="120"/>
        <w:jc w:val="both"/>
        <w:outlineLvl w:val="2"/>
        <w:rPr>
          <w:b/>
          <w:bCs/>
          <w:u w:val="single"/>
          <w:lang w:val="es-ES"/>
        </w:rPr>
      </w:pPr>
      <w:r w:rsidRPr="00900014">
        <w:rPr>
          <w:b/>
          <w:u w:val="single"/>
          <w:lang w:val="es-ES"/>
        </w:rPr>
        <w:t>Canadá</w:t>
      </w:r>
    </w:p>
    <w:p w14:paraId="4CA8941F" w14:textId="77777777" w:rsidR="002B0DBA" w:rsidRDefault="002B0DBA" w:rsidP="002B0DBA">
      <w:pPr>
        <w:jc w:val="both"/>
        <w:rPr>
          <w:b/>
          <w:u w:val="single"/>
          <w:lang w:val="es-ES"/>
        </w:rPr>
      </w:pPr>
      <w:r w:rsidRPr="00900014">
        <w:rPr>
          <w:lang w:val="es-ES"/>
        </w:rPr>
        <w:t>Para el uso excepcional de control del gusano alambre en las patatas, se exigió el uso de medidas provisionales de alivio destinadas a proteger a los trabajadores (controles de ingeniería, requisitos relativos al equipo de protección personal (EPP) extra y medio ambiente (declaración ambiental en la etiqueta).</w:t>
      </w:r>
    </w:p>
    <w:p w14:paraId="7A473C21" w14:textId="77777777" w:rsidR="002B0DBA" w:rsidRPr="00900014" w:rsidRDefault="002B0DBA" w:rsidP="002B0DBA">
      <w:pPr>
        <w:spacing w:before="120"/>
        <w:jc w:val="both"/>
        <w:outlineLvl w:val="2"/>
        <w:rPr>
          <w:b/>
          <w:bCs/>
          <w:u w:val="single"/>
          <w:lang w:val="es-ES"/>
        </w:rPr>
      </w:pPr>
      <w:r w:rsidRPr="00900014">
        <w:rPr>
          <w:b/>
          <w:u w:val="single"/>
          <w:lang w:val="es-ES"/>
        </w:rPr>
        <w:t>Disposiciones generales</w:t>
      </w:r>
    </w:p>
    <w:p w14:paraId="19DABA26" w14:textId="4293D861" w:rsidR="00247F62" w:rsidRDefault="002B0DBA" w:rsidP="002B0DBA">
      <w:pPr>
        <w:spacing w:after="120"/>
        <w:rPr>
          <w:lang w:val="es-ES"/>
        </w:rPr>
      </w:pPr>
      <w:r w:rsidRPr="00900014">
        <w:rPr>
          <w:lang w:val="es-ES"/>
        </w:rPr>
        <w:t>Ningun</w:t>
      </w:r>
      <w:r>
        <w:rPr>
          <w:lang w:val="es-ES"/>
        </w:rPr>
        <w:t>a</w:t>
      </w:r>
      <w:r w:rsidRPr="00900014">
        <w:rPr>
          <w:lang w:val="es-ES"/>
        </w:rPr>
        <w:t>.</w:t>
      </w:r>
    </w:p>
    <w:p w14:paraId="3CE0DFA6" w14:textId="77777777" w:rsidR="00247F62" w:rsidRDefault="00247F62">
      <w:pPr>
        <w:tabs>
          <w:tab w:val="clear" w:pos="1247"/>
          <w:tab w:val="clear" w:pos="1814"/>
          <w:tab w:val="clear" w:pos="2381"/>
          <w:tab w:val="clear" w:pos="2948"/>
          <w:tab w:val="clear" w:pos="3515"/>
        </w:tabs>
        <w:rPr>
          <w:lang w:val="es-ES"/>
        </w:rPr>
      </w:pPr>
      <w:r>
        <w:rPr>
          <w:lang w:val="es-ES"/>
        </w:rPr>
        <w:br w:type="page"/>
      </w:r>
    </w:p>
    <w:tbl>
      <w:tblPr>
        <w:tblW w:w="95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8"/>
        <w:gridCol w:w="140"/>
      </w:tblGrid>
      <w:tr w:rsidR="002B0DBA" w:rsidRPr="00900014" w14:paraId="39B5981F" w14:textId="77777777" w:rsidTr="001A4874">
        <w:tc>
          <w:tcPr>
            <w:tcW w:w="9588" w:type="dxa"/>
            <w:gridSpan w:val="2"/>
            <w:tcBorders>
              <w:top w:val="single" w:sz="4" w:space="0" w:color="auto"/>
              <w:left w:val="single" w:sz="4" w:space="0" w:color="auto"/>
              <w:bottom w:val="single" w:sz="4" w:space="0" w:color="auto"/>
              <w:right w:val="single" w:sz="4" w:space="0" w:color="auto"/>
            </w:tcBorders>
          </w:tcPr>
          <w:p w14:paraId="7723F687" w14:textId="77777777" w:rsidR="002B0DBA" w:rsidRPr="00900014" w:rsidRDefault="002B0DBA" w:rsidP="002B0DBA">
            <w:pPr>
              <w:outlineLvl w:val="1"/>
              <w:rPr>
                <w:b/>
                <w:bCs/>
                <w:lang w:val="es-ES"/>
              </w:rPr>
            </w:pPr>
            <w:r w:rsidRPr="00900014">
              <w:rPr>
                <w:b/>
                <w:lang w:val="es-ES"/>
              </w:rPr>
              <w:t>3.3</w:t>
            </w:r>
            <w:r>
              <w:rPr>
                <w:b/>
                <w:lang w:val="es-ES"/>
              </w:rPr>
              <w:t xml:space="preserve"> </w:t>
            </w:r>
            <w:r w:rsidRPr="00900014">
              <w:rPr>
                <w:b/>
                <w:lang w:val="es-ES"/>
              </w:rPr>
              <w:t>Alternativas</w:t>
            </w:r>
          </w:p>
        </w:tc>
      </w:tr>
      <w:tr w:rsidR="002B0DBA" w:rsidRPr="00AB7E72" w14:paraId="6A08A16D" w14:textId="77777777" w:rsidTr="001A4874">
        <w:tblPrEx>
          <w:tblBorders>
            <w:top w:val="none" w:sz="0" w:space="0" w:color="auto"/>
            <w:left w:val="none" w:sz="0" w:space="0" w:color="auto"/>
            <w:bottom w:val="none" w:sz="0" w:space="0" w:color="auto"/>
            <w:right w:val="none" w:sz="0" w:space="0" w:color="auto"/>
          </w:tblBorders>
        </w:tblPrEx>
        <w:trPr>
          <w:gridAfter w:val="1"/>
          <w:wAfter w:w="103" w:type="dxa"/>
        </w:trPr>
        <w:tc>
          <w:tcPr>
            <w:tcW w:w="9588" w:type="dxa"/>
          </w:tcPr>
          <w:p w14:paraId="0699B981" w14:textId="77777777" w:rsidR="002B0DBA" w:rsidRPr="00900014" w:rsidRDefault="002B0DBA" w:rsidP="002B0DBA">
            <w:pPr>
              <w:spacing w:before="120" w:after="120"/>
              <w:jc w:val="both"/>
              <w:outlineLvl w:val="2"/>
              <w:rPr>
                <w:b/>
                <w:bCs/>
                <w:u w:val="single"/>
                <w:lang w:val="es-ES"/>
              </w:rPr>
            </w:pPr>
            <w:r w:rsidRPr="00900014">
              <w:rPr>
                <w:b/>
                <w:u w:val="single"/>
                <w:lang w:val="es-ES"/>
              </w:rPr>
              <w:t>Brasil</w:t>
            </w:r>
          </w:p>
          <w:p w14:paraId="526E2DFA" w14:textId="77777777" w:rsidR="002B0DBA" w:rsidRPr="00900014" w:rsidRDefault="002B0DBA" w:rsidP="002B0DBA">
            <w:pPr>
              <w:spacing w:before="120" w:after="120"/>
              <w:rPr>
                <w:bCs/>
                <w:lang w:val="es-ES"/>
              </w:rPr>
            </w:pPr>
            <w:r w:rsidRPr="00900014">
              <w:rPr>
                <w:lang w:val="es-ES"/>
              </w:rPr>
              <w:t>Antes de la adopción de las medidas reglamentarias firmes, se utilizaba el forato como insecticida autorizado exclusivamente para uso agrícola en los cultivos siguientes: algodón, patatas, café, frijoles y maíz.</w:t>
            </w:r>
          </w:p>
          <w:p w14:paraId="67E6BEC9" w14:textId="77777777" w:rsidR="002B0DBA" w:rsidRPr="00900014" w:rsidRDefault="002B0DBA" w:rsidP="002B0DBA">
            <w:pPr>
              <w:spacing w:before="120" w:after="120"/>
              <w:rPr>
                <w:bCs/>
                <w:lang w:val="es-ES"/>
              </w:rPr>
            </w:pPr>
            <w:r w:rsidRPr="00900014">
              <w:rPr>
                <w:lang w:val="es-ES"/>
              </w:rPr>
              <w:t>Las alternativas al forato aplicado al algodón en el Brasil son: acefato, acetamiprid, benfuracarb, metidation, esfenvalerato, imidacloprid, tiacloprid, permetrina, cipermetrina, azadiractina, ciflutrina, pimetrozina, metomil, beta-ciflutrina, flonicamid, clorpirifos, bifentrina, deltametrina, dimetoato, carbosulfan, clotaianidina, zetacipermetrina, triazofos, fentión, malatión, diafentiurón, furatiocarb, tiodicarb, fenvalerato y fenitrotión.</w:t>
            </w:r>
          </w:p>
          <w:p w14:paraId="1A322599" w14:textId="77777777" w:rsidR="002B0DBA" w:rsidRPr="00900014" w:rsidRDefault="002B0DBA" w:rsidP="002B0DBA">
            <w:pPr>
              <w:spacing w:before="120" w:after="120"/>
              <w:rPr>
                <w:bCs/>
                <w:lang w:val="es-ES"/>
              </w:rPr>
            </w:pPr>
            <w:r w:rsidRPr="00900014">
              <w:rPr>
                <w:lang w:val="es-ES"/>
              </w:rPr>
              <w:t>Las alternativas al forato aplicado a las patatas en el Brasil son: acefato, acetamiprid, benfuracarb, esfenvalerato, imidacloprid, tiacloprid, alfa-cipermetrina, pimetrozina, metomil, beta-ciflutrina, clorpirifos, bifentrina, deltametrina, carbosulfan, betacipermetrina, piridafention, diafentiurón, fipronil, clorantraniliprol, cadusafos, tebupirimfos, lambdacialotrina, gama cialotrina y clorfenapir.</w:t>
            </w:r>
          </w:p>
          <w:p w14:paraId="10D92CBC" w14:textId="77777777" w:rsidR="002B0DBA" w:rsidRPr="00900014" w:rsidRDefault="002B0DBA" w:rsidP="002B0DBA">
            <w:pPr>
              <w:spacing w:before="120" w:after="120"/>
              <w:rPr>
                <w:bCs/>
                <w:lang w:val="es-ES"/>
              </w:rPr>
            </w:pPr>
            <w:r w:rsidRPr="00900014">
              <w:rPr>
                <w:lang w:val="es-ES"/>
              </w:rPr>
              <w:t>Las alternativas al forato aplicado al café en el Brasil son: esfenvalerato, imidacloprid, permetrina, cipermetrina, azadiractina, ciflutrina, beta-ciflutrina, clorpirifos, zetacipermetrina, alfacipermetrina, betacipermetrina, novalurón, abamectina, clorantraniliprol, teflubenzurón, lufenurón, ciantraniliprol, piriproxifeno, fenpropatrin, gamma-cihalotrin, lambda-cihalotrin y fluvalinato.</w:t>
            </w:r>
          </w:p>
          <w:p w14:paraId="7695ED14" w14:textId="77777777" w:rsidR="002B0DBA" w:rsidRPr="00900014" w:rsidRDefault="002B0DBA" w:rsidP="002B0DBA">
            <w:pPr>
              <w:spacing w:before="120" w:after="120"/>
              <w:rPr>
                <w:bCs/>
                <w:lang w:val="es-ES"/>
              </w:rPr>
            </w:pPr>
            <w:r w:rsidRPr="00900014">
              <w:rPr>
                <w:lang w:val="es-ES"/>
              </w:rPr>
              <w:t>Las alternativas al forato aplicado a los frijoles en el Brasil son: tiodicarb, imidacloprid, malatión, clorpirifos, esfenvalerato, acetato, acetamiprid, bifentrina, beta-ciflutrina, tiacloprid, fenopopation, clotianidina, carbosulfán, permetrina y etofenprox.</w:t>
            </w:r>
          </w:p>
          <w:p w14:paraId="70B50EBA" w14:textId="77777777" w:rsidR="002B0DBA" w:rsidRPr="00900014" w:rsidRDefault="002B0DBA" w:rsidP="002B0DBA">
            <w:pPr>
              <w:spacing w:before="120" w:after="120"/>
              <w:rPr>
                <w:bCs/>
                <w:lang w:val="es-ES"/>
              </w:rPr>
            </w:pPr>
            <w:r w:rsidRPr="00900014">
              <w:rPr>
                <w:lang w:val="es-ES"/>
              </w:rPr>
              <w:t>Las alternativas al forato aplicado al maíz en el Brasil son: clorpirifos, fipronil, bifentrina e imidacloprid.</w:t>
            </w:r>
          </w:p>
          <w:p w14:paraId="6D02D627" w14:textId="77777777" w:rsidR="002B0DBA" w:rsidRPr="00900014" w:rsidRDefault="002B0DBA" w:rsidP="002B0DBA">
            <w:pPr>
              <w:spacing w:before="20" w:after="20"/>
              <w:jc w:val="both"/>
              <w:outlineLvl w:val="2"/>
              <w:rPr>
                <w:b/>
                <w:bCs/>
                <w:u w:val="single"/>
                <w:lang w:val="es-ES"/>
              </w:rPr>
            </w:pPr>
            <w:r w:rsidRPr="00900014">
              <w:rPr>
                <w:b/>
                <w:u w:val="single"/>
                <w:lang w:val="es-ES"/>
              </w:rPr>
              <w:t>Canadá</w:t>
            </w:r>
          </w:p>
          <w:p w14:paraId="20DE7541" w14:textId="77777777" w:rsidR="002B0DBA" w:rsidRPr="00900014" w:rsidRDefault="002B0DBA" w:rsidP="002B0DBA">
            <w:pPr>
              <w:spacing w:before="120" w:after="120"/>
              <w:rPr>
                <w:bCs/>
                <w:lang w:val="es-ES"/>
              </w:rPr>
            </w:pPr>
            <w:r w:rsidRPr="00900014">
              <w:rPr>
                <w:lang w:val="es-ES"/>
              </w:rPr>
              <w:t>Se registró el forato en los colinabos para el control del gusano del repollo (CM). También se registraron otros insecticidas de organofosfato, azinfos-metilo, clorpirifos, diazinón y terbufós, como tratamiento profiláctico durante la siembra para controlar el CM.</w:t>
            </w:r>
          </w:p>
          <w:p w14:paraId="1145056C" w14:textId="77777777" w:rsidR="002B0DBA" w:rsidRPr="00900014" w:rsidRDefault="002B0DBA" w:rsidP="002B0DBA">
            <w:pPr>
              <w:spacing w:before="120" w:after="120"/>
              <w:rPr>
                <w:bCs/>
                <w:lang w:val="es-ES"/>
              </w:rPr>
            </w:pPr>
            <w:r w:rsidRPr="00900014">
              <w:rPr>
                <w:lang w:val="es-ES"/>
              </w:rPr>
              <w:t>Se registró el forato para el control del gusano de la raíz del maíz. Entre las alternativas de insecticidas para suelos registradas para el control de este insecto se encuentran: carbaril, clorpirifos, diazinón, terbufós y teflutrín.</w:t>
            </w:r>
          </w:p>
          <w:p w14:paraId="1FEDCCAA" w14:textId="77777777" w:rsidR="002B0DBA" w:rsidRPr="00900014" w:rsidRDefault="002B0DBA" w:rsidP="002B0DBA">
            <w:pPr>
              <w:rPr>
                <w:u w:val="single"/>
                <w:lang w:val="es-ES"/>
              </w:rPr>
            </w:pPr>
            <w:r w:rsidRPr="00900014">
              <w:rPr>
                <w:b/>
                <w:bCs/>
                <w:u w:val="single"/>
                <w:lang w:val="es-ES"/>
              </w:rPr>
              <w:t>Disposiciones generales</w:t>
            </w:r>
          </w:p>
          <w:p w14:paraId="00D153BA" w14:textId="77777777" w:rsidR="002B0DBA" w:rsidRPr="00900014" w:rsidRDefault="002B0DBA" w:rsidP="002B0DBA">
            <w:pPr>
              <w:spacing w:before="120" w:after="120"/>
              <w:rPr>
                <w:bCs/>
                <w:lang w:val="es-ES"/>
              </w:rPr>
            </w:pPr>
            <w:r w:rsidRPr="00900014">
              <w:rPr>
                <w:lang w:val="es-ES"/>
              </w:rPr>
              <w:t>Es fundamental que antes de que un país estudie alternativas de sustitución de una sustancia, se cerciore de que el uso es adecuado para sus necesidades nacionales, y las condiciones locales previstas de uso. También deben evaluarse los peligros que entrañan los materiales sustitutivos y los controles necesarios para un uso seguro.</w:t>
            </w:r>
          </w:p>
          <w:p w14:paraId="7985C25C" w14:textId="77777777" w:rsidR="002B0DBA" w:rsidRPr="00900014" w:rsidRDefault="002B0DBA" w:rsidP="002B0DBA">
            <w:pPr>
              <w:spacing w:before="120" w:after="120"/>
              <w:rPr>
                <w:bCs/>
                <w:lang w:val="es-ES"/>
              </w:rPr>
            </w:pPr>
            <w:r w:rsidRPr="00900014">
              <w:rPr>
                <w:lang w:val="es-ES"/>
              </w:rPr>
              <w:t>Hay varios métodos alternativos que entrañan estrategias químicas y no químicas, incluidas tecnologías alternativas disponibles, según la combinación del cultivo y la plaga de que se trate. Los países deberían considerar la promoción, según proceda, de estrategias orgánicas y de lucha integrada contra las plagas (IPM) como medio de reducir o eliminar el uso de plaguicidas peligrosos.</w:t>
            </w:r>
          </w:p>
          <w:p w14:paraId="1B7E41AE" w14:textId="77777777" w:rsidR="002B0DBA" w:rsidRPr="00900014" w:rsidRDefault="002B0DBA" w:rsidP="002B0DBA">
            <w:pPr>
              <w:spacing w:before="120" w:after="120"/>
              <w:rPr>
                <w:bCs/>
                <w:lang w:val="es-ES"/>
              </w:rPr>
            </w:pPr>
            <w:r w:rsidRPr="00900014">
              <w:rPr>
                <w:lang w:val="es-ES"/>
              </w:rPr>
              <w:t xml:space="preserve">La </w:t>
            </w:r>
            <w:r>
              <w:rPr>
                <w:lang w:val="es-ES"/>
              </w:rPr>
              <w:t>4</w:t>
            </w:r>
            <w:r w:rsidRPr="00900014">
              <w:rPr>
                <w:lang w:val="es-ES"/>
              </w:rPr>
              <w:t>ª Conferencia Internacional sobre la Gestión de los Productos Químicos de SAICM recomendó que, al momento de reemplazar plaguicidas muy peligrosos, debe ponerse el acento en las prácticas agroecológicas. Para más información acerca de dichas prácticas, consúltense los siguientes sitios web:</w:t>
            </w:r>
          </w:p>
          <w:p w14:paraId="55AA71C6" w14:textId="77777777" w:rsidR="002B0DBA" w:rsidRPr="00900014" w:rsidRDefault="002B0DBA" w:rsidP="002B0DBA">
            <w:pPr>
              <w:spacing w:before="20" w:after="20"/>
              <w:ind w:left="720"/>
              <w:jc w:val="both"/>
              <w:outlineLvl w:val="2"/>
              <w:rPr>
                <w:bCs/>
                <w:lang w:val="es-ES"/>
              </w:rPr>
            </w:pPr>
            <w:r w:rsidRPr="00900014">
              <w:rPr>
                <w:lang w:val="es-ES"/>
              </w:rPr>
              <w:t xml:space="preserve">Centro de agroecología de la FAO: </w:t>
            </w:r>
            <w:hyperlink r:id="rId14" w:history="1">
              <w:r w:rsidRPr="00C21175">
                <w:rPr>
                  <w:rStyle w:val="Hyperlink"/>
                  <w:bCs/>
                  <w:lang w:val="es-ES"/>
                </w:rPr>
                <w:t>http://www.fao.org/agroecology/en/</w:t>
              </w:r>
            </w:hyperlink>
          </w:p>
          <w:p w14:paraId="06DB904D" w14:textId="77777777" w:rsidR="002B0DBA" w:rsidRPr="00900014" w:rsidRDefault="002B0DBA" w:rsidP="002B0DBA">
            <w:pPr>
              <w:spacing w:before="20" w:after="20"/>
              <w:ind w:left="720"/>
              <w:jc w:val="both"/>
              <w:outlineLvl w:val="2"/>
              <w:rPr>
                <w:bCs/>
                <w:lang w:val="es-ES"/>
              </w:rPr>
            </w:pPr>
            <w:r w:rsidRPr="00900014">
              <w:rPr>
                <w:lang w:val="es-ES"/>
              </w:rPr>
              <w:t xml:space="preserve">IPAM (International Peoples agroecología Multiversity): </w:t>
            </w:r>
            <w:hyperlink r:id="rId15" w:history="1">
              <w:r w:rsidRPr="00C21175">
                <w:rPr>
                  <w:rStyle w:val="Hyperlink"/>
                  <w:bCs/>
                  <w:lang w:val="es-ES"/>
                </w:rPr>
                <w:t>http://ipamglobal.org/</w:t>
              </w:r>
            </w:hyperlink>
          </w:p>
          <w:p w14:paraId="303B8582" w14:textId="77777777" w:rsidR="002B0DBA" w:rsidRPr="00900014" w:rsidRDefault="002B0DBA" w:rsidP="002B0DBA">
            <w:pPr>
              <w:spacing w:before="20" w:after="20"/>
              <w:ind w:left="720"/>
              <w:outlineLvl w:val="2"/>
              <w:rPr>
                <w:bCs/>
                <w:lang w:val="es-ES"/>
              </w:rPr>
            </w:pPr>
            <w:r w:rsidRPr="00900014">
              <w:rPr>
                <w:lang w:val="es-ES"/>
              </w:rPr>
              <w:t xml:space="preserve">OISAT (Servicio de información en línea para el manejo de plagas que no sea químico en los trópicos): </w:t>
            </w:r>
            <w:hyperlink r:id="rId16" w:history="1">
              <w:r w:rsidRPr="00C21175">
                <w:rPr>
                  <w:rStyle w:val="Hyperlink"/>
                  <w:bCs/>
                  <w:lang w:val="es-ES"/>
                </w:rPr>
                <w:t>http://www.oisat.org/</w:t>
              </w:r>
            </w:hyperlink>
          </w:p>
          <w:p w14:paraId="767D9428" w14:textId="77777777" w:rsidR="002B0DBA" w:rsidRPr="00900014" w:rsidRDefault="002B0DBA" w:rsidP="002B0DBA">
            <w:pPr>
              <w:spacing w:before="20" w:after="20"/>
              <w:ind w:left="720"/>
              <w:outlineLvl w:val="2"/>
              <w:rPr>
                <w:rStyle w:val="Hyperlink"/>
                <w:bCs/>
                <w:lang w:val="es-ES"/>
              </w:rPr>
            </w:pPr>
            <w:r w:rsidRPr="00900014">
              <w:rPr>
                <w:lang w:val="es-ES"/>
              </w:rPr>
              <w:t xml:space="preserve">Sustitución de las sustancias químicas por biología: eliminación de los plaguicidas muy peligrosos a través de la agroecología: </w:t>
            </w:r>
            <w:hyperlink r:id="rId17" w:history="1">
              <w:r w:rsidRPr="00C21175">
                <w:rPr>
                  <w:rStyle w:val="Hyperlink"/>
                  <w:bCs/>
                  <w:lang w:val="es-ES"/>
                </w:rPr>
                <w:t>http://panap.net/2015/11/replacing-chemicals-biology-phasing-highly-hazardous-pesticides-agroecology/</w:t>
              </w:r>
            </w:hyperlink>
          </w:p>
          <w:p w14:paraId="4AA9AAC2" w14:textId="77777777" w:rsidR="002B0DBA" w:rsidRPr="00900014" w:rsidRDefault="002B0DBA" w:rsidP="002B0DBA">
            <w:pPr>
              <w:spacing w:before="20" w:after="20"/>
              <w:jc w:val="both"/>
              <w:outlineLvl w:val="2"/>
              <w:rPr>
                <w:lang w:val="es-ES"/>
              </w:rPr>
            </w:pPr>
          </w:p>
        </w:tc>
      </w:tr>
      <w:tr w:rsidR="002B0DBA" w:rsidRPr="00900014" w14:paraId="0B771248" w14:textId="77777777" w:rsidTr="001A4874">
        <w:trPr>
          <w:gridAfter w:val="1"/>
          <w:wAfter w:w="142" w:type="dxa"/>
        </w:trPr>
        <w:tc>
          <w:tcPr>
            <w:tcW w:w="9588" w:type="dxa"/>
            <w:tcBorders>
              <w:top w:val="single" w:sz="6" w:space="0" w:color="auto"/>
              <w:left w:val="single" w:sz="6" w:space="0" w:color="auto"/>
              <w:bottom w:val="single" w:sz="4" w:space="0" w:color="auto"/>
              <w:right w:val="single" w:sz="6" w:space="0" w:color="auto"/>
            </w:tcBorders>
          </w:tcPr>
          <w:p w14:paraId="6825C157" w14:textId="77777777" w:rsidR="002B0DBA" w:rsidRPr="00900014" w:rsidRDefault="002B0DBA" w:rsidP="002B0DBA">
            <w:pPr>
              <w:keepNext/>
              <w:outlineLvl w:val="1"/>
              <w:rPr>
                <w:b/>
                <w:bCs/>
                <w:lang w:val="es-ES"/>
              </w:rPr>
            </w:pPr>
            <w:r w:rsidRPr="00900014">
              <w:rPr>
                <w:b/>
                <w:lang w:val="es-ES"/>
              </w:rPr>
              <w:t>3.4</w:t>
            </w:r>
            <w:r>
              <w:rPr>
                <w:b/>
                <w:lang w:val="es-ES"/>
              </w:rPr>
              <w:t xml:space="preserve"> </w:t>
            </w:r>
            <w:r w:rsidRPr="00900014">
              <w:rPr>
                <w:b/>
                <w:lang w:val="es-ES"/>
              </w:rPr>
              <w:t>Efectos socioeconómicos</w:t>
            </w:r>
          </w:p>
        </w:tc>
      </w:tr>
      <w:tr w:rsidR="002B0DBA" w:rsidRPr="00AB7E72" w14:paraId="4EC1DE29" w14:textId="77777777" w:rsidTr="001A4874">
        <w:trPr>
          <w:gridAfter w:val="1"/>
          <w:wAfter w:w="142" w:type="dxa"/>
          <w:trHeight w:val="410"/>
        </w:trPr>
        <w:tc>
          <w:tcPr>
            <w:tcW w:w="9588" w:type="dxa"/>
            <w:tcBorders>
              <w:top w:val="single" w:sz="4" w:space="0" w:color="auto"/>
              <w:left w:val="nil"/>
              <w:bottom w:val="nil"/>
              <w:right w:val="nil"/>
            </w:tcBorders>
          </w:tcPr>
          <w:p w14:paraId="7205084E" w14:textId="77777777" w:rsidR="002B0DBA" w:rsidRPr="00900014" w:rsidRDefault="002B0DBA" w:rsidP="002B0DBA">
            <w:pPr>
              <w:spacing w:before="120" w:after="120"/>
              <w:jc w:val="both"/>
              <w:outlineLvl w:val="2"/>
              <w:rPr>
                <w:b/>
                <w:bCs/>
                <w:u w:val="single"/>
                <w:lang w:val="es-ES"/>
              </w:rPr>
            </w:pPr>
            <w:r w:rsidRPr="00900014">
              <w:rPr>
                <w:b/>
                <w:u w:val="single"/>
                <w:lang w:val="es-ES"/>
              </w:rPr>
              <w:t>Brasil</w:t>
            </w:r>
          </w:p>
          <w:p w14:paraId="461C825C" w14:textId="77777777" w:rsidR="002B0DBA" w:rsidRPr="00900014" w:rsidRDefault="002B0DBA" w:rsidP="002B0DBA">
            <w:pPr>
              <w:spacing w:before="120" w:after="120"/>
              <w:rPr>
                <w:lang w:val="es-ES"/>
              </w:rPr>
            </w:pPr>
            <w:r w:rsidRPr="00900014">
              <w:rPr>
                <w:lang w:val="es-ES"/>
              </w:rPr>
              <w:t>No se declaró ninguna evaluación de los efectos socioeconómicos.</w:t>
            </w:r>
          </w:p>
        </w:tc>
      </w:tr>
      <w:tr w:rsidR="002B0DBA" w:rsidRPr="00AB7E72" w14:paraId="7E9FA86A" w14:textId="77777777" w:rsidTr="001A4874">
        <w:trPr>
          <w:gridAfter w:val="1"/>
          <w:wAfter w:w="142" w:type="dxa"/>
          <w:trHeight w:val="410"/>
        </w:trPr>
        <w:tc>
          <w:tcPr>
            <w:tcW w:w="9588" w:type="dxa"/>
            <w:tcBorders>
              <w:top w:val="nil"/>
              <w:left w:val="nil"/>
              <w:bottom w:val="nil"/>
              <w:right w:val="nil"/>
            </w:tcBorders>
          </w:tcPr>
          <w:p w14:paraId="7E74A375" w14:textId="77777777" w:rsidR="002B0DBA" w:rsidRPr="00900014" w:rsidRDefault="002B0DBA" w:rsidP="002B0DBA">
            <w:pPr>
              <w:spacing w:before="120" w:after="120"/>
              <w:jc w:val="both"/>
              <w:outlineLvl w:val="2"/>
              <w:rPr>
                <w:b/>
                <w:bCs/>
                <w:u w:val="single"/>
                <w:lang w:val="es-ES"/>
              </w:rPr>
            </w:pPr>
            <w:r w:rsidRPr="00900014">
              <w:rPr>
                <w:b/>
                <w:u w:val="single"/>
                <w:lang w:val="es-ES"/>
              </w:rPr>
              <w:t>Canadá</w:t>
            </w:r>
          </w:p>
          <w:p w14:paraId="5BAFB42A" w14:textId="77777777" w:rsidR="002B0DBA" w:rsidRPr="00900014" w:rsidRDefault="002B0DBA" w:rsidP="002B0DBA">
            <w:pPr>
              <w:spacing w:before="120" w:after="120"/>
              <w:ind w:right="176"/>
              <w:rPr>
                <w:lang w:val="es-ES"/>
              </w:rPr>
            </w:pPr>
            <w:r w:rsidRPr="00900014">
              <w:rPr>
                <w:lang w:val="es-ES"/>
              </w:rPr>
              <w:t>Un desafío significativo para el PMRA era una resolución normativa que tuviera como objetivo eliminar el forato de la forma menos disruptiva para la necesidad de proteger los cultivos agrícolas de las plagas. Para superar el desafío, el PMRA evaluó la disponibilidad de alternativas y la necesidad de un período de transición para los usos para los cuales no existían alternativas o eran muy limitadas. Un desafío significativo para el sector era desarrollar alternativas en el plazo relativamente corto de las eliminaciones propuestas. Un desafío de envergadura para el sector agrícola era reducir el uso durante el período de transición y estar abierto al uso de alternativas.</w:t>
            </w:r>
          </w:p>
        </w:tc>
      </w:tr>
    </w:tbl>
    <w:p w14:paraId="095E3AC1" w14:textId="5E9B21D5" w:rsidR="001A4874" w:rsidRDefault="001A4874"/>
    <w:tbl>
      <w:tblPr>
        <w:tblW w:w="9493" w:type="dxa"/>
        <w:tblInd w:w="-3" w:type="dxa"/>
        <w:tblLayout w:type="fixed"/>
        <w:tblCellMar>
          <w:left w:w="107" w:type="dxa"/>
          <w:right w:w="107" w:type="dxa"/>
        </w:tblCellMar>
        <w:tblLook w:val="0000" w:firstRow="0" w:lastRow="0" w:firstColumn="0" w:lastColumn="0" w:noHBand="0" w:noVBand="0"/>
      </w:tblPr>
      <w:tblGrid>
        <w:gridCol w:w="9493"/>
      </w:tblGrid>
      <w:tr w:rsidR="002B0DBA" w:rsidRPr="00AB7E72" w14:paraId="5EEE8CCC" w14:textId="77777777" w:rsidTr="001A4874">
        <w:tc>
          <w:tcPr>
            <w:tcW w:w="9493" w:type="dxa"/>
            <w:tcBorders>
              <w:top w:val="single" w:sz="6" w:space="0" w:color="000000"/>
              <w:left w:val="single" w:sz="6" w:space="0" w:color="000000"/>
              <w:bottom w:val="single" w:sz="6" w:space="0" w:color="000000"/>
              <w:right w:val="single" w:sz="6" w:space="0" w:color="000000"/>
            </w:tcBorders>
            <w:shd w:val="pct15" w:color="auto" w:fill="FFFFFF"/>
          </w:tcPr>
          <w:p w14:paraId="4E0CDFB2" w14:textId="14A497BF" w:rsidR="002B0DBA" w:rsidRPr="00900014" w:rsidRDefault="002B0DBA" w:rsidP="002B0DBA">
            <w:pPr>
              <w:rPr>
                <w:b/>
                <w:lang w:val="es-ES"/>
              </w:rPr>
            </w:pPr>
            <w:r w:rsidRPr="00C62322">
              <w:rPr>
                <w:b/>
                <w:lang w:val="es-ES"/>
              </w:rPr>
              <w:t>4. Peligros y riesgos para la salud humana y el medio ambiente</w:t>
            </w:r>
          </w:p>
        </w:tc>
      </w:tr>
    </w:tbl>
    <w:p w14:paraId="009C65D9" w14:textId="77777777" w:rsidR="002B0DBA" w:rsidRPr="00900014" w:rsidRDefault="002B0DBA" w:rsidP="002B0DBA">
      <w:pPr>
        <w:rPr>
          <w:lang w:val="es-ES"/>
        </w:rPr>
      </w:pPr>
    </w:p>
    <w:tbl>
      <w:tblPr>
        <w:tblW w:w="9490" w:type="dxa"/>
        <w:tblLayout w:type="fixed"/>
        <w:tblCellMar>
          <w:left w:w="107" w:type="dxa"/>
          <w:right w:w="107" w:type="dxa"/>
        </w:tblCellMar>
        <w:tblLook w:val="0000" w:firstRow="0" w:lastRow="0" w:firstColumn="0" w:lastColumn="0" w:noHBand="0" w:noVBand="0"/>
      </w:tblPr>
      <w:tblGrid>
        <w:gridCol w:w="4794"/>
        <w:gridCol w:w="4696"/>
      </w:tblGrid>
      <w:tr w:rsidR="002B0DBA" w:rsidRPr="00900014" w14:paraId="7EB37C0A" w14:textId="77777777" w:rsidTr="001A4874">
        <w:tc>
          <w:tcPr>
            <w:tcW w:w="9490" w:type="dxa"/>
            <w:gridSpan w:val="2"/>
            <w:tcBorders>
              <w:top w:val="single" w:sz="6" w:space="0" w:color="000000"/>
              <w:left w:val="single" w:sz="6" w:space="0" w:color="808080"/>
              <w:bottom w:val="single" w:sz="6" w:space="0" w:color="808080"/>
              <w:right w:val="single" w:sz="6" w:space="0" w:color="808080"/>
            </w:tcBorders>
            <w:shd w:val="pct15" w:color="auto" w:fill="FFFFFF"/>
          </w:tcPr>
          <w:p w14:paraId="0AFBF35A" w14:textId="77777777" w:rsidR="002B0DBA" w:rsidRPr="00900014" w:rsidRDefault="002B0DBA" w:rsidP="002B0DBA">
            <w:pPr>
              <w:rPr>
                <w:b/>
                <w:lang w:val="es-ES"/>
              </w:rPr>
            </w:pPr>
            <w:r w:rsidRPr="00900014">
              <w:rPr>
                <w:b/>
                <w:lang w:val="es-ES"/>
              </w:rPr>
              <w:t>4.1</w:t>
            </w:r>
            <w:r>
              <w:rPr>
                <w:b/>
                <w:lang w:val="es-ES"/>
              </w:rPr>
              <w:t xml:space="preserve"> </w:t>
            </w:r>
            <w:r w:rsidRPr="00900014">
              <w:rPr>
                <w:b/>
                <w:lang w:val="es-ES"/>
              </w:rPr>
              <w:t>Clasificación del peligro</w:t>
            </w:r>
            <w:r w:rsidRPr="00900014">
              <w:rPr>
                <w:b/>
                <w:lang w:val="es-ES"/>
              </w:rPr>
              <w:tab/>
            </w:r>
          </w:p>
        </w:tc>
      </w:tr>
      <w:tr w:rsidR="002B0DBA" w:rsidRPr="00900014" w14:paraId="43AA1AAA" w14:textId="77777777" w:rsidTr="001A4874">
        <w:tblPrEx>
          <w:tblCellMar>
            <w:left w:w="108" w:type="dxa"/>
            <w:right w:w="108" w:type="dxa"/>
          </w:tblCellMar>
        </w:tblPrEx>
        <w:tc>
          <w:tcPr>
            <w:tcW w:w="4794" w:type="dxa"/>
            <w:tcBorders>
              <w:top w:val="single" w:sz="4" w:space="0" w:color="auto"/>
              <w:left w:val="single" w:sz="4" w:space="0" w:color="auto"/>
              <w:bottom w:val="single" w:sz="4" w:space="0" w:color="auto"/>
              <w:right w:val="single" w:sz="4" w:space="0" w:color="auto"/>
            </w:tcBorders>
          </w:tcPr>
          <w:p w14:paraId="46AA87C0" w14:textId="77777777" w:rsidR="002B0DBA" w:rsidRPr="00900014" w:rsidRDefault="002B0DBA" w:rsidP="002B0DBA">
            <w:pPr>
              <w:spacing w:before="120" w:after="120"/>
              <w:outlineLvl w:val="2"/>
              <w:rPr>
                <w:b/>
                <w:bCs/>
                <w:lang w:val="es-ES"/>
              </w:rPr>
            </w:pPr>
            <w:r w:rsidRPr="00900014">
              <w:rPr>
                <w:b/>
                <w:lang w:val="es-ES"/>
              </w:rPr>
              <w:t>OMS / PISSQ</w:t>
            </w:r>
          </w:p>
        </w:tc>
        <w:tc>
          <w:tcPr>
            <w:tcW w:w="4696" w:type="dxa"/>
            <w:tcBorders>
              <w:top w:val="single" w:sz="4" w:space="0" w:color="auto"/>
              <w:left w:val="single" w:sz="4" w:space="0" w:color="auto"/>
              <w:bottom w:val="single" w:sz="4" w:space="0" w:color="auto"/>
              <w:right w:val="single" w:sz="4" w:space="0" w:color="auto"/>
            </w:tcBorders>
          </w:tcPr>
          <w:p w14:paraId="1726B994" w14:textId="77777777" w:rsidR="002B0DBA" w:rsidRPr="00900014" w:rsidRDefault="002B0DBA" w:rsidP="002B0DBA">
            <w:pPr>
              <w:spacing w:before="120" w:after="120"/>
              <w:rPr>
                <w:lang w:val="es-ES"/>
              </w:rPr>
            </w:pPr>
            <w:r w:rsidRPr="00900014">
              <w:rPr>
                <w:lang w:val="es-ES"/>
              </w:rPr>
              <w:t>I a – Extremadamente peligroso</w:t>
            </w:r>
          </w:p>
        </w:tc>
      </w:tr>
      <w:tr w:rsidR="002B0DBA" w:rsidRPr="00AB7E72" w14:paraId="59BE077D" w14:textId="77777777" w:rsidTr="001A4874">
        <w:tblPrEx>
          <w:tblCellMar>
            <w:left w:w="108" w:type="dxa"/>
            <w:right w:w="108" w:type="dxa"/>
          </w:tblCellMar>
        </w:tblPrEx>
        <w:tc>
          <w:tcPr>
            <w:tcW w:w="4794" w:type="dxa"/>
            <w:tcBorders>
              <w:top w:val="single" w:sz="4" w:space="0" w:color="auto"/>
              <w:left w:val="single" w:sz="6" w:space="0" w:color="auto"/>
              <w:bottom w:val="single" w:sz="4" w:space="0" w:color="auto"/>
              <w:right w:val="single" w:sz="6" w:space="0" w:color="auto"/>
            </w:tcBorders>
          </w:tcPr>
          <w:p w14:paraId="6FCDB290" w14:textId="77777777" w:rsidR="002B0DBA" w:rsidRPr="00900014" w:rsidRDefault="002B0DBA" w:rsidP="002B0DBA">
            <w:pPr>
              <w:spacing w:before="120" w:after="20"/>
              <w:outlineLvl w:val="2"/>
              <w:rPr>
                <w:b/>
                <w:bCs/>
                <w:lang w:val="es-ES"/>
              </w:rPr>
            </w:pPr>
            <w:r w:rsidRPr="00900014">
              <w:rPr>
                <w:b/>
                <w:lang w:val="es-ES"/>
              </w:rPr>
              <w:t>Unión Europea</w:t>
            </w:r>
          </w:p>
        </w:tc>
        <w:tc>
          <w:tcPr>
            <w:tcW w:w="4696" w:type="dxa"/>
            <w:tcBorders>
              <w:top w:val="single" w:sz="4" w:space="0" w:color="auto"/>
              <w:bottom w:val="single" w:sz="4" w:space="0" w:color="auto"/>
              <w:right w:val="single" w:sz="6" w:space="0" w:color="auto"/>
            </w:tcBorders>
          </w:tcPr>
          <w:p w14:paraId="4148311A" w14:textId="77777777" w:rsidR="002B0DBA" w:rsidRPr="00900014" w:rsidRDefault="002B0DBA" w:rsidP="002B0DBA">
            <w:pPr>
              <w:spacing w:before="120" w:after="120"/>
              <w:outlineLvl w:val="2"/>
              <w:rPr>
                <w:b/>
                <w:lang w:val="es-ES"/>
              </w:rPr>
            </w:pPr>
            <w:r w:rsidRPr="00900014">
              <w:rPr>
                <w:b/>
                <w:lang w:val="es-ES"/>
              </w:rPr>
              <w:t>Clasificación según el Reglamento (CE) núm. 1272/2008 del Parlamento Europeo y el Consejo (Reglamento CE)</w:t>
            </w:r>
          </w:p>
          <w:p w14:paraId="099096C7" w14:textId="77777777" w:rsidR="002B0DBA" w:rsidRPr="00900014" w:rsidRDefault="002B0DBA" w:rsidP="002B0DBA">
            <w:pPr>
              <w:rPr>
                <w:shd w:val="clear" w:color="auto" w:fill="F9F9F9"/>
                <w:lang w:val="es-ES"/>
              </w:rPr>
            </w:pPr>
            <w:r w:rsidRPr="00900014">
              <w:rPr>
                <w:lang w:val="es-ES"/>
              </w:rPr>
              <w:t>Toxicidad aguda (oral) 2* - H300 (Mortal en caso de ingestión)</w:t>
            </w:r>
          </w:p>
          <w:p w14:paraId="0AF50C17" w14:textId="77777777" w:rsidR="002B0DBA" w:rsidRPr="00900014" w:rsidRDefault="002B0DBA" w:rsidP="002B0DBA">
            <w:pPr>
              <w:rPr>
                <w:shd w:val="clear" w:color="auto" w:fill="F9F9F9"/>
                <w:lang w:val="es-ES"/>
              </w:rPr>
            </w:pPr>
            <w:r w:rsidRPr="00900014">
              <w:rPr>
                <w:lang w:val="es-ES"/>
              </w:rPr>
              <w:t>Toxicidad aguda, categoría 1 - H310 (Mortal en contacto con la piel)</w:t>
            </w:r>
          </w:p>
          <w:p w14:paraId="75DD7FE1" w14:textId="77777777" w:rsidR="002B0DBA" w:rsidRPr="00900014" w:rsidRDefault="002B0DBA" w:rsidP="002B0DBA">
            <w:pPr>
              <w:rPr>
                <w:shd w:val="clear" w:color="auto" w:fill="FFFFFF"/>
                <w:lang w:val="es-ES"/>
              </w:rPr>
            </w:pPr>
            <w:r w:rsidRPr="00900014">
              <w:rPr>
                <w:lang w:val="es-ES"/>
              </w:rPr>
              <w:t>Para el medio ambiente acuático, aguda, categoría 1 - H400 (muy tóxico para los organismos acuáticos)</w:t>
            </w:r>
          </w:p>
          <w:p w14:paraId="4D7FDD6A" w14:textId="77777777" w:rsidR="002B0DBA" w:rsidRPr="00900014" w:rsidRDefault="002B0DBA" w:rsidP="002B0DBA">
            <w:pPr>
              <w:rPr>
                <w:lang w:val="es-ES"/>
              </w:rPr>
            </w:pPr>
            <w:r w:rsidRPr="00900014">
              <w:rPr>
                <w:lang w:val="es-ES"/>
              </w:rPr>
              <w:t>Toxicidad crónica para el medio acuático, categoría 1 - H410 - Muy tóxico para la vida acuática con efectos duraderos)</w:t>
            </w:r>
          </w:p>
          <w:p w14:paraId="3D5DFCF5" w14:textId="77777777" w:rsidR="002B0DBA" w:rsidRPr="00900014" w:rsidRDefault="002B0DBA" w:rsidP="002B0DBA">
            <w:pPr>
              <w:rPr>
                <w:lang w:val="es-ES"/>
              </w:rPr>
            </w:pPr>
          </w:p>
        </w:tc>
      </w:tr>
      <w:tr w:rsidR="002B0DBA" w:rsidRPr="00AB7E72" w14:paraId="577F4208" w14:textId="77777777" w:rsidTr="001A4874">
        <w:tblPrEx>
          <w:tblCellMar>
            <w:left w:w="108" w:type="dxa"/>
            <w:right w:w="108" w:type="dxa"/>
          </w:tblCellMar>
        </w:tblPrEx>
        <w:tc>
          <w:tcPr>
            <w:tcW w:w="4794" w:type="dxa"/>
            <w:tcBorders>
              <w:top w:val="single" w:sz="4" w:space="0" w:color="auto"/>
              <w:left w:val="single" w:sz="6" w:space="0" w:color="auto"/>
              <w:bottom w:val="single" w:sz="6" w:space="0" w:color="auto"/>
              <w:right w:val="single" w:sz="6" w:space="0" w:color="auto"/>
            </w:tcBorders>
          </w:tcPr>
          <w:p w14:paraId="6A3220FF" w14:textId="77777777" w:rsidR="002B0DBA" w:rsidRPr="00900014" w:rsidRDefault="002B0DBA" w:rsidP="002B0DBA">
            <w:pPr>
              <w:spacing w:before="120" w:after="20"/>
              <w:outlineLvl w:val="2"/>
              <w:rPr>
                <w:b/>
                <w:lang w:val="es-ES"/>
              </w:rPr>
            </w:pPr>
            <w:r w:rsidRPr="00491766">
              <w:rPr>
                <w:b/>
                <w:lang w:val="es-ES"/>
              </w:rPr>
              <w:t>Agencia de Protección Ambiental de los Estados Unidos</w:t>
            </w:r>
            <w:r>
              <w:rPr>
                <w:b/>
                <w:lang w:val="es-ES"/>
              </w:rPr>
              <w:t xml:space="preserve"> de América</w:t>
            </w:r>
          </w:p>
        </w:tc>
        <w:tc>
          <w:tcPr>
            <w:tcW w:w="4696" w:type="dxa"/>
            <w:tcBorders>
              <w:top w:val="single" w:sz="4" w:space="0" w:color="auto"/>
              <w:bottom w:val="single" w:sz="6" w:space="0" w:color="auto"/>
              <w:right w:val="single" w:sz="6" w:space="0" w:color="auto"/>
            </w:tcBorders>
          </w:tcPr>
          <w:p w14:paraId="2028C7A1" w14:textId="77777777" w:rsidR="002B0DBA" w:rsidRPr="00491766" w:rsidRDefault="002B0DBA" w:rsidP="002B0DBA">
            <w:pPr>
              <w:spacing w:before="120" w:after="120"/>
              <w:outlineLvl w:val="2"/>
              <w:rPr>
                <w:lang w:val="es-ES"/>
              </w:rPr>
            </w:pPr>
            <w:r w:rsidRPr="00491766">
              <w:rPr>
                <w:lang w:val="es-ES"/>
              </w:rPr>
              <w:t>I – Muy tóxico (aguda oral, cutánea y por inhalación)</w:t>
            </w:r>
          </w:p>
        </w:tc>
      </w:tr>
    </w:tbl>
    <w:p w14:paraId="4814FEE1" w14:textId="77777777" w:rsidR="002B0DBA" w:rsidRPr="00900014" w:rsidRDefault="002B0DBA" w:rsidP="002B0DBA">
      <w:pPr>
        <w:rPr>
          <w:lang w:val="es-ES"/>
        </w:rPr>
      </w:pPr>
    </w:p>
    <w:tbl>
      <w:tblPr>
        <w:tblW w:w="9783" w:type="dxa"/>
        <w:tblInd w:w="-34" w:type="dxa"/>
        <w:tblLayout w:type="fixed"/>
        <w:tblLook w:val="0000" w:firstRow="0" w:lastRow="0" w:firstColumn="0" w:lastColumn="0" w:noHBand="0" w:noVBand="0"/>
      </w:tblPr>
      <w:tblGrid>
        <w:gridCol w:w="1561"/>
        <w:gridCol w:w="8222"/>
      </w:tblGrid>
      <w:tr w:rsidR="002B0DBA" w:rsidRPr="00900014" w14:paraId="7CF16D51" w14:textId="77777777" w:rsidTr="002B0DBA">
        <w:tc>
          <w:tcPr>
            <w:tcW w:w="9783" w:type="dxa"/>
            <w:gridSpan w:val="2"/>
            <w:tcBorders>
              <w:top w:val="single" w:sz="4" w:space="0" w:color="auto"/>
              <w:left w:val="single" w:sz="4" w:space="0" w:color="auto"/>
              <w:bottom w:val="single" w:sz="4" w:space="0" w:color="auto"/>
              <w:right w:val="single" w:sz="4" w:space="0" w:color="auto"/>
            </w:tcBorders>
          </w:tcPr>
          <w:p w14:paraId="6882CCA3" w14:textId="77777777" w:rsidR="002B0DBA" w:rsidRPr="00900014" w:rsidRDefault="002B0DBA" w:rsidP="002B0DBA">
            <w:pPr>
              <w:keepNext/>
              <w:outlineLvl w:val="1"/>
              <w:rPr>
                <w:b/>
                <w:bCs/>
                <w:lang w:val="es-ES"/>
              </w:rPr>
            </w:pPr>
            <w:r w:rsidRPr="00900014">
              <w:rPr>
                <w:b/>
                <w:lang w:val="es-ES"/>
              </w:rPr>
              <w:t>4.2</w:t>
            </w:r>
            <w:r>
              <w:rPr>
                <w:b/>
                <w:lang w:val="es-ES"/>
              </w:rPr>
              <w:t xml:space="preserve"> </w:t>
            </w:r>
            <w:r w:rsidRPr="00900014">
              <w:rPr>
                <w:b/>
                <w:lang w:val="es-ES"/>
              </w:rPr>
              <w:t>Límites de exposición</w:t>
            </w:r>
          </w:p>
        </w:tc>
      </w:tr>
      <w:tr w:rsidR="002B0DBA" w:rsidRPr="00AB7E72" w14:paraId="4BB6A4BF" w14:textId="77777777" w:rsidTr="002B0DBA">
        <w:tc>
          <w:tcPr>
            <w:tcW w:w="9783" w:type="dxa"/>
            <w:gridSpan w:val="2"/>
          </w:tcPr>
          <w:p w14:paraId="54FBB00A" w14:textId="77777777" w:rsidR="002B0DBA" w:rsidRPr="00900014" w:rsidRDefault="002B0DBA" w:rsidP="002B0DBA">
            <w:pPr>
              <w:spacing w:before="120" w:after="120"/>
              <w:rPr>
                <w:b/>
                <w:u w:val="single"/>
                <w:lang w:val="es-ES"/>
              </w:rPr>
            </w:pPr>
            <w:r w:rsidRPr="00900014">
              <w:rPr>
                <w:b/>
                <w:u w:val="single"/>
                <w:lang w:val="es-ES"/>
              </w:rPr>
              <w:t>Evaluación del riesgo canadiense:</w:t>
            </w:r>
          </w:p>
          <w:p w14:paraId="569D53F6" w14:textId="77777777" w:rsidR="002B0DBA" w:rsidRPr="00900014" w:rsidRDefault="002B0DBA" w:rsidP="002B0DBA">
            <w:pPr>
              <w:spacing w:before="120"/>
              <w:rPr>
                <w:lang w:val="es-ES"/>
              </w:rPr>
            </w:pPr>
            <w:r w:rsidRPr="00900014">
              <w:rPr>
                <w:lang w:val="es-ES"/>
              </w:rPr>
              <w:t>Dosis de referencia aguda (DRA): 0,00025 mg/kg de peso corporal</w:t>
            </w:r>
          </w:p>
          <w:p w14:paraId="6CAAE685" w14:textId="2EA25396" w:rsidR="002B0DBA" w:rsidRPr="00900014" w:rsidRDefault="002B0DBA" w:rsidP="002B0DBA">
            <w:pPr>
              <w:pStyle w:val="Style21"/>
              <w:widowControl/>
              <w:spacing w:before="19" w:after="120" w:line="240" w:lineRule="auto"/>
              <w:ind w:left="675"/>
              <w:rPr>
                <w:rFonts w:ascii="Times New Roman" w:hAnsi="Times New Roman" w:cs="Times New Roman"/>
                <w:sz w:val="20"/>
                <w:szCs w:val="20"/>
                <w:lang w:val="es-ES"/>
              </w:rPr>
            </w:pPr>
            <w:r w:rsidRPr="00900014">
              <w:rPr>
                <w:rFonts w:ascii="Times New Roman" w:hAnsi="Times New Roman" w:cs="Times New Roman"/>
                <w:sz w:val="20"/>
                <w:szCs w:val="20"/>
                <w:lang w:val="es-ES"/>
              </w:rPr>
              <w:t>En estudios realizados con animales, los efectos adversos ob</w:t>
            </w:r>
            <w:r w:rsidR="007D21D4">
              <w:rPr>
                <w:rFonts w:ascii="Times New Roman" w:hAnsi="Times New Roman" w:cs="Times New Roman"/>
                <w:sz w:val="20"/>
                <w:szCs w:val="20"/>
                <w:lang w:val="es-ES"/>
              </w:rPr>
              <w:t>servables con la dosis más baja</w:t>
            </w:r>
            <w:r w:rsidRPr="00900014">
              <w:rPr>
                <w:rFonts w:ascii="Times New Roman" w:hAnsi="Times New Roman" w:cs="Times New Roman"/>
                <w:sz w:val="20"/>
                <w:szCs w:val="20"/>
                <w:lang w:val="es-ES"/>
              </w:rPr>
              <w:t xml:space="preserve"> (es decir, el criterio de valoración de la toxicidad) fueron signos clínicos observados en un estudio de neurotoxicidad aguda</w:t>
            </w:r>
            <w:r w:rsidR="00432727">
              <w:rPr>
                <w:rFonts w:ascii="Times New Roman" w:hAnsi="Times New Roman" w:cs="Times New Roman"/>
                <w:sz w:val="20"/>
                <w:szCs w:val="20"/>
                <w:lang w:val="es-ES"/>
              </w:rPr>
              <w:t> </w:t>
            </w:r>
            <w:r w:rsidRPr="00900014">
              <w:rPr>
                <w:rFonts w:ascii="Times New Roman" w:hAnsi="Times New Roman" w:cs="Times New Roman"/>
                <w:sz w:val="20"/>
                <w:szCs w:val="20"/>
                <w:lang w:val="es-ES"/>
              </w:rPr>
              <w:t>en ratas (NOAEL = 0,25 mg/kg de peso corporal (</w:t>
            </w:r>
            <w:r>
              <w:rPr>
                <w:rFonts w:ascii="Times New Roman" w:hAnsi="Times New Roman" w:cs="Times New Roman"/>
                <w:sz w:val="20"/>
                <w:szCs w:val="20"/>
                <w:lang w:val="es-ES"/>
              </w:rPr>
              <w:t>p.c.</w:t>
            </w:r>
            <w:r w:rsidRPr="00900014">
              <w:rPr>
                <w:rFonts w:ascii="Times New Roman" w:hAnsi="Times New Roman" w:cs="Times New Roman"/>
                <w:sz w:val="20"/>
                <w:szCs w:val="20"/>
                <w:lang w:val="es-ES"/>
              </w:rPr>
              <w:t>)).</w:t>
            </w:r>
            <w:r w:rsidR="007D21D4">
              <w:rPr>
                <w:rFonts w:ascii="Times New Roman" w:hAnsi="Times New Roman" w:cs="Times New Roman"/>
                <w:sz w:val="20"/>
                <w:szCs w:val="20"/>
                <w:lang w:val="es-ES"/>
              </w:rPr>
              <w:t xml:space="preserve"> </w:t>
            </w:r>
            <w:r w:rsidRPr="00900014">
              <w:rPr>
                <w:rFonts w:ascii="Times New Roman" w:hAnsi="Times New Roman" w:cs="Times New Roman"/>
                <w:sz w:val="20"/>
                <w:szCs w:val="20"/>
                <w:lang w:val="es-ES"/>
              </w:rPr>
              <w:t>El factor de incertidumbre fue 100 (10x para la</w:t>
            </w:r>
            <w:r w:rsidR="00432727">
              <w:rPr>
                <w:rFonts w:ascii="Times New Roman" w:hAnsi="Times New Roman" w:cs="Times New Roman"/>
                <w:sz w:val="20"/>
                <w:szCs w:val="20"/>
                <w:lang w:val="es-ES"/>
              </w:rPr>
              <w:t> </w:t>
            </w:r>
            <w:r w:rsidRPr="00900014">
              <w:rPr>
                <w:rFonts w:ascii="Times New Roman" w:hAnsi="Times New Roman" w:cs="Times New Roman"/>
                <w:sz w:val="20"/>
                <w:szCs w:val="20"/>
                <w:lang w:val="es-ES"/>
              </w:rPr>
              <w:t>extrapolación interespecies x 10 para la variabilidad intraespecies). Se aplicó un coeficiente de seguridad adicional de 10x para representar la pendiente de la respuesta a la dosis y el alto grado de potencia (sobre la base de la letalidad a dosis muy bajas).</w:t>
            </w:r>
            <w:r w:rsidR="007D21D4">
              <w:rPr>
                <w:rFonts w:ascii="Times New Roman" w:hAnsi="Times New Roman" w:cs="Times New Roman"/>
                <w:sz w:val="20"/>
                <w:szCs w:val="20"/>
                <w:lang w:val="es-ES"/>
              </w:rPr>
              <w:t xml:space="preserve"> </w:t>
            </w:r>
            <w:r w:rsidRPr="00900014">
              <w:rPr>
                <w:rFonts w:ascii="Times New Roman" w:hAnsi="Times New Roman" w:cs="Times New Roman"/>
                <w:sz w:val="20"/>
                <w:szCs w:val="20"/>
                <w:lang w:val="es-ES"/>
              </w:rPr>
              <w:t>Se calculó como dosis de referencia aguda 0,00025 mg/kg de peso corporal (0,25 mg/kg de peso corporal / 1</w:t>
            </w:r>
            <w:r>
              <w:rPr>
                <w:rFonts w:ascii="Times New Roman" w:hAnsi="Times New Roman" w:cs="Times New Roman"/>
                <w:sz w:val="20"/>
                <w:szCs w:val="20"/>
                <w:lang w:val="es-ES"/>
              </w:rPr>
              <w:t>.</w:t>
            </w:r>
            <w:r w:rsidRPr="00900014">
              <w:rPr>
                <w:rFonts w:ascii="Times New Roman" w:hAnsi="Times New Roman" w:cs="Times New Roman"/>
                <w:sz w:val="20"/>
                <w:szCs w:val="20"/>
                <w:lang w:val="es-ES"/>
              </w:rPr>
              <w:t>000).</w:t>
            </w:r>
            <w:r w:rsidR="007D21D4">
              <w:rPr>
                <w:rFonts w:ascii="Times New Roman" w:hAnsi="Times New Roman" w:cs="Times New Roman"/>
                <w:sz w:val="20"/>
                <w:szCs w:val="20"/>
                <w:lang w:val="es-ES"/>
              </w:rPr>
              <w:t xml:space="preserve"> </w:t>
            </w:r>
            <w:r w:rsidRPr="00900014">
              <w:rPr>
                <w:rFonts w:ascii="Times New Roman" w:hAnsi="Times New Roman" w:cs="Times New Roman"/>
                <w:sz w:val="20"/>
                <w:szCs w:val="20"/>
                <w:lang w:val="es-ES"/>
              </w:rPr>
              <w:t>Se consideró que este valor era seguro para lactantes y niños.</w:t>
            </w:r>
          </w:p>
          <w:p w14:paraId="735A7A91" w14:textId="77777777" w:rsidR="002B0DBA" w:rsidRPr="00900014" w:rsidRDefault="002B0DBA" w:rsidP="002B0DBA">
            <w:pPr>
              <w:spacing w:before="120"/>
              <w:rPr>
                <w:rStyle w:val="FontStyle85"/>
                <w:lang w:val="es-ES"/>
              </w:rPr>
            </w:pPr>
            <w:r w:rsidRPr="00900014">
              <w:rPr>
                <w:lang w:val="es-ES"/>
              </w:rPr>
              <w:t xml:space="preserve">Ingesta diaria admisible (IDA): 0,00025 mg/kg </w:t>
            </w:r>
            <w:r>
              <w:rPr>
                <w:lang w:val="es-ES"/>
              </w:rPr>
              <w:t>p.c.</w:t>
            </w:r>
            <w:r w:rsidRPr="00900014">
              <w:rPr>
                <w:lang w:val="es-ES"/>
              </w:rPr>
              <w:t>/d</w:t>
            </w:r>
          </w:p>
          <w:p w14:paraId="711D0F6C" w14:textId="77777777" w:rsidR="002B0DBA" w:rsidRPr="00900014" w:rsidRDefault="002B0DBA" w:rsidP="002B0DBA">
            <w:pPr>
              <w:pStyle w:val="Style21"/>
              <w:widowControl/>
              <w:spacing w:after="120" w:line="240" w:lineRule="auto"/>
              <w:ind w:left="675"/>
              <w:rPr>
                <w:rStyle w:val="FontStyle85"/>
                <w:lang w:val="es-ES"/>
              </w:rPr>
            </w:pPr>
            <w:r w:rsidRPr="00900014">
              <w:rPr>
                <w:rFonts w:ascii="Times New Roman" w:hAnsi="Times New Roman" w:cs="Times New Roman"/>
                <w:sz w:val="20"/>
                <w:szCs w:val="20"/>
                <w:lang w:val="es-ES"/>
              </w:rPr>
              <w:t>Puesto que el valor de DRA era inferior a la ingesta diaria admisible obtenida en los estudios de toxicidad con dosis repetidas (que reflejan la elevada toxicidad aguda y el uso del factor de seguridad adicional), se estableció que el valor de la IDA es el mismo que el de la DRA</w:t>
            </w:r>
            <w:r>
              <w:rPr>
                <w:rFonts w:ascii="Times New Roman" w:hAnsi="Times New Roman" w:cs="Times New Roman"/>
                <w:sz w:val="20"/>
                <w:szCs w:val="20"/>
                <w:lang w:val="es-ES"/>
              </w:rPr>
              <w:t xml:space="preserve">. </w:t>
            </w:r>
            <w:r w:rsidRPr="00900014">
              <w:rPr>
                <w:rFonts w:ascii="Times New Roman" w:hAnsi="Times New Roman" w:cs="Times New Roman"/>
                <w:sz w:val="20"/>
                <w:szCs w:val="20"/>
                <w:lang w:val="es-ES"/>
              </w:rPr>
              <w:t xml:space="preserve">Por consiguiente, la IDA es 0,00025 mg/kg </w:t>
            </w:r>
            <w:r>
              <w:rPr>
                <w:rFonts w:ascii="Times New Roman" w:hAnsi="Times New Roman" w:cs="Times New Roman"/>
                <w:sz w:val="20"/>
                <w:szCs w:val="20"/>
                <w:lang w:val="es-ES"/>
              </w:rPr>
              <w:t>p.c.</w:t>
            </w:r>
            <w:r w:rsidRPr="00900014">
              <w:rPr>
                <w:rFonts w:ascii="Times New Roman" w:hAnsi="Times New Roman" w:cs="Times New Roman"/>
                <w:sz w:val="20"/>
                <w:szCs w:val="20"/>
                <w:lang w:val="es-ES"/>
              </w:rPr>
              <w:t>/d.</w:t>
            </w:r>
          </w:p>
          <w:p w14:paraId="02E5A118" w14:textId="77777777" w:rsidR="002B0DBA" w:rsidRPr="00900014" w:rsidRDefault="002B0DBA" w:rsidP="002B0DBA">
            <w:pPr>
              <w:spacing w:before="240" w:after="120"/>
              <w:rPr>
                <w:b/>
                <w:u w:val="single"/>
                <w:lang w:val="es-ES"/>
              </w:rPr>
            </w:pPr>
            <w:r w:rsidRPr="00900014">
              <w:rPr>
                <w:b/>
                <w:bCs/>
                <w:u w:val="single"/>
                <w:lang w:val="es-ES"/>
              </w:rPr>
              <w:t>Informe de la JMPR de 2004, Informe de la JMPR de 2012</w:t>
            </w:r>
          </w:p>
          <w:p w14:paraId="3E61B6C3" w14:textId="77777777" w:rsidR="002B0DBA" w:rsidRPr="00900014" w:rsidRDefault="002B0DBA" w:rsidP="002B0DBA">
            <w:pPr>
              <w:autoSpaceDE w:val="0"/>
              <w:autoSpaceDN w:val="0"/>
              <w:adjustRightInd w:val="0"/>
              <w:rPr>
                <w:lang w:val="es-ES"/>
              </w:rPr>
            </w:pPr>
            <w:r w:rsidRPr="00900014">
              <w:rPr>
                <w:lang w:val="es-ES"/>
              </w:rPr>
              <w:t>Dosis de referencia aguda (DRA): 0,003 mg/kg de peso corporal/día</w:t>
            </w:r>
          </w:p>
          <w:p w14:paraId="45AD34A7" w14:textId="77777777" w:rsidR="002B0DBA" w:rsidRPr="00900014" w:rsidRDefault="002B0DBA" w:rsidP="002B0DBA">
            <w:pPr>
              <w:autoSpaceDE w:val="0"/>
              <w:autoSpaceDN w:val="0"/>
              <w:adjustRightInd w:val="0"/>
              <w:spacing w:after="120"/>
              <w:ind w:left="720"/>
              <w:rPr>
                <w:lang w:val="es-ES"/>
              </w:rPr>
            </w:pPr>
            <w:r w:rsidRPr="00900014">
              <w:rPr>
                <w:lang w:val="es-ES"/>
              </w:rPr>
              <w:t xml:space="preserve">Se estableció una IDA de 0,003 mg/kg </w:t>
            </w:r>
            <w:r>
              <w:rPr>
                <w:lang w:val="es-ES"/>
              </w:rPr>
              <w:t>p.c.</w:t>
            </w:r>
            <w:r w:rsidRPr="00900014">
              <w:rPr>
                <w:lang w:val="es-ES"/>
              </w:rPr>
              <w:t xml:space="preserve"> a partir del NOAEL de 0,25 mg/kg </w:t>
            </w:r>
            <w:r>
              <w:rPr>
                <w:lang w:val="es-ES"/>
              </w:rPr>
              <w:t>p.c.</w:t>
            </w:r>
            <w:r w:rsidRPr="00900014">
              <w:rPr>
                <w:lang w:val="es-ES"/>
              </w:rPr>
              <w:t xml:space="preserve"> para miosis en el estudio con dosis única en ratas. Si bien la inhibición de la actividad de la acetilcolinesterasa es un fenómeno que depende de C</w:t>
            </w:r>
            <w:r w:rsidRPr="00A14196">
              <w:rPr>
                <w:vertAlign w:val="subscript"/>
                <w:lang w:val="es-ES"/>
              </w:rPr>
              <w:t>máx</w:t>
            </w:r>
            <w:r w:rsidRPr="00900014">
              <w:rPr>
                <w:lang w:val="es-ES"/>
              </w:rPr>
              <w:t>, se utilizó un coeficiente de seguridad de 100 en vista de la curva pronunciada dosis-respuesta y la recuperación lenta de la actividad de la acetilcolinesterasa del cerebro por la irreversibilidad de su inhibición. Esta DRA incluye los metabolitos de forato, forato sulfona y forato sulfoxida.</w:t>
            </w:r>
          </w:p>
          <w:p w14:paraId="20C9C509" w14:textId="77777777" w:rsidR="002B0DBA" w:rsidRPr="00900014" w:rsidRDefault="002B0DBA" w:rsidP="002B0DBA">
            <w:pPr>
              <w:pStyle w:val="Style21"/>
              <w:widowControl/>
              <w:spacing w:before="19" w:line="240" w:lineRule="auto"/>
              <w:rPr>
                <w:rStyle w:val="FontStyle85"/>
                <w:lang w:val="es-ES"/>
              </w:rPr>
            </w:pPr>
            <w:r w:rsidRPr="00900014">
              <w:rPr>
                <w:rFonts w:ascii="Times New Roman" w:hAnsi="Times New Roman" w:cs="Times New Roman"/>
                <w:sz w:val="20"/>
                <w:szCs w:val="20"/>
                <w:lang w:val="es-ES"/>
              </w:rPr>
              <w:t xml:space="preserve">Ingesta diaria admisible (IDA): </w:t>
            </w:r>
            <w:r>
              <w:rPr>
                <w:rFonts w:ascii="Times New Roman" w:hAnsi="Times New Roman" w:cs="Times New Roman"/>
                <w:sz w:val="20"/>
                <w:szCs w:val="20"/>
                <w:lang w:val="es-ES"/>
              </w:rPr>
              <w:t xml:space="preserve">de </w:t>
            </w:r>
            <w:r w:rsidRPr="00900014">
              <w:rPr>
                <w:rFonts w:ascii="Times New Roman" w:hAnsi="Times New Roman" w:cs="Times New Roman"/>
                <w:sz w:val="20"/>
                <w:szCs w:val="20"/>
                <w:lang w:val="es-ES"/>
              </w:rPr>
              <w:t>0</w:t>
            </w:r>
            <w:r>
              <w:rPr>
                <w:rFonts w:ascii="Times New Roman" w:hAnsi="Times New Roman" w:cs="Times New Roman"/>
                <w:sz w:val="20"/>
                <w:szCs w:val="20"/>
                <w:lang w:val="es-ES"/>
              </w:rPr>
              <w:t xml:space="preserve"> a </w:t>
            </w:r>
            <w:r w:rsidRPr="00900014">
              <w:rPr>
                <w:rFonts w:ascii="Times New Roman" w:hAnsi="Times New Roman" w:cs="Times New Roman"/>
                <w:sz w:val="20"/>
                <w:szCs w:val="20"/>
                <w:lang w:val="es-ES"/>
              </w:rPr>
              <w:t>0,0007 mg/kg de peso corporal</w:t>
            </w:r>
          </w:p>
          <w:p w14:paraId="77989FFD" w14:textId="77777777" w:rsidR="002B0DBA" w:rsidRPr="00900014" w:rsidRDefault="002B0DBA" w:rsidP="002B0DBA">
            <w:pPr>
              <w:autoSpaceDE w:val="0"/>
              <w:autoSpaceDN w:val="0"/>
              <w:adjustRightInd w:val="0"/>
              <w:ind w:left="720"/>
              <w:rPr>
                <w:lang w:val="es-ES"/>
              </w:rPr>
            </w:pPr>
            <w:r w:rsidRPr="00900014">
              <w:rPr>
                <w:lang w:val="es-ES"/>
              </w:rPr>
              <w:t>Se estableció una IDA de 0</w:t>
            </w:r>
            <w:r>
              <w:rPr>
                <w:lang w:val="es-ES"/>
              </w:rPr>
              <w:t xml:space="preserve"> a </w:t>
            </w:r>
            <w:r w:rsidRPr="00900014">
              <w:rPr>
                <w:lang w:val="es-ES"/>
              </w:rPr>
              <w:t xml:space="preserve">0,0007 mg/kg de peso corporal sobre la base de un NOAEL total de 0,07 mg/kg </w:t>
            </w:r>
            <w:r>
              <w:rPr>
                <w:lang w:val="es-ES"/>
              </w:rPr>
              <w:t>p.c.</w:t>
            </w:r>
            <w:r w:rsidRPr="00900014">
              <w:rPr>
                <w:lang w:val="es-ES"/>
              </w:rPr>
              <w:t xml:space="preserve"> por día para la inhibición de la actividad de la acetilcolinesterasa cerebral en ratas y perros, y un coeficiente de seguridad de 100. Esta IDA incluye metabolitos de forato, forato sulfona y forato sulfoxida.</w:t>
            </w:r>
          </w:p>
          <w:p w14:paraId="353EB62E" w14:textId="494E51F4" w:rsidR="002B0DBA" w:rsidRPr="00900014" w:rsidRDefault="002B0DBA" w:rsidP="002B0DBA">
            <w:pPr>
              <w:spacing w:before="240" w:after="120"/>
              <w:rPr>
                <w:b/>
                <w:u w:val="single"/>
                <w:lang w:val="es-ES"/>
              </w:rPr>
            </w:pPr>
            <w:r w:rsidRPr="00900014">
              <w:rPr>
                <w:b/>
                <w:u w:val="single"/>
                <w:lang w:val="es-ES"/>
              </w:rPr>
              <w:t>Límites de exposición en el lugar de trabajo (Instituto Nacional de Seguridad y Salud Ocupacional, 2000)</w:t>
            </w:r>
          </w:p>
          <w:p w14:paraId="41DFD38F" w14:textId="77777777" w:rsidR="002B0DBA" w:rsidRPr="00900014" w:rsidRDefault="002B0DBA" w:rsidP="002B0DBA">
            <w:pPr>
              <w:rPr>
                <w:lang w:val="es-ES"/>
              </w:rPr>
            </w:pPr>
            <w:r w:rsidRPr="00900014">
              <w:rPr>
                <w:lang w:val="es-ES"/>
              </w:rPr>
              <w:t xml:space="preserve">Límite de exposición admisible OSHA: ninguno </w:t>
            </w:r>
            <w:r>
              <w:rPr>
                <w:lang w:val="es-ES"/>
              </w:rPr>
              <w:br/>
            </w:r>
            <w:r w:rsidRPr="00900014">
              <w:rPr>
                <w:lang w:val="es-ES"/>
              </w:rPr>
              <w:t>Instituto Nacional de Seguridad y Salud Ocupacional REL: TWA 0,05 mg/m</w:t>
            </w:r>
            <w:r w:rsidRPr="00A14196">
              <w:rPr>
                <w:vertAlign w:val="superscript"/>
                <w:lang w:val="es-ES"/>
              </w:rPr>
              <w:t>3</w:t>
            </w:r>
            <w:r w:rsidRPr="00900014">
              <w:rPr>
                <w:lang w:val="es-ES"/>
              </w:rPr>
              <w:t xml:space="preserve"> ST 0,2 mg/m</w:t>
            </w:r>
            <w:r w:rsidRPr="00A14196">
              <w:rPr>
                <w:vertAlign w:val="superscript"/>
                <w:lang w:val="es-ES"/>
              </w:rPr>
              <w:t>3</w:t>
            </w:r>
            <w:r w:rsidRPr="00900014">
              <w:rPr>
                <w:lang w:val="es-ES"/>
              </w:rPr>
              <w:t xml:space="preserve"> </w:t>
            </w:r>
            <w:r>
              <w:rPr>
                <w:lang w:val="es-ES"/>
              </w:rPr>
              <w:br/>
            </w:r>
            <w:r w:rsidRPr="00900014">
              <w:rPr>
                <w:lang w:val="es-ES"/>
              </w:rPr>
              <w:t xml:space="preserve">IDLH del Instituto Nacional de Seguridad y Salud Ocupacional para la piel: N.D. Véase: </w:t>
            </w:r>
            <w:hyperlink r:id="rId18" w:history="1">
              <w:r w:rsidRPr="00F505E3">
                <w:rPr>
                  <w:rStyle w:val="Hyperlink"/>
                  <w:lang w:val="es-ES"/>
                </w:rPr>
                <w:t>ÍNDICE IDLH (https://www.cdc.gov/niosh/idlh/intridl4.html)</w:t>
              </w:r>
            </w:hyperlink>
            <w:r>
              <w:rPr>
                <w:rStyle w:val="Hyperlink"/>
                <w:lang w:val="es-ES"/>
              </w:rPr>
              <w:br/>
            </w:r>
            <w:r w:rsidRPr="00900014">
              <w:rPr>
                <w:lang w:val="es-ES"/>
              </w:rPr>
              <w:t>VUL: (fracción inhalable y vapor) 0,05 mg/m</w:t>
            </w:r>
            <w:r w:rsidRPr="00A14196">
              <w:rPr>
                <w:vertAlign w:val="superscript"/>
                <w:lang w:val="es-ES"/>
              </w:rPr>
              <w:t>3</w:t>
            </w:r>
            <w:r w:rsidRPr="00900014">
              <w:rPr>
                <w:lang w:val="es-ES"/>
              </w:rPr>
              <w:t xml:space="preserve"> como método de ventanas tolerables; (piel); A4 (no clasificable como carcinógeno humano); BEI emitido; (ACGIH 2008). </w:t>
            </w:r>
            <w:r>
              <w:rPr>
                <w:lang w:val="es-ES"/>
              </w:rPr>
              <w:br/>
            </w:r>
            <w:r w:rsidRPr="00900014">
              <w:rPr>
                <w:lang w:val="es-ES"/>
              </w:rPr>
              <w:t>No se estableció MAK.</w:t>
            </w:r>
          </w:p>
          <w:p w14:paraId="42C3EE6A" w14:textId="77777777" w:rsidR="002B0DBA" w:rsidRPr="00900014" w:rsidRDefault="002B0DBA" w:rsidP="002B0DBA">
            <w:pPr>
              <w:spacing w:before="240" w:after="120"/>
              <w:rPr>
                <w:b/>
                <w:u w:val="single"/>
                <w:lang w:val="es-ES"/>
              </w:rPr>
            </w:pPr>
            <w:r w:rsidRPr="00900014">
              <w:rPr>
                <w:b/>
                <w:bCs/>
                <w:u w:val="single"/>
                <w:lang w:val="es-ES"/>
              </w:rPr>
              <w:t>Valores del límite máximo de residuos</w:t>
            </w:r>
          </w:p>
          <w:p w14:paraId="719E2DB3" w14:textId="77777777" w:rsidR="002B0DBA" w:rsidRPr="00900014" w:rsidRDefault="002B0DBA" w:rsidP="002B0DBA">
            <w:pPr>
              <w:rPr>
                <w:lang w:val="es-ES"/>
              </w:rPr>
            </w:pPr>
            <w:r w:rsidRPr="00900014">
              <w:rPr>
                <w:lang w:val="es-ES"/>
              </w:rPr>
              <w:t>Valores canadienses (no se suministró información adicional en la notificación):</w:t>
            </w:r>
          </w:p>
          <w:p w14:paraId="5C4C1A05" w14:textId="77777777" w:rsidR="002B0DBA" w:rsidRPr="001E4172" w:rsidRDefault="00DA4ED9" w:rsidP="002B0DBA">
            <w:pPr>
              <w:ind w:left="720"/>
              <w:jc w:val="both"/>
              <w:rPr>
                <w:lang w:val="es-ES"/>
              </w:rPr>
            </w:pPr>
            <w:hyperlink r:id="rId19" w:history="1">
              <w:r w:rsidR="002B0DBA" w:rsidRPr="001E4172">
                <w:rPr>
                  <w:rStyle w:val="Hyperlink"/>
                  <w:lang w:val="es-ES"/>
                </w:rPr>
                <w:t>https://www.canada.ca/content/dam/hc-sc/migration/hc-sc/cps-spc/alt_formats/pdf/pest/part/consultations/_pmrl2015-47/pmrl2015-47-eng.pdf</w:t>
              </w:r>
            </w:hyperlink>
          </w:p>
          <w:p w14:paraId="6E8F2487" w14:textId="77777777" w:rsidR="002B0DBA" w:rsidRPr="00900014" w:rsidRDefault="002B0DBA" w:rsidP="002B0DBA">
            <w:pPr>
              <w:spacing w:after="120"/>
              <w:ind w:left="720"/>
              <w:rPr>
                <w:lang w:val="es-ES"/>
              </w:rPr>
            </w:pPr>
            <w:r w:rsidRPr="00900014">
              <w:rPr>
                <w:lang w:val="es-ES"/>
              </w:rPr>
              <w:t>Este enlace indica que se aprobó el uso de forato en patatas en el Canadá para una nueva formulación de Thimet 20-G en 2015 (véase la Sección 2.1 precedente) con límites máximos de residuos de 0,6 ppm para hojuelas de patata y gránulos, 0,2 ppm para patatas y 0,024 ppm para todo cultivo alimentario (que no sean los enumerados en este apartado).</w:t>
            </w:r>
          </w:p>
          <w:p w14:paraId="047952C5" w14:textId="77777777" w:rsidR="002B0DBA" w:rsidRPr="00900014" w:rsidRDefault="002B0DBA" w:rsidP="002B0DBA">
            <w:pPr>
              <w:spacing w:before="240" w:after="120"/>
              <w:rPr>
                <w:b/>
                <w:u w:val="single"/>
                <w:lang w:val="es-ES"/>
              </w:rPr>
            </w:pPr>
            <w:r w:rsidRPr="00900014">
              <w:rPr>
                <w:b/>
                <w:u w:val="single"/>
                <w:lang w:val="es-ES"/>
              </w:rPr>
              <w:t>Valores de la UE</w:t>
            </w:r>
          </w:p>
          <w:p w14:paraId="3D690FA1" w14:textId="77777777" w:rsidR="002B0DBA" w:rsidRPr="001E4172" w:rsidRDefault="00DA4ED9" w:rsidP="002B0DBA">
            <w:pPr>
              <w:ind w:left="720"/>
              <w:rPr>
                <w:rStyle w:val="Hyperlink"/>
              </w:rPr>
            </w:pPr>
            <w:hyperlink r:id="rId20" w:history="1">
              <w:r w:rsidR="002B0DBA" w:rsidRPr="001E4172">
                <w:rPr>
                  <w:rStyle w:val="Hyperlink"/>
                </w:rPr>
                <w:t>http://ec.europa.eu/food/plant/pesticides/eu-pesticides-database/public/?event=pesticide.residue.CurrentMRL&amp;language=EN&amp;pestResidueId=179</w:t>
              </w:r>
            </w:hyperlink>
          </w:p>
          <w:p w14:paraId="028978F2" w14:textId="77777777" w:rsidR="002B0DBA" w:rsidRPr="00900014" w:rsidRDefault="002B0DBA" w:rsidP="002B0DBA">
            <w:pPr>
              <w:spacing w:after="120"/>
              <w:ind w:left="720"/>
              <w:rPr>
                <w:lang w:val="es-ES"/>
              </w:rPr>
            </w:pPr>
            <w:r w:rsidRPr="00900014">
              <w:rPr>
                <w:lang w:val="es-ES"/>
              </w:rPr>
              <w:t>Este enlace presenta 378 entradas individuales con valores que oscilan entre 0,01 y 0,5 mg/kg de forato (suma de forato, su análogo de oxígeno y sus sulfonas expresadas como forato).Muchos de los valores se encuentran en el límite inferior de la determinación analítica.</w:t>
            </w:r>
          </w:p>
          <w:p w14:paraId="6EF18D24" w14:textId="77777777" w:rsidR="002B0DBA" w:rsidRPr="00900014" w:rsidRDefault="002B0DBA" w:rsidP="002B0DBA">
            <w:pPr>
              <w:spacing w:before="240" w:after="120"/>
              <w:rPr>
                <w:b/>
                <w:bCs/>
                <w:u w:val="single"/>
                <w:lang w:val="es-ES"/>
              </w:rPr>
            </w:pPr>
            <w:r w:rsidRPr="00900014">
              <w:rPr>
                <w:b/>
                <w:u w:val="single"/>
                <w:lang w:val="es-ES"/>
              </w:rPr>
              <w:t>Directrices de la OMS sobre el agua potable</w:t>
            </w:r>
          </w:p>
          <w:p w14:paraId="43C084E2" w14:textId="77777777" w:rsidR="002B0DBA" w:rsidRPr="00900014" w:rsidRDefault="002B0DBA" w:rsidP="002B0DBA">
            <w:pPr>
              <w:spacing w:after="120"/>
              <w:rPr>
                <w:lang w:val="es-ES"/>
              </w:rPr>
            </w:pPr>
            <w:r w:rsidRPr="00900014">
              <w:rPr>
                <w:lang w:val="es-ES"/>
              </w:rPr>
              <w:t>El forato está excluido de la derivación de un valor guía.</w:t>
            </w:r>
          </w:p>
        </w:tc>
      </w:tr>
      <w:tr w:rsidR="002B0DBA" w:rsidRPr="00900014" w14:paraId="4899C498" w14:textId="77777777" w:rsidTr="002B0DBA">
        <w:trPr>
          <w:cantSplit/>
        </w:trPr>
        <w:tc>
          <w:tcPr>
            <w:tcW w:w="9783" w:type="dxa"/>
            <w:gridSpan w:val="2"/>
            <w:tcBorders>
              <w:top w:val="single" w:sz="4" w:space="0" w:color="auto"/>
              <w:left w:val="single" w:sz="4" w:space="0" w:color="auto"/>
              <w:bottom w:val="single" w:sz="4" w:space="0" w:color="auto"/>
              <w:right w:val="single" w:sz="4" w:space="0" w:color="auto"/>
            </w:tcBorders>
          </w:tcPr>
          <w:p w14:paraId="38DB1AA3" w14:textId="77777777" w:rsidR="002B0DBA" w:rsidRPr="00900014" w:rsidRDefault="002B0DBA" w:rsidP="002B0DBA">
            <w:pPr>
              <w:keepNext/>
              <w:outlineLvl w:val="1"/>
              <w:rPr>
                <w:b/>
                <w:bCs/>
                <w:lang w:val="es-ES"/>
              </w:rPr>
            </w:pPr>
            <w:r w:rsidRPr="00900014">
              <w:rPr>
                <w:b/>
                <w:lang w:val="es-ES"/>
              </w:rPr>
              <w:t>4.3</w:t>
            </w:r>
            <w:r>
              <w:rPr>
                <w:b/>
                <w:lang w:val="es-ES"/>
              </w:rPr>
              <w:t xml:space="preserve"> </w:t>
            </w:r>
            <w:r w:rsidRPr="00900014">
              <w:rPr>
                <w:b/>
                <w:lang w:val="es-ES"/>
              </w:rPr>
              <w:t>Embalaje y etiquetado</w:t>
            </w:r>
          </w:p>
        </w:tc>
      </w:tr>
      <w:tr w:rsidR="002B0DBA" w:rsidRPr="00AB7E72" w14:paraId="01F3E208" w14:textId="77777777" w:rsidTr="002B0DBA">
        <w:trPr>
          <w:cantSplit/>
          <w:trHeight w:val="451"/>
        </w:trPr>
        <w:tc>
          <w:tcPr>
            <w:tcW w:w="9783" w:type="dxa"/>
            <w:gridSpan w:val="2"/>
            <w:tcBorders>
              <w:top w:val="single" w:sz="4" w:space="0" w:color="auto"/>
              <w:left w:val="single" w:sz="4" w:space="0" w:color="auto"/>
              <w:bottom w:val="single" w:sz="4" w:space="0" w:color="auto"/>
              <w:right w:val="single" w:sz="4" w:space="0" w:color="auto"/>
            </w:tcBorders>
          </w:tcPr>
          <w:p w14:paraId="4E17CBD7" w14:textId="5CAAD575" w:rsidR="002B0DBA" w:rsidRPr="001E4172" w:rsidRDefault="002B0DBA" w:rsidP="002B0DBA">
            <w:pPr>
              <w:spacing w:before="120" w:after="120"/>
              <w:rPr>
                <w:snapToGrid w:val="0"/>
                <w:spacing w:val="-2"/>
                <w:lang w:val="es-ES"/>
              </w:rPr>
            </w:pPr>
            <w:r w:rsidRPr="001E4172">
              <w:rPr>
                <w:spacing w:val="-2"/>
                <w:lang w:val="es-ES"/>
              </w:rPr>
              <w:t xml:space="preserve">El Comité de Expertos en Transporte de Mercaderías Peligrosas de las </w:t>
            </w:r>
            <w:r w:rsidR="00217363">
              <w:rPr>
                <w:spacing w:val="-2"/>
                <w:lang w:val="es-ES"/>
              </w:rPr>
              <w:t>Naciones Unidas</w:t>
            </w:r>
            <w:r w:rsidRPr="001E4172">
              <w:rPr>
                <w:spacing w:val="-2"/>
                <w:lang w:val="es-ES"/>
              </w:rPr>
              <w:t xml:space="preserve"> clasifica el producto químico en:</w:t>
            </w:r>
          </w:p>
        </w:tc>
      </w:tr>
      <w:tr w:rsidR="002B0DBA" w:rsidRPr="00AB7E72" w14:paraId="5A9AE58D" w14:textId="77777777" w:rsidTr="002B0DBA">
        <w:tblPrEx>
          <w:tblCellMar>
            <w:left w:w="107" w:type="dxa"/>
            <w:right w:w="107" w:type="dxa"/>
          </w:tblCellMar>
        </w:tblPrEx>
        <w:trPr>
          <w:cantSplit/>
          <w:trHeight w:val="827"/>
        </w:trPr>
        <w:tc>
          <w:tcPr>
            <w:tcW w:w="1561" w:type="dxa"/>
            <w:tcBorders>
              <w:top w:val="single" w:sz="4" w:space="0" w:color="auto"/>
              <w:left w:val="single" w:sz="4" w:space="0" w:color="auto"/>
              <w:bottom w:val="single" w:sz="4" w:space="0" w:color="auto"/>
              <w:right w:val="single" w:sz="4" w:space="0" w:color="auto"/>
            </w:tcBorders>
            <w:vAlign w:val="center"/>
          </w:tcPr>
          <w:p w14:paraId="0433081B" w14:textId="77777777" w:rsidR="002B0DBA" w:rsidRPr="00900014" w:rsidRDefault="002B0DBA" w:rsidP="002B0DBA">
            <w:pPr>
              <w:spacing w:before="20" w:after="20"/>
              <w:outlineLvl w:val="2"/>
              <w:rPr>
                <w:b/>
                <w:bCs/>
                <w:snapToGrid w:val="0"/>
                <w:lang w:val="es-ES"/>
              </w:rPr>
            </w:pPr>
            <w:r w:rsidRPr="00900014">
              <w:rPr>
                <w:b/>
                <w:lang w:val="es-ES"/>
              </w:rPr>
              <w:t>Clase de peligro y grupo de embalaje:</w:t>
            </w:r>
          </w:p>
        </w:tc>
        <w:tc>
          <w:tcPr>
            <w:tcW w:w="8222" w:type="dxa"/>
            <w:tcBorders>
              <w:top w:val="single" w:sz="4" w:space="0" w:color="auto"/>
              <w:left w:val="single" w:sz="4" w:space="0" w:color="auto"/>
              <w:bottom w:val="single" w:sz="4" w:space="0" w:color="auto"/>
              <w:right w:val="single" w:sz="4" w:space="0" w:color="auto"/>
            </w:tcBorders>
            <w:vAlign w:val="center"/>
          </w:tcPr>
          <w:p w14:paraId="34CA93F5" w14:textId="77777777" w:rsidR="002B0DBA" w:rsidRPr="00900014" w:rsidRDefault="002B0DBA" w:rsidP="002B0DBA">
            <w:pPr>
              <w:widowControl w:val="0"/>
              <w:spacing w:before="40" w:after="40"/>
              <w:rPr>
                <w:snapToGrid w:val="0"/>
                <w:lang w:val="es-ES"/>
              </w:rPr>
            </w:pPr>
            <w:r w:rsidRPr="00900014">
              <w:rPr>
                <w:lang w:val="es-ES"/>
              </w:rPr>
              <w:t>Clase de peligro de la ONU: 6.1</w:t>
            </w:r>
            <w:r>
              <w:rPr>
                <w:lang w:val="es-ES"/>
              </w:rPr>
              <w:br/>
            </w:r>
            <w:r w:rsidRPr="00900014">
              <w:rPr>
                <w:lang w:val="es-ES"/>
              </w:rPr>
              <w:t>Grupo de embalaje de la ONU: I</w:t>
            </w:r>
          </w:p>
        </w:tc>
      </w:tr>
      <w:tr w:rsidR="002B0DBA" w:rsidRPr="00AB7E72" w14:paraId="4652FF75" w14:textId="77777777" w:rsidTr="002B0DBA">
        <w:tblPrEx>
          <w:tblCellMar>
            <w:left w:w="107" w:type="dxa"/>
            <w:right w:w="107" w:type="dxa"/>
          </w:tblCellMar>
        </w:tblPrEx>
        <w:trPr>
          <w:cantSplit/>
        </w:trPr>
        <w:tc>
          <w:tcPr>
            <w:tcW w:w="1561" w:type="dxa"/>
            <w:tcBorders>
              <w:top w:val="single" w:sz="4" w:space="0" w:color="auto"/>
              <w:left w:val="single" w:sz="4" w:space="0" w:color="auto"/>
              <w:bottom w:val="single" w:sz="4" w:space="0" w:color="auto"/>
              <w:right w:val="single" w:sz="4" w:space="0" w:color="auto"/>
            </w:tcBorders>
            <w:vAlign w:val="center"/>
          </w:tcPr>
          <w:p w14:paraId="03652EBA" w14:textId="77777777" w:rsidR="002B0DBA" w:rsidRPr="00900014" w:rsidRDefault="002B0DBA" w:rsidP="002B0DBA">
            <w:pPr>
              <w:spacing w:before="40" w:after="40"/>
              <w:outlineLvl w:val="2"/>
              <w:rPr>
                <w:b/>
                <w:bCs/>
                <w:lang w:val="es-ES"/>
              </w:rPr>
            </w:pPr>
            <w:r w:rsidRPr="00900014">
              <w:rPr>
                <w:b/>
                <w:lang w:val="es-ES"/>
              </w:rPr>
              <w:t>Código Internacional Marítimo de Mercancías Peligrosas (IMDG)</w:t>
            </w:r>
          </w:p>
        </w:tc>
        <w:tc>
          <w:tcPr>
            <w:tcW w:w="8222" w:type="dxa"/>
            <w:tcBorders>
              <w:top w:val="single" w:sz="4" w:space="0" w:color="auto"/>
              <w:left w:val="single" w:sz="4" w:space="0" w:color="auto"/>
              <w:bottom w:val="single" w:sz="4" w:space="0" w:color="auto"/>
              <w:right w:val="single" w:sz="4" w:space="0" w:color="auto"/>
            </w:tcBorders>
            <w:vAlign w:val="center"/>
          </w:tcPr>
          <w:p w14:paraId="5BBE3EEE" w14:textId="77777777" w:rsidR="002B0DBA" w:rsidRPr="00900014" w:rsidRDefault="002B0DBA" w:rsidP="002B0DBA">
            <w:pPr>
              <w:widowControl w:val="0"/>
              <w:spacing w:before="40" w:after="40"/>
              <w:ind w:left="34" w:hanging="34"/>
              <w:rPr>
                <w:lang w:val="es-ES"/>
              </w:rPr>
            </w:pPr>
            <w:r w:rsidRPr="00900014">
              <w:rPr>
                <w:lang w:val="es-ES"/>
              </w:rPr>
              <w:t>Para el forato (sustancia pura)</w:t>
            </w:r>
          </w:p>
          <w:p w14:paraId="2C81147E" w14:textId="20CBBED9" w:rsidR="002B0DBA" w:rsidRPr="00900014" w:rsidRDefault="002B0DBA" w:rsidP="002B0DBA">
            <w:pPr>
              <w:shd w:val="clear" w:color="auto" w:fill="FFFFFF"/>
              <w:ind w:left="34"/>
              <w:rPr>
                <w:lang w:val="es-ES"/>
              </w:rPr>
            </w:pPr>
            <w:r w:rsidRPr="00900014">
              <w:rPr>
                <w:lang w:val="es-ES"/>
              </w:rPr>
              <w:t xml:space="preserve">Número de identificación de las </w:t>
            </w:r>
            <w:r w:rsidR="00217363">
              <w:rPr>
                <w:lang w:val="es-ES"/>
              </w:rPr>
              <w:t>Naciones Unidas</w:t>
            </w:r>
            <w:r w:rsidRPr="00900014">
              <w:rPr>
                <w:lang w:val="es-ES"/>
              </w:rPr>
              <w:t xml:space="preserve"> 3018</w:t>
            </w:r>
          </w:p>
          <w:p w14:paraId="6EFBEC0E" w14:textId="77777777" w:rsidR="002B0DBA" w:rsidRPr="00900014" w:rsidRDefault="002B0DBA" w:rsidP="002B0DBA">
            <w:pPr>
              <w:shd w:val="clear" w:color="auto" w:fill="FFFFFF"/>
              <w:ind w:left="34"/>
              <w:rPr>
                <w:lang w:val="es-ES"/>
              </w:rPr>
            </w:pPr>
            <w:r w:rsidRPr="00900014">
              <w:rPr>
                <w:lang w:val="es-ES"/>
              </w:rPr>
              <w:t>Plaguicida organofosforado, líquido, tóxico (forato)</w:t>
            </w:r>
          </w:p>
          <w:p w14:paraId="519BBD76" w14:textId="77777777" w:rsidR="002B0DBA" w:rsidRPr="00900014" w:rsidRDefault="002B0DBA" w:rsidP="002B0DBA">
            <w:pPr>
              <w:shd w:val="clear" w:color="auto" w:fill="FFFFFF"/>
              <w:ind w:left="34"/>
              <w:rPr>
                <w:lang w:val="es-ES"/>
              </w:rPr>
            </w:pPr>
            <w:r w:rsidRPr="00900014">
              <w:rPr>
                <w:lang w:val="es-ES"/>
              </w:rPr>
              <w:t>Clase 6.1</w:t>
            </w:r>
          </w:p>
          <w:p w14:paraId="5EC032C1" w14:textId="77777777" w:rsidR="002B0DBA" w:rsidRPr="00900014" w:rsidRDefault="002B0DBA" w:rsidP="002B0DBA">
            <w:pPr>
              <w:shd w:val="clear" w:color="auto" w:fill="FFFFFF"/>
              <w:ind w:left="34"/>
              <w:rPr>
                <w:lang w:val="es-ES"/>
              </w:rPr>
            </w:pPr>
            <w:r w:rsidRPr="00900014">
              <w:rPr>
                <w:lang w:val="es-ES"/>
              </w:rPr>
              <w:t>Contaminante del mar</w:t>
            </w:r>
          </w:p>
          <w:p w14:paraId="0E67FC9E" w14:textId="77777777" w:rsidR="002B0DBA" w:rsidRPr="00900014" w:rsidRDefault="002B0DBA" w:rsidP="002B0DBA">
            <w:pPr>
              <w:shd w:val="clear" w:color="auto" w:fill="FFFFFF"/>
              <w:spacing w:after="120"/>
              <w:rPr>
                <w:rFonts w:ascii="Arial" w:hAnsi="Arial"/>
                <w:color w:val="222222"/>
                <w:lang w:val="es-ES"/>
              </w:rPr>
            </w:pPr>
            <w:r w:rsidRPr="00900014">
              <w:rPr>
                <w:lang w:val="es-ES"/>
              </w:rPr>
              <w:t xml:space="preserve">Fuente: OMI (1996) </w:t>
            </w:r>
            <w:hyperlink r:id="rId21" w:tgtFrame="_blank" w:history="1">
              <w:r w:rsidRPr="00E23C65">
                <w:rPr>
                  <w:rStyle w:val="Hyperlink"/>
                  <w:color w:val="1155CC"/>
                </w:rPr>
                <w:t>http://www.imo.org/en/OurWork/Legal/HNS/Documents/IMDG%20Code%201996_searchable.pdf</w:t>
              </w:r>
            </w:hyperlink>
          </w:p>
        </w:tc>
      </w:tr>
      <w:tr w:rsidR="002B0DBA" w:rsidRPr="00900014" w14:paraId="6D688E55" w14:textId="77777777" w:rsidTr="002B0DBA">
        <w:tblPrEx>
          <w:tblCellMar>
            <w:left w:w="107" w:type="dxa"/>
            <w:right w:w="107" w:type="dxa"/>
          </w:tblCellMar>
        </w:tblPrEx>
        <w:trPr>
          <w:cantSplit/>
        </w:trPr>
        <w:tc>
          <w:tcPr>
            <w:tcW w:w="1561" w:type="dxa"/>
            <w:tcBorders>
              <w:top w:val="single" w:sz="4" w:space="0" w:color="auto"/>
              <w:left w:val="single" w:sz="4" w:space="0" w:color="auto"/>
              <w:bottom w:val="single" w:sz="4" w:space="0" w:color="auto"/>
              <w:right w:val="single" w:sz="4" w:space="0" w:color="auto"/>
            </w:tcBorders>
            <w:vAlign w:val="center"/>
          </w:tcPr>
          <w:p w14:paraId="791EFEF9" w14:textId="77777777" w:rsidR="002B0DBA" w:rsidRPr="00900014" w:rsidRDefault="002B0DBA" w:rsidP="002B0DBA">
            <w:pPr>
              <w:spacing w:before="40" w:after="40"/>
              <w:outlineLvl w:val="2"/>
              <w:rPr>
                <w:b/>
                <w:bCs/>
                <w:lang w:val="es-ES"/>
              </w:rPr>
            </w:pPr>
            <w:r w:rsidRPr="00900014">
              <w:rPr>
                <w:b/>
                <w:bCs/>
                <w:lang w:val="es-ES"/>
              </w:rPr>
              <w:t>Tarjeta de emergencia para el transporte</w:t>
            </w:r>
          </w:p>
        </w:tc>
        <w:tc>
          <w:tcPr>
            <w:tcW w:w="8222" w:type="dxa"/>
            <w:tcBorders>
              <w:top w:val="single" w:sz="4" w:space="0" w:color="auto"/>
              <w:left w:val="single" w:sz="4" w:space="0" w:color="auto"/>
              <w:bottom w:val="single" w:sz="4" w:space="0" w:color="auto"/>
              <w:right w:val="single" w:sz="4" w:space="0" w:color="auto"/>
            </w:tcBorders>
            <w:vAlign w:val="center"/>
          </w:tcPr>
          <w:p w14:paraId="35287DA2" w14:textId="77777777" w:rsidR="002B0DBA" w:rsidRPr="00900014" w:rsidRDefault="002B0DBA" w:rsidP="002B0DBA">
            <w:pPr>
              <w:widowControl w:val="0"/>
              <w:spacing w:before="40" w:after="120"/>
              <w:ind w:left="34" w:hanging="34"/>
              <w:rPr>
                <w:lang w:val="es-ES"/>
              </w:rPr>
            </w:pPr>
            <w:r w:rsidRPr="00900014">
              <w:rPr>
                <w:lang w:val="es-ES"/>
              </w:rPr>
              <w:t>TEC (R)-61GT6-I</w:t>
            </w:r>
          </w:p>
        </w:tc>
      </w:tr>
    </w:tbl>
    <w:p w14:paraId="5F2954F4" w14:textId="066A0028" w:rsidR="002B0DBA" w:rsidRPr="00900014" w:rsidRDefault="002B0DBA" w:rsidP="002B0DBA">
      <w:pPr>
        <w:spacing w:before="120" w:after="120"/>
        <w:rPr>
          <w:lang w:val="es-ES"/>
        </w:rPr>
      </w:pPr>
      <w:r w:rsidRPr="00900014">
        <w:rPr>
          <w:lang w:val="es-ES"/>
        </w:rPr>
        <w:t>Puede obtenerse más orientación específica sobre los símbolos apropiados y las etiquetas con advertencias aplicables</w:t>
      </w:r>
      <w:r w:rsidR="006764CE">
        <w:rPr>
          <w:lang w:val="es-ES"/>
        </w:rPr>
        <w:t> </w:t>
      </w:r>
      <w:r w:rsidRPr="00900014">
        <w:rPr>
          <w:lang w:val="es-ES"/>
        </w:rPr>
        <w:t>a los productos forato en las Directrices de la FAO sobre buenas prácticas de etiquetado para plaguicidas</w:t>
      </w:r>
      <w:r w:rsidR="006764CE">
        <w:rPr>
          <w:lang w:val="es-ES"/>
        </w:rPr>
        <w:t> </w:t>
      </w:r>
      <w:r w:rsidRPr="00900014">
        <w:rPr>
          <w:lang w:val="es-ES"/>
        </w:rPr>
        <w:t>(FAO,</w:t>
      </w:r>
      <w:r w:rsidR="006A6965">
        <w:rPr>
          <w:lang w:val="es-ES"/>
        </w:rPr>
        <w:t> </w:t>
      </w:r>
      <w:r w:rsidRPr="00900014">
        <w:rPr>
          <w:lang w:val="es-ES"/>
        </w:rPr>
        <w:t>2015).</w:t>
      </w:r>
    </w:p>
    <w:tbl>
      <w:tblPr>
        <w:tblW w:w="9612" w:type="dxa"/>
        <w:tblInd w:w="-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12"/>
      </w:tblGrid>
      <w:tr w:rsidR="002B0DBA" w:rsidRPr="00900014" w14:paraId="3A28A0A1" w14:textId="77777777" w:rsidTr="002B0DBA">
        <w:tc>
          <w:tcPr>
            <w:tcW w:w="9612" w:type="dxa"/>
            <w:tcBorders>
              <w:top w:val="single" w:sz="4" w:space="0" w:color="auto"/>
              <w:left w:val="single" w:sz="4" w:space="0" w:color="auto"/>
              <w:bottom w:val="single" w:sz="4" w:space="0" w:color="auto"/>
              <w:right w:val="single" w:sz="4" w:space="0" w:color="auto"/>
            </w:tcBorders>
          </w:tcPr>
          <w:p w14:paraId="4FACFB11" w14:textId="77777777" w:rsidR="002B0DBA" w:rsidRPr="00900014" w:rsidRDefault="002B0DBA" w:rsidP="002B0DBA">
            <w:pPr>
              <w:keepNext/>
              <w:outlineLvl w:val="1"/>
              <w:rPr>
                <w:b/>
                <w:bCs/>
                <w:lang w:val="es-ES"/>
              </w:rPr>
            </w:pPr>
            <w:r w:rsidRPr="00900014">
              <w:rPr>
                <w:b/>
                <w:lang w:val="es-ES"/>
              </w:rPr>
              <w:t>4.4</w:t>
            </w:r>
            <w:r>
              <w:rPr>
                <w:b/>
                <w:lang w:val="es-ES"/>
              </w:rPr>
              <w:t xml:space="preserve"> </w:t>
            </w:r>
            <w:r w:rsidRPr="00900014">
              <w:rPr>
                <w:b/>
                <w:lang w:val="es-ES"/>
              </w:rPr>
              <w:t>Primeros auxilios</w:t>
            </w:r>
          </w:p>
        </w:tc>
      </w:tr>
    </w:tbl>
    <w:p w14:paraId="43A71814" w14:textId="77777777" w:rsidR="002B0DBA" w:rsidRPr="00900014" w:rsidRDefault="002B0DBA" w:rsidP="002B0DBA">
      <w:pPr>
        <w:autoSpaceDE w:val="0"/>
        <w:autoSpaceDN w:val="0"/>
        <w:adjustRightInd w:val="0"/>
        <w:spacing w:before="120" w:after="120"/>
        <w:rPr>
          <w:lang w:val="es-ES"/>
        </w:rPr>
      </w:pPr>
      <w:r w:rsidRPr="001946EF">
        <w:rPr>
          <w:b/>
          <w:u w:val="single"/>
          <w:lang w:val="es-ES"/>
        </w:rPr>
        <w:t>Recomendaciones sobre seguridad y primeros auxilios extraídas de la ficha de seguridad de PISSQ/OMS</w:t>
      </w:r>
      <w:r w:rsidRPr="00900014">
        <w:rPr>
          <w:lang w:val="es-ES"/>
        </w:rPr>
        <w:t xml:space="preserve"> (véase la ficha de seguridad completa en </w:t>
      </w:r>
      <w:hyperlink r:id="rId22" w:history="1">
        <w:r w:rsidRPr="00EA1CC9">
          <w:rPr>
            <w:rStyle w:val="Hyperlink"/>
            <w:bCs/>
            <w:iCs/>
            <w:lang w:val="es-ES"/>
          </w:rPr>
          <w:t>http://www.inchem.org/documents/icsc/icsc/eics1060.htm</w:t>
        </w:r>
      </w:hyperlink>
      <w:r w:rsidRPr="00900014">
        <w:rPr>
          <w:lang w:val="es-ES"/>
        </w:rPr>
        <w:t xml:space="preserve"> )</w:t>
      </w:r>
    </w:p>
    <w:p w14:paraId="7C539E10" w14:textId="79881372" w:rsidR="002B0DBA" w:rsidRPr="00305082" w:rsidRDefault="002B0DBA" w:rsidP="002B0DBA">
      <w:pPr>
        <w:rPr>
          <w:rStyle w:val="breakword"/>
          <w:color w:val="212121"/>
          <w:u w:val="single"/>
          <w:lang w:val="es-ES"/>
        </w:rPr>
      </w:pPr>
      <w:r w:rsidRPr="001946EF">
        <w:rPr>
          <w:i/>
          <w:iCs/>
          <w:u w:val="single"/>
          <w:lang w:val="es-ES"/>
        </w:rPr>
        <w:t>Incendio y explosión</w:t>
      </w:r>
      <w:r w:rsidR="006764CE">
        <w:rPr>
          <w:i/>
          <w:iCs/>
          <w:u w:val="single"/>
          <w:lang w:val="es-ES"/>
        </w:rPr>
        <w:t>:</w:t>
      </w:r>
    </w:p>
    <w:p w14:paraId="2EE3D41C" w14:textId="77777777" w:rsidR="002B0DBA" w:rsidRPr="00900014" w:rsidRDefault="002B0DBA" w:rsidP="002B0DBA">
      <w:pPr>
        <w:spacing w:after="120"/>
        <w:rPr>
          <w:rStyle w:val="breakword"/>
          <w:color w:val="212121"/>
          <w:lang w:val="es-ES"/>
        </w:rPr>
      </w:pPr>
      <w:r w:rsidRPr="00900014">
        <w:rPr>
          <w:lang w:val="es-ES"/>
        </w:rPr>
        <w:t>Peligro agudo: Combustible. Prevención: no producir llamas. Primeros auxilios: Utilizar aspersión de agua, espuma, polvo, dióxido de carbono</w:t>
      </w:r>
    </w:p>
    <w:p w14:paraId="25023C14" w14:textId="46C53483" w:rsidR="002B0DBA" w:rsidRDefault="002B0DBA" w:rsidP="00247F62">
      <w:pPr>
        <w:spacing w:after="120"/>
        <w:rPr>
          <w:i/>
          <w:iCs/>
          <w:u w:val="single"/>
          <w:lang w:val="es-ES"/>
        </w:rPr>
      </w:pPr>
      <w:r w:rsidRPr="00900014">
        <w:rPr>
          <w:lang w:val="es-ES"/>
        </w:rPr>
        <w:t>RIGUROSAS NORMAS DE HIGIENE</w:t>
      </w:r>
      <w:r>
        <w:rPr>
          <w:lang w:val="es-ES"/>
        </w:rPr>
        <w:t xml:space="preserve">. </w:t>
      </w:r>
      <w:r w:rsidRPr="00900014">
        <w:rPr>
          <w:lang w:val="es-ES"/>
        </w:rPr>
        <w:t>CONSÚLTESE A UN MÉDICO EN TODOS LOS CASOS.</w:t>
      </w:r>
    </w:p>
    <w:p w14:paraId="61C7979E" w14:textId="7D9357F7" w:rsidR="002B0DBA" w:rsidRPr="00900014" w:rsidRDefault="002B0DBA" w:rsidP="002B0DBA">
      <w:pPr>
        <w:rPr>
          <w:rStyle w:val="breakword"/>
          <w:i/>
          <w:color w:val="212121"/>
          <w:u w:val="single"/>
          <w:lang w:val="es-ES"/>
        </w:rPr>
      </w:pPr>
      <w:r w:rsidRPr="00900014">
        <w:rPr>
          <w:i/>
          <w:iCs/>
          <w:u w:val="single"/>
          <w:lang w:val="es-ES"/>
        </w:rPr>
        <w:t>Síntomas en caso de inhalación</w:t>
      </w:r>
      <w:r w:rsidR="006764CE">
        <w:rPr>
          <w:i/>
          <w:iCs/>
          <w:u w:val="single"/>
          <w:lang w:val="es-ES"/>
        </w:rPr>
        <w:t>:</w:t>
      </w:r>
    </w:p>
    <w:p w14:paraId="411065C2" w14:textId="77777777" w:rsidR="002B0DBA" w:rsidRPr="00900014" w:rsidRDefault="002B0DBA" w:rsidP="002B0DBA">
      <w:pPr>
        <w:spacing w:after="120"/>
        <w:rPr>
          <w:rStyle w:val="breakword"/>
          <w:color w:val="212121"/>
          <w:lang w:val="es-ES"/>
        </w:rPr>
      </w:pPr>
      <w:r w:rsidRPr="00900014">
        <w:rPr>
          <w:lang w:val="es-ES"/>
        </w:rPr>
        <w:t>Dificultad para respirar. Constricción pupilar, calambre muscular, salivación excesiva. Sudoración. Prevención: utilizar ventilación, extractor local o protección respiratoria. Primeros auxilios: tomar aire fresco, descansar. Consultar a un médico.</w:t>
      </w:r>
    </w:p>
    <w:p w14:paraId="2D1CA9C1" w14:textId="77777777" w:rsidR="002B0DBA" w:rsidRPr="00900014" w:rsidRDefault="002B0DBA" w:rsidP="002B0DBA">
      <w:pPr>
        <w:rPr>
          <w:rStyle w:val="breakword"/>
          <w:color w:val="212121"/>
          <w:u w:val="single"/>
          <w:lang w:val="es-ES"/>
        </w:rPr>
      </w:pPr>
      <w:r w:rsidRPr="00900014">
        <w:rPr>
          <w:i/>
          <w:iCs/>
          <w:u w:val="single"/>
          <w:lang w:val="es-ES"/>
        </w:rPr>
        <w:t>Piel:</w:t>
      </w:r>
    </w:p>
    <w:p w14:paraId="3FA928A1" w14:textId="77777777" w:rsidR="002B0DBA" w:rsidRPr="00900014" w:rsidRDefault="002B0DBA" w:rsidP="002B0DBA">
      <w:pPr>
        <w:spacing w:after="120"/>
        <w:rPr>
          <w:rStyle w:val="breakword"/>
          <w:color w:val="212121"/>
          <w:lang w:val="es-ES"/>
        </w:rPr>
      </w:pPr>
      <w:r w:rsidRPr="00900014">
        <w:rPr>
          <w:lang w:val="es-ES"/>
        </w:rPr>
        <w:t>Síntomas: PUEDE ABSORBERSE. Véase Inhalación. Prevención: guantes protectores. Indumentaria de protección. Primeros auxilios: enjuagar la piel y después lavar la zona con agua y jabón. Consultar a un médico.</w:t>
      </w:r>
    </w:p>
    <w:p w14:paraId="57888852" w14:textId="77777777" w:rsidR="002B0DBA" w:rsidRPr="00900014" w:rsidRDefault="002B0DBA" w:rsidP="002B0DBA">
      <w:pPr>
        <w:rPr>
          <w:rStyle w:val="breakword"/>
          <w:i/>
          <w:color w:val="212121"/>
          <w:u w:val="single"/>
          <w:lang w:val="es-ES"/>
        </w:rPr>
      </w:pPr>
      <w:r w:rsidRPr="00900014">
        <w:rPr>
          <w:i/>
          <w:iCs/>
          <w:u w:val="single"/>
          <w:lang w:val="es-ES"/>
        </w:rPr>
        <w:t>Ojos:</w:t>
      </w:r>
    </w:p>
    <w:p w14:paraId="2BE297D8" w14:textId="77777777" w:rsidR="002B0DBA" w:rsidRPr="00900014" w:rsidRDefault="002B0DBA" w:rsidP="002B0DBA">
      <w:pPr>
        <w:spacing w:after="120"/>
        <w:rPr>
          <w:rStyle w:val="breakword"/>
          <w:color w:val="212121"/>
          <w:lang w:val="es-ES"/>
        </w:rPr>
      </w:pPr>
      <w:r w:rsidRPr="00900014">
        <w:rPr>
          <w:lang w:val="es-ES"/>
        </w:rPr>
        <w:t>Síntomas: véase Inhalación. Prevención: usar gafas de protección, protector facial o visual, junto con protección respiratoria. Primeros auxilios: Primero enjuagar con abundante agua durante varios minutos (quitar lentes de contacto si es posible hacerlo con facilidad) y luego consultar a un médico.</w:t>
      </w:r>
    </w:p>
    <w:p w14:paraId="2EE7FC15" w14:textId="77777777" w:rsidR="002B0DBA" w:rsidRPr="00900014" w:rsidRDefault="002B0DBA" w:rsidP="002B0DBA">
      <w:pPr>
        <w:jc w:val="both"/>
        <w:rPr>
          <w:rStyle w:val="breakword"/>
          <w:color w:val="212121"/>
          <w:u w:val="single"/>
          <w:lang w:val="es-ES"/>
        </w:rPr>
      </w:pPr>
      <w:r w:rsidRPr="00900014">
        <w:rPr>
          <w:i/>
          <w:iCs/>
          <w:u w:val="single"/>
          <w:lang w:val="es-ES"/>
        </w:rPr>
        <w:t>Ingesta:</w:t>
      </w:r>
    </w:p>
    <w:p w14:paraId="14BE7777" w14:textId="77777777" w:rsidR="002B0DBA" w:rsidRPr="00900014" w:rsidRDefault="002B0DBA" w:rsidP="002B0DBA">
      <w:pPr>
        <w:spacing w:after="120"/>
        <w:rPr>
          <w:rStyle w:val="breakword"/>
          <w:color w:val="212121"/>
          <w:lang w:val="es-ES"/>
        </w:rPr>
      </w:pPr>
      <w:r w:rsidRPr="00900014">
        <w:rPr>
          <w:lang w:val="es-ES"/>
        </w:rPr>
        <w:t>Síntomas: véase Inhalación. Calambres abdominales. Diarrea. Vómitos. Prevención: no comer, beber, ni fumar en el trabajo. Lavarse las manos antes de comer. Enjuagarse la boca. Primeros auxilios: suministrar uno o dos vasos de agua para beber. Consultar a un médico.</w:t>
      </w:r>
    </w:p>
    <w:p w14:paraId="69F9CECB" w14:textId="77777777" w:rsidR="002B0DBA" w:rsidRPr="00900014" w:rsidRDefault="002B0DBA" w:rsidP="002B0DBA">
      <w:pPr>
        <w:keepNext/>
        <w:keepLines/>
        <w:spacing w:after="120"/>
        <w:jc w:val="both"/>
        <w:rPr>
          <w:rStyle w:val="breakword"/>
          <w:color w:val="212121"/>
          <w:lang w:val="es-ES"/>
        </w:rPr>
      </w:pPr>
      <w:r w:rsidRPr="00900014">
        <w:rPr>
          <w:lang w:val="es-ES"/>
        </w:rPr>
        <w:t>DISPOSICIÓN DE DERRAMES</w:t>
      </w:r>
    </w:p>
    <w:p w14:paraId="2F7F3549" w14:textId="77777777" w:rsidR="002B0DBA" w:rsidRPr="00900014" w:rsidRDefault="002B0DBA" w:rsidP="002B0DBA">
      <w:pPr>
        <w:keepNext/>
        <w:keepLines/>
        <w:spacing w:after="120"/>
        <w:rPr>
          <w:rStyle w:val="breakword"/>
          <w:color w:val="212121"/>
          <w:lang w:val="es-ES"/>
        </w:rPr>
      </w:pPr>
      <w:r w:rsidRPr="00900014">
        <w:rPr>
          <w:lang w:val="es-ES"/>
        </w:rPr>
        <w:t>En la medida de lo posible, recoja el líquido derramado o que gotee en recipientes herméticos. Absorba el líquido restante en arena o absorbente inerte. Luego deposítelo y deséchelo conforma a la reglamentación local. NO permita que esta sustancia química entre en el medio ambiente. Protección personal: trajes de protección química estancos al gas, incluidos aparatos de respiración autónomos.</w:t>
      </w:r>
    </w:p>
    <w:p w14:paraId="3E2C0ECE" w14:textId="77777777" w:rsidR="002B0DBA" w:rsidRPr="00900014" w:rsidRDefault="002B0DBA" w:rsidP="002B0DBA">
      <w:pPr>
        <w:spacing w:before="240" w:after="120"/>
        <w:jc w:val="both"/>
        <w:rPr>
          <w:rStyle w:val="breakword"/>
          <w:b/>
          <w:color w:val="212121"/>
          <w:u w:val="single"/>
          <w:lang w:val="es-ES"/>
        </w:rPr>
      </w:pPr>
      <w:r w:rsidRPr="00900014">
        <w:rPr>
          <w:b/>
          <w:bCs/>
          <w:u w:val="single"/>
          <w:lang w:val="es-ES"/>
        </w:rPr>
        <w:t>PubChem (2017a)</w:t>
      </w:r>
    </w:p>
    <w:p w14:paraId="3B40D425" w14:textId="77777777" w:rsidR="002B0DBA" w:rsidRPr="00900014" w:rsidRDefault="002B0DBA" w:rsidP="002B0DBA">
      <w:pPr>
        <w:spacing w:after="120"/>
        <w:rPr>
          <w:rStyle w:val="breakword"/>
          <w:color w:val="212121"/>
          <w:lang w:val="es-ES"/>
        </w:rPr>
      </w:pPr>
      <w:r w:rsidRPr="00900014">
        <w:rPr>
          <w:lang w:val="es-ES"/>
        </w:rPr>
        <w:t>Nota: el forato es un inhibidor de la colinesterasa.</w:t>
      </w:r>
    </w:p>
    <w:p w14:paraId="41176B14" w14:textId="2B94B767" w:rsidR="002B0DBA" w:rsidRPr="00900014" w:rsidRDefault="002B0DBA" w:rsidP="002B0DBA">
      <w:pPr>
        <w:spacing w:after="120"/>
        <w:rPr>
          <w:rStyle w:val="breakword"/>
          <w:color w:val="212121"/>
          <w:lang w:val="es-ES"/>
        </w:rPr>
      </w:pPr>
      <w:r w:rsidRPr="00900014">
        <w:rPr>
          <w:i/>
          <w:lang w:val="es-ES"/>
        </w:rPr>
        <w:t>Signos y síntomas de exposición aguda al forato</w:t>
      </w:r>
      <w:r w:rsidRPr="00900014">
        <w:rPr>
          <w:lang w:val="es-ES"/>
        </w:rPr>
        <w:t xml:space="preserve">: la exposición aguda al forato puede producir los siguientes signos y síntomas: pupilas puntiformes, visión borrosa, dolor de cabeza, mareo, espasmos musculares y debilidad profunda. También pueden producirse vómitos, diarrea, dolor abdominal, convulsiones y coma. La frecuencia cardíaca puede reducirse tras la exposición oral, o aumentar tras la exposición cutánea. Puede advertirse dolor torácico. Puede aparecer hipotensión (baja presión sanguínea), aunque no es infrecuente la hipertensión (alta presión sanguínea). </w:t>
      </w:r>
      <w:r w:rsidR="00A42952" w:rsidRPr="00900014">
        <w:rPr>
          <w:lang w:val="es-ES"/>
        </w:rPr>
        <w:t>Es</w:t>
      </w:r>
      <w:r w:rsidR="00A42952">
        <w:rPr>
          <w:lang w:val="es-ES"/>
        </w:rPr>
        <w:t> </w:t>
      </w:r>
      <w:r w:rsidRPr="00900014">
        <w:rPr>
          <w:lang w:val="es-ES"/>
        </w:rPr>
        <w:t>probable que la disnea (dificultad para respirar) vaya seguida por un colapso respiratorio. Son comunes los mareos.</w:t>
      </w:r>
    </w:p>
    <w:p w14:paraId="3A73BDBA" w14:textId="77777777" w:rsidR="002B0DBA" w:rsidRPr="00900014" w:rsidRDefault="002B0DBA" w:rsidP="002B0DBA">
      <w:pPr>
        <w:spacing w:after="120"/>
        <w:rPr>
          <w:rStyle w:val="breakword"/>
          <w:color w:val="212121"/>
          <w:lang w:val="es-ES"/>
        </w:rPr>
      </w:pPr>
      <w:r w:rsidRPr="00900014">
        <w:rPr>
          <w:i/>
          <w:lang w:val="es-ES"/>
        </w:rPr>
        <w:t>Procedimientos de emergencia de sustento vital</w:t>
      </w:r>
      <w:r w:rsidRPr="00900014">
        <w:rPr>
          <w:lang w:val="es-ES"/>
        </w:rPr>
        <w:t>: la exposición aguda al forato puede exigir la descontaminación y el sustento vital de las víctimas. El personal de emergencia debe vestir indumentaria de protección adecuada para el tipo y grado de contaminación. De ser necesario, también debe usarse equipo purificador de aire o respirador. Los vehículos de salvamento deben llevar insumos como revestimientos de plástico y bolsas descartables para evitar que la contaminación se disperse.</w:t>
      </w:r>
    </w:p>
    <w:p w14:paraId="05424BC9" w14:textId="73205890" w:rsidR="002B0DBA" w:rsidRPr="00900014" w:rsidRDefault="002B0DBA" w:rsidP="002B0DBA">
      <w:pPr>
        <w:spacing w:after="120"/>
        <w:rPr>
          <w:rStyle w:val="breakword"/>
          <w:color w:val="212121"/>
          <w:lang w:val="es-ES"/>
        </w:rPr>
      </w:pPr>
      <w:r w:rsidRPr="00900014">
        <w:rPr>
          <w:i/>
          <w:lang w:val="es-ES"/>
        </w:rPr>
        <w:t>Exposición a la inhalación</w:t>
      </w:r>
      <w:r w:rsidRPr="00900014">
        <w:rPr>
          <w:lang w:val="es-ES"/>
        </w:rPr>
        <w:t>: 1.</w:t>
      </w:r>
      <w:r w:rsidR="006A5D75">
        <w:rPr>
          <w:lang w:val="es-ES"/>
        </w:rPr>
        <w:t xml:space="preserve"> </w:t>
      </w:r>
      <w:r w:rsidRPr="00900014">
        <w:rPr>
          <w:lang w:val="es-ES"/>
        </w:rPr>
        <w:t>Traslade las víctimas al aire fresco. El personal de emergencia debe evitar exponerse al forato. 2.</w:t>
      </w:r>
      <w:r w:rsidR="006A5D75">
        <w:rPr>
          <w:lang w:val="es-ES"/>
        </w:rPr>
        <w:t xml:space="preserve"> </w:t>
      </w:r>
      <w:r w:rsidRPr="00900014">
        <w:rPr>
          <w:lang w:val="es-ES"/>
        </w:rPr>
        <w:t>Evaluar los signos vitales, incluidos el pulso y la frecuencia respiratoria, y observar la presencia de conmoción. Si no se detecta pulso, suministrar RCP. Si no hay respiración, suministrar respiración artificial. Si la respiración es dificultosa, administrar oxígeno u otro soporte respiratorio.</w:t>
      </w:r>
      <w:r w:rsidR="006A5D75">
        <w:rPr>
          <w:lang w:val="es-ES"/>
        </w:rPr>
        <w:t xml:space="preserve"> </w:t>
      </w:r>
      <w:r w:rsidRPr="00900014">
        <w:rPr>
          <w:lang w:val="es-ES"/>
        </w:rPr>
        <w:t>3.</w:t>
      </w:r>
      <w:r w:rsidR="006A5D75">
        <w:rPr>
          <w:lang w:val="es-ES"/>
        </w:rPr>
        <w:t xml:space="preserve"> </w:t>
      </w:r>
      <w:r w:rsidRPr="00900014">
        <w:rPr>
          <w:lang w:val="es-ES"/>
        </w:rPr>
        <w:t>Obtener autorización o más instrucciones del hospital localizado para administrar un antídoto o realizar otros procedimientos invasivos. 4.</w:t>
      </w:r>
      <w:r w:rsidR="006A5D75">
        <w:rPr>
          <w:lang w:val="es-ES"/>
        </w:rPr>
        <w:t xml:space="preserve"> </w:t>
      </w:r>
      <w:r w:rsidRPr="00900014">
        <w:rPr>
          <w:lang w:val="es-ES"/>
        </w:rPr>
        <w:t>Traslado a un centro de atención médica.</w:t>
      </w:r>
    </w:p>
    <w:p w14:paraId="5B620EDF" w14:textId="034CBF17" w:rsidR="002B0DBA" w:rsidRPr="00900014" w:rsidRDefault="002B0DBA" w:rsidP="002B0DBA">
      <w:pPr>
        <w:spacing w:after="120"/>
        <w:rPr>
          <w:rStyle w:val="breakword"/>
          <w:color w:val="212121"/>
          <w:lang w:val="es-ES"/>
        </w:rPr>
      </w:pPr>
      <w:r w:rsidRPr="00900014">
        <w:rPr>
          <w:i/>
          <w:lang w:val="es-ES"/>
        </w:rPr>
        <w:t>Exposición cutánea</w:t>
      </w:r>
      <w:r w:rsidR="006A5D75">
        <w:rPr>
          <w:i/>
          <w:lang w:val="es-ES"/>
        </w:rPr>
        <w:t xml:space="preserve"> </w:t>
      </w:r>
      <w:r w:rsidRPr="00900014">
        <w:rPr>
          <w:i/>
          <w:lang w:val="es-ES"/>
        </w:rPr>
        <w:t>/ de los ojos</w:t>
      </w:r>
      <w:r w:rsidRPr="00900014">
        <w:rPr>
          <w:lang w:val="es-ES"/>
        </w:rPr>
        <w:t>: 1.</w:t>
      </w:r>
      <w:r>
        <w:rPr>
          <w:lang w:val="es-ES"/>
        </w:rPr>
        <w:t xml:space="preserve"> </w:t>
      </w:r>
      <w:r w:rsidRPr="00900014">
        <w:rPr>
          <w:lang w:val="es-ES"/>
        </w:rPr>
        <w:t>Alejar a las víctimas de la situación de exposición. El personal de emergencia debe evitar exponerse al forato. 2.</w:t>
      </w:r>
      <w:r>
        <w:rPr>
          <w:lang w:val="es-ES"/>
        </w:rPr>
        <w:t xml:space="preserve"> </w:t>
      </w:r>
      <w:r w:rsidRPr="00900014">
        <w:rPr>
          <w:lang w:val="es-ES"/>
        </w:rPr>
        <w:t>Evaluar los signos vitales, incluidos el pulso y la frecuencia respiratoria, y observar la presencia de conmoción. Si no se detecta pulso, suministrar RCP.</w:t>
      </w:r>
      <w:r>
        <w:rPr>
          <w:lang w:val="es-ES"/>
        </w:rPr>
        <w:t xml:space="preserve"> </w:t>
      </w:r>
      <w:r w:rsidRPr="00900014">
        <w:rPr>
          <w:lang w:val="es-ES"/>
        </w:rPr>
        <w:t>Si no hay respiración, suministrar respiración artificial. Si la respiración es dificultosa, administrar oxígeno u otro soporte respiratorio. 3.</w:t>
      </w:r>
      <w:r>
        <w:rPr>
          <w:lang w:val="es-ES"/>
        </w:rPr>
        <w:t xml:space="preserve"> </w:t>
      </w:r>
      <w:r w:rsidRPr="00900014">
        <w:rPr>
          <w:lang w:val="es-ES"/>
        </w:rPr>
        <w:t>Quitar la indumentaria contaminada lo antes posible. 4.</w:t>
      </w:r>
      <w:r>
        <w:rPr>
          <w:lang w:val="es-ES"/>
        </w:rPr>
        <w:t xml:space="preserve"> </w:t>
      </w:r>
      <w:r w:rsidRPr="00900014">
        <w:rPr>
          <w:lang w:val="es-ES"/>
        </w:rPr>
        <w:t>En caso de exposición de los ojos, enjuagarlos con agua tibia durante 15 minutos como mínimo. 5.</w:t>
      </w:r>
      <w:r>
        <w:rPr>
          <w:lang w:val="es-ES"/>
        </w:rPr>
        <w:t xml:space="preserve"> </w:t>
      </w:r>
      <w:r w:rsidRPr="00900014">
        <w:rPr>
          <w:lang w:val="es-ES"/>
        </w:rPr>
        <w:t>Lavar las zonas expuestas de la piel tres veces con agua y jabón. 6.</w:t>
      </w:r>
      <w:r>
        <w:rPr>
          <w:lang w:val="es-ES"/>
        </w:rPr>
        <w:t xml:space="preserve"> </w:t>
      </w:r>
      <w:r w:rsidRPr="00900014">
        <w:rPr>
          <w:lang w:val="es-ES"/>
        </w:rPr>
        <w:t>Obtener autorización o más instrucciones del hospital localizado para administrar un antídoto o realizar otros procedimientos invasivos. 7.</w:t>
      </w:r>
      <w:r>
        <w:rPr>
          <w:lang w:val="es-ES"/>
        </w:rPr>
        <w:t xml:space="preserve"> </w:t>
      </w:r>
      <w:r w:rsidRPr="00900014">
        <w:rPr>
          <w:lang w:val="es-ES"/>
        </w:rPr>
        <w:t>Traslado a un centro de atención médica.</w:t>
      </w:r>
    </w:p>
    <w:p w14:paraId="5BE16B55" w14:textId="324B9293" w:rsidR="002B0DBA" w:rsidRPr="00900014" w:rsidRDefault="002B0DBA" w:rsidP="002B0DBA">
      <w:pPr>
        <w:spacing w:after="120"/>
        <w:rPr>
          <w:rStyle w:val="breakword"/>
          <w:color w:val="212121"/>
          <w:lang w:val="es-ES"/>
        </w:rPr>
      </w:pPr>
      <w:r w:rsidRPr="00900014">
        <w:rPr>
          <w:i/>
          <w:lang w:val="es-ES"/>
        </w:rPr>
        <w:t>Exposición por ingesta</w:t>
      </w:r>
      <w:r w:rsidRPr="00900014">
        <w:rPr>
          <w:lang w:val="es-ES"/>
        </w:rPr>
        <w:t>: 1.</w:t>
      </w:r>
      <w:r>
        <w:rPr>
          <w:lang w:val="es-ES"/>
        </w:rPr>
        <w:t xml:space="preserve"> </w:t>
      </w:r>
      <w:r w:rsidRPr="00900014">
        <w:rPr>
          <w:lang w:val="es-ES"/>
        </w:rPr>
        <w:t>Evaluar los signos vitales, incluidos el pulso y la frecuencia respiratoria, y observar la presencia de conmoción. Si no se detecta pulso, suministrar RCP. Si no hay respiración, suministrar respiración artificial. Si la respiración es dificultosa, administrar oxígeno u otro soporte respiratorio. 2.</w:t>
      </w:r>
      <w:r>
        <w:rPr>
          <w:lang w:val="es-ES"/>
        </w:rPr>
        <w:t xml:space="preserve"> </w:t>
      </w:r>
      <w:r w:rsidRPr="00900014">
        <w:rPr>
          <w:lang w:val="es-ES"/>
        </w:rPr>
        <w:t>Obtener autorización o más instrucciones del hospital localizado para administrar un antídoto o realizar otros procedimientos invasivos. 3.</w:t>
      </w:r>
      <w:r>
        <w:rPr>
          <w:lang w:val="es-ES"/>
        </w:rPr>
        <w:t xml:space="preserve"> </w:t>
      </w:r>
      <w:r w:rsidRPr="00900014">
        <w:rPr>
          <w:lang w:val="es-ES"/>
        </w:rPr>
        <w:t>Puede inducirse el vómito con jarabe de ipecacuana. Si se desconoce el tiempo transcurrido desde la ingesta de forato o se sospecha que supera los 30 minutos, no inducir el vómito y proceder al paso 4. No se debe suministrar ipecacuana a niños menores de 6 meses de edad. Advertencia: la ingesta de forato puede provocar la aparición súbita de convulsiones o la pérdida de conciencia. Debe administrarse el jarabe de ipecacuana solo si las víctimas están despiertas, tienen reflejos nauseosos activos y no muestran signos de convulsiones o coma inminentes. En caso de CUALQUIER incertidumbre, proceda al paso 4.</w:t>
      </w:r>
      <w:r>
        <w:rPr>
          <w:lang w:val="es-ES"/>
        </w:rPr>
        <w:t xml:space="preserve"> </w:t>
      </w:r>
      <w:r w:rsidRPr="00900014">
        <w:rPr>
          <w:lang w:val="es-ES"/>
        </w:rPr>
        <w:t>Se recomienda la siguiente posología de ipecacuana: niños de hasta 1 año de edad, 10 m</w:t>
      </w:r>
      <w:r>
        <w:rPr>
          <w:lang w:val="es-ES"/>
        </w:rPr>
        <w:t>l</w:t>
      </w:r>
      <w:r w:rsidRPr="00900014">
        <w:rPr>
          <w:lang w:val="es-ES"/>
        </w:rPr>
        <w:t xml:space="preserve"> (1/3 oz);</w:t>
      </w:r>
      <w:r w:rsidR="00A42952">
        <w:rPr>
          <w:lang w:val="es-ES"/>
        </w:rPr>
        <w:t xml:space="preserve"> </w:t>
      </w:r>
      <w:r w:rsidRPr="00900014">
        <w:rPr>
          <w:lang w:val="es-ES"/>
        </w:rPr>
        <w:t>niños de entre 1 y 12 años de edad, 15 m</w:t>
      </w:r>
      <w:r>
        <w:rPr>
          <w:lang w:val="es-ES"/>
        </w:rPr>
        <w:t>l</w:t>
      </w:r>
      <w:r w:rsidRPr="00900014">
        <w:rPr>
          <w:lang w:val="es-ES"/>
        </w:rPr>
        <w:t xml:space="preserve"> (1/2 oz); adultos, 30 m</w:t>
      </w:r>
      <w:r>
        <w:rPr>
          <w:lang w:val="es-ES"/>
        </w:rPr>
        <w:t>l</w:t>
      </w:r>
      <w:r w:rsidRPr="00900014">
        <w:rPr>
          <w:lang w:val="es-ES"/>
        </w:rPr>
        <w:t xml:space="preserve"> (1 oz). Haga deambular (caminar) a las víctimas y suminístreles grandes cantidades de agua. Si no se produce el vómito después de 15 minutos, debe volver a administrarse la ipecacuana. Continúe haciendo caminar y dándoles agua a las víctimas. Si no se produce el vómito en un lapso de 15 minutos después de haber administrado la ipecacuana por segunda vez, administre carbón activado. 4.Puede administrarse carbón activado si las víctimas están conscientes y despiertas. Administre de 15 a 30 g (de1/2 a 1 oz) para niños, de 50 a 100 g (1-3/4 a 3-1/2 oz) para adultos, con 125 a 250 m</w:t>
      </w:r>
      <w:r>
        <w:rPr>
          <w:lang w:val="es-ES"/>
        </w:rPr>
        <w:t>l</w:t>
      </w:r>
      <w:r w:rsidRPr="00900014">
        <w:rPr>
          <w:lang w:val="es-ES"/>
        </w:rPr>
        <w:t xml:space="preserve"> (</w:t>
      </w:r>
      <w:r w:rsidR="006A5D75" w:rsidRPr="00900014">
        <w:rPr>
          <w:lang w:val="es-ES"/>
        </w:rPr>
        <w:t>de</w:t>
      </w:r>
      <w:r w:rsidR="006A5D75">
        <w:rPr>
          <w:lang w:val="es-ES"/>
        </w:rPr>
        <w:t> </w:t>
      </w:r>
      <w:r w:rsidRPr="00900014">
        <w:rPr>
          <w:lang w:val="es-ES"/>
        </w:rPr>
        <w:t>1/2 a 1 taza) de agua. 5.</w:t>
      </w:r>
      <w:r>
        <w:rPr>
          <w:lang w:val="es-ES"/>
        </w:rPr>
        <w:t xml:space="preserve"> </w:t>
      </w:r>
      <w:r w:rsidRPr="00900014">
        <w:rPr>
          <w:lang w:val="es-ES"/>
        </w:rPr>
        <w:t>Estimule la excreción administrando un purgante salino o sorbitol a las víctimas que estén conscientes y despiertas. La posología para niños es de entre 15 y 30 g (de</w:t>
      </w:r>
      <w:r>
        <w:rPr>
          <w:lang w:val="es-ES"/>
        </w:rPr>
        <w:t> </w:t>
      </w:r>
      <w:r w:rsidRPr="00900014">
        <w:rPr>
          <w:lang w:val="es-ES"/>
        </w:rPr>
        <w:t>1/2</w:t>
      </w:r>
      <w:r>
        <w:rPr>
          <w:lang w:val="es-ES"/>
        </w:rPr>
        <w:t> </w:t>
      </w:r>
      <w:r w:rsidRPr="00900014">
        <w:rPr>
          <w:lang w:val="es-ES"/>
        </w:rPr>
        <w:t>a</w:t>
      </w:r>
      <w:r>
        <w:rPr>
          <w:lang w:val="es-ES"/>
        </w:rPr>
        <w:t> </w:t>
      </w:r>
      <w:r w:rsidRPr="00900014">
        <w:rPr>
          <w:lang w:val="es-ES"/>
        </w:rPr>
        <w:t>1</w:t>
      </w:r>
      <w:r>
        <w:rPr>
          <w:lang w:val="es-ES"/>
        </w:rPr>
        <w:t> </w:t>
      </w:r>
      <w:r w:rsidRPr="00900014">
        <w:rPr>
          <w:lang w:val="es-ES"/>
        </w:rPr>
        <w:t>oz) de purgante; para adultos, se recomienda entre 50 y 100 g (de 1-3/4 a 3-1/2 oz). 6.</w:t>
      </w:r>
      <w:r>
        <w:rPr>
          <w:lang w:val="es-ES"/>
        </w:rPr>
        <w:t xml:space="preserve"> </w:t>
      </w:r>
      <w:r w:rsidRPr="00900014">
        <w:rPr>
          <w:lang w:val="es-ES"/>
        </w:rPr>
        <w:t>Traslado a un centro de atención médica. PubChem (2017a)</w:t>
      </w:r>
      <w:r>
        <w:rPr>
          <w:lang w:val="es-ES"/>
        </w:rPr>
        <w:t>.</w:t>
      </w:r>
    </w:p>
    <w:p w14:paraId="71DF926A" w14:textId="77777777" w:rsidR="002B0DBA" w:rsidRPr="00900014" w:rsidRDefault="002B0DBA" w:rsidP="002B0DBA">
      <w:pPr>
        <w:spacing w:before="240"/>
        <w:jc w:val="both"/>
        <w:rPr>
          <w:rStyle w:val="breakword"/>
          <w:b/>
          <w:color w:val="212121"/>
          <w:u w:val="single"/>
          <w:lang w:val="es-ES"/>
        </w:rPr>
      </w:pPr>
      <w:r w:rsidRPr="00900014">
        <w:rPr>
          <w:b/>
          <w:u w:val="single"/>
          <w:lang w:val="es-ES"/>
        </w:rPr>
        <w:t>Ficha de seguridad de la Junta Central de Control de la Contaminación de la India (2017)</w:t>
      </w:r>
    </w:p>
    <w:p w14:paraId="2900D3FC" w14:textId="77777777" w:rsidR="002B0DBA" w:rsidRPr="00900014" w:rsidRDefault="002B0DBA" w:rsidP="002B0DBA">
      <w:pPr>
        <w:spacing w:before="120"/>
        <w:rPr>
          <w:rStyle w:val="breakword"/>
          <w:color w:val="212121"/>
          <w:lang w:val="es-ES"/>
        </w:rPr>
      </w:pPr>
      <w:r w:rsidRPr="00900014">
        <w:rPr>
          <w:lang w:val="es-ES"/>
        </w:rPr>
        <w:t>Incendio</w:t>
      </w:r>
    </w:p>
    <w:p w14:paraId="1FD13E8B" w14:textId="77777777" w:rsidR="002B0DBA" w:rsidRPr="00900014" w:rsidRDefault="002B0DBA" w:rsidP="002B0DBA">
      <w:pPr>
        <w:rPr>
          <w:bCs/>
          <w:lang w:val="es-ES"/>
        </w:rPr>
      </w:pPr>
      <w:r w:rsidRPr="00900014">
        <w:rPr>
          <w:lang w:val="es-ES"/>
        </w:rPr>
        <w:t>Medios de extinción de incendios:</w:t>
      </w:r>
    </w:p>
    <w:p w14:paraId="395925BA" w14:textId="4531D845" w:rsidR="002B0DBA" w:rsidRPr="00900014" w:rsidRDefault="002B0DBA" w:rsidP="001946EF">
      <w:pPr>
        <w:tabs>
          <w:tab w:val="clear" w:pos="1247"/>
          <w:tab w:val="clear" w:pos="1814"/>
          <w:tab w:val="clear" w:pos="2381"/>
          <w:tab w:val="clear" w:pos="2948"/>
          <w:tab w:val="clear" w:pos="3515"/>
        </w:tabs>
        <w:autoSpaceDE w:val="0"/>
        <w:autoSpaceDN w:val="0"/>
        <w:adjustRightInd w:val="0"/>
        <w:spacing w:after="120"/>
        <w:ind w:left="2490" w:hanging="2490"/>
        <w:rPr>
          <w:lang w:val="es-ES"/>
        </w:rPr>
      </w:pPr>
      <w:r w:rsidRPr="00900014">
        <w:rPr>
          <w:lang w:val="es-ES"/>
        </w:rPr>
        <w:t>Procedimientos especiales:</w:t>
      </w:r>
      <w:r w:rsidRPr="00900014">
        <w:rPr>
          <w:lang w:val="es-ES"/>
        </w:rPr>
        <w:tab/>
        <w:t>Mantenga los contenedores frescos rociando agua si están expuestos al calor o las llamas.</w:t>
      </w:r>
    </w:p>
    <w:p w14:paraId="2C091222" w14:textId="30197379" w:rsidR="002B0DBA" w:rsidRPr="00900014" w:rsidRDefault="002B0DBA" w:rsidP="001A4874">
      <w:pPr>
        <w:tabs>
          <w:tab w:val="clear" w:pos="1247"/>
          <w:tab w:val="clear" w:pos="1814"/>
          <w:tab w:val="clear" w:pos="2381"/>
          <w:tab w:val="clear" w:pos="2948"/>
          <w:tab w:val="clear" w:pos="3515"/>
        </w:tabs>
        <w:autoSpaceDE w:val="0"/>
        <w:autoSpaceDN w:val="0"/>
        <w:adjustRightInd w:val="0"/>
        <w:spacing w:after="120"/>
        <w:ind w:left="2490" w:hanging="2490"/>
        <w:rPr>
          <w:lang w:val="es-ES"/>
        </w:rPr>
      </w:pPr>
      <w:r w:rsidRPr="00900014">
        <w:rPr>
          <w:lang w:val="es-ES"/>
        </w:rPr>
        <w:t>Peligros infrecuentes:</w:t>
      </w:r>
      <w:r w:rsidRPr="00900014">
        <w:rPr>
          <w:lang w:val="es-ES"/>
        </w:rPr>
        <w:tab/>
        <w:t>Los impactos pueden destruir los contenedores, lo que libera el contenido. Cuando se calienta hasta el punto de descomposición, se producen emanaciones tóxicas de óxidos de azufre, de fósforo y de nitrógeno.</w:t>
      </w:r>
    </w:p>
    <w:p w14:paraId="730979B7" w14:textId="77777777" w:rsidR="002B0DBA" w:rsidRPr="00900014" w:rsidRDefault="002B0DBA" w:rsidP="002B0DBA">
      <w:pPr>
        <w:autoSpaceDE w:val="0"/>
        <w:autoSpaceDN w:val="0"/>
        <w:adjustRightInd w:val="0"/>
        <w:spacing w:before="120"/>
        <w:ind w:left="2160" w:hanging="2160"/>
        <w:rPr>
          <w:bCs/>
          <w:lang w:val="es-ES"/>
        </w:rPr>
      </w:pPr>
      <w:r w:rsidRPr="00900014">
        <w:rPr>
          <w:lang w:val="es-ES"/>
        </w:rPr>
        <w:t>EXPOSICIÓN: medidas de primero auxilios:</w:t>
      </w:r>
    </w:p>
    <w:p w14:paraId="4D8F59BD" w14:textId="77777777" w:rsidR="002B0DBA" w:rsidRPr="00900014" w:rsidRDefault="002B0DBA" w:rsidP="00D30ABE">
      <w:pPr>
        <w:tabs>
          <w:tab w:val="clear" w:pos="1247"/>
          <w:tab w:val="clear" w:pos="1814"/>
          <w:tab w:val="clear" w:pos="2381"/>
          <w:tab w:val="clear" w:pos="2948"/>
          <w:tab w:val="clear" w:pos="3515"/>
        </w:tabs>
        <w:autoSpaceDE w:val="0"/>
        <w:autoSpaceDN w:val="0"/>
        <w:adjustRightInd w:val="0"/>
        <w:spacing w:after="120"/>
        <w:ind w:left="2490" w:hanging="2490"/>
        <w:rPr>
          <w:lang w:val="es-ES"/>
        </w:rPr>
      </w:pPr>
      <w:r w:rsidRPr="00900014">
        <w:rPr>
          <w:lang w:val="es-ES"/>
        </w:rPr>
        <w:t>Inhalación:</w:t>
      </w:r>
      <w:r w:rsidRPr="00900014">
        <w:rPr>
          <w:lang w:val="es-ES"/>
        </w:rPr>
        <w:tab/>
        <w:t>Lleve la persona al aire fresco y puede administrarle atropina en polvo o en tabletas.</w:t>
      </w:r>
    </w:p>
    <w:p w14:paraId="0F729608" w14:textId="499A9037" w:rsidR="002B0DBA" w:rsidRPr="00900014" w:rsidRDefault="002B0DBA" w:rsidP="00D30ABE">
      <w:pPr>
        <w:tabs>
          <w:tab w:val="clear" w:pos="1247"/>
          <w:tab w:val="clear" w:pos="1814"/>
          <w:tab w:val="clear" w:pos="2381"/>
          <w:tab w:val="clear" w:pos="2948"/>
          <w:tab w:val="clear" w:pos="3515"/>
        </w:tabs>
        <w:autoSpaceDE w:val="0"/>
        <w:autoSpaceDN w:val="0"/>
        <w:adjustRightInd w:val="0"/>
        <w:spacing w:after="120"/>
        <w:ind w:left="2490" w:hanging="2490"/>
        <w:rPr>
          <w:lang w:val="es-ES"/>
        </w:rPr>
      </w:pPr>
      <w:r w:rsidRPr="00900014">
        <w:rPr>
          <w:lang w:val="es-ES"/>
        </w:rPr>
        <w:t>Piel:</w:t>
      </w:r>
      <w:r w:rsidRPr="00900014">
        <w:rPr>
          <w:lang w:val="es-ES"/>
        </w:rPr>
        <w:tab/>
        <w:t>Retire las prendas contaminadas y lave la zona afectada con abundante agua y jabón. Puede descontaminarse la zona afectada con una solución entre el 5</w:t>
      </w:r>
      <w:r w:rsidR="006A5D75">
        <w:rPr>
          <w:lang w:val="es-ES"/>
        </w:rPr>
        <w:t> </w:t>
      </w:r>
      <w:r>
        <w:rPr>
          <w:lang w:val="es-ES"/>
        </w:rPr>
        <w:t>%</w:t>
      </w:r>
      <w:r w:rsidRPr="00900014">
        <w:rPr>
          <w:lang w:val="es-ES"/>
        </w:rPr>
        <w:t xml:space="preserve"> y 10</w:t>
      </w:r>
      <w:r w:rsidR="006A5D75">
        <w:rPr>
          <w:lang w:val="es-ES"/>
        </w:rPr>
        <w:t> </w:t>
      </w:r>
      <w:r w:rsidRPr="00900014">
        <w:rPr>
          <w:lang w:val="es-ES"/>
        </w:rPr>
        <w:t>% de amoníaco o del 2</w:t>
      </w:r>
      <w:r w:rsidR="006A5D75">
        <w:rPr>
          <w:lang w:val="es-ES"/>
        </w:rPr>
        <w:t> </w:t>
      </w:r>
      <w:r>
        <w:rPr>
          <w:lang w:val="es-ES"/>
        </w:rPr>
        <w:t>%</w:t>
      </w:r>
      <w:r w:rsidRPr="00900014">
        <w:rPr>
          <w:lang w:val="es-ES"/>
        </w:rPr>
        <w:t xml:space="preserve"> al 5</w:t>
      </w:r>
      <w:r w:rsidR="006A5D75">
        <w:rPr>
          <w:lang w:val="es-ES"/>
        </w:rPr>
        <w:t> </w:t>
      </w:r>
      <w:r w:rsidRPr="00900014">
        <w:rPr>
          <w:lang w:val="es-ES"/>
        </w:rPr>
        <w:t>%</w:t>
      </w:r>
      <w:r>
        <w:rPr>
          <w:lang w:val="es-ES"/>
        </w:rPr>
        <w:t xml:space="preserve"> </w:t>
      </w:r>
      <w:r w:rsidRPr="00900014">
        <w:rPr>
          <w:lang w:val="es-ES"/>
        </w:rPr>
        <w:t>de cloramina.</w:t>
      </w:r>
    </w:p>
    <w:p w14:paraId="39F279BD" w14:textId="77777777" w:rsidR="002B0DBA" w:rsidRPr="00900014" w:rsidRDefault="002B0DBA" w:rsidP="00D30ABE">
      <w:pPr>
        <w:tabs>
          <w:tab w:val="clear" w:pos="1247"/>
          <w:tab w:val="clear" w:pos="1814"/>
          <w:tab w:val="clear" w:pos="2381"/>
          <w:tab w:val="clear" w:pos="2948"/>
          <w:tab w:val="clear" w:pos="3515"/>
        </w:tabs>
        <w:autoSpaceDE w:val="0"/>
        <w:autoSpaceDN w:val="0"/>
        <w:adjustRightInd w:val="0"/>
        <w:spacing w:after="120"/>
        <w:ind w:left="2490" w:hanging="2490"/>
        <w:rPr>
          <w:lang w:val="es-ES"/>
        </w:rPr>
      </w:pPr>
      <w:r w:rsidRPr="00900014">
        <w:rPr>
          <w:lang w:val="es-ES"/>
        </w:rPr>
        <w:t>Ojos:</w:t>
      </w:r>
      <w:r w:rsidRPr="00900014">
        <w:rPr>
          <w:lang w:val="es-ES"/>
        </w:rPr>
        <w:tab/>
        <w:t>Enjuague los ojos con agua durante al menos 15 minutos</w:t>
      </w:r>
    </w:p>
    <w:p w14:paraId="5CC39AA8" w14:textId="0865C9EB" w:rsidR="002B0DBA" w:rsidRPr="00900014" w:rsidRDefault="002B0DBA" w:rsidP="00D30ABE">
      <w:pPr>
        <w:tabs>
          <w:tab w:val="clear" w:pos="1247"/>
          <w:tab w:val="clear" w:pos="1814"/>
          <w:tab w:val="clear" w:pos="2381"/>
          <w:tab w:val="clear" w:pos="2948"/>
          <w:tab w:val="clear" w:pos="3515"/>
        </w:tabs>
        <w:autoSpaceDE w:val="0"/>
        <w:autoSpaceDN w:val="0"/>
        <w:adjustRightInd w:val="0"/>
        <w:spacing w:after="120"/>
        <w:ind w:left="2490" w:hanging="2490"/>
        <w:rPr>
          <w:lang w:val="es-ES"/>
        </w:rPr>
      </w:pPr>
      <w:r w:rsidRPr="00900014">
        <w:rPr>
          <w:lang w:val="es-ES"/>
        </w:rPr>
        <w:t>Ingesta:</w:t>
      </w:r>
      <w:r w:rsidRPr="00900014">
        <w:rPr>
          <w:lang w:val="es-ES"/>
        </w:rPr>
        <w:tab/>
        <w:t>Induzca el vómito. Administre a beber medio vaso de solución de 2</w:t>
      </w:r>
      <w:r w:rsidR="005D7543">
        <w:rPr>
          <w:lang w:val="es-ES"/>
        </w:rPr>
        <w:t> </w:t>
      </w:r>
      <w:r w:rsidRPr="00900014">
        <w:rPr>
          <w:lang w:val="es-ES"/>
        </w:rPr>
        <w:t>% Na</w:t>
      </w:r>
      <w:r w:rsidRPr="00900014">
        <w:rPr>
          <w:vertAlign w:val="subscript"/>
          <w:lang w:val="es-ES"/>
        </w:rPr>
        <w:t>2</w:t>
      </w:r>
      <w:r w:rsidRPr="00900014">
        <w:rPr>
          <w:lang w:val="es-ES"/>
        </w:rPr>
        <w:t>CO</w:t>
      </w:r>
      <w:r w:rsidRPr="00900014">
        <w:rPr>
          <w:vertAlign w:val="subscript"/>
          <w:lang w:val="es-ES"/>
        </w:rPr>
        <w:t>3</w:t>
      </w:r>
      <w:r w:rsidRPr="00900014">
        <w:rPr>
          <w:rStyle w:val="FootnoteReference"/>
          <w:lang w:val="es-ES" w:eastAsia="pl-PL"/>
        </w:rPr>
        <w:footnoteReference w:id="4"/>
      </w:r>
      <w:r w:rsidRPr="00900014">
        <w:rPr>
          <w:lang w:val="es-ES"/>
        </w:rPr>
        <w:t>,</w:t>
      </w:r>
      <w:r w:rsidR="00D30ABE">
        <w:rPr>
          <w:lang w:val="es-ES"/>
        </w:rPr>
        <w:t xml:space="preserve"> </w:t>
      </w:r>
      <w:r w:rsidRPr="00900014">
        <w:rPr>
          <w:lang w:val="es-ES"/>
        </w:rPr>
        <w:t>con</w:t>
      </w:r>
      <w:r w:rsidR="00D30ABE">
        <w:rPr>
          <w:lang w:val="es-ES"/>
        </w:rPr>
        <w:t> </w:t>
      </w:r>
      <w:r w:rsidRPr="00900014">
        <w:rPr>
          <w:lang w:val="es-ES"/>
        </w:rPr>
        <w:t>2</w:t>
      </w:r>
      <w:r w:rsidR="00D30ABE">
        <w:rPr>
          <w:lang w:val="es-ES"/>
        </w:rPr>
        <w:t> </w:t>
      </w:r>
      <w:r w:rsidRPr="00900014">
        <w:rPr>
          <w:lang w:val="es-ES"/>
        </w:rPr>
        <w:t>a 3 cucharadas de carbón activado triturado.</w:t>
      </w:r>
      <w:r w:rsidR="00D30ABE">
        <w:rPr>
          <w:lang w:val="es-ES"/>
        </w:rPr>
        <w:br/>
      </w:r>
      <w:r w:rsidRPr="00900014">
        <w:rPr>
          <w:lang w:val="es-ES"/>
        </w:rPr>
        <w:t xml:space="preserve">Antídoto / dosificación: Véase </w:t>
      </w:r>
      <w:r>
        <w:rPr>
          <w:lang w:val="es-ES"/>
        </w:rPr>
        <w:t>“</w:t>
      </w:r>
      <w:r w:rsidRPr="00900014">
        <w:rPr>
          <w:lang w:val="es-ES"/>
        </w:rPr>
        <w:t>Información adicional</w:t>
      </w:r>
      <w:r>
        <w:rPr>
          <w:lang w:val="es-ES"/>
        </w:rPr>
        <w:t>”</w:t>
      </w:r>
    </w:p>
    <w:p w14:paraId="57110B4D" w14:textId="77777777" w:rsidR="002B0DBA" w:rsidRPr="00900014" w:rsidRDefault="002B0DBA" w:rsidP="002B0DBA">
      <w:pPr>
        <w:autoSpaceDE w:val="0"/>
        <w:autoSpaceDN w:val="0"/>
        <w:adjustRightInd w:val="0"/>
        <w:spacing w:before="120"/>
        <w:rPr>
          <w:lang w:val="es-ES"/>
        </w:rPr>
      </w:pPr>
      <w:r w:rsidRPr="00900014">
        <w:rPr>
          <w:lang w:val="es-ES"/>
        </w:rPr>
        <w:t>Derrames</w:t>
      </w:r>
    </w:p>
    <w:p w14:paraId="43EB74DF" w14:textId="77777777" w:rsidR="002B0DBA" w:rsidRPr="00900014" w:rsidRDefault="002B0DBA" w:rsidP="00D30ABE">
      <w:pPr>
        <w:tabs>
          <w:tab w:val="clear" w:pos="1247"/>
          <w:tab w:val="clear" w:pos="1814"/>
          <w:tab w:val="clear" w:pos="2381"/>
          <w:tab w:val="clear" w:pos="2948"/>
          <w:tab w:val="clear" w:pos="3515"/>
        </w:tabs>
        <w:autoSpaceDE w:val="0"/>
        <w:autoSpaceDN w:val="0"/>
        <w:adjustRightInd w:val="0"/>
        <w:spacing w:after="120"/>
        <w:ind w:left="2490" w:hanging="2490"/>
        <w:rPr>
          <w:lang w:val="es-ES"/>
        </w:rPr>
      </w:pPr>
      <w:r w:rsidRPr="00900014">
        <w:rPr>
          <w:lang w:val="es-ES"/>
        </w:rPr>
        <w:t>Medidas que deben tomarse:</w:t>
      </w:r>
      <w:r w:rsidRPr="00900014">
        <w:rPr>
          <w:lang w:val="es-ES"/>
        </w:rPr>
        <w:tab/>
        <w:t>Deben lavarse los derrames con agua y carbonato sódico. También puede absorberse con arena seca o vermiculita.</w:t>
      </w:r>
    </w:p>
    <w:p w14:paraId="3AEF5811" w14:textId="77777777" w:rsidR="002B0DBA" w:rsidRPr="00900014" w:rsidRDefault="002B0DBA" w:rsidP="002B0DBA">
      <w:pPr>
        <w:autoSpaceDE w:val="0"/>
        <w:autoSpaceDN w:val="0"/>
        <w:adjustRightInd w:val="0"/>
        <w:spacing w:before="120" w:after="120"/>
        <w:ind w:left="2160" w:hanging="2160"/>
        <w:rPr>
          <w:b/>
          <w:u w:val="single"/>
          <w:lang w:val="es-ES"/>
        </w:rPr>
      </w:pPr>
      <w:r w:rsidRPr="00900014">
        <w:rPr>
          <w:b/>
          <w:bCs/>
          <w:u w:val="single"/>
          <w:lang w:val="es-ES"/>
        </w:rPr>
        <w:t>Ficha de seguridad de Sigma-Aldrich (2015) (</w:t>
      </w:r>
      <w:hyperlink r:id="rId23" w:history="1">
        <w:r w:rsidRPr="00900014">
          <w:rPr>
            <w:rStyle w:val="Hyperlink"/>
            <w:b/>
            <w:lang w:val="es-ES" w:eastAsia="pl-PL"/>
          </w:rPr>
          <w:t>enlace</w:t>
        </w:r>
      </w:hyperlink>
      <w:r w:rsidRPr="00900014">
        <w:rPr>
          <w:b/>
          <w:bCs/>
          <w:u w:val="single"/>
          <w:lang w:val="es-ES"/>
        </w:rPr>
        <w:t>)</w:t>
      </w:r>
    </w:p>
    <w:p w14:paraId="0B1261D7" w14:textId="1842D43E" w:rsidR="002B0DBA" w:rsidRPr="00900014" w:rsidRDefault="002B0DBA" w:rsidP="00D30ABE">
      <w:pPr>
        <w:tabs>
          <w:tab w:val="clear" w:pos="1247"/>
          <w:tab w:val="clear" w:pos="1814"/>
          <w:tab w:val="clear" w:pos="2381"/>
          <w:tab w:val="clear" w:pos="2948"/>
          <w:tab w:val="clear" w:pos="3515"/>
        </w:tabs>
        <w:autoSpaceDE w:val="0"/>
        <w:autoSpaceDN w:val="0"/>
        <w:adjustRightInd w:val="0"/>
        <w:spacing w:after="120"/>
        <w:ind w:left="2835" w:hanging="2835"/>
        <w:rPr>
          <w:lang w:val="es-ES"/>
        </w:rPr>
      </w:pPr>
      <w:r w:rsidRPr="00900014">
        <w:rPr>
          <w:lang w:val="es-ES"/>
        </w:rPr>
        <w:t>Recomendaciones generales:</w:t>
      </w:r>
      <w:r w:rsidRPr="00900014">
        <w:rPr>
          <w:lang w:val="es-ES"/>
        </w:rPr>
        <w:tab/>
        <w:t>Consultar al médico.</w:t>
      </w:r>
      <w:r>
        <w:rPr>
          <w:lang w:val="es-ES"/>
        </w:rPr>
        <w:t xml:space="preserve"> </w:t>
      </w:r>
      <w:r w:rsidRPr="00900014">
        <w:rPr>
          <w:lang w:val="es-ES"/>
        </w:rPr>
        <w:t>Mu</w:t>
      </w:r>
      <w:r w:rsidR="00145467">
        <w:rPr>
          <w:lang w:val="es-ES"/>
        </w:rPr>
        <w:t>é</w:t>
      </w:r>
      <w:r w:rsidRPr="00900014">
        <w:rPr>
          <w:lang w:val="es-ES"/>
        </w:rPr>
        <w:t>strele esta ficha de seguridad al médico tratante.</w:t>
      </w:r>
    </w:p>
    <w:p w14:paraId="5B402A87" w14:textId="761295B7" w:rsidR="002B0DBA" w:rsidRPr="00900014" w:rsidRDefault="002B0DBA" w:rsidP="00D30ABE">
      <w:pPr>
        <w:tabs>
          <w:tab w:val="clear" w:pos="1247"/>
          <w:tab w:val="clear" w:pos="1814"/>
          <w:tab w:val="clear" w:pos="2381"/>
          <w:tab w:val="clear" w:pos="2948"/>
          <w:tab w:val="clear" w:pos="3515"/>
        </w:tabs>
        <w:autoSpaceDE w:val="0"/>
        <w:autoSpaceDN w:val="0"/>
        <w:adjustRightInd w:val="0"/>
        <w:spacing w:after="120"/>
        <w:ind w:left="2835" w:hanging="2835"/>
        <w:rPr>
          <w:lang w:val="es-ES"/>
        </w:rPr>
      </w:pPr>
      <w:r w:rsidRPr="00900014">
        <w:rPr>
          <w:lang w:val="es-ES"/>
        </w:rPr>
        <w:t>En caso de inhalación:</w:t>
      </w:r>
      <w:r w:rsidRPr="00900014">
        <w:rPr>
          <w:lang w:val="es-ES"/>
        </w:rPr>
        <w:tab/>
      </w:r>
      <w:r w:rsidR="00C12EE5">
        <w:rPr>
          <w:lang w:val="es-ES"/>
        </w:rPr>
        <w:tab/>
      </w:r>
      <w:r w:rsidRPr="00900014">
        <w:rPr>
          <w:lang w:val="es-ES"/>
        </w:rPr>
        <w:t>En caso de inhalación, traslade a la persona al aire fresco. Si no respira, suministre respiración artificial. Consultar al médico.</w:t>
      </w:r>
    </w:p>
    <w:p w14:paraId="47AC6A70" w14:textId="11FE8383" w:rsidR="002B0DBA" w:rsidRPr="00900014" w:rsidRDefault="002B0DBA" w:rsidP="00D30ABE">
      <w:pPr>
        <w:tabs>
          <w:tab w:val="clear" w:pos="1247"/>
          <w:tab w:val="clear" w:pos="1814"/>
          <w:tab w:val="clear" w:pos="2381"/>
          <w:tab w:val="clear" w:pos="2948"/>
          <w:tab w:val="clear" w:pos="3515"/>
        </w:tabs>
        <w:autoSpaceDE w:val="0"/>
        <w:autoSpaceDN w:val="0"/>
        <w:adjustRightInd w:val="0"/>
        <w:spacing w:after="120"/>
        <w:ind w:left="2835" w:hanging="2835"/>
        <w:rPr>
          <w:lang w:val="es-ES"/>
        </w:rPr>
      </w:pPr>
      <w:r w:rsidRPr="00900014">
        <w:rPr>
          <w:lang w:val="es-ES"/>
        </w:rPr>
        <w:t>En caso de contacto con la piel:</w:t>
      </w:r>
      <w:r w:rsidR="00D30ABE">
        <w:rPr>
          <w:lang w:val="es-ES"/>
        </w:rPr>
        <w:tab/>
      </w:r>
      <w:r w:rsidRPr="00900014">
        <w:rPr>
          <w:lang w:val="es-ES"/>
        </w:rPr>
        <w:t>Lavar con jabón y abundante agua. Llevar a la víctima al hospital inmediatamente.</w:t>
      </w:r>
      <w:r w:rsidR="00D30ABE">
        <w:rPr>
          <w:lang w:val="es-ES"/>
        </w:rPr>
        <w:t xml:space="preserve"> </w:t>
      </w:r>
      <w:r w:rsidRPr="00900014">
        <w:rPr>
          <w:lang w:val="es-ES"/>
        </w:rPr>
        <w:t>Consultar al médico.</w:t>
      </w:r>
    </w:p>
    <w:p w14:paraId="3C7C2C05" w14:textId="38361F9E" w:rsidR="002B0DBA" w:rsidRPr="00900014" w:rsidRDefault="002B0DBA" w:rsidP="00D30ABE">
      <w:pPr>
        <w:tabs>
          <w:tab w:val="clear" w:pos="1247"/>
          <w:tab w:val="clear" w:pos="1814"/>
          <w:tab w:val="clear" w:pos="2381"/>
          <w:tab w:val="clear" w:pos="2948"/>
          <w:tab w:val="clear" w:pos="3515"/>
        </w:tabs>
        <w:autoSpaceDE w:val="0"/>
        <w:autoSpaceDN w:val="0"/>
        <w:adjustRightInd w:val="0"/>
        <w:spacing w:after="120"/>
        <w:ind w:left="2835" w:hanging="2835"/>
        <w:rPr>
          <w:lang w:val="es-ES"/>
        </w:rPr>
      </w:pPr>
      <w:r w:rsidRPr="00900014">
        <w:rPr>
          <w:lang w:val="es-ES"/>
        </w:rPr>
        <w:t>En caso de contacto con los ojos:</w:t>
      </w:r>
      <w:r w:rsidR="00D30ABE">
        <w:rPr>
          <w:lang w:val="es-ES"/>
        </w:rPr>
        <w:t xml:space="preserve"> </w:t>
      </w:r>
      <w:r w:rsidR="00D30ABE">
        <w:rPr>
          <w:lang w:val="es-ES"/>
        </w:rPr>
        <w:tab/>
      </w:r>
      <w:r w:rsidRPr="00900014">
        <w:rPr>
          <w:lang w:val="es-ES"/>
        </w:rPr>
        <w:t>Enjuagar los ojos con agua a modo de precaución.</w:t>
      </w:r>
    </w:p>
    <w:p w14:paraId="02B193C9" w14:textId="23E0A83A" w:rsidR="002B0DBA" w:rsidRPr="00900014" w:rsidRDefault="002B0DBA" w:rsidP="00D30ABE">
      <w:pPr>
        <w:tabs>
          <w:tab w:val="clear" w:pos="1247"/>
          <w:tab w:val="clear" w:pos="1814"/>
          <w:tab w:val="clear" w:pos="2381"/>
          <w:tab w:val="clear" w:pos="2948"/>
          <w:tab w:val="clear" w:pos="3515"/>
        </w:tabs>
        <w:autoSpaceDE w:val="0"/>
        <w:autoSpaceDN w:val="0"/>
        <w:adjustRightInd w:val="0"/>
        <w:spacing w:after="120"/>
        <w:ind w:left="2835" w:hanging="2835"/>
        <w:rPr>
          <w:lang w:val="es-ES"/>
        </w:rPr>
      </w:pPr>
      <w:r w:rsidRPr="00900014">
        <w:rPr>
          <w:lang w:val="es-ES"/>
        </w:rPr>
        <w:t>En caso de ingestión:</w:t>
      </w:r>
      <w:r w:rsidRPr="00900014">
        <w:rPr>
          <w:lang w:val="es-ES"/>
        </w:rPr>
        <w:tab/>
        <w:t>No administrar nada por vía oral a una persona inconsciente. Enjuagar la boca con agua. Consultar al médico.</w:t>
      </w:r>
    </w:p>
    <w:p w14:paraId="717F42EF" w14:textId="77777777" w:rsidR="002B0DBA" w:rsidRPr="00900014" w:rsidRDefault="002B0DBA" w:rsidP="001946EF">
      <w:pPr>
        <w:autoSpaceDE w:val="0"/>
        <w:autoSpaceDN w:val="0"/>
        <w:adjustRightInd w:val="0"/>
        <w:spacing w:before="120" w:after="120"/>
        <w:rPr>
          <w:bCs/>
          <w:u w:val="single"/>
          <w:lang w:val="es-ES"/>
        </w:rPr>
      </w:pPr>
      <w:r w:rsidRPr="00900014">
        <w:rPr>
          <w:u w:val="single"/>
          <w:lang w:val="es-ES"/>
        </w:rPr>
        <w:t>Medidas de lucha contra incendios</w:t>
      </w:r>
    </w:p>
    <w:p w14:paraId="3A37BE84" w14:textId="77777777" w:rsidR="002B0DBA" w:rsidRPr="00900014" w:rsidRDefault="002B0DBA" w:rsidP="002B0DBA">
      <w:pPr>
        <w:autoSpaceDE w:val="0"/>
        <w:autoSpaceDN w:val="0"/>
        <w:adjustRightInd w:val="0"/>
        <w:spacing w:after="120"/>
        <w:ind w:left="2665"/>
        <w:rPr>
          <w:lang w:val="es-ES"/>
        </w:rPr>
      </w:pPr>
      <w:r w:rsidRPr="00900014">
        <w:rPr>
          <w:lang w:val="es-ES"/>
        </w:rPr>
        <w:t>Medios de extinción apropiados: utilizar aspersión de agua, espuma resistente al alcohol, sustancia anhidra o dióxido de carbono.</w:t>
      </w:r>
    </w:p>
    <w:p w14:paraId="0794A9E5" w14:textId="77777777" w:rsidR="002B0DBA" w:rsidRPr="00900014" w:rsidRDefault="002B0DBA" w:rsidP="002B0DBA">
      <w:pPr>
        <w:autoSpaceDE w:val="0"/>
        <w:autoSpaceDN w:val="0"/>
        <w:adjustRightInd w:val="0"/>
        <w:spacing w:after="120"/>
        <w:ind w:left="2665"/>
        <w:rPr>
          <w:lang w:val="es-ES"/>
        </w:rPr>
      </w:pPr>
      <w:r w:rsidRPr="00900014">
        <w:rPr>
          <w:lang w:val="es-ES"/>
        </w:rPr>
        <w:t>Peligros especiales que surgen de la sustancia o la mezcla: óxidos de carbono, de azufre, de fósforo</w:t>
      </w:r>
    </w:p>
    <w:p w14:paraId="6D4664CB" w14:textId="77777777" w:rsidR="002B0DBA" w:rsidRPr="00900014" w:rsidRDefault="002B0DBA" w:rsidP="002B0DBA">
      <w:pPr>
        <w:autoSpaceDE w:val="0"/>
        <w:autoSpaceDN w:val="0"/>
        <w:adjustRightInd w:val="0"/>
        <w:spacing w:after="120"/>
        <w:ind w:left="2665"/>
        <w:rPr>
          <w:lang w:val="es-ES"/>
        </w:rPr>
      </w:pPr>
      <w:r w:rsidRPr="00900014">
        <w:rPr>
          <w:lang w:val="es-ES"/>
        </w:rPr>
        <w:t>Recomendaciones para bomberos: de ser necesario, utilizar equipo de respiración autónomo para combatir el fuego.</w:t>
      </w:r>
    </w:p>
    <w:p w14:paraId="4095BF33" w14:textId="77777777" w:rsidR="002B0DBA" w:rsidRPr="00900014" w:rsidRDefault="002B0DBA" w:rsidP="002B0DBA">
      <w:pPr>
        <w:autoSpaceDE w:val="0"/>
        <w:autoSpaceDN w:val="0"/>
        <w:adjustRightInd w:val="0"/>
        <w:spacing w:after="120"/>
        <w:ind w:left="2665"/>
        <w:rPr>
          <w:lang w:val="es-ES"/>
        </w:rPr>
      </w:pPr>
      <w:r w:rsidRPr="00900014">
        <w:rPr>
          <w:lang w:val="es-ES"/>
        </w:rPr>
        <w:t>Más información: no hay datos disponibles.</w:t>
      </w:r>
    </w:p>
    <w:p w14:paraId="4BD4E051" w14:textId="77777777" w:rsidR="002B0DBA" w:rsidRPr="00900014" w:rsidRDefault="002B0DBA" w:rsidP="001946EF">
      <w:pPr>
        <w:keepNext/>
        <w:keepLines/>
        <w:autoSpaceDE w:val="0"/>
        <w:autoSpaceDN w:val="0"/>
        <w:adjustRightInd w:val="0"/>
        <w:spacing w:before="120" w:after="120"/>
        <w:rPr>
          <w:bCs/>
          <w:u w:val="single"/>
          <w:lang w:val="es-ES"/>
        </w:rPr>
      </w:pPr>
      <w:r w:rsidRPr="00900014">
        <w:rPr>
          <w:u w:val="single"/>
          <w:lang w:val="es-ES"/>
        </w:rPr>
        <w:t>Medidas en caso de liberación accidental</w:t>
      </w:r>
    </w:p>
    <w:p w14:paraId="40AE66A2" w14:textId="77777777" w:rsidR="002B0DBA" w:rsidRPr="00900014" w:rsidRDefault="002B0DBA" w:rsidP="001946EF">
      <w:pPr>
        <w:keepNext/>
        <w:keepLines/>
        <w:autoSpaceDE w:val="0"/>
        <w:autoSpaceDN w:val="0"/>
        <w:adjustRightInd w:val="0"/>
        <w:spacing w:after="120"/>
        <w:ind w:left="2665"/>
        <w:rPr>
          <w:bCs/>
          <w:lang w:val="es-ES"/>
        </w:rPr>
      </w:pPr>
      <w:r w:rsidRPr="00900014">
        <w:rPr>
          <w:lang w:val="es-ES"/>
        </w:rPr>
        <w:t>Precauciones personales, equipo de protección y procedimientos de emergencia: utilizar protección de respiración. Evitar inhalar vapores, niebla o gas. Garantizar una ventilación adecuada.</w:t>
      </w:r>
    </w:p>
    <w:p w14:paraId="7DA41B35" w14:textId="77777777" w:rsidR="002B0DBA" w:rsidRPr="00900014" w:rsidRDefault="002B0DBA" w:rsidP="002B0DBA">
      <w:pPr>
        <w:autoSpaceDE w:val="0"/>
        <w:autoSpaceDN w:val="0"/>
        <w:adjustRightInd w:val="0"/>
        <w:spacing w:after="120"/>
        <w:ind w:left="2665"/>
        <w:rPr>
          <w:bCs/>
          <w:lang w:val="es-ES"/>
        </w:rPr>
      </w:pPr>
      <w:r w:rsidRPr="00900014">
        <w:rPr>
          <w:lang w:val="es-ES"/>
        </w:rPr>
        <w:t>Evacuar el personal a zonas de seguridad.</w:t>
      </w:r>
    </w:p>
    <w:p w14:paraId="1BB4AF9A" w14:textId="7BAE2681" w:rsidR="002B0DBA" w:rsidRPr="00900014" w:rsidRDefault="002B0DBA" w:rsidP="002B0DBA">
      <w:pPr>
        <w:autoSpaceDE w:val="0"/>
        <w:autoSpaceDN w:val="0"/>
        <w:adjustRightInd w:val="0"/>
        <w:spacing w:before="120"/>
        <w:rPr>
          <w:bCs/>
          <w:u w:val="single"/>
          <w:lang w:val="es-ES"/>
        </w:rPr>
      </w:pPr>
      <w:r w:rsidRPr="00900014">
        <w:rPr>
          <w:u w:val="single"/>
          <w:lang w:val="es-ES"/>
        </w:rPr>
        <w:t>Precauciones ambientales</w:t>
      </w:r>
    </w:p>
    <w:p w14:paraId="7DC1576C" w14:textId="77777777" w:rsidR="002B0DBA" w:rsidRPr="00900014" w:rsidRDefault="002B0DBA" w:rsidP="002B0DBA">
      <w:pPr>
        <w:autoSpaceDE w:val="0"/>
        <w:autoSpaceDN w:val="0"/>
        <w:adjustRightInd w:val="0"/>
        <w:spacing w:after="120"/>
        <w:ind w:left="2665"/>
        <w:rPr>
          <w:lang w:val="es-ES"/>
        </w:rPr>
      </w:pPr>
      <w:r w:rsidRPr="00900014">
        <w:rPr>
          <w:lang w:val="es-ES"/>
        </w:rPr>
        <w:t>Evitar las fugas y los derrames si es seguro hacerlo. No permitir que el producto ingrese en los desagües. Debe evitarse la descarga en el medio ambiente.</w:t>
      </w:r>
    </w:p>
    <w:p w14:paraId="7D43B813" w14:textId="77777777" w:rsidR="002B0DBA" w:rsidRPr="00900014" w:rsidRDefault="002B0DBA" w:rsidP="001946EF">
      <w:pPr>
        <w:autoSpaceDE w:val="0"/>
        <w:autoSpaceDN w:val="0"/>
        <w:adjustRightInd w:val="0"/>
        <w:spacing w:before="120" w:after="120"/>
        <w:rPr>
          <w:bCs/>
          <w:u w:val="single"/>
          <w:lang w:val="es-ES"/>
        </w:rPr>
      </w:pPr>
      <w:r w:rsidRPr="00900014">
        <w:rPr>
          <w:u w:val="single"/>
          <w:lang w:val="es-ES"/>
        </w:rPr>
        <w:t>Métodos y materiales para confinamiento y limpieza</w:t>
      </w:r>
    </w:p>
    <w:p w14:paraId="29F9BC32" w14:textId="77777777" w:rsidR="002B0DBA" w:rsidRPr="00900014" w:rsidRDefault="002B0DBA" w:rsidP="002B0DBA">
      <w:pPr>
        <w:autoSpaceDE w:val="0"/>
        <w:autoSpaceDN w:val="0"/>
        <w:adjustRightInd w:val="0"/>
        <w:spacing w:after="120"/>
        <w:ind w:left="2665"/>
        <w:rPr>
          <w:lang w:val="es-ES"/>
        </w:rPr>
      </w:pPr>
      <w:r w:rsidRPr="00900014">
        <w:rPr>
          <w:lang w:val="es-ES"/>
        </w:rPr>
        <w:t>Absorber con material absorbente inerte y disponer como desecho peligroso. Mantener en contenedores cerrados y apropiados para eliminación.</w:t>
      </w:r>
    </w:p>
    <w:tbl>
      <w:tblPr>
        <w:tblW w:w="9498" w:type="dxa"/>
        <w:tblInd w:w="-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2B0DBA" w:rsidRPr="00900014" w14:paraId="0D7EA1C4" w14:textId="77777777" w:rsidTr="00D30ABE">
        <w:tc>
          <w:tcPr>
            <w:tcW w:w="9498" w:type="dxa"/>
            <w:tcBorders>
              <w:top w:val="single" w:sz="4" w:space="0" w:color="auto"/>
              <w:left w:val="single" w:sz="4" w:space="0" w:color="auto"/>
              <w:bottom w:val="single" w:sz="4" w:space="0" w:color="auto"/>
              <w:right w:val="single" w:sz="4" w:space="0" w:color="auto"/>
            </w:tcBorders>
          </w:tcPr>
          <w:p w14:paraId="6CB5976A" w14:textId="77777777" w:rsidR="002B0DBA" w:rsidRPr="00900014" w:rsidRDefault="002B0DBA" w:rsidP="002B0DBA">
            <w:pPr>
              <w:keepNext/>
              <w:outlineLvl w:val="1"/>
              <w:rPr>
                <w:b/>
                <w:bCs/>
                <w:lang w:val="es-ES"/>
              </w:rPr>
            </w:pPr>
            <w:r w:rsidRPr="00900014">
              <w:rPr>
                <w:b/>
                <w:lang w:val="es-ES"/>
              </w:rPr>
              <w:t>4.5</w:t>
            </w:r>
            <w:r>
              <w:rPr>
                <w:b/>
                <w:lang w:val="es-ES"/>
              </w:rPr>
              <w:t xml:space="preserve"> </w:t>
            </w:r>
            <w:r w:rsidRPr="00900014">
              <w:rPr>
                <w:b/>
                <w:lang w:val="es-ES"/>
              </w:rPr>
              <w:t>Gestión de residuos</w:t>
            </w:r>
          </w:p>
        </w:tc>
      </w:tr>
      <w:tr w:rsidR="002B0DBA" w:rsidRPr="00900014" w14:paraId="6C9E554B" w14:textId="77777777" w:rsidTr="00D30ABE">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9498" w:type="dxa"/>
            <w:tcBorders>
              <w:bottom w:val="nil"/>
            </w:tcBorders>
          </w:tcPr>
          <w:p w14:paraId="4E10912D" w14:textId="77777777" w:rsidR="002B0DBA" w:rsidRPr="00900014" w:rsidRDefault="002B0DBA" w:rsidP="002B0DBA">
            <w:pPr>
              <w:rPr>
                <w:lang w:val="es-ES"/>
              </w:rPr>
            </w:pPr>
          </w:p>
        </w:tc>
      </w:tr>
    </w:tbl>
    <w:p w14:paraId="113B184F" w14:textId="3DCA280C" w:rsidR="002B0DBA" w:rsidRPr="00900014" w:rsidRDefault="002B0DBA" w:rsidP="002B0DBA">
      <w:pPr>
        <w:spacing w:after="120"/>
        <w:rPr>
          <w:bCs/>
          <w:i/>
          <w:iCs/>
          <w:lang w:val="es-ES"/>
        </w:rPr>
      </w:pPr>
      <w:r w:rsidRPr="00900014">
        <w:rPr>
          <w:lang w:val="es-ES"/>
        </w:rPr>
        <w:t xml:space="preserve">Las medidas reglamentarias para prohibir un producto químico no deberían dar lugar a la creación de existencias que exijan la eliminación de desechos. Para obtener orientación sobre la forma de evitar la creación de existencias de plaguicidas caducos se dispone de las siguientes publicaciones: </w:t>
      </w:r>
      <w:r w:rsidRPr="00900014">
        <w:rPr>
          <w:i/>
          <w:lang w:val="es-ES"/>
        </w:rPr>
        <w:t>Directrices provisionales de la FAO para evitar existencias de plaguicidas caducados (1995b), Manual de almacenamiento y control de existencias de plaguicidas (FAO, 1996a) y Directrices para el manejo de pequeñas cantidades de plaguicidas no deseados y caducos (FAO,</w:t>
      </w:r>
      <w:r w:rsidR="00D30ABE">
        <w:rPr>
          <w:i/>
          <w:lang w:val="es-ES"/>
        </w:rPr>
        <w:t> </w:t>
      </w:r>
      <w:r w:rsidRPr="00900014">
        <w:rPr>
          <w:i/>
          <w:lang w:val="es-ES"/>
        </w:rPr>
        <w:t>1999).</w:t>
      </w:r>
    </w:p>
    <w:p w14:paraId="23203E22" w14:textId="77777777" w:rsidR="002B0DBA" w:rsidRPr="00900014" w:rsidRDefault="002B0DBA" w:rsidP="002B0DBA">
      <w:pPr>
        <w:spacing w:after="120"/>
        <w:rPr>
          <w:bCs/>
          <w:iCs/>
          <w:lang w:val="es-ES"/>
        </w:rPr>
      </w:pPr>
      <w:r w:rsidRPr="00900014">
        <w:rPr>
          <w:lang w:val="es-ES"/>
        </w:rPr>
        <w:t>En todos los casos, los desechos deben eliminarse conforme a las disposiciones del Convenio de Basilea sobre el Control de los Movimientos Transfronterizos de los Desechos Peligrosos y su Eliminación (1996), las directrices formuladas en el marco de ese Convenio y los demás acuerdos regionales pertinentes.</w:t>
      </w:r>
    </w:p>
    <w:p w14:paraId="26FC5101" w14:textId="77777777" w:rsidR="002B0DBA" w:rsidRPr="00900014" w:rsidRDefault="002B0DBA" w:rsidP="002B0DBA">
      <w:pPr>
        <w:spacing w:after="120"/>
        <w:rPr>
          <w:bCs/>
          <w:i/>
          <w:iCs/>
          <w:lang w:val="es-ES"/>
        </w:rPr>
      </w:pPr>
      <w:r w:rsidRPr="00900014">
        <w:rPr>
          <w:lang w:val="es-ES"/>
        </w:rPr>
        <w:t xml:space="preserve">Cabe señalar que los métodos de eliminación o destrucción recomendados en la bibliografía no suelen estar a disposición de todos los países o no ser convenientes para estos; así, por ejemplo, podría no haber incineradores de alta temperatura. Debe considerarse la posibilidad de usar técnicas de destrucción alternativas. Puede recabarse más información sobre enfoques posibles en las </w:t>
      </w:r>
      <w:r w:rsidRPr="00900014">
        <w:rPr>
          <w:i/>
          <w:lang w:val="es-ES"/>
        </w:rPr>
        <w:t>Directrices técnicas para la eliminación de plaguicidas caducos a granel en países en desarrollo (FAO, 1996b).</w:t>
      </w:r>
    </w:p>
    <w:p w14:paraId="38BC651C" w14:textId="77777777" w:rsidR="002B0DBA" w:rsidRPr="00900014" w:rsidRDefault="002B0DBA" w:rsidP="002B0DBA">
      <w:pPr>
        <w:pStyle w:val="Caption"/>
        <w:spacing w:before="120" w:after="120"/>
        <w:rPr>
          <w:rFonts w:ascii="Times New Roman" w:hAnsi="Times New Roman" w:cs="Times New Roman"/>
          <w:b/>
          <w:u w:val="single"/>
          <w:lang w:val="es-ES"/>
        </w:rPr>
      </w:pPr>
      <w:r w:rsidRPr="00900014">
        <w:rPr>
          <w:rFonts w:ascii="Times New Roman" w:hAnsi="Times New Roman" w:cs="Times New Roman"/>
          <w:b/>
          <w:u w:val="single"/>
          <w:lang w:val="es-ES"/>
        </w:rPr>
        <w:t>Métodos de eliminación de esta sustancia química conforme a la cita en PubChem (2017b)</w:t>
      </w:r>
    </w:p>
    <w:p w14:paraId="2E7FC388" w14:textId="77777777" w:rsidR="002B0DBA" w:rsidRPr="00900014" w:rsidRDefault="002B0DBA" w:rsidP="002B0DBA">
      <w:pPr>
        <w:spacing w:after="120"/>
        <w:rPr>
          <w:lang w:val="es-ES"/>
        </w:rPr>
      </w:pPr>
      <w:r w:rsidRPr="00900014">
        <w:rPr>
          <w:lang w:val="es-ES"/>
        </w:rPr>
        <w:t>Reciclar todo remanente no utilizado del material para su uso aprobado o devolverlo al fabricante o proveedor. La eliminación final de la sustancia química debe tomar en cuenta: el efecto del material sobre la calidad del aire; su migración potencial al suelo o al agua; los efectos sobre la fauna, flora y la vida marina; y el cumplimiento de los reglamentos de salud pública y ambiental.</w:t>
      </w:r>
    </w:p>
    <w:p w14:paraId="767D0282" w14:textId="1B0A681A" w:rsidR="002B0DBA" w:rsidRPr="00900014" w:rsidRDefault="002B0DBA" w:rsidP="002B0DBA">
      <w:pPr>
        <w:spacing w:after="120"/>
        <w:rPr>
          <w:rStyle w:val="btn-text1"/>
          <w:i/>
          <w:iCs/>
          <w:lang w:val="es-ES"/>
        </w:rPr>
      </w:pPr>
      <w:r w:rsidRPr="00900014">
        <w:rPr>
          <w:lang w:val="es-ES"/>
        </w:rPr>
        <w:t>Candidato potencial para incineración con inyección líquida con una variación térmica de 650</w:t>
      </w:r>
      <w:r>
        <w:rPr>
          <w:lang w:val="es-ES"/>
        </w:rPr>
        <w:t>º</w:t>
      </w:r>
      <w:r w:rsidR="006A5D75">
        <w:rPr>
          <w:lang w:val="es-ES"/>
        </w:rPr>
        <w:t> </w:t>
      </w:r>
      <w:r>
        <w:rPr>
          <w:lang w:val="es-ES"/>
        </w:rPr>
        <w:t>C</w:t>
      </w:r>
      <w:r w:rsidRPr="00900014">
        <w:rPr>
          <w:lang w:val="es-ES"/>
        </w:rPr>
        <w:t xml:space="preserve"> a 1600</w:t>
      </w:r>
      <w:r w:rsidRPr="00A14196">
        <w:rPr>
          <w:vertAlign w:val="superscript"/>
          <w:lang w:val="es-ES"/>
        </w:rPr>
        <w:t>o</w:t>
      </w:r>
      <w:r w:rsidR="006A5D75">
        <w:rPr>
          <w:vertAlign w:val="superscript"/>
          <w:lang w:val="es-ES"/>
        </w:rPr>
        <w:t> </w:t>
      </w:r>
      <w:r w:rsidRPr="00900014">
        <w:rPr>
          <w:lang w:val="es-ES"/>
        </w:rPr>
        <w:t>C y tiempo de residencia de 0,1 a 2 segundos. Asimismo, candidato para incineración en horno rotativo con una variación térmica de 820</w:t>
      </w:r>
      <w:r>
        <w:rPr>
          <w:lang w:val="es-ES"/>
        </w:rPr>
        <w:t>º</w:t>
      </w:r>
      <w:r w:rsidR="006A5D75">
        <w:rPr>
          <w:lang w:val="es-ES"/>
        </w:rPr>
        <w:t> </w:t>
      </w:r>
      <w:r>
        <w:rPr>
          <w:lang w:val="es-ES"/>
        </w:rPr>
        <w:t>C</w:t>
      </w:r>
      <w:r w:rsidRPr="00900014">
        <w:rPr>
          <w:lang w:val="es-ES"/>
        </w:rPr>
        <w:t xml:space="preserve"> a 1600</w:t>
      </w:r>
      <w:r w:rsidRPr="00A14196">
        <w:rPr>
          <w:vertAlign w:val="superscript"/>
          <w:lang w:val="es-ES"/>
        </w:rPr>
        <w:t>o</w:t>
      </w:r>
      <w:r w:rsidR="006A5D75">
        <w:rPr>
          <w:vertAlign w:val="superscript"/>
          <w:lang w:val="es-ES"/>
        </w:rPr>
        <w:t> </w:t>
      </w:r>
      <w:r w:rsidRPr="00900014">
        <w:rPr>
          <w:lang w:val="es-ES"/>
        </w:rPr>
        <w:t>C con tiempos de residencia para líquidos y gases: segundos; sólidos: horas. También candidato para incineración por baño fluidizado con variación térmica de 450</w:t>
      </w:r>
      <w:r>
        <w:rPr>
          <w:lang w:val="es-ES"/>
        </w:rPr>
        <w:t>º</w:t>
      </w:r>
      <w:r w:rsidR="006A5D75">
        <w:rPr>
          <w:lang w:val="es-ES"/>
        </w:rPr>
        <w:t> </w:t>
      </w:r>
      <w:r>
        <w:rPr>
          <w:lang w:val="es-ES"/>
        </w:rPr>
        <w:t>C</w:t>
      </w:r>
      <w:r w:rsidRPr="00900014">
        <w:rPr>
          <w:lang w:val="es-ES"/>
        </w:rPr>
        <w:t xml:space="preserve"> a 980</w:t>
      </w:r>
      <w:r>
        <w:rPr>
          <w:lang w:val="es-ES"/>
        </w:rPr>
        <w:t>º</w:t>
      </w:r>
      <w:r w:rsidR="006A5D75">
        <w:rPr>
          <w:lang w:val="es-ES"/>
        </w:rPr>
        <w:t> </w:t>
      </w:r>
      <w:r w:rsidRPr="00900014">
        <w:rPr>
          <w:lang w:val="es-ES"/>
        </w:rPr>
        <w:t xml:space="preserve">C con tiempos de residencia para líquidos y gases: segundos; sólidos: más tiempo. </w:t>
      </w:r>
      <w:r w:rsidRPr="00900014">
        <w:rPr>
          <w:i/>
          <w:iCs/>
          <w:lang w:val="es-ES"/>
        </w:rPr>
        <w:t xml:space="preserve">USEPA; </w:t>
      </w:r>
      <w:r w:rsidRPr="00900014">
        <w:rPr>
          <w:i/>
          <w:lang w:val="es-ES"/>
        </w:rPr>
        <w:t>Manual de ingeniería para incineración de desechos peligrosos p.3-10 (1981) EPA 68-03-3025</w:t>
      </w:r>
    </w:p>
    <w:p w14:paraId="34D627B8" w14:textId="77777777" w:rsidR="002B0DBA" w:rsidRPr="00900014" w:rsidRDefault="002B0DBA" w:rsidP="002B0DBA">
      <w:pPr>
        <w:spacing w:after="120"/>
        <w:rPr>
          <w:lang w:val="es-ES"/>
        </w:rPr>
      </w:pPr>
      <w:r w:rsidRPr="00900014">
        <w:rPr>
          <w:lang w:val="es-ES"/>
        </w:rPr>
        <w:t>Mezclar el forato con el excedente de óxido de calcio o hidróxido de sodio y arena u otro adsorbente. También puede añadirse a la mezcla soda cáustica (o ceniza de sosa) para ayudar a acelerar las reacciones cuando se utiliza el óxido de calcio como principal álcali. La cantidad de óxido de calcio o soda cáustica que debe utilizarse depende de la cantidad de plaguicida que debe desecharse y, en cierta medida, de la concentración de principio activo en el plaguicida y la naturaleza química real del principio activo. Por cuestiones de seguridad, debe realizarse una prueba preliminar mezclando una pequeña cantidad de plaguicida con álcali y observando brevemente para comprobar que no reaccione con demasiada intensidad. Pueden desecharse cantidades considerables de plaguicida en varios lotes más pequeños, en vez de hacerlo de una sola vez, para más seguridad. Métodos recomendables: incineración e hidrólisis. Examen a cargo de otros expertos: para grandes cantidades: se recomienda la incineración en una unidad con desulfuración de los gases efluentes. (Conclusiones del examen a cargo de otros expertos de una consulta de expertos del RIPQPT (Mayo de 1985)).</w:t>
      </w:r>
    </w:p>
    <w:p w14:paraId="16BE864D" w14:textId="78CAA63D" w:rsidR="002B0DBA" w:rsidRPr="00900014" w:rsidRDefault="00217363" w:rsidP="002B0DBA">
      <w:pPr>
        <w:spacing w:after="120"/>
        <w:jc w:val="both"/>
        <w:rPr>
          <w:i/>
          <w:iCs/>
          <w:lang w:val="es-ES"/>
        </w:rPr>
      </w:pPr>
      <w:r>
        <w:rPr>
          <w:i/>
          <w:lang w:val="es-ES"/>
        </w:rPr>
        <w:t>Naciones Unidas</w:t>
      </w:r>
      <w:r w:rsidR="002B0DBA" w:rsidRPr="00900014">
        <w:rPr>
          <w:i/>
          <w:lang w:val="es-ES"/>
        </w:rPr>
        <w:t>. Métodos de tratamiento y eliminación de los desechos de productos químicos (archivo del RIPQP</w:t>
      </w:r>
      <w:r w:rsidR="001946EF">
        <w:rPr>
          <w:i/>
          <w:lang w:val="es-ES"/>
        </w:rPr>
        <w:t>T). Serie del perfil de datos Núm.</w:t>
      </w:r>
      <w:r w:rsidR="002B0DBA" w:rsidRPr="00900014">
        <w:rPr>
          <w:i/>
          <w:lang w:val="es-ES"/>
        </w:rPr>
        <w:t xml:space="preserve"> 5.</w:t>
      </w:r>
      <w:r w:rsidR="00C12EE5">
        <w:rPr>
          <w:i/>
          <w:lang w:val="es-ES"/>
        </w:rPr>
        <w:t xml:space="preserve"> </w:t>
      </w:r>
      <w:r w:rsidR="002B0DBA" w:rsidRPr="00900014">
        <w:rPr>
          <w:i/>
          <w:lang w:val="es-ES"/>
        </w:rPr>
        <w:t xml:space="preserve">Ginebra, Suiza: Programa de las </w:t>
      </w:r>
      <w:r>
        <w:rPr>
          <w:i/>
          <w:lang w:val="es-ES"/>
        </w:rPr>
        <w:t>Naciones Unidas</w:t>
      </w:r>
      <w:r w:rsidR="002B0DBA" w:rsidRPr="00900014">
        <w:rPr>
          <w:i/>
          <w:lang w:val="es-ES"/>
        </w:rPr>
        <w:t xml:space="preserve"> para el Medio Ambiente, dic. 1985., p. 241</w:t>
      </w:r>
      <w:r w:rsidR="002B0DBA">
        <w:rPr>
          <w:i/>
          <w:lang w:val="es-ES"/>
        </w:rPr>
        <w:t>.</w:t>
      </w:r>
    </w:p>
    <w:p w14:paraId="26330440" w14:textId="486E2837" w:rsidR="002B0DBA" w:rsidRPr="00900014" w:rsidRDefault="002B0DBA" w:rsidP="002B0DBA">
      <w:pPr>
        <w:spacing w:after="120"/>
        <w:rPr>
          <w:i/>
          <w:iCs/>
          <w:lang w:val="es-ES"/>
        </w:rPr>
      </w:pPr>
      <w:r w:rsidRPr="00900014">
        <w:rPr>
          <w:lang w:val="es-ES"/>
        </w:rPr>
        <w:t xml:space="preserve">Hidrólisis: la hidrólisis alcalina produce la degradación completa. Las sales alcalinas de O,S- dietil fosforoditioato, formaldehído, y etil mercaptano no son tóxicas. La hidrólisis ácida produce la degradación completa. Básicamente los mismos productos que la hidrólisis alcalina. </w:t>
      </w:r>
      <w:r w:rsidR="00217363">
        <w:rPr>
          <w:i/>
          <w:lang w:val="es-ES"/>
        </w:rPr>
        <w:t>Naciones Unidas</w:t>
      </w:r>
      <w:r w:rsidRPr="00900014">
        <w:rPr>
          <w:i/>
          <w:u w:val="single"/>
          <w:lang w:val="es-ES"/>
        </w:rPr>
        <w:t>.</w:t>
      </w:r>
      <w:r w:rsidRPr="00900014">
        <w:rPr>
          <w:i/>
          <w:lang w:val="es-ES"/>
        </w:rPr>
        <w:t xml:space="preserve"> Métodos de tratamiento y eliminación de los desechos de productos químicos (archivo del RIPQPT).</w:t>
      </w:r>
      <w:r w:rsidR="00C12EE5">
        <w:rPr>
          <w:i/>
          <w:lang w:val="es-ES"/>
        </w:rPr>
        <w:t xml:space="preserve"> </w:t>
      </w:r>
      <w:r w:rsidR="001946EF">
        <w:rPr>
          <w:i/>
          <w:lang w:val="es-ES"/>
        </w:rPr>
        <w:t xml:space="preserve">Serie del perfil de datos Núm. </w:t>
      </w:r>
      <w:r w:rsidRPr="00900014">
        <w:rPr>
          <w:i/>
          <w:lang w:val="es-ES"/>
        </w:rPr>
        <w:t>5.</w:t>
      </w:r>
      <w:r w:rsidR="001946EF">
        <w:rPr>
          <w:i/>
          <w:lang w:val="es-ES"/>
        </w:rPr>
        <w:t xml:space="preserve"> </w:t>
      </w:r>
      <w:r w:rsidRPr="00900014">
        <w:rPr>
          <w:i/>
          <w:lang w:val="es-ES"/>
        </w:rPr>
        <w:t xml:space="preserve">Ginebra, Suiza: Programa de las </w:t>
      </w:r>
      <w:r w:rsidR="00217363">
        <w:rPr>
          <w:i/>
          <w:lang w:val="es-ES"/>
        </w:rPr>
        <w:t>Naciones Unidas</w:t>
      </w:r>
      <w:r w:rsidRPr="00900014">
        <w:rPr>
          <w:i/>
          <w:lang w:val="es-ES"/>
        </w:rPr>
        <w:t xml:space="preserve"> para el Medio</w:t>
      </w:r>
      <w:r w:rsidR="00C12EE5">
        <w:rPr>
          <w:i/>
          <w:lang w:val="es-ES"/>
        </w:rPr>
        <w:t> </w:t>
      </w:r>
      <w:r w:rsidRPr="00900014">
        <w:rPr>
          <w:i/>
          <w:lang w:val="es-ES"/>
        </w:rPr>
        <w:t>Ambiente, dic. 1985., p 242</w:t>
      </w:r>
      <w:r>
        <w:rPr>
          <w:i/>
          <w:lang w:val="es-ES"/>
        </w:rPr>
        <w:t>.</w:t>
      </w:r>
    </w:p>
    <w:p w14:paraId="0E36E1A5" w14:textId="77777777" w:rsidR="002B0DBA" w:rsidRPr="00900014" w:rsidRDefault="002B0DBA" w:rsidP="002B0DBA">
      <w:pPr>
        <w:tabs>
          <w:tab w:val="left" w:pos="-720"/>
          <w:tab w:val="left" w:pos="0"/>
          <w:tab w:val="left" w:pos="720"/>
        </w:tabs>
        <w:suppressAutoHyphens/>
        <w:rPr>
          <w:lang w:val="es-ES"/>
        </w:rPr>
      </w:pPr>
    </w:p>
    <w:tbl>
      <w:tblPr>
        <w:tblW w:w="0" w:type="auto"/>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498"/>
      </w:tblGrid>
      <w:tr w:rsidR="002B0DBA" w:rsidRPr="00D30ABE" w14:paraId="14925FF7" w14:textId="77777777" w:rsidTr="002B0DBA">
        <w:tc>
          <w:tcPr>
            <w:tcW w:w="9498" w:type="dxa"/>
            <w:shd w:val="pct12" w:color="000000" w:fill="FFFFFF"/>
          </w:tcPr>
          <w:p w14:paraId="6A7B3AF9" w14:textId="77777777" w:rsidR="002B0DBA" w:rsidRPr="00D30ABE" w:rsidRDefault="002B0DBA" w:rsidP="002B0DBA">
            <w:pPr>
              <w:keepNext/>
              <w:spacing w:before="40" w:after="60"/>
              <w:outlineLvl w:val="0"/>
              <w:rPr>
                <w:b/>
                <w:bCs/>
                <w:kern w:val="28"/>
                <w:lang w:val="es-ES"/>
              </w:rPr>
            </w:pPr>
            <w:r w:rsidRPr="00D30ABE">
              <w:rPr>
                <w:b/>
                <w:bCs/>
                <w:lang w:val="es-ES"/>
              </w:rPr>
              <w:t>Anexos</w:t>
            </w:r>
          </w:p>
        </w:tc>
      </w:tr>
    </w:tbl>
    <w:p w14:paraId="4E7843B9" w14:textId="77777777" w:rsidR="002B0DBA" w:rsidRPr="00D30ABE" w:rsidRDefault="002B0DBA" w:rsidP="002B0DBA">
      <w:pPr>
        <w:tabs>
          <w:tab w:val="left" w:pos="-720"/>
          <w:tab w:val="left" w:pos="0"/>
          <w:tab w:val="left" w:pos="720"/>
        </w:tabs>
        <w:suppressAutoHyphens/>
        <w:rPr>
          <w:b/>
          <w:lang w:val="es-ES"/>
        </w:rPr>
      </w:pPr>
    </w:p>
    <w:tbl>
      <w:tblPr>
        <w:tblW w:w="9531" w:type="dxa"/>
        <w:tblInd w:w="108" w:type="dxa"/>
        <w:tblLayout w:type="fixed"/>
        <w:tblLook w:val="0000" w:firstRow="0" w:lastRow="0" w:firstColumn="0" w:lastColumn="0" w:noHBand="0" w:noVBand="0"/>
      </w:tblPr>
      <w:tblGrid>
        <w:gridCol w:w="1170"/>
        <w:gridCol w:w="8361"/>
      </w:tblGrid>
      <w:tr w:rsidR="002B0DBA" w:rsidRPr="00D30ABE" w14:paraId="648A9062" w14:textId="77777777" w:rsidTr="002B0DBA">
        <w:trPr>
          <w:cantSplit/>
        </w:trPr>
        <w:tc>
          <w:tcPr>
            <w:tcW w:w="1170" w:type="dxa"/>
          </w:tcPr>
          <w:p w14:paraId="76CAE480" w14:textId="77777777" w:rsidR="002B0DBA" w:rsidRPr="00D30ABE" w:rsidRDefault="002B0DBA" w:rsidP="002B0DBA">
            <w:pPr>
              <w:spacing w:before="40" w:after="40"/>
              <w:rPr>
                <w:lang w:val="es-ES"/>
              </w:rPr>
            </w:pPr>
            <w:r w:rsidRPr="00D30ABE">
              <w:rPr>
                <w:lang w:val="es-ES"/>
              </w:rPr>
              <w:t>Anexo 1</w:t>
            </w:r>
          </w:p>
        </w:tc>
        <w:tc>
          <w:tcPr>
            <w:tcW w:w="8361" w:type="dxa"/>
          </w:tcPr>
          <w:p w14:paraId="60ACE99A" w14:textId="77777777" w:rsidR="002B0DBA" w:rsidRPr="00D30ABE" w:rsidRDefault="002B0DBA" w:rsidP="002B0DBA">
            <w:pPr>
              <w:spacing w:before="40" w:after="40"/>
              <w:rPr>
                <w:b/>
                <w:lang w:val="es-ES"/>
              </w:rPr>
            </w:pPr>
            <w:r w:rsidRPr="00D30ABE">
              <w:rPr>
                <w:b/>
                <w:lang w:val="es-ES"/>
              </w:rPr>
              <w:t>Más información sobre la sustancia química</w:t>
            </w:r>
          </w:p>
        </w:tc>
      </w:tr>
      <w:tr w:rsidR="002B0DBA" w:rsidRPr="00D30ABE" w14:paraId="0DB01B0A" w14:textId="77777777" w:rsidTr="002B0DBA">
        <w:trPr>
          <w:cantSplit/>
        </w:trPr>
        <w:tc>
          <w:tcPr>
            <w:tcW w:w="1170" w:type="dxa"/>
          </w:tcPr>
          <w:p w14:paraId="32D1FED5" w14:textId="77777777" w:rsidR="002B0DBA" w:rsidRPr="00D30ABE" w:rsidRDefault="002B0DBA" w:rsidP="002B0DBA">
            <w:pPr>
              <w:spacing w:before="40" w:after="40"/>
              <w:rPr>
                <w:lang w:val="es-ES"/>
              </w:rPr>
            </w:pPr>
            <w:r w:rsidRPr="00D30ABE">
              <w:rPr>
                <w:lang w:val="es-ES"/>
              </w:rPr>
              <w:t>Anexo 2</w:t>
            </w:r>
          </w:p>
        </w:tc>
        <w:tc>
          <w:tcPr>
            <w:tcW w:w="8361" w:type="dxa"/>
          </w:tcPr>
          <w:p w14:paraId="3D29F531" w14:textId="77777777" w:rsidR="002B0DBA" w:rsidRPr="00D30ABE" w:rsidRDefault="002B0DBA" w:rsidP="002B0DBA">
            <w:pPr>
              <w:spacing w:before="40" w:after="40"/>
              <w:rPr>
                <w:b/>
                <w:lang w:val="es-ES"/>
              </w:rPr>
            </w:pPr>
            <w:r w:rsidRPr="00D30ABE">
              <w:rPr>
                <w:b/>
                <w:lang w:val="es-ES"/>
              </w:rPr>
              <w:t>Pormenores de las medidas reglamentarias firmes comunicadas</w:t>
            </w:r>
          </w:p>
        </w:tc>
      </w:tr>
      <w:tr w:rsidR="002B0DBA" w:rsidRPr="00D30ABE" w14:paraId="2073A8EF" w14:textId="77777777" w:rsidTr="002B0DBA">
        <w:trPr>
          <w:cantSplit/>
        </w:trPr>
        <w:tc>
          <w:tcPr>
            <w:tcW w:w="1170" w:type="dxa"/>
          </w:tcPr>
          <w:p w14:paraId="380A17FD" w14:textId="77777777" w:rsidR="002B0DBA" w:rsidRPr="00D30ABE" w:rsidRDefault="002B0DBA" w:rsidP="002B0DBA">
            <w:pPr>
              <w:spacing w:before="40" w:after="40"/>
              <w:rPr>
                <w:lang w:val="es-ES"/>
              </w:rPr>
            </w:pPr>
            <w:r w:rsidRPr="00D30ABE">
              <w:rPr>
                <w:lang w:val="es-ES"/>
              </w:rPr>
              <w:t>Anexo 3</w:t>
            </w:r>
          </w:p>
        </w:tc>
        <w:tc>
          <w:tcPr>
            <w:tcW w:w="8361" w:type="dxa"/>
          </w:tcPr>
          <w:p w14:paraId="76471814" w14:textId="77777777" w:rsidR="002B0DBA" w:rsidRPr="00D30ABE" w:rsidRDefault="002B0DBA" w:rsidP="002B0DBA">
            <w:pPr>
              <w:spacing w:before="40" w:after="40"/>
              <w:rPr>
                <w:b/>
                <w:lang w:val="es-ES"/>
              </w:rPr>
            </w:pPr>
            <w:r w:rsidRPr="00D30ABE">
              <w:rPr>
                <w:b/>
                <w:lang w:val="es-ES"/>
              </w:rPr>
              <w:t>Direcciones de las autoridades nacionales designadas</w:t>
            </w:r>
          </w:p>
        </w:tc>
      </w:tr>
      <w:tr w:rsidR="002B0DBA" w:rsidRPr="00D30ABE" w14:paraId="261F3380" w14:textId="77777777" w:rsidTr="002B0DBA">
        <w:trPr>
          <w:cantSplit/>
        </w:trPr>
        <w:tc>
          <w:tcPr>
            <w:tcW w:w="1170" w:type="dxa"/>
          </w:tcPr>
          <w:p w14:paraId="1024A16F" w14:textId="77777777" w:rsidR="002B0DBA" w:rsidRPr="00D30ABE" w:rsidRDefault="002B0DBA" w:rsidP="002B0DBA">
            <w:pPr>
              <w:spacing w:before="40" w:after="40"/>
              <w:rPr>
                <w:lang w:val="es-ES"/>
              </w:rPr>
            </w:pPr>
            <w:r w:rsidRPr="00D30ABE">
              <w:rPr>
                <w:lang w:val="es-ES"/>
              </w:rPr>
              <w:t>Anexo 4</w:t>
            </w:r>
          </w:p>
        </w:tc>
        <w:tc>
          <w:tcPr>
            <w:tcW w:w="8361" w:type="dxa"/>
          </w:tcPr>
          <w:p w14:paraId="6851D32C" w14:textId="77777777" w:rsidR="002B0DBA" w:rsidRPr="00D30ABE" w:rsidRDefault="002B0DBA" w:rsidP="002B0DBA">
            <w:pPr>
              <w:spacing w:before="40" w:after="40"/>
              <w:rPr>
                <w:b/>
                <w:bCs/>
                <w:lang w:val="es-ES"/>
              </w:rPr>
            </w:pPr>
            <w:r w:rsidRPr="00D30ABE">
              <w:rPr>
                <w:b/>
                <w:bCs/>
                <w:lang w:val="es-ES"/>
              </w:rPr>
              <w:t>Referencias</w:t>
            </w:r>
          </w:p>
        </w:tc>
      </w:tr>
    </w:tbl>
    <w:p w14:paraId="16077A49" w14:textId="77777777" w:rsidR="002B0DBA" w:rsidRPr="00900014" w:rsidRDefault="002B0DBA" w:rsidP="002B0DBA">
      <w:pPr>
        <w:tabs>
          <w:tab w:val="left" w:pos="-720"/>
          <w:tab w:val="left" w:pos="0"/>
          <w:tab w:val="left" w:pos="720"/>
        </w:tabs>
        <w:suppressAutoHyphens/>
        <w:rPr>
          <w:b/>
          <w:lang w:val="es-ES"/>
        </w:rPr>
      </w:pPr>
    </w:p>
    <w:p w14:paraId="37EB129E" w14:textId="77777777" w:rsidR="002B0DBA" w:rsidRPr="001946EF" w:rsidRDefault="002B0DBA" w:rsidP="002B0DBA">
      <w:pPr>
        <w:tabs>
          <w:tab w:val="left" w:pos="-720"/>
          <w:tab w:val="left" w:pos="0"/>
          <w:tab w:val="left" w:pos="720"/>
        </w:tabs>
        <w:suppressAutoHyphens/>
        <w:rPr>
          <w:b/>
          <w:bCs/>
          <w:snapToGrid w:val="0"/>
          <w:color w:val="000000"/>
          <w:lang w:val="en-US"/>
        </w:rPr>
      </w:pPr>
      <w:r w:rsidRPr="00900014">
        <w:rPr>
          <w:lang w:val="es-ES"/>
        </w:rPr>
        <w:br w:type="page"/>
      </w:r>
    </w:p>
    <w:tbl>
      <w:tblPr>
        <w:tblW w:w="9382" w:type="dxa"/>
        <w:tblBorders>
          <w:top w:val="single" w:sz="6" w:space="0" w:color="808080"/>
          <w:left w:val="single" w:sz="6" w:space="0" w:color="808080"/>
          <w:bottom w:val="single" w:sz="6" w:space="0" w:color="808080"/>
          <w:right w:val="single" w:sz="6" w:space="0" w:color="808080"/>
        </w:tblBorders>
        <w:tblLayout w:type="fixed"/>
        <w:tblLook w:val="04A0" w:firstRow="1" w:lastRow="0" w:firstColumn="1" w:lastColumn="0" w:noHBand="0" w:noVBand="1"/>
      </w:tblPr>
      <w:tblGrid>
        <w:gridCol w:w="9382"/>
      </w:tblGrid>
      <w:tr w:rsidR="002B0DBA" w:rsidRPr="00AB7E72" w14:paraId="463FF752" w14:textId="77777777" w:rsidTr="00D30ABE">
        <w:tc>
          <w:tcPr>
            <w:tcW w:w="9382" w:type="dxa"/>
            <w:tcBorders>
              <w:top w:val="single" w:sz="6" w:space="0" w:color="808080"/>
              <w:left w:val="single" w:sz="6" w:space="0" w:color="808080"/>
              <w:bottom w:val="single" w:sz="6" w:space="0" w:color="808080"/>
              <w:right w:val="single" w:sz="6" w:space="0" w:color="808080"/>
            </w:tcBorders>
            <w:shd w:val="pct12" w:color="000000" w:fill="FFFFFF"/>
            <w:hideMark/>
          </w:tcPr>
          <w:p w14:paraId="503617E8" w14:textId="7432E7EE" w:rsidR="002B0DBA" w:rsidRPr="001946EF" w:rsidRDefault="002B0DBA" w:rsidP="001946EF">
            <w:pPr>
              <w:keepNext/>
              <w:tabs>
                <w:tab w:val="clear" w:pos="1247"/>
                <w:tab w:val="clear" w:pos="1814"/>
                <w:tab w:val="clear" w:pos="2381"/>
                <w:tab w:val="clear" w:pos="2948"/>
                <w:tab w:val="clear" w:pos="3515"/>
              </w:tabs>
              <w:spacing w:before="40" w:after="60"/>
              <w:outlineLvl w:val="0"/>
              <w:rPr>
                <w:b/>
                <w:bCs/>
                <w:kern w:val="28"/>
                <w:lang w:val="es-ES"/>
              </w:rPr>
            </w:pPr>
            <w:r w:rsidRPr="001946EF">
              <w:rPr>
                <w:b/>
                <w:bCs/>
                <w:lang w:val="es-ES"/>
              </w:rPr>
              <w:t>Anexo 1</w:t>
            </w:r>
            <w:r w:rsidR="00432727">
              <w:rPr>
                <w:lang w:val="es-ES"/>
              </w:rPr>
              <w:t xml:space="preserve"> </w:t>
            </w:r>
            <w:r w:rsidR="00432727" w:rsidRPr="00EF610F">
              <w:rPr>
                <w:b/>
                <w:bCs/>
                <w:kern w:val="28"/>
                <w:szCs w:val="29"/>
                <w:lang w:val="es-ES"/>
              </w:rPr>
              <w:t xml:space="preserve">– </w:t>
            </w:r>
            <w:r w:rsidRPr="001946EF">
              <w:rPr>
                <w:b/>
                <w:lang w:val="es-ES"/>
              </w:rPr>
              <w:t>Información adicional sobre el forato</w:t>
            </w:r>
          </w:p>
        </w:tc>
      </w:tr>
    </w:tbl>
    <w:p w14:paraId="5B821BD6" w14:textId="41742E29" w:rsidR="002B0DBA" w:rsidRPr="00900014" w:rsidRDefault="002B0DBA" w:rsidP="001946EF">
      <w:pPr>
        <w:spacing w:before="120" w:after="120"/>
        <w:ind w:left="108"/>
        <w:rPr>
          <w:rStyle w:val="breakword"/>
          <w:lang w:val="es-ES"/>
        </w:rPr>
      </w:pPr>
      <w:r w:rsidRPr="00900014">
        <w:rPr>
          <w:lang w:val="es-ES"/>
        </w:rPr>
        <w:t xml:space="preserve">La información presentada en este anexo refleja las conclusiones de las Partes notificantes: Brasil y Canadá. Se publicó la notificación del Canadá en la circular XXVIII de CFP de diciembre de 2008. La notificación del Brasil </w:t>
      </w:r>
      <w:r w:rsidR="00C12EE5" w:rsidRPr="00900014">
        <w:rPr>
          <w:lang w:val="es-ES"/>
        </w:rPr>
        <w:t>se</w:t>
      </w:r>
      <w:r w:rsidR="00C12EE5">
        <w:rPr>
          <w:lang w:val="es-ES"/>
        </w:rPr>
        <w:t> </w:t>
      </w:r>
      <w:r w:rsidRPr="00900014">
        <w:rPr>
          <w:lang w:val="es-ES"/>
        </w:rPr>
        <w:t>publicó en la Circular CFP XLV de junio de 2017.</w:t>
      </w:r>
    </w:p>
    <w:p w14:paraId="2972CC57" w14:textId="77777777" w:rsidR="002B0DBA" w:rsidRPr="00900014" w:rsidRDefault="002B0DBA" w:rsidP="001946EF">
      <w:pPr>
        <w:spacing w:after="120"/>
        <w:ind w:left="108"/>
        <w:rPr>
          <w:lang w:val="es-ES"/>
        </w:rPr>
      </w:pPr>
      <w:r w:rsidRPr="00900014">
        <w:rPr>
          <w:lang w:val="es-ES"/>
        </w:rPr>
        <w:t>Siempre que fue posible, la información sobre los peligros proporcionada por las Partes notificantes se presentó de manera conjunta, en tanto que la evaluación de los riesgos, específica para las condiciones locales de las Partes notificantes se ha presentado por separado. Esta información fue extraída de los documentos citados como referencia en las notificaciones en apoyo de la adopción de las medidas reglamentarias firmes que prohíben el forato o lo restringen rigurosamente.</w:t>
      </w:r>
    </w:p>
    <w:p w14:paraId="4A0414F3" w14:textId="3D8FD1E0" w:rsidR="002B0DBA" w:rsidRPr="00900014" w:rsidRDefault="002B0DBA" w:rsidP="001946EF">
      <w:pPr>
        <w:spacing w:after="200"/>
        <w:ind w:left="108"/>
        <w:rPr>
          <w:lang w:val="es-ES"/>
        </w:rPr>
      </w:pPr>
      <w:r w:rsidRPr="00900014">
        <w:rPr>
          <w:lang w:val="es-ES"/>
        </w:rPr>
        <w:t>También se tuvo en cuenta información de monografías sobre la evaluación toxicológica del forato elaboradas por la Reunión Conjunta de la FAO y la OMS sobre Residuos de Plaguicidas en informes de 2004</w:t>
      </w:r>
      <w:r w:rsidRPr="00900014">
        <w:rPr>
          <w:rStyle w:val="FootnoteReference"/>
          <w:lang w:val="es-ES"/>
        </w:rPr>
        <w:footnoteReference w:id="5"/>
      </w:r>
      <w:r w:rsidRPr="00900014">
        <w:rPr>
          <w:lang w:val="es-ES"/>
        </w:rPr>
        <w:t xml:space="preserve"> y del año 2012</w:t>
      </w:r>
      <w:r w:rsidRPr="00900014">
        <w:rPr>
          <w:rStyle w:val="FootnoteReference"/>
          <w:lang w:val="es-ES"/>
        </w:rPr>
        <w:footnoteReference w:id="6"/>
      </w:r>
      <w:r w:rsidRPr="00900014">
        <w:rPr>
          <w:lang w:val="es-ES"/>
        </w:rPr>
        <w:t>, así como otras fuentes como PubChem.</w:t>
      </w:r>
    </w:p>
    <w:tbl>
      <w:tblPr>
        <w:tblW w:w="9390" w:type="dxa"/>
        <w:tblInd w:w="108" w:type="dxa"/>
        <w:tblLayout w:type="fixed"/>
        <w:tblLook w:val="04A0" w:firstRow="1" w:lastRow="0" w:firstColumn="1" w:lastColumn="0" w:noHBand="0" w:noVBand="1"/>
      </w:tblPr>
      <w:tblGrid>
        <w:gridCol w:w="709"/>
        <w:gridCol w:w="1735"/>
        <w:gridCol w:w="6946"/>
      </w:tblGrid>
      <w:tr w:rsidR="002B0DBA" w:rsidRPr="00745FE7" w14:paraId="2A8A0DC6" w14:textId="77777777" w:rsidTr="00745FE7">
        <w:tc>
          <w:tcPr>
            <w:tcW w:w="709" w:type="dxa"/>
            <w:tcBorders>
              <w:top w:val="nil"/>
              <w:left w:val="nil"/>
              <w:bottom w:val="single" w:sz="4" w:space="0" w:color="auto"/>
              <w:right w:val="nil"/>
            </w:tcBorders>
            <w:hideMark/>
          </w:tcPr>
          <w:p w14:paraId="19A48892" w14:textId="77777777" w:rsidR="002B0DBA" w:rsidRPr="00745FE7" w:rsidRDefault="002B0DBA" w:rsidP="00FE4699">
            <w:pPr>
              <w:outlineLvl w:val="1"/>
              <w:rPr>
                <w:b/>
                <w:bCs/>
                <w:lang w:val="es-ES"/>
              </w:rPr>
            </w:pPr>
            <w:r w:rsidRPr="00745FE7">
              <w:rPr>
                <w:b/>
                <w:bCs/>
                <w:lang w:val="es-ES"/>
              </w:rPr>
              <w:t>1.</w:t>
            </w:r>
          </w:p>
        </w:tc>
        <w:tc>
          <w:tcPr>
            <w:tcW w:w="8681" w:type="dxa"/>
            <w:gridSpan w:val="2"/>
            <w:tcBorders>
              <w:top w:val="nil"/>
              <w:left w:val="nil"/>
              <w:bottom w:val="single" w:sz="4" w:space="0" w:color="auto"/>
              <w:right w:val="nil"/>
            </w:tcBorders>
            <w:hideMark/>
          </w:tcPr>
          <w:p w14:paraId="5817F7CB" w14:textId="77777777" w:rsidR="002B0DBA" w:rsidRPr="00745FE7" w:rsidRDefault="002B0DBA" w:rsidP="00FE4699">
            <w:pPr>
              <w:outlineLvl w:val="1"/>
              <w:rPr>
                <w:b/>
                <w:bCs/>
                <w:lang w:val="es-ES"/>
              </w:rPr>
            </w:pPr>
            <w:r w:rsidRPr="00745FE7">
              <w:rPr>
                <w:b/>
                <w:bCs/>
                <w:lang w:val="es-ES"/>
              </w:rPr>
              <w:t>Identidad y propiedades físico-químicas</w:t>
            </w:r>
          </w:p>
        </w:tc>
      </w:tr>
      <w:tr w:rsidR="002B0DBA" w:rsidRPr="00745FE7" w14:paraId="67F91214"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0D3F3568" w14:textId="77777777" w:rsidR="002B0DBA" w:rsidRPr="00745FE7" w:rsidRDefault="002B0DBA" w:rsidP="00FE4699">
            <w:pPr>
              <w:spacing w:after="120"/>
              <w:rPr>
                <w:b/>
                <w:bCs/>
                <w:lang w:val="es-ES"/>
              </w:rPr>
            </w:pPr>
            <w:r w:rsidRPr="00745FE7">
              <w:rPr>
                <w:b/>
                <w:bCs/>
                <w:lang w:val="es-ES"/>
              </w:rPr>
              <w:t>1.1</w:t>
            </w:r>
          </w:p>
        </w:tc>
        <w:tc>
          <w:tcPr>
            <w:tcW w:w="1735" w:type="dxa"/>
            <w:tcBorders>
              <w:top w:val="nil"/>
              <w:left w:val="nil"/>
              <w:bottom w:val="nil"/>
              <w:right w:val="nil"/>
            </w:tcBorders>
          </w:tcPr>
          <w:p w14:paraId="4CF08D67" w14:textId="77B12D77" w:rsidR="002B0DBA" w:rsidRPr="00745FE7" w:rsidRDefault="002B0DBA" w:rsidP="00FE4699">
            <w:pPr>
              <w:spacing w:after="120"/>
              <w:rPr>
                <w:b/>
                <w:lang w:val="es-ES"/>
              </w:rPr>
            </w:pPr>
            <w:r w:rsidRPr="00745FE7">
              <w:rPr>
                <w:b/>
                <w:bCs/>
                <w:lang w:val="es-ES"/>
              </w:rPr>
              <w:t>Identidad</w:t>
            </w:r>
          </w:p>
        </w:tc>
        <w:tc>
          <w:tcPr>
            <w:tcW w:w="6946" w:type="dxa"/>
            <w:tcBorders>
              <w:top w:val="nil"/>
              <w:left w:val="nil"/>
              <w:bottom w:val="nil"/>
              <w:right w:val="nil"/>
            </w:tcBorders>
          </w:tcPr>
          <w:p w14:paraId="436D9238" w14:textId="77777777" w:rsidR="002B0DBA" w:rsidRPr="00745FE7" w:rsidRDefault="002B0DBA" w:rsidP="00FE4699">
            <w:pPr>
              <w:spacing w:after="120"/>
              <w:rPr>
                <w:lang w:val="es-ES"/>
              </w:rPr>
            </w:pPr>
            <w:r w:rsidRPr="00745FE7">
              <w:rPr>
                <w:lang w:val="es-ES"/>
              </w:rPr>
              <w:t>ISO: forato</w:t>
            </w:r>
          </w:p>
          <w:p w14:paraId="5D8F341A" w14:textId="77777777" w:rsidR="002B0DBA" w:rsidRPr="00745FE7" w:rsidRDefault="002B0DBA" w:rsidP="00FE4699">
            <w:pPr>
              <w:spacing w:after="120"/>
              <w:rPr>
                <w:lang w:val="es-ES"/>
              </w:rPr>
            </w:pPr>
            <w:r w:rsidRPr="00745FE7">
              <w:rPr>
                <w:lang w:val="es-ES"/>
              </w:rPr>
              <w:t>UICPA: fosforoditioato de O,O-dietil S-etiltiometil;dietil {[(etilsulfanil)metil]sulfanil}(sulfanilideno)fosfonito;</w:t>
            </w:r>
          </w:p>
          <w:p w14:paraId="59CEA767" w14:textId="77777777" w:rsidR="002B0DBA" w:rsidRPr="00745FE7" w:rsidRDefault="002B0DBA" w:rsidP="00FE4699">
            <w:pPr>
              <w:spacing w:after="120"/>
              <w:rPr>
                <w:lang w:val="es-ES"/>
              </w:rPr>
            </w:pPr>
            <w:r w:rsidRPr="00745FE7">
              <w:rPr>
                <w:lang w:val="es-ES"/>
              </w:rPr>
              <w:t>CAS: fosforoditioato de O,O-dietil S-[(etiltio)metil]</w:t>
            </w:r>
          </w:p>
        </w:tc>
      </w:tr>
      <w:tr w:rsidR="002B0DBA" w:rsidRPr="00745FE7" w14:paraId="54291B71"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5937662D" w14:textId="77777777" w:rsidR="002B0DBA" w:rsidRPr="00745FE7" w:rsidRDefault="002B0DBA" w:rsidP="00FE4699">
            <w:pPr>
              <w:spacing w:after="120"/>
              <w:rPr>
                <w:b/>
                <w:lang w:val="es-ES"/>
              </w:rPr>
            </w:pPr>
            <w:r w:rsidRPr="00745FE7">
              <w:rPr>
                <w:b/>
                <w:bCs/>
                <w:lang w:val="es-ES"/>
              </w:rPr>
              <w:t>1.2</w:t>
            </w:r>
          </w:p>
        </w:tc>
        <w:tc>
          <w:tcPr>
            <w:tcW w:w="1735" w:type="dxa"/>
            <w:tcBorders>
              <w:top w:val="nil"/>
              <w:left w:val="nil"/>
              <w:bottom w:val="nil"/>
              <w:right w:val="nil"/>
            </w:tcBorders>
          </w:tcPr>
          <w:p w14:paraId="3D57AF2E" w14:textId="77777777" w:rsidR="002B0DBA" w:rsidRPr="00745FE7" w:rsidRDefault="002B0DBA" w:rsidP="00FE4699">
            <w:pPr>
              <w:spacing w:after="120"/>
              <w:rPr>
                <w:b/>
                <w:lang w:val="es-ES"/>
              </w:rPr>
            </w:pPr>
            <w:r w:rsidRPr="00745FE7">
              <w:rPr>
                <w:b/>
                <w:lang w:val="es-ES"/>
              </w:rPr>
              <w:t>Fórmula</w:t>
            </w:r>
          </w:p>
        </w:tc>
        <w:tc>
          <w:tcPr>
            <w:tcW w:w="6946" w:type="dxa"/>
            <w:tcBorders>
              <w:top w:val="nil"/>
              <w:left w:val="nil"/>
              <w:bottom w:val="nil"/>
              <w:right w:val="nil"/>
            </w:tcBorders>
          </w:tcPr>
          <w:p w14:paraId="67E84197" w14:textId="77777777" w:rsidR="002B0DBA" w:rsidRPr="00745FE7" w:rsidRDefault="002B0DBA" w:rsidP="00FE4699">
            <w:pPr>
              <w:spacing w:after="120"/>
              <w:rPr>
                <w:lang w:val="es-ES"/>
              </w:rPr>
            </w:pPr>
            <w:r w:rsidRPr="00745FE7">
              <w:rPr>
                <w:lang w:val="es-ES"/>
              </w:rPr>
              <w:t>C</w:t>
            </w:r>
            <w:r w:rsidRPr="00745FE7">
              <w:rPr>
                <w:vertAlign w:val="subscript"/>
                <w:lang w:val="es-ES"/>
              </w:rPr>
              <w:t>7</w:t>
            </w:r>
            <w:r w:rsidRPr="00745FE7">
              <w:rPr>
                <w:lang w:val="es-ES"/>
              </w:rPr>
              <w:t>H</w:t>
            </w:r>
            <w:r w:rsidRPr="00745FE7">
              <w:rPr>
                <w:vertAlign w:val="subscript"/>
                <w:lang w:val="es-ES"/>
              </w:rPr>
              <w:t>17</w:t>
            </w:r>
            <w:r w:rsidRPr="00745FE7">
              <w:rPr>
                <w:lang w:val="es-ES"/>
              </w:rPr>
              <w:t>O</w:t>
            </w:r>
            <w:r w:rsidRPr="00745FE7">
              <w:rPr>
                <w:vertAlign w:val="subscript"/>
                <w:lang w:val="es-ES"/>
              </w:rPr>
              <w:t>2</w:t>
            </w:r>
            <w:r w:rsidRPr="00745FE7">
              <w:rPr>
                <w:lang w:val="es-ES"/>
              </w:rPr>
              <w:t>PS</w:t>
            </w:r>
            <w:r w:rsidRPr="00745FE7">
              <w:rPr>
                <w:vertAlign w:val="subscript"/>
                <w:lang w:val="es-ES"/>
              </w:rPr>
              <w:t>3</w:t>
            </w:r>
          </w:p>
        </w:tc>
      </w:tr>
      <w:tr w:rsidR="002B0DBA" w:rsidRPr="00745FE7" w14:paraId="2913559F"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480E92DF" w14:textId="77777777" w:rsidR="002B0DBA" w:rsidRPr="00745FE7" w:rsidRDefault="002B0DBA" w:rsidP="00FE4699">
            <w:pPr>
              <w:spacing w:after="120"/>
              <w:rPr>
                <w:b/>
                <w:lang w:val="es-ES"/>
              </w:rPr>
            </w:pPr>
            <w:r w:rsidRPr="00745FE7">
              <w:rPr>
                <w:b/>
                <w:bCs/>
                <w:lang w:val="es-ES"/>
              </w:rPr>
              <w:t>1.3</w:t>
            </w:r>
          </w:p>
        </w:tc>
        <w:tc>
          <w:tcPr>
            <w:tcW w:w="1735" w:type="dxa"/>
            <w:tcBorders>
              <w:top w:val="nil"/>
              <w:left w:val="nil"/>
              <w:bottom w:val="nil"/>
              <w:right w:val="nil"/>
            </w:tcBorders>
          </w:tcPr>
          <w:p w14:paraId="72254029" w14:textId="77777777" w:rsidR="002B0DBA" w:rsidRPr="00745FE7" w:rsidRDefault="002B0DBA" w:rsidP="00FE4699">
            <w:pPr>
              <w:spacing w:after="120"/>
              <w:rPr>
                <w:b/>
                <w:lang w:val="es-ES"/>
              </w:rPr>
            </w:pPr>
            <w:r w:rsidRPr="00745FE7">
              <w:rPr>
                <w:b/>
                <w:bCs/>
                <w:lang w:val="es-ES"/>
              </w:rPr>
              <w:t>Peso molecular</w:t>
            </w:r>
          </w:p>
        </w:tc>
        <w:tc>
          <w:tcPr>
            <w:tcW w:w="6946" w:type="dxa"/>
            <w:tcBorders>
              <w:top w:val="nil"/>
              <w:left w:val="nil"/>
              <w:bottom w:val="nil"/>
              <w:right w:val="nil"/>
            </w:tcBorders>
          </w:tcPr>
          <w:p w14:paraId="1A1B6C38" w14:textId="77777777" w:rsidR="002B0DBA" w:rsidRPr="00745FE7" w:rsidRDefault="002B0DBA" w:rsidP="00FE4699">
            <w:pPr>
              <w:spacing w:after="120"/>
              <w:rPr>
                <w:lang w:val="es-ES"/>
              </w:rPr>
            </w:pPr>
            <w:r w:rsidRPr="00745FE7">
              <w:rPr>
                <w:lang w:val="es-ES"/>
              </w:rPr>
              <w:t>260,4</w:t>
            </w:r>
          </w:p>
        </w:tc>
      </w:tr>
      <w:tr w:rsidR="002B0DBA" w:rsidRPr="00745FE7" w14:paraId="50DFBB55"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65C86DDB" w14:textId="77777777" w:rsidR="002B0DBA" w:rsidRPr="00745FE7" w:rsidRDefault="002B0DBA" w:rsidP="00FE4699">
            <w:pPr>
              <w:spacing w:after="120"/>
              <w:rPr>
                <w:b/>
                <w:lang w:val="es-ES"/>
              </w:rPr>
            </w:pPr>
            <w:r w:rsidRPr="00745FE7">
              <w:rPr>
                <w:b/>
                <w:bCs/>
                <w:lang w:val="es-ES"/>
              </w:rPr>
              <w:t>1.4</w:t>
            </w:r>
          </w:p>
        </w:tc>
        <w:tc>
          <w:tcPr>
            <w:tcW w:w="1735" w:type="dxa"/>
            <w:tcBorders>
              <w:top w:val="nil"/>
              <w:left w:val="nil"/>
              <w:bottom w:val="nil"/>
              <w:right w:val="nil"/>
            </w:tcBorders>
          </w:tcPr>
          <w:p w14:paraId="552B5422" w14:textId="77777777" w:rsidR="002B0DBA" w:rsidRPr="00745FE7" w:rsidRDefault="002B0DBA" w:rsidP="00FE4699">
            <w:pPr>
              <w:spacing w:after="120"/>
              <w:rPr>
                <w:b/>
                <w:lang w:val="es-ES"/>
              </w:rPr>
            </w:pPr>
            <w:r w:rsidRPr="00745FE7">
              <w:rPr>
                <w:b/>
                <w:bCs/>
                <w:lang w:val="es-ES"/>
              </w:rPr>
              <w:t>Color y textura</w:t>
            </w:r>
          </w:p>
        </w:tc>
        <w:tc>
          <w:tcPr>
            <w:tcW w:w="6946" w:type="dxa"/>
            <w:tcBorders>
              <w:top w:val="nil"/>
              <w:left w:val="nil"/>
              <w:bottom w:val="nil"/>
              <w:right w:val="nil"/>
            </w:tcBorders>
          </w:tcPr>
          <w:p w14:paraId="7A477391" w14:textId="77777777" w:rsidR="002B0DBA" w:rsidRPr="00745FE7" w:rsidRDefault="002B0DBA" w:rsidP="00FE4699">
            <w:pPr>
              <w:jc w:val="both"/>
              <w:rPr>
                <w:lang w:val="es-ES"/>
              </w:rPr>
            </w:pPr>
            <w:r w:rsidRPr="00745FE7">
              <w:rPr>
                <w:lang w:val="es-ES"/>
              </w:rPr>
              <w:t>El forato técnico es un líquido transparente a temperatura ambiente (</w:t>
            </w:r>
            <w:hyperlink r:id="rId24" w:history="1">
              <w:r w:rsidRPr="00745FE7">
                <w:rPr>
                  <w:rStyle w:val="Hyperlink"/>
                  <w:lang w:val="es-ES"/>
                </w:rPr>
                <w:t>Extoxnet</w:t>
              </w:r>
            </w:hyperlink>
            <w:r w:rsidRPr="00745FE7">
              <w:rPr>
                <w:lang w:val="es-ES"/>
              </w:rPr>
              <w:t>, 1996)</w:t>
            </w:r>
          </w:p>
          <w:p w14:paraId="22296C00" w14:textId="77777777" w:rsidR="002B0DBA" w:rsidRPr="00745FE7" w:rsidRDefault="002B0DBA" w:rsidP="00FE4699">
            <w:pPr>
              <w:jc w:val="both"/>
              <w:rPr>
                <w:lang w:val="es-ES"/>
              </w:rPr>
            </w:pPr>
            <w:r w:rsidRPr="00745FE7">
              <w:rPr>
                <w:lang w:val="es-ES"/>
              </w:rPr>
              <w:t>El forato es un líquido entre transparente y amarillo, relativamente estable, a temperatura ambiente (Toxipedia)</w:t>
            </w:r>
          </w:p>
          <w:p w14:paraId="2A210C40" w14:textId="77777777" w:rsidR="002B0DBA" w:rsidRPr="00745FE7" w:rsidRDefault="002B0DBA" w:rsidP="00FE4699">
            <w:pPr>
              <w:spacing w:after="120"/>
              <w:jc w:val="both"/>
              <w:rPr>
                <w:lang w:val="es-ES"/>
              </w:rPr>
            </w:pPr>
            <w:r w:rsidRPr="00745FE7">
              <w:rPr>
                <w:lang w:val="es-ES"/>
              </w:rPr>
              <w:t>Amarillo pajizo pálido a marrón claro; líquido incoloro a amarillo muy claro con olor nauseabundo (PubChem, 2017c)</w:t>
            </w:r>
          </w:p>
        </w:tc>
      </w:tr>
      <w:tr w:rsidR="002B0DBA" w:rsidRPr="00745FE7" w14:paraId="66079D19"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32227BAE" w14:textId="77777777" w:rsidR="002B0DBA" w:rsidRPr="00745FE7" w:rsidRDefault="002B0DBA" w:rsidP="00FE4699">
            <w:pPr>
              <w:spacing w:after="120"/>
              <w:rPr>
                <w:b/>
                <w:lang w:val="es-ES"/>
              </w:rPr>
            </w:pPr>
            <w:r w:rsidRPr="00745FE7">
              <w:rPr>
                <w:b/>
                <w:bCs/>
                <w:lang w:val="es-ES"/>
              </w:rPr>
              <w:t>1.5</w:t>
            </w:r>
          </w:p>
        </w:tc>
        <w:tc>
          <w:tcPr>
            <w:tcW w:w="1735" w:type="dxa"/>
            <w:tcBorders>
              <w:top w:val="nil"/>
              <w:left w:val="nil"/>
              <w:bottom w:val="nil"/>
              <w:right w:val="nil"/>
            </w:tcBorders>
          </w:tcPr>
          <w:p w14:paraId="6FEF86D8" w14:textId="77777777" w:rsidR="002B0DBA" w:rsidRPr="00745FE7" w:rsidRDefault="002B0DBA" w:rsidP="00FE4699">
            <w:pPr>
              <w:spacing w:after="120"/>
              <w:rPr>
                <w:b/>
                <w:lang w:val="es-ES"/>
              </w:rPr>
            </w:pPr>
            <w:r w:rsidRPr="00745FE7">
              <w:rPr>
                <w:b/>
                <w:bCs/>
                <w:lang w:val="es-ES"/>
              </w:rPr>
              <w:t>Punto de fusión</w:t>
            </w:r>
          </w:p>
        </w:tc>
        <w:tc>
          <w:tcPr>
            <w:tcW w:w="6946" w:type="dxa"/>
            <w:tcBorders>
              <w:top w:val="nil"/>
              <w:left w:val="nil"/>
              <w:bottom w:val="nil"/>
              <w:right w:val="nil"/>
            </w:tcBorders>
          </w:tcPr>
          <w:p w14:paraId="5314F4FE" w14:textId="289A4C89" w:rsidR="002B0DBA" w:rsidRPr="00745FE7" w:rsidRDefault="002B0DBA" w:rsidP="00FE4699">
            <w:pPr>
              <w:spacing w:after="120"/>
              <w:rPr>
                <w:lang w:val="es-ES"/>
              </w:rPr>
            </w:pPr>
            <w:r w:rsidRPr="00745FE7">
              <w:rPr>
                <w:lang w:val="es-ES"/>
              </w:rPr>
              <w:t>&lt;-15º</w:t>
            </w:r>
            <w:r w:rsidR="00A4087D" w:rsidRPr="00745FE7">
              <w:rPr>
                <w:lang w:val="es-ES"/>
              </w:rPr>
              <w:t> </w:t>
            </w:r>
            <w:r w:rsidRPr="00745FE7">
              <w:rPr>
                <w:lang w:val="es-ES"/>
              </w:rPr>
              <w:t xml:space="preserve">C (calidad técnica) </w:t>
            </w:r>
            <w:r w:rsidRPr="00745FE7">
              <w:rPr>
                <w:vertAlign w:val="superscript"/>
                <w:lang w:val="es-ES"/>
              </w:rPr>
              <w:t>(</w:t>
            </w:r>
            <w:r w:rsidRPr="00745FE7">
              <w:rPr>
                <w:rStyle w:val="FootnoteReference"/>
                <w:szCs w:val="20"/>
                <w:lang w:val="es-ES"/>
              </w:rPr>
              <w:footnoteReference w:id="7"/>
            </w:r>
            <w:r w:rsidRPr="00745FE7">
              <w:rPr>
                <w:vertAlign w:val="superscript"/>
                <w:lang w:val="es-ES"/>
              </w:rPr>
              <w:t>)</w:t>
            </w:r>
          </w:p>
        </w:tc>
      </w:tr>
      <w:tr w:rsidR="002B0DBA" w:rsidRPr="00745FE7" w14:paraId="2E75412D"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4D22A657" w14:textId="77777777" w:rsidR="002B0DBA" w:rsidRPr="00745FE7" w:rsidRDefault="002B0DBA" w:rsidP="00FE4699">
            <w:pPr>
              <w:spacing w:after="120"/>
              <w:rPr>
                <w:b/>
                <w:lang w:val="es-ES"/>
              </w:rPr>
            </w:pPr>
            <w:r w:rsidRPr="00745FE7">
              <w:rPr>
                <w:b/>
                <w:bCs/>
                <w:lang w:val="es-ES"/>
              </w:rPr>
              <w:t>1.6</w:t>
            </w:r>
          </w:p>
        </w:tc>
        <w:tc>
          <w:tcPr>
            <w:tcW w:w="1735" w:type="dxa"/>
            <w:tcBorders>
              <w:top w:val="nil"/>
              <w:left w:val="nil"/>
              <w:bottom w:val="nil"/>
              <w:right w:val="nil"/>
            </w:tcBorders>
          </w:tcPr>
          <w:p w14:paraId="455444C7" w14:textId="77777777" w:rsidR="002B0DBA" w:rsidRPr="00745FE7" w:rsidRDefault="002B0DBA" w:rsidP="00FE4699">
            <w:pPr>
              <w:spacing w:after="120"/>
              <w:rPr>
                <w:b/>
                <w:lang w:val="es-ES"/>
              </w:rPr>
            </w:pPr>
            <w:r w:rsidRPr="00745FE7">
              <w:rPr>
                <w:b/>
                <w:bCs/>
                <w:lang w:val="es-ES"/>
              </w:rPr>
              <w:t>Punto de ebullición</w:t>
            </w:r>
          </w:p>
        </w:tc>
        <w:tc>
          <w:tcPr>
            <w:tcW w:w="6946" w:type="dxa"/>
            <w:tcBorders>
              <w:top w:val="nil"/>
              <w:left w:val="nil"/>
              <w:bottom w:val="nil"/>
              <w:right w:val="nil"/>
            </w:tcBorders>
          </w:tcPr>
          <w:p w14:paraId="4CDF52B8" w14:textId="0074F682" w:rsidR="002B0DBA" w:rsidRPr="00745FE7" w:rsidRDefault="002B0DBA" w:rsidP="00FE4699">
            <w:pPr>
              <w:spacing w:after="120"/>
              <w:rPr>
                <w:lang w:val="es-ES"/>
              </w:rPr>
            </w:pPr>
            <w:r w:rsidRPr="00745FE7">
              <w:rPr>
                <w:lang w:val="es-ES"/>
              </w:rPr>
              <w:t>118º</w:t>
            </w:r>
            <w:r w:rsidR="00217363" w:rsidRPr="00745FE7">
              <w:rPr>
                <w:lang w:val="es-ES"/>
              </w:rPr>
              <w:t> </w:t>
            </w:r>
            <w:r w:rsidRPr="00745FE7">
              <w:rPr>
                <w:lang w:val="es-ES"/>
              </w:rPr>
              <w:t>C a 120º</w:t>
            </w:r>
            <w:r w:rsidR="00A4087D" w:rsidRPr="00745FE7">
              <w:rPr>
                <w:lang w:val="es-ES"/>
              </w:rPr>
              <w:t> </w:t>
            </w:r>
            <w:r w:rsidRPr="00745FE7">
              <w:rPr>
                <w:lang w:val="es-ES"/>
              </w:rPr>
              <w:t xml:space="preserve">C/0,8 mmHg (calidad técnica) </w:t>
            </w:r>
            <w:r w:rsidRPr="00745FE7">
              <w:rPr>
                <w:vertAlign w:val="superscript"/>
                <w:lang w:val="es-ES"/>
              </w:rPr>
              <w:t>(6)</w:t>
            </w:r>
          </w:p>
        </w:tc>
      </w:tr>
      <w:tr w:rsidR="002B0DBA" w:rsidRPr="00745FE7" w14:paraId="25E6AFEC"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63521723" w14:textId="77777777" w:rsidR="002B0DBA" w:rsidRPr="00745FE7" w:rsidRDefault="002B0DBA" w:rsidP="00FE4699">
            <w:pPr>
              <w:spacing w:after="120"/>
              <w:rPr>
                <w:b/>
                <w:lang w:val="es-ES"/>
              </w:rPr>
            </w:pPr>
            <w:r w:rsidRPr="00745FE7">
              <w:rPr>
                <w:b/>
                <w:bCs/>
                <w:lang w:val="es-ES"/>
              </w:rPr>
              <w:t>1.7</w:t>
            </w:r>
          </w:p>
        </w:tc>
        <w:tc>
          <w:tcPr>
            <w:tcW w:w="1735" w:type="dxa"/>
            <w:tcBorders>
              <w:top w:val="nil"/>
              <w:left w:val="nil"/>
              <w:bottom w:val="nil"/>
              <w:right w:val="nil"/>
            </w:tcBorders>
          </w:tcPr>
          <w:p w14:paraId="5F4E97F8" w14:textId="77777777" w:rsidR="002B0DBA" w:rsidRPr="00745FE7" w:rsidRDefault="002B0DBA" w:rsidP="00FE4699">
            <w:pPr>
              <w:spacing w:after="120"/>
              <w:rPr>
                <w:b/>
                <w:lang w:val="es-ES"/>
              </w:rPr>
            </w:pPr>
            <w:r w:rsidRPr="00745FE7">
              <w:rPr>
                <w:b/>
                <w:bCs/>
                <w:lang w:val="es-ES"/>
              </w:rPr>
              <w:t>Densidad relativa (g/cm3)</w:t>
            </w:r>
          </w:p>
        </w:tc>
        <w:tc>
          <w:tcPr>
            <w:tcW w:w="6946" w:type="dxa"/>
            <w:tcBorders>
              <w:top w:val="nil"/>
              <w:left w:val="nil"/>
              <w:bottom w:val="nil"/>
              <w:right w:val="nil"/>
            </w:tcBorders>
          </w:tcPr>
          <w:p w14:paraId="6528E167" w14:textId="6653E496" w:rsidR="002B0DBA" w:rsidRPr="00745FE7" w:rsidRDefault="002B0DBA" w:rsidP="00FE4699">
            <w:pPr>
              <w:spacing w:after="120"/>
              <w:rPr>
                <w:vertAlign w:val="superscript"/>
                <w:lang w:val="es-ES"/>
              </w:rPr>
            </w:pPr>
            <w:r w:rsidRPr="00745FE7">
              <w:rPr>
                <w:lang w:val="es-ES"/>
              </w:rPr>
              <w:t>1,167 (calidad técnica a 25º</w:t>
            </w:r>
            <w:r w:rsidR="00A4087D" w:rsidRPr="00745FE7">
              <w:rPr>
                <w:lang w:val="es-ES"/>
              </w:rPr>
              <w:t> </w:t>
            </w:r>
            <w:r w:rsidRPr="00745FE7">
              <w:rPr>
                <w:lang w:val="es-ES"/>
              </w:rPr>
              <w:t xml:space="preserve">C) </w:t>
            </w:r>
            <w:r w:rsidRPr="00745FE7">
              <w:rPr>
                <w:vertAlign w:val="superscript"/>
                <w:lang w:val="es-ES"/>
              </w:rPr>
              <w:t>(6)</w:t>
            </w:r>
          </w:p>
          <w:p w14:paraId="6C5C243A" w14:textId="7FC58097" w:rsidR="002B0DBA" w:rsidRPr="00745FE7" w:rsidRDefault="002B0DBA" w:rsidP="00FE4699">
            <w:pPr>
              <w:spacing w:after="120"/>
              <w:rPr>
                <w:lang w:val="es-ES"/>
              </w:rPr>
            </w:pPr>
            <w:r w:rsidRPr="00745FE7">
              <w:rPr>
                <w:lang w:val="es-ES"/>
              </w:rPr>
              <w:t>1,156 a 25º</w:t>
            </w:r>
            <w:r w:rsidR="00217363" w:rsidRPr="00745FE7">
              <w:rPr>
                <w:lang w:val="es-ES"/>
              </w:rPr>
              <w:t> </w:t>
            </w:r>
            <w:r w:rsidRPr="00745FE7">
              <w:rPr>
                <w:lang w:val="es-ES"/>
              </w:rPr>
              <w:t>C (Toxnet, 2017)</w:t>
            </w:r>
          </w:p>
        </w:tc>
      </w:tr>
      <w:tr w:rsidR="002B0DBA" w:rsidRPr="00745FE7" w14:paraId="6C636316"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1DF7A51D" w14:textId="77777777" w:rsidR="002B0DBA" w:rsidRPr="00745FE7" w:rsidRDefault="002B0DBA" w:rsidP="00FE4699">
            <w:pPr>
              <w:spacing w:after="120"/>
              <w:rPr>
                <w:b/>
                <w:lang w:val="es-ES"/>
              </w:rPr>
            </w:pPr>
            <w:r w:rsidRPr="00745FE7">
              <w:rPr>
                <w:b/>
                <w:bCs/>
                <w:lang w:val="es-ES"/>
              </w:rPr>
              <w:t>1.8</w:t>
            </w:r>
          </w:p>
        </w:tc>
        <w:tc>
          <w:tcPr>
            <w:tcW w:w="1735" w:type="dxa"/>
            <w:tcBorders>
              <w:top w:val="nil"/>
              <w:left w:val="nil"/>
              <w:bottom w:val="nil"/>
              <w:right w:val="nil"/>
            </w:tcBorders>
          </w:tcPr>
          <w:p w14:paraId="4085FBBD" w14:textId="77777777" w:rsidR="002B0DBA" w:rsidRPr="00745FE7" w:rsidRDefault="002B0DBA" w:rsidP="00FE4699">
            <w:pPr>
              <w:spacing w:after="120"/>
              <w:rPr>
                <w:b/>
                <w:lang w:val="es-ES"/>
              </w:rPr>
            </w:pPr>
            <w:r w:rsidRPr="00745FE7">
              <w:rPr>
                <w:b/>
                <w:bCs/>
                <w:lang w:val="es-ES"/>
              </w:rPr>
              <w:t>Presión de vapor</w:t>
            </w:r>
          </w:p>
        </w:tc>
        <w:tc>
          <w:tcPr>
            <w:tcW w:w="6946" w:type="dxa"/>
            <w:tcBorders>
              <w:top w:val="nil"/>
              <w:left w:val="nil"/>
              <w:bottom w:val="nil"/>
              <w:right w:val="nil"/>
            </w:tcBorders>
          </w:tcPr>
          <w:p w14:paraId="6F174FF5" w14:textId="7D179CB2" w:rsidR="002B0DBA" w:rsidRPr="00745FE7" w:rsidRDefault="002B0DBA" w:rsidP="00FE4699">
            <w:pPr>
              <w:spacing w:after="120"/>
              <w:rPr>
                <w:lang w:val="es-ES"/>
              </w:rPr>
            </w:pPr>
            <w:r w:rsidRPr="00745FE7">
              <w:rPr>
                <w:lang w:val="es-ES"/>
              </w:rPr>
              <w:t>85 mPa a 25º</w:t>
            </w:r>
            <w:r w:rsidR="00A4087D" w:rsidRPr="00745FE7">
              <w:rPr>
                <w:lang w:val="es-ES"/>
              </w:rPr>
              <w:t> </w:t>
            </w:r>
            <w:r w:rsidRPr="00745FE7">
              <w:rPr>
                <w:lang w:val="es-ES"/>
              </w:rPr>
              <w:t xml:space="preserve">C </w:t>
            </w:r>
            <w:r w:rsidRPr="00745FE7">
              <w:rPr>
                <w:vertAlign w:val="superscript"/>
                <w:lang w:val="es-ES"/>
              </w:rPr>
              <w:t>(6)</w:t>
            </w:r>
          </w:p>
        </w:tc>
      </w:tr>
      <w:tr w:rsidR="002B0DBA" w:rsidRPr="00745FE7" w14:paraId="01C3B03E"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3BDD3136" w14:textId="77777777" w:rsidR="002B0DBA" w:rsidRPr="00745FE7" w:rsidRDefault="002B0DBA" w:rsidP="00FE4699">
            <w:pPr>
              <w:spacing w:after="120"/>
              <w:rPr>
                <w:b/>
                <w:lang w:val="es-ES"/>
              </w:rPr>
            </w:pPr>
            <w:r w:rsidRPr="00745FE7">
              <w:rPr>
                <w:b/>
                <w:bCs/>
                <w:lang w:val="es-ES"/>
              </w:rPr>
              <w:t>1.9</w:t>
            </w:r>
          </w:p>
        </w:tc>
        <w:tc>
          <w:tcPr>
            <w:tcW w:w="1735" w:type="dxa"/>
            <w:tcBorders>
              <w:top w:val="nil"/>
              <w:left w:val="nil"/>
              <w:bottom w:val="nil"/>
              <w:right w:val="nil"/>
            </w:tcBorders>
          </w:tcPr>
          <w:p w14:paraId="2FB5C5F3" w14:textId="37E6E092" w:rsidR="002B0DBA" w:rsidRPr="00745FE7" w:rsidRDefault="002C568E" w:rsidP="00FE4699">
            <w:pPr>
              <w:spacing w:after="120"/>
              <w:rPr>
                <w:b/>
                <w:lang w:val="es-ES"/>
              </w:rPr>
            </w:pPr>
            <w:r w:rsidRPr="00745FE7">
              <w:rPr>
                <w:b/>
                <w:bCs/>
                <w:lang w:val="es-ES"/>
              </w:rPr>
              <w:t>Constante de la ley </w:t>
            </w:r>
            <w:r w:rsidR="002B0DBA" w:rsidRPr="00745FE7">
              <w:rPr>
                <w:b/>
                <w:bCs/>
                <w:lang w:val="es-ES"/>
              </w:rPr>
              <w:t>de Henry</w:t>
            </w:r>
          </w:p>
        </w:tc>
        <w:tc>
          <w:tcPr>
            <w:tcW w:w="6946" w:type="dxa"/>
            <w:tcBorders>
              <w:top w:val="nil"/>
              <w:left w:val="nil"/>
              <w:bottom w:val="nil"/>
              <w:right w:val="nil"/>
            </w:tcBorders>
          </w:tcPr>
          <w:p w14:paraId="6B77D33E" w14:textId="77777777" w:rsidR="002B0DBA" w:rsidRPr="00745FE7" w:rsidRDefault="002B0DBA" w:rsidP="00FE4699">
            <w:pPr>
              <w:spacing w:after="120"/>
              <w:rPr>
                <w:vertAlign w:val="superscript"/>
                <w:lang w:val="es-ES"/>
              </w:rPr>
            </w:pPr>
            <w:r w:rsidRPr="00745FE7">
              <w:rPr>
                <w:lang w:val="es-ES"/>
              </w:rPr>
              <w:t>5,9 X 10</w:t>
            </w:r>
            <w:r w:rsidRPr="00745FE7">
              <w:rPr>
                <w:vertAlign w:val="superscript"/>
                <w:lang w:val="es-ES"/>
              </w:rPr>
              <w:t>-1</w:t>
            </w:r>
            <w:r w:rsidRPr="00745FE7">
              <w:rPr>
                <w:lang w:val="es-ES"/>
              </w:rPr>
              <w:t xml:space="preserve"> Pa m</w:t>
            </w:r>
            <w:r w:rsidRPr="00745FE7">
              <w:rPr>
                <w:vertAlign w:val="superscript"/>
                <w:lang w:val="es-ES"/>
              </w:rPr>
              <w:t>3</w:t>
            </w:r>
            <w:r w:rsidRPr="00745FE7">
              <w:rPr>
                <w:lang w:val="es-ES"/>
              </w:rPr>
              <w:t xml:space="preserve">/mol </w:t>
            </w:r>
            <w:r w:rsidRPr="00745FE7">
              <w:rPr>
                <w:vertAlign w:val="superscript"/>
                <w:lang w:val="es-ES"/>
              </w:rPr>
              <w:t>(6)</w:t>
            </w:r>
          </w:p>
          <w:p w14:paraId="6EEFD4CD" w14:textId="77777777" w:rsidR="002B0DBA" w:rsidRPr="00745FE7" w:rsidRDefault="002B0DBA" w:rsidP="00FE4699">
            <w:pPr>
              <w:spacing w:after="120"/>
              <w:rPr>
                <w:lang w:val="es-ES"/>
              </w:rPr>
            </w:pPr>
            <w:r w:rsidRPr="00745FE7">
              <w:rPr>
                <w:lang w:val="es-ES"/>
              </w:rPr>
              <w:t>4,368 X 10</w:t>
            </w:r>
            <w:r w:rsidRPr="00745FE7">
              <w:rPr>
                <w:vertAlign w:val="superscript"/>
                <w:lang w:val="es-ES"/>
              </w:rPr>
              <w:t>-6</w:t>
            </w:r>
            <w:r w:rsidRPr="00745FE7">
              <w:rPr>
                <w:lang w:val="es-ES"/>
              </w:rPr>
              <w:t xml:space="preserve"> atm.m</w:t>
            </w:r>
            <w:r w:rsidRPr="00745FE7">
              <w:rPr>
                <w:vertAlign w:val="superscript"/>
                <w:lang w:val="es-ES"/>
              </w:rPr>
              <w:t>3</w:t>
            </w:r>
            <w:r w:rsidRPr="00745FE7">
              <w:rPr>
                <w:lang w:val="es-ES"/>
              </w:rPr>
              <w:t xml:space="preserve">/mol </w:t>
            </w:r>
            <w:r w:rsidRPr="00745FE7">
              <w:rPr>
                <w:vertAlign w:val="superscript"/>
                <w:lang w:val="es-ES"/>
              </w:rPr>
              <w:t>(6)</w:t>
            </w:r>
          </w:p>
        </w:tc>
      </w:tr>
      <w:tr w:rsidR="002B0DBA" w:rsidRPr="00745FE7" w14:paraId="309E142F"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4B4CE010" w14:textId="77777777" w:rsidR="002B0DBA" w:rsidRPr="00745FE7" w:rsidRDefault="002B0DBA" w:rsidP="00FE4699">
            <w:pPr>
              <w:spacing w:after="120"/>
              <w:rPr>
                <w:b/>
                <w:lang w:val="es-ES"/>
              </w:rPr>
            </w:pPr>
            <w:r w:rsidRPr="00745FE7">
              <w:rPr>
                <w:b/>
                <w:bCs/>
                <w:lang w:val="es-ES"/>
              </w:rPr>
              <w:t>1.10</w:t>
            </w:r>
          </w:p>
        </w:tc>
        <w:tc>
          <w:tcPr>
            <w:tcW w:w="1735" w:type="dxa"/>
            <w:tcBorders>
              <w:top w:val="nil"/>
              <w:left w:val="nil"/>
              <w:bottom w:val="nil"/>
              <w:right w:val="nil"/>
            </w:tcBorders>
          </w:tcPr>
          <w:p w14:paraId="5F3C9FBA" w14:textId="77777777" w:rsidR="002B0DBA" w:rsidRPr="00745FE7" w:rsidRDefault="002B0DBA" w:rsidP="00FE4699">
            <w:pPr>
              <w:spacing w:after="120"/>
              <w:rPr>
                <w:b/>
                <w:lang w:val="es-ES"/>
              </w:rPr>
            </w:pPr>
            <w:r w:rsidRPr="00745FE7">
              <w:rPr>
                <w:b/>
                <w:bCs/>
                <w:lang w:val="es-ES"/>
              </w:rPr>
              <w:t>Solubilidad en agua</w:t>
            </w:r>
          </w:p>
        </w:tc>
        <w:tc>
          <w:tcPr>
            <w:tcW w:w="6946" w:type="dxa"/>
            <w:tcBorders>
              <w:top w:val="nil"/>
              <w:left w:val="nil"/>
              <w:bottom w:val="nil"/>
              <w:right w:val="nil"/>
            </w:tcBorders>
          </w:tcPr>
          <w:p w14:paraId="33C89237" w14:textId="34766CE2" w:rsidR="002B0DBA" w:rsidRPr="00745FE7" w:rsidRDefault="002B0DBA" w:rsidP="00FE4699">
            <w:pPr>
              <w:spacing w:after="120"/>
              <w:rPr>
                <w:lang w:val="es-ES"/>
              </w:rPr>
            </w:pPr>
            <w:r w:rsidRPr="00745FE7">
              <w:rPr>
                <w:lang w:val="es-ES"/>
              </w:rPr>
              <w:t>50 (mg/l) a 25º</w:t>
            </w:r>
            <w:r w:rsidR="00A4087D" w:rsidRPr="00745FE7">
              <w:rPr>
                <w:lang w:val="es-ES"/>
              </w:rPr>
              <w:t> </w:t>
            </w:r>
            <w:r w:rsidRPr="00745FE7">
              <w:rPr>
                <w:lang w:val="es-ES"/>
              </w:rPr>
              <w:t xml:space="preserve">C </w:t>
            </w:r>
            <w:r w:rsidRPr="00745FE7">
              <w:rPr>
                <w:vertAlign w:val="superscript"/>
                <w:lang w:val="es-ES"/>
              </w:rPr>
              <w:t>(6)</w:t>
            </w:r>
          </w:p>
        </w:tc>
      </w:tr>
      <w:tr w:rsidR="002B0DBA" w:rsidRPr="00745FE7" w14:paraId="0DF04BFD"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3B791E80" w14:textId="77777777" w:rsidR="002B0DBA" w:rsidRPr="00745FE7" w:rsidRDefault="002B0DBA" w:rsidP="00FE4699">
            <w:pPr>
              <w:spacing w:after="120"/>
              <w:rPr>
                <w:b/>
                <w:lang w:val="es-ES"/>
              </w:rPr>
            </w:pPr>
            <w:r w:rsidRPr="00745FE7">
              <w:rPr>
                <w:b/>
                <w:bCs/>
                <w:lang w:val="es-ES"/>
              </w:rPr>
              <w:t>1.11</w:t>
            </w:r>
          </w:p>
        </w:tc>
        <w:tc>
          <w:tcPr>
            <w:tcW w:w="1735" w:type="dxa"/>
            <w:tcBorders>
              <w:top w:val="nil"/>
              <w:left w:val="nil"/>
              <w:bottom w:val="nil"/>
              <w:right w:val="nil"/>
            </w:tcBorders>
          </w:tcPr>
          <w:p w14:paraId="3093DCA8" w14:textId="77777777" w:rsidR="002B0DBA" w:rsidRPr="00745FE7" w:rsidRDefault="002B0DBA" w:rsidP="00FE4699">
            <w:pPr>
              <w:spacing w:after="120"/>
              <w:rPr>
                <w:b/>
                <w:lang w:val="es-ES"/>
              </w:rPr>
            </w:pPr>
            <w:r w:rsidRPr="00745FE7">
              <w:rPr>
                <w:b/>
                <w:lang w:val="es-ES"/>
              </w:rPr>
              <w:t>Solubilidad en solventes orgánicos</w:t>
            </w:r>
          </w:p>
        </w:tc>
        <w:tc>
          <w:tcPr>
            <w:tcW w:w="6946" w:type="dxa"/>
            <w:tcBorders>
              <w:top w:val="nil"/>
              <w:left w:val="nil"/>
              <w:bottom w:val="nil"/>
              <w:right w:val="nil"/>
            </w:tcBorders>
          </w:tcPr>
          <w:p w14:paraId="3384EFCD" w14:textId="77777777" w:rsidR="002B0DBA" w:rsidRPr="00745FE7" w:rsidRDefault="002B0DBA" w:rsidP="00FE4699">
            <w:pPr>
              <w:spacing w:after="120"/>
              <w:rPr>
                <w:lang w:val="es-ES"/>
              </w:rPr>
            </w:pPr>
            <w:r w:rsidRPr="00745FE7">
              <w:rPr>
                <w:lang w:val="es-ES"/>
              </w:rPr>
              <w:t xml:space="preserve">Miscible con alcoholes, cetona, éteres, ésteres, hidrocarburos clorados, aromáticos y alfiáticos, dioxano, aceites vegetales y otros solventes orgánicos. </w:t>
            </w:r>
            <w:r w:rsidRPr="00745FE7">
              <w:rPr>
                <w:vertAlign w:val="superscript"/>
                <w:lang w:val="es-ES"/>
              </w:rPr>
              <w:t>(6)</w:t>
            </w:r>
          </w:p>
        </w:tc>
      </w:tr>
      <w:tr w:rsidR="002B0DBA" w:rsidRPr="00745FE7" w14:paraId="4BFDDA4A"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569FEB72" w14:textId="77777777" w:rsidR="002B0DBA" w:rsidRPr="00745FE7" w:rsidRDefault="002B0DBA" w:rsidP="00FE4699">
            <w:pPr>
              <w:spacing w:after="120"/>
              <w:rPr>
                <w:b/>
                <w:lang w:val="es-ES"/>
              </w:rPr>
            </w:pPr>
            <w:r w:rsidRPr="00745FE7">
              <w:rPr>
                <w:b/>
                <w:bCs/>
                <w:lang w:val="es-ES"/>
              </w:rPr>
              <w:t>1.12</w:t>
            </w:r>
          </w:p>
        </w:tc>
        <w:tc>
          <w:tcPr>
            <w:tcW w:w="1735" w:type="dxa"/>
            <w:tcBorders>
              <w:top w:val="nil"/>
              <w:left w:val="nil"/>
              <w:bottom w:val="nil"/>
              <w:right w:val="nil"/>
            </w:tcBorders>
          </w:tcPr>
          <w:p w14:paraId="501859A4" w14:textId="77777777" w:rsidR="002B0DBA" w:rsidRPr="00745FE7" w:rsidRDefault="002B0DBA" w:rsidP="00FE4699">
            <w:pPr>
              <w:spacing w:after="120"/>
              <w:rPr>
                <w:b/>
                <w:lang w:val="es-ES"/>
              </w:rPr>
            </w:pPr>
            <w:r w:rsidRPr="00745FE7">
              <w:rPr>
                <w:b/>
                <w:lang w:val="es-ES"/>
              </w:rPr>
              <w:t>Coeficiente de reparto</w:t>
            </w:r>
          </w:p>
        </w:tc>
        <w:tc>
          <w:tcPr>
            <w:tcW w:w="6946" w:type="dxa"/>
            <w:tcBorders>
              <w:top w:val="nil"/>
              <w:left w:val="nil"/>
              <w:bottom w:val="nil"/>
              <w:right w:val="nil"/>
            </w:tcBorders>
          </w:tcPr>
          <w:p w14:paraId="5133D1A0" w14:textId="77777777" w:rsidR="002B0DBA" w:rsidRPr="00745FE7" w:rsidRDefault="002B0DBA" w:rsidP="00FE4699">
            <w:pPr>
              <w:spacing w:after="120"/>
              <w:rPr>
                <w:lang w:val="es-ES"/>
              </w:rPr>
            </w:pPr>
            <w:r w:rsidRPr="00745FE7">
              <w:rPr>
                <w:lang w:val="es-ES"/>
              </w:rPr>
              <w:t>Log K</w:t>
            </w:r>
            <w:r w:rsidRPr="00745FE7">
              <w:rPr>
                <w:vertAlign w:val="subscript"/>
                <w:lang w:val="es-ES"/>
              </w:rPr>
              <w:t>ow</w:t>
            </w:r>
            <w:r w:rsidRPr="00745FE7">
              <w:rPr>
                <w:lang w:val="es-ES"/>
              </w:rPr>
              <w:t xml:space="preserve">: 3,92 </w:t>
            </w:r>
            <w:r w:rsidRPr="00745FE7">
              <w:rPr>
                <w:vertAlign w:val="superscript"/>
                <w:lang w:val="es-ES"/>
              </w:rPr>
              <w:t>(6)</w:t>
            </w:r>
          </w:p>
        </w:tc>
      </w:tr>
      <w:tr w:rsidR="002B0DBA" w:rsidRPr="00745FE7" w14:paraId="45DE9412"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64AC29B0" w14:textId="77777777" w:rsidR="002B0DBA" w:rsidRPr="00745FE7" w:rsidRDefault="002B0DBA" w:rsidP="00FE4699">
            <w:pPr>
              <w:spacing w:after="120"/>
              <w:rPr>
                <w:b/>
                <w:lang w:val="es-ES"/>
              </w:rPr>
            </w:pPr>
            <w:r w:rsidRPr="00745FE7">
              <w:rPr>
                <w:b/>
                <w:bCs/>
                <w:lang w:val="es-ES"/>
              </w:rPr>
              <w:t>1.13</w:t>
            </w:r>
          </w:p>
        </w:tc>
        <w:tc>
          <w:tcPr>
            <w:tcW w:w="1735" w:type="dxa"/>
            <w:tcBorders>
              <w:top w:val="nil"/>
              <w:left w:val="nil"/>
              <w:bottom w:val="nil"/>
              <w:right w:val="nil"/>
            </w:tcBorders>
          </w:tcPr>
          <w:p w14:paraId="3BC838DA" w14:textId="77777777" w:rsidR="002B0DBA" w:rsidRPr="00745FE7" w:rsidRDefault="002B0DBA" w:rsidP="00FE4699">
            <w:pPr>
              <w:spacing w:after="120"/>
              <w:rPr>
                <w:b/>
                <w:lang w:val="es-ES"/>
              </w:rPr>
            </w:pPr>
            <w:r w:rsidRPr="00745FE7">
              <w:rPr>
                <w:b/>
                <w:lang w:val="es-ES"/>
              </w:rPr>
              <w:t>Constante de disociación</w:t>
            </w:r>
          </w:p>
        </w:tc>
        <w:tc>
          <w:tcPr>
            <w:tcW w:w="6946" w:type="dxa"/>
            <w:tcBorders>
              <w:top w:val="nil"/>
              <w:left w:val="nil"/>
              <w:bottom w:val="nil"/>
              <w:right w:val="nil"/>
            </w:tcBorders>
          </w:tcPr>
          <w:p w14:paraId="0B39DCF7" w14:textId="77777777" w:rsidR="002B0DBA" w:rsidRPr="00745FE7" w:rsidRDefault="002B0DBA" w:rsidP="00FE4699">
            <w:pPr>
              <w:spacing w:after="120"/>
              <w:rPr>
                <w:lang w:val="es-ES"/>
              </w:rPr>
            </w:pPr>
            <w:r w:rsidRPr="00745FE7">
              <w:rPr>
                <w:lang w:val="es-ES"/>
              </w:rPr>
              <w:t>No disponible, no se espera pKa en el radio de acción del pH de interés ambiental</w:t>
            </w:r>
          </w:p>
        </w:tc>
      </w:tr>
      <w:tr w:rsidR="002B0DBA" w:rsidRPr="00745FE7" w14:paraId="7CF7EF6D"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06E3540E" w14:textId="77777777" w:rsidR="002B0DBA" w:rsidRPr="00745FE7" w:rsidRDefault="002B0DBA" w:rsidP="00FE4699">
            <w:pPr>
              <w:spacing w:after="120"/>
              <w:rPr>
                <w:b/>
                <w:lang w:val="es-ES"/>
              </w:rPr>
            </w:pPr>
            <w:r w:rsidRPr="00745FE7">
              <w:rPr>
                <w:b/>
                <w:bCs/>
                <w:lang w:val="es-ES"/>
              </w:rPr>
              <w:t>1.14</w:t>
            </w:r>
          </w:p>
        </w:tc>
        <w:tc>
          <w:tcPr>
            <w:tcW w:w="1735" w:type="dxa"/>
            <w:tcBorders>
              <w:top w:val="nil"/>
              <w:left w:val="nil"/>
              <w:bottom w:val="nil"/>
              <w:right w:val="nil"/>
            </w:tcBorders>
          </w:tcPr>
          <w:p w14:paraId="5A1C4492" w14:textId="77777777" w:rsidR="002B0DBA" w:rsidRPr="00745FE7" w:rsidRDefault="002B0DBA" w:rsidP="00FE4699">
            <w:pPr>
              <w:spacing w:after="120"/>
              <w:rPr>
                <w:b/>
                <w:lang w:val="es-ES"/>
              </w:rPr>
            </w:pPr>
            <w:r w:rsidRPr="00745FE7">
              <w:rPr>
                <w:b/>
                <w:lang w:val="es-ES"/>
              </w:rPr>
              <w:t>Tensión superficial</w:t>
            </w:r>
          </w:p>
        </w:tc>
        <w:tc>
          <w:tcPr>
            <w:tcW w:w="6946" w:type="dxa"/>
            <w:tcBorders>
              <w:top w:val="nil"/>
              <w:left w:val="nil"/>
              <w:bottom w:val="nil"/>
              <w:right w:val="nil"/>
            </w:tcBorders>
          </w:tcPr>
          <w:p w14:paraId="097F8AAE" w14:textId="77777777" w:rsidR="002B0DBA" w:rsidRPr="00745FE7" w:rsidRDefault="002B0DBA" w:rsidP="00FE4699">
            <w:pPr>
              <w:spacing w:after="120"/>
              <w:rPr>
                <w:lang w:val="es-ES"/>
              </w:rPr>
            </w:pPr>
            <w:r w:rsidRPr="00745FE7">
              <w:rPr>
                <w:lang w:val="es-ES"/>
              </w:rPr>
              <w:t>No se dispone</w:t>
            </w:r>
          </w:p>
        </w:tc>
      </w:tr>
      <w:tr w:rsidR="002B0DBA" w:rsidRPr="00745FE7" w14:paraId="27E3CD99"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4EA92DF8" w14:textId="77777777" w:rsidR="002B0DBA" w:rsidRPr="00745FE7" w:rsidRDefault="002B0DBA" w:rsidP="00FE4699">
            <w:pPr>
              <w:spacing w:after="120"/>
              <w:rPr>
                <w:b/>
                <w:lang w:val="es-ES"/>
              </w:rPr>
            </w:pPr>
            <w:r w:rsidRPr="00745FE7">
              <w:rPr>
                <w:b/>
                <w:bCs/>
                <w:lang w:val="es-ES"/>
              </w:rPr>
              <w:t>1.15</w:t>
            </w:r>
          </w:p>
        </w:tc>
        <w:tc>
          <w:tcPr>
            <w:tcW w:w="1735" w:type="dxa"/>
            <w:tcBorders>
              <w:top w:val="nil"/>
              <w:left w:val="nil"/>
              <w:bottom w:val="nil"/>
              <w:right w:val="nil"/>
            </w:tcBorders>
          </w:tcPr>
          <w:p w14:paraId="4B556938" w14:textId="77777777" w:rsidR="002B0DBA" w:rsidRPr="00745FE7" w:rsidRDefault="002B0DBA" w:rsidP="00FE4699">
            <w:pPr>
              <w:spacing w:after="120"/>
              <w:rPr>
                <w:b/>
                <w:lang w:val="es-ES"/>
              </w:rPr>
            </w:pPr>
            <w:r w:rsidRPr="00745FE7">
              <w:rPr>
                <w:b/>
                <w:bCs/>
                <w:lang w:val="es-ES"/>
              </w:rPr>
              <w:t>Estabilidad hidrolítica (DT</w:t>
            </w:r>
            <w:r w:rsidRPr="00745FE7">
              <w:rPr>
                <w:b/>
                <w:bCs/>
                <w:vertAlign w:val="subscript"/>
                <w:lang w:val="es-ES"/>
              </w:rPr>
              <w:t>50</w:t>
            </w:r>
            <w:r w:rsidRPr="00745FE7">
              <w:rPr>
                <w:b/>
                <w:bCs/>
                <w:lang w:val="es-ES"/>
              </w:rPr>
              <w:t>)</w:t>
            </w:r>
          </w:p>
        </w:tc>
        <w:tc>
          <w:tcPr>
            <w:tcW w:w="6946" w:type="dxa"/>
            <w:tcBorders>
              <w:top w:val="nil"/>
              <w:left w:val="nil"/>
              <w:bottom w:val="nil"/>
              <w:right w:val="nil"/>
            </w:tcBorders>
          </w:tcPr>
          <w:p w14:paraId="26B2794A" w14:textId="77777777" w:rsidR="002B0DBA" w:rsidRPr="00745FE7" w:rsidRDefault="002B0DBA" w:rsidP="00FE4699">
            <w:pPr>
              <w:tabs>
                <w:tab w:val="left" w:pos="1032"/>
              </w:tabs>
              <w:spacing w:after="120"/>
              <w:rPr>
                <w:lang w:val="es-ES"/>
              </w:rPr>
            </w:pPr>
            <w:r w:rsidRPr="00745FE7">
              <w:rPr>
                <w:lang w:val="es-ES"/>
              </w:rPr>
              <w:t xml:space="preserve">2,6 d (pH 5), 3,2 d (pH 7), 3,9 d (pH 9) </w:t>
            </w:r>
            <w:r w:rsidRPr="00745FE7">
              <w:rPr>
                <w:vertAlign w:val="superscript"/>
                <w:lang w:val="es-ES"/>
              </w:rPr>
              <w:t>(6)</w:t>
            </w:r>
          </w:p>
        </w:tc>
      </w:tr>
      <w:tr w:rsidR="002B0DBA" w:rsidRPr="00745FE7" w14:paraId="782164EA"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69532585" w14:textId="77777777" w:rsidR="002B0DBA" w:rsidRPr="00745FE7" w:rsidRDefault="002B0DBA" w:rsidP="00FE4699">
            <w:pPr>
              <w:spacing w:after="120"/>
              <w:rPr>
                <w:b/>
                <w:lang w:val="es-ES"/>
              </w:rPr>
            </w:pPr>
            <w:r w:rsidRPr="00745FE7">
              <w:rPr>
                <w:b/>
                <w:bCs/>
                <w:lang w:val="es-ES"/>
              </w:rPr>
              <w:t>1.16</w:t>
            </w:r>
          </w:p>
        </w:tc>
        <w:tc>
          <w:tcPr>
            <w:tcW w:w="1735" w:type="dxa"/>
            <w:tcBorders>
              <w:top w:val="nil"/>
              <w:left w:val="nil"/>
              <w:bottom w:val="nil"/>
              <w:right w:val="nil"/>
            </w:tcBorders>
          </w:tcPr>
          <w:p w14:paraId="35D34F56" w14:textId="77777777" w:rsidR="002B0DBA" w:rsidRPr="00745FE7" w:rsidRDefault="002B0DBA" w:rsidP="00FE4699">
            <w:pPr>
              <w:spacing w:after="120"/>
              <w:rPr>
                <w:b/>
                <w:lang w:val="es-ES"/>
              </w:rPr>
            </w:pPr>
            <w:r w:rsidRPr="00745FE7">
              <w:rPr>
                <w:b/>
                <w:bCs/>
                <w:lang w:val="es-ES"/>
              </w:rPr>
              <w:t>Temperatura de descomposición</w:t>
            </w:r>
          </w:p>
        </w:tc>
        <w:tc>
          <w:tcPr>
            <w:tcW w:w="6946" w:type="dxa"/>
            <w:tcBorders>
              <w:top w:val="nil"/>
              <w:left w:val="nil"/>
              <w:bottom w:val="nil"/>
              <w:right w:val="nil"/>
            </w:tcBorders>
          </w:tcPr>
          <w:p w14:paraId="06975EED" w14:textId="77777777" w:rsidR="002B0DBA" w:rsidRPr="00745FE7" w:rsidRDefault="002B0DBA" w:rsidP="00FE4699">
            <w:pPr>
              <w:spacing w:after="120"/>
              <w:rPr>
                <w:lang w:val="es-ES"/>
              </w:rPr>
            </w:pPr>
            <w:r w:rsidRPr="00745FE7">
              <w:rPr>
                <w:lang w:val="es-ES"/>
              </w:rPr>
              <w:t>No hay información disponible</w:t>
            </w:r>
          </w:p>
        </w:tc>
      </w:tr>
      <w:tr w:rsidR="002B0DBA" w:rsidRPr="00745FE7" w14:paraId="6DAA4ADE"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34295567" w14:textId="77777777" w:rsidR="002B0DBA" w:rsidRPr="00745FE7" w:rsidRDefault="002B0DBA" w:rsidP="00FE4699">
            <w:pPr>
              <w:spacing w:after="120"/>
              <w:rPr>
                <w:b/>
                <w:lang w:val="es-ES"/>
              </w:rPr>
            </w:pPr>
            <w:r w:rsidRPr="00745FE7">
              <w:rPr>
                <w:b/>
                <w:bCs/>
                <w:lang w:val="es-ES"/>
              </w:rPr>
              <w:t>1.17</w:t>
            </w:r>
          </w:p>
        </w:tc>
        <w:tc>
          <w:tcPr>
            <w:tcW w:w="1735" w:type="dxa"/>
            <w:tcBorders>
              <w:top w:val="nil"/>
              <w:left w:val="nil"/>
              <w:bottom w:val="nil"/>
              <w:right w:val="nil"/>
            </w:tcBorders>
          </w:tcPr>
          <w:p w14:paraId="30BE1594" w14:textId="51735FEE" w:rsidR="002B0DBA" w:rsidRPr="00745FE7" w:rsidRDefault="002B0DBA" w:rsidP="00FE4699">
            <w:pPr>
              <w:spacing w:after="120"/>
              <w:outlineLvl w:val="2"/>
              <w:rPr>
                <w:b/>
                <w:bCs/>
                <w:lang w:val="es-ES"/>
              </w:rPr>
            </w:pPr>
            <w:r w:rsidRPr="00745FE7">
              <w:rPr>
                <w:b/>
                <w:bCs/>
                <w:lang w:val="es-ES"/>
              </w:rPr>
              <w:t>Resistencia a los</w:t>
            </w:r>
            <w:r w:rsidR="00727E28" w:rsidRPr="00745FE7">
              <w:rPr>
                <w:b/>
                <w:bCs/>
                <w:lang w:val="es-ES"/>
              </w:rPr>
              <w:t> </w:t>
            </w:r>
            <w:r w:rsidRPr="00745FE7">
              <w:rPr>
                <w:b/>
                <w:bCs/>
                <w:lang w:val="es-ES"/>
              </w:rPr>
              <w:t>ácidos</w:t>
            </w:r>
          </w:p>
        </w:tc>
        <w:tc>
          <w:tcPr>
            <w:tcW w:w="6946" w:type="dxa"/>
            <w:tcBorders>
              <w:top w:val="nil"/>
              <w:left w:val="nil"/>
              <w:bottom w:val="nil"/>
              <w:right w:val="nil"/>
            </w:tcBorders>
          </w:tcPr>
          <w:p w14:paraId="074E9B59" w14:textId="5D880CB9" w:rsidR="002B0DBA" w:rsidRPr="00745FE7" w:rsidRDefault="002B0DBA" w:rsidP="00FE4699">
            <w:pPr>
              <w:spacing w:after="120"/>
              <w:rPr>
                <w:lang w:val="es-ES"/>
              </w:rPr>
            </w:pPr>
            <w:r w:rsidRPr="00745FE7">
              <w:rPr>
                <w:lang w:val="es-ES"/>
              </w:rPr>
              <w:t>El forato está sujeto a hidrólisis en condiciones alcalinas, pero es estable en condiciones neutras y ácidas.</w:t>
            </w:r>
            <w:r w:rsidR="009B760B" w:rsidRPr="00745FE7">
              <w:rPr>
                <w:lang w:val="es-ES"/>
              </w:rPr>
              <w:t xml:space="preserve"> </w:t>
            </w:r>
            <w:r w:rsidRPr="00745FE7">
              <w:rPr>
                <w:lang w:val="es-ES"/>
              </w:rPr>
              <w:t>(PubChem, 2017c)</w:t>
            </w:r>
          </w:p>
        </w:tc>
      </w:tr>
      <w:tr w:rsidR="002B0DBA" w:rsidRPr="00745FE7" w14:paraId="4AA59E0F"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390726ED" w14:textId="77777777" w:rsidR="002B0DBA" w:rsidRPr="00745FE7" w:rsidRDefault="002B0DBA" w:rsidP="00FE4699">
            <w:pPr>
              <w:spacing w:after="120"/>
              <w:rPr>
                <w:b/>
                <w:lang w:val="es-ES"/>
              </w:rPr>
            </w:pPr>
            <w:r w:rsidRPr="00745FE7">
              <w:rPr>
                <w:b/>
                <w:bCs/>
                <w:lang w:val="es-ES"/>
              </w:rPr>
              <w:t>1.18</w:t>
            </w:r>
          </w:p>
        </w:tc>
        <w:tc>
          <w:tcPr>
            <w:tcW w:w="1735" w:type="dxa"/>
            <w:tcBorders>
              <w:top w:val="nil"/>
              <w:left w:val="nil"/>
              <w:bottom w:val="nil"/>
              <w:right w:val="nil"/>
            </w:tcBorders>
          </w:tcPr>
          <w:p w14:paraId="626D2ABC" w14:textId="52341A55" w:rsidR="002B0DBA" w:rsidRPr="00745FE7" w:rsidRDefault="002B0DBA" w:rsidP="00FE4699">
            <w:pPr>
              <w:spacing w:after="120"/>
              <w:outlineLvl w:val="2"/>
              <w:rPr>
                <w:b/>
                <w:bCs/>
                <w:lang w:val="es-ES"/>
              </w:rPr>
            </w:pPr>
            <w:r w:rsidRPr="00745FE7">
              <w:rPr>
                <w:b/>
                <w:bCs/>
                <w:lang w:val="es-ES"/>
              </w:rPr>
              <w:t>Resistencia a los</w:t>
            </w:r>
            <w:r w:rsidR="00727E28" w:rsidRPr="00745FE7">
              <w:rPr>
                <w:b/>
                <w:bCs/>
                <w:lang w:val="es-ES"/>
              </w:rPr>
              <w:t> </w:t>
            </w:r>
            <w:r w:rsidRPr="00745FE7">
              <w:rPr>
                <w:b/>
                <w:bCs/>
                <w:lang w:val="es-ES"/>
              </w:rPr>
              <w:t>álcalis</w:t>
            </w:r>
          </w:p>
        </w:tc>
        <w:tc>
          <w:tcPr>
            <w:tcW w:w="6946" w:type="dxa"/>
            <w:tcBorders>
              <w:top w:val="nil"/>
              <w:left w:val="nil"/>
              <w:bottom w:val="nil"/>
              <w:right w:val="nil"/>
            </w:tcBorders>
          </w:tcPr>
          <w:p w14:paraId="110D69EF" w14:textId="33AB8CC4" w:rsidR="002B0DBA" w:rsidRPr="00745FE7" w:rsidRDefault="002B0DBA" w:rsidP="00FE4699">
            <w:pPr>
              <w:spacing w:after="120"/>
              <w:rPr>
                <w:lang w:val="es-ES"/>
              </w:rPr>
            </w:pPr>
            <w:r w:rsidRPr="00745FE7">
              <w:rPr>
                <w:lang w:val="es-ES"/>
              </w:rPr>
              <w:t>El forato está sujeto a hidrólisis en condiciones alcalinas, pero es estable en condiciones neutras y ácidas.</w:t>
            </w:r>
            <w:r w:rsidR="009B760B" w:rsidRPr="00745FE7">
              <w:rPr>
                <w:lang w:val="es-ES"/>
              </w:rPr>
              <w:t xml:space="preserve"> </w:t>
            </w:r>
            <w:r w:rsidRPr="00745FE7">
              <w:rPr>
                <w:lang w:val="es-ES"/>
              </w:rPr>
              <w:t>(PubChem, 2017c)</w:t>
            </w:r>
          </w:p>
        </w:tc>
      </w:tr>
      <w:tr w:rsidR="002B0DBA" w:rsidRPr="00745FE7" w14:paraId="5E93505C"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4EAD940B" w14:textId="77777777" w:rsidR="002B0DBA" w:rsidRPr="00745FE7" w:rsidRDefault="002B0DBA" w:rsidP="00FE4699">
            <w:pPr>
              <w:spacing w:after="120"/>
              <w:rPr>
                <w:b/>
                <w:lang w:val="es-ES"/>
              </w:rPr>
            </w:pPr>
            <w:r w:rsidRPr="00745FE7">
              <w:rPr>
                <w:b/>
                <w:bCs/>
                <w:lang w:val="es-ES"/>
              </w:rPr>
              <w:t>1.19</w:t>
            </w:r>
          </w:p>
        </w:tc>
        <w:tc>
          <w:tcPr>
            <w:tcW w:w="1735" w:type="dxa"/>
            <w:tcBorders>
              <w:top w:val="nil"/>
              <w:left w:val="nil"/>
              <w:bottom w:val="nil"/>
              <w:right w:val="nil"/>
            </w:tcBorders>
          </w:tcPr>
          <w:p w14:paraId="741547BB" w14:textId="0773EF4A" w:rsidR="002B0DBA" w:rsidRPr="00745FE7" w:rsidRDefault="002B0DBA" w:rsidP="00FE4699">
            <w:pPr>
              <w:spacing w:after="120"/>
              <w:outlineLvl w:val="2"/>
              <w:rPr>
                <w:b/>
                <w:bCs/>
                <w:lang w:val="es-ES"/>
              </w:rPr>
            </w:pPr>
            <w:r w:rsidRPr="00745FE7">
              <w:rPr>
                <w:b/>
                <w:lang w:val="es-ES"/>
              </w:rPr>
              <w:t>Resistencia a la</w:t>
            </w:r>
            <w:r w:rsidR="00727E28" w:rsidRPr="00745FE7">
              <w:rPr>
                <w:b/>
                <w:lang w:val="es-ES"/>
              </w:rPr>
              <w:t> </w:t>
            </w:r>
            <w:r w:rsidRPr="00745FE7">
              <w:rPr>
                <w:b/>
                <w:lang w:val="es-ES"/>
              </w:rPr>
              <w:t>tracción (</w:t>
            </w:r>
            <w:r w:rsidR="00727E28" w:rsidRPr="00745FE7">
              <w:rPr>
                <w:b/>
                <w:lang w:val="es-ES"/>
              </w:rPr>
              <w:t>10</w:t>
            </w:r>
            <w:r w:rsidR="00727E28" w:rsidRPr="00745FE7">
              <w:rPr>
                <w:b/>
                <w:vertAlign w:val="superscript"/>
                <w:lang w:val="es-ES"/>
              </w:rPr>
              <w:t>3</w:t>
            </w:r>
            <w:r w:rsidR="00727E28" w:rsidRPr="00745FE7">
              <w:rPr>
                <w:b/>
                <w:lang w:val="es-ES"/>
              </w:rPr>
              <w:t> </w:t>
            </w:r>
            <w:r w:rsidRPr="00745FE7">
              <w:rPr>
                <w:b/>
                <w:lang w:val="es-ES"/>
              </w:rPr>
              <w:t>kg/cm</w:t>
            </w:r>
            <w:r w:rsidRPr="00745FE7">
              <w:rPr>
                <w:b/>
                <w:vertAlign w:val="superscript"/>
                <w:lang w:val="es-ES"/>
              </w:rPr>
              <w:t>2</w:t>
            </w:r>
            <w:r w:rsidRPr="00745FE7">
              <w:rPr>
                <w:b/>
                <w:lang w:val="es-ES"/>
              </w:rPr>
              <w:t>)</w:t>
            </w:r>
          </w:p>
        </w:tc>
        <w:tc>
          <w:tcPr>
            <w:tcW w:w="6946" w:type="dxa"/>
            <w:tcBorders>
              <w:top w:val="nil"/>
              <w:left w:val="nil"/>
              <w:bottom w:val="nil"/>
              <w:right w:val="nil"/>
            </w:tcBorders>
          </w:tcPr>
          <w:p w14:paraId="6F6DB3B0" w14:textId="77777777" w:rsidR="002B0DBA" w:rsidRPr="00745FE7" w:rsidRDefault="002B0DBA" w:rsidP="00FE4699">
            <w:pPr>
              <w:spacing w:after="120"/>
              <w:rPr>
                <w:lang w:val="es-ES"/>
              </w:rPr>
            </w:pPr>
            <w:r w:rsidRPr="00745FE7">
              <w:rPr>
                <w:lang w:val="es-ES"/>
              </w:rPr>
              <w:t>No se aplica</w:t>
            </w:r>
          </w:p>
        </w:tc>
      </w:tr>
      <w:tr w:rsidR="002B0DBA" w:rsidRPr="00745FE7" w14:paraId="1FF78F1E"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547EC924" w14:textId="77777777" w:rsidR="002B0DBA" w:rsidRPr="00745FE7" w:rsidRDefault="002B0DBA" w:rsidP="00FE4699">
            <w:pPr>
              <w:spacing w:after="120"/>
              <w:rPr>
                <w:b/>
                <w:lang w:val="es-ES"/>
              </w:rPr>
            </w:pPr>
            <w:r w:rsidRPr="00745FE7">
              <w:rPr>
                <w:b/>
                <w:bCs/>
                <w:lang w:val="es-ES"/>
              </w:rPr>
              <w:t>1.20</w:t>
            </w:r>
          </w:p>
        </w:tc>
        <w:tc>
          <w:tcPr>
            <w:tcW w:w="1735" w:type="dxa"/>
            <w:tcBorders>
              <w:top w:val="nil"/>
              <w:left w:val="nil"/>
              <w:bottom w:val="nil"/>
              <w:right w:val="nil"/>
            </w:tcBorders>
          </w:tcPr>
          <w:p w14:paraId="1EF73D40" w14:textId="77777777" w:rsidR="002B0DBA" w:rsidRPr="00745FE7" w:rsidRDefault="002B0DBA" w:rsidP="00FE4699">
            <w:pPr>
              <w:spacing w:after="120"/>
              <w:outlineLvl w:val="2"/>
              <w:rPr>
                <w:b/>
                <w:bCs/>
                <w:lang w:val="es-ES"/>
              </w:rPr>
            </w:pPr>
            <w:r w:rsidRPr="00745FE7">
              <w:rPr>
                <w:b/>
                <w:lang w:val="es-ES"/>
              </w:rPr>
              <w:t>Estabilidad durante el almacenamiento</w:t>
            </w:r>
          </w:p>
        </w:tc>
        <w:tc>
          <w:tcPr>
            <w:tcW w:w="6946" w:type="dxa"/>
            <w:tcBorders>
              <w:top w:val="nil"/>
              <w:left w:val="nil"/>
              <w:bottom w:val="nil"/>
              <w:right w:val="nil"/>
            </w:tcBorders>
          </w:tcPr>
          <w:p w14:paraId="0DF58B8E" w14:textId="77777777" w:rsidR="002B0DBA" w:rsidRPr="00745FE7" w:rsidRDefault="002B0DBA" w:rsidP="00FE4699">
            <w:pPr>
              <w:spacing w:after="120"/>
              <w:rPr>
                <w:spacing w:val="-2"/>
                <w:lang w:val="es-ES"/>
              </w:rPr>
            </w:pPr>
            <w:r w:rsidRPr="00745FE7">
              <w:rPr>
                <w:spacing w:val="-2"/>
                <w:lang w:val="es-ES"/>
              </w:rPr>
              <w:t xml:space="preserve">Estable en condiciones normales de almacenamiento durante 2 años como mínimo </w:t>
            </w:r>
            <w:r w:rsidRPr="00745FE7">
              <w:rPr>
                <w:spacing w:val="-2"/>
                <w:vertAlign w:val="superscript"/>
                <w:lang w:val="es-ES"/>
              </w:rPr>
              <w:t>(6)</w:t>
            </w:r>
          </w:p>
        </w:tc>
      </w:tr>
      <w:tr w:rsidR="002B0DBA" w:rsidRPr="00745FE7" w14:paraId="4753270A" w14:textId="77777777" w:rsidTr="00745FE7">
        <w:tblPrEx>
          <w:tblBorders>
            <w:top w:val="single" w:sz="6" w:space="0" w:color="C0C0C0"/>
            <w:left w:val="single" w:sz="6" w:space="0" w:color="C0C0C0"/>
            <w:bottom w:val="single" w:sz="6" w:space="0" w:color="C0C0C0"/>
            <w:right w:val="single" w:sz="6" w:space="0" w:color="C0C0C0"/>
          </w:tblBorders>
          <w:tblLook w:val="0000" w:firstRow="0" w:lastRow="0" w:firstColumn="0" w:lastColumn="0" w:noHBand="0" w:noVBand="0"/>
        </w:tblPrEx>
        <w:tc>
          <w:tcPr>
            <w:tcW w:w="709" w:type="dxa"/>
            <w:tcBorders>
              <w:top w:val="nil"/>
              <w:left w:val="nil"/>
              <w:bottom w:val="nil"/>
              <w:right w:val="nil"/>
            </w:tcBorders>
          </w:tcPr>
          <w:p w14:paraId="773A4524" w14:textId="77777777" w:rsidR="002B0DBA" w:rsidRPr="00745FE7" w:rsidRDefault="002B0DBA" w:rsidP="00FE4699">
            <w:pPr>
              <w:rPr>
                <w:lang w:val="es-ES"/>
              </w:rPr>
            </w:pPr>
          </w:p>
        </w:tc>
        <w:tc>
          <w:tcPr>
            <w:tcW w:w="8681" w:type="dxa"/>
            <w:gridSpan w:val="2"/>
            <w:tcBorders>
              <w:top w:val="nil"/>
              <w:left w:val="nil"/>
              <w:bottom w:val="nil"/>
              <w:right w:val="nil"/>
            </w:tcBorders>
          </w:tcPr>
          <w:p w14:paraId="117B6EB7" w14:textId="77777777" w:rsidR="002B0DBA" w:rsidRPr="00745FE7" w:rsidRDefault="002B0DBA" w:rsidP="00FE4699">
            <w:pPr>
              <w:rPr>
                <w:lang w:val="es-ES"/>
              </w:rPr>
            </w:pPr>
          </w:p>
        </w:tc>
      </w:tr>
      <w:tr w:rsidR="002B0DBA" w:rsidRPr="00745FE7" w14:paraId="28DA7F9E" w14:textId="77777777" w:rsidTr="00745FE7">
        <w:tblPrEx>
          <w:tblBorders>
            <w:top w:val="single" w:sz="6" w:space="0" w:color="C0C0C0"/>
            <w:left w:val="single" w:sz="6" w:space="0" w:color="C0C0C0"/>
            <w:bottom w:val="single" w:sz="6" w:space="0" w:color="C0C0C0"/>
            <w:right w:val="single" w:sz="6" w:space="0" w:color="C0C0C0"/>
          </w:tblBorders>
          <w:tblLook w:val="0000" w:firstRow="0" w:lastRow="0" w:firstColumn="0" w:lastColumn="0" w:noHBand="0" w:noVBand="0"/>
        </w:tblPrEx>
        <w:tc>
          <w:tcPr>
            <w:tcW w:w="709" w:type="dxa"/>
            <w:tcBorders>
              <w:top w:val="nil"/>
              <w:left w:val="nil"/>
              <w:bottom w:val="single" w:sz="4" w:space="0" w:color="auto"/>
              <w:right w:val="nil"/>
            </w:tcBorders>
          </w:tcPr>
          <w:p w14:paraId="5C0D8C30" w14:textId="77777777" w:rsidR="002B0DBA" w:rsidRPr="00745FE7" w:rsidRDefault="002B0DBA" w:rsidP="00FE4699">
            <w:pPr>
              <w:keepNext/>
              <w:spacing w:before="40" w:after="60"/>
              <w:outlineLvl w:val="0"/>
              <w:rPr>
                <w:b/>
                <w:bCs/>
                <w:kern w:val="28"/>
                <w:lang w:val="es-ES"/>
              </w:rPr>
            </w:pPr>
            <w:r w:rsidRPr="00745FE7">
              <w:rPr>
                <w:b/>
                <w:bCs/>
                <w:lang w:val="es-ES"/>
              </w:rPr>
              <w:t>2</w:t>
            </w:r>
          </w:p>
        </w:tc>
        <w:tc>
          <w:tcPr>
            <w:tcW w:w="8681" w:type="dxa"/>
            <w:gridSpan w:val="2"/>
            <w:tcBorders>
              <w:top w:val="nil"/>
              <w:left w:val="nil"/>
              <w:bottom w:val="single" w:sz="4" w:space="0" w:color="auto"/>
              <w:right w:val="nil"/>
            </w:tcBorders>
          </w:tcPr>
          <w:p w14:paraId="0EC7FA50" w14:textId="77777777" w:rsidR="002B0DBA" w:rsidRPr="00745FE7" w:rsidRDefault="002B0DBA" w:rsidP="00FE4699">
            <w:pPr>
              <w:keepNext/>
              <w:spacing w:before="40" w:after="60"/>
              <w:outlineLvl w:val="0"/>
              <w:rPr>
                <w:b/>
                <w:bCs/>
                <w:kern w:val="28"/>
                <w:lang w:val="es-ES"/>
              </w:rPr>
            </w:pPr>
            <w:r w:rsidRPr="00745FE7">
              <w:rPr>
                <w:b/>
                <w:bCs/>
                <w:lang w:val="es-ES"/>
              </w:rPr>
              <w:t>Propiedades toxicológicas</w:t>
            </w:r>
          </w:p>
        </w:tc>
      </w:tr>
      <w:tr w:rsidR="002B0DBA" w:rsidRPr="00745FE7" w14:paraId="68FD97F8"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615E9ED9" w14:textId="77777777" w:rsidR="002B0DBA" w:rsidRPr="00745FE7" w:rsidRDefault="002B0DBA" w:rsidP="00FE4699">
            <w:pPr>
              <w:spacing w:after="60"/>
              <w:rPr>
                <w:b/>
                <w:bCs/>
                <w:color w:val="000000"/>
                <w:lang w:val="es-ES"/>
              </w:rPr>
            </w:pPr>
            <w:r w:rsidRPr="00745FE7">
              <w:rPr>
                <w:b/>
                <w:bCs/>
                <w:lang w:val="es-ES"/>
              </w:rPr>
              <w:t>2.1</w:t>
            </w:r>
          </w:p>
        </w:tc>
        <w:tc>
          <w:tcPr>
            <w:tcW w:w="1735" w:type="dxa"/>
            <w:tcBorders>
              <w:top w:val="nil"/>
              <w:left w:val="nil"/>
              <w:bottom w:val="nil"/>
              <w:right w:val="nil"/>
            </w:tcBorders>
          </w:tcPr>
          <w:p w14:paraId="0600CB7E" w14:textId="77777777" w:rsidR="002B0DBA" w:rsidRPr="00745FE7" w:rsidRDefault="002B0DBA" w:rsidP="00FE4699">
            <w:pPr>
              <w:spacing w:before="20" w:after="20"/>
              <w:outlineLvl w:val="2"/>
              <w:rPr>
                <w:b/>
                <w:bCs/>
                <w:lang w:val="es-ES"/>
              </w:rPr>
            </w:pPr>
            <w:r w:rsidRPr="00745FE7">
              <w:rPr>
                <w:b/>
                <w:bCs/>
                <w:lang w:val="es-ES"/>
              </w:rPr>
              <w:t>Aspectos generales</w:t>
            </w:r>
          </w:p>
        </w:tc>
        <w:tc>
          <w:tcPr>
            <w:tcW w:w="6946" w:type="dxa"/>
            <w:tcBorders>
              <w:top w:val="nil"/>
              <w:left w:val="nil"/>
              <w:bottom w:val="nil"/>
              <w:right w:val="nil"/>
            </w:tcBorders>
          </w:tcPr>
          <w:p w14:paraId="678B6063" w14:textId="77777777" w:rsidR="002B0DBA" w:rsidRPr="00745FE7" w:rsidRDefault="002B0DBA" w:rsidP="00FE4699">
            <w:pPr>
              <w:spacing w:after="40"/>
              <w:rPr>
                <w:lang w:val="es-ES"/>
              </w:rPr>
            </w:pPr>
          </w:p>
        </w:tc>
      </w:tr>
      <w:tr w:rsidR="002B0DBA" w:rsidRPr="00745FE7" w14:paraId="37494433"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63BBF569" w14:textId="77777777" w:rsidR="002B0DBA" w:rsidRPr="00745FE7" w:rsidRDefault="002B0DBA" w:rsidP="00FE4699">
            <w:pPr>
              <w:rPr>
                <w:b/>
                <w:lang w:val="es-ES"/>
              </w:rPr>
            </w:pPr>
            <w:r w:rsidRPr="00745FE7">
              <w:rPr>
                <w:b/>
                <w:bCs/>
                <w:lang w:val="es-ES"/>
              </w:rPr>
              <w:t>2.1.1</w:t>
            </w:r>
          </w:p>
        </w:tc>
        <w:tc>
          <w:tcPr>
            <w:tcW w:w="1735" w:type="dxa"/>
            <w:tcBorders>
              <w:top w:val="nil"/>
              <w:left w:val="nil"/>
              <w:bottom w:val="nil"/>
              <w:right w:val="nil"/>
            </w:tcBorders>
          </w:tcPr>
          <w:p w14:paraId="3CC2A1B3" w14:textId="77777777" w:rsidR="002B0DBA" w:rsidRPr="00745FE7" w:rsidRDefault="002B0DBA" w:rsidP="00FE4699">
            <w:pPr>
              <w:rPr>
                <w:b/>
                <w:bCs/>
                <w:lang w:val="es-ES"/>
              </w:rPr>
            </w:pPr>
            <w:r w:rsidRPr="00745FE7">
              <w:rPr>
                <w:b/>
                <w:bCs/>
                <w:lang w:val="es-ES"/>
              </w:rPr>
              <w:t>Modo de acción</w:t>
            </w:r>
          </w:p>
        </w:tc>
        <w:tc>
          <w:tcPr>
            <w:tcW w:w="6946" w:type="dxa"/>
            <w:tcBorders>
              <w:top w:val="nil"/>
              <w:left w:val="nil"/>
              <w:bottom w:val="nil"/>
              <w:right w:val="nil"/>
            </w:tcBorders>
          </w:tcPr>
          <w:p w14:paraId="11C220BA" w14:textId="77777777" w:rsidR="002B0DBA" w:rsidRPr="00745FE7" w:rsidRDefault="002B0DBA" w:rsidP="00FE4699">
            <w:pPr>
              <w:spacing w:after="40"/>
              <w:rPr>
                <w:lang w:val="es-ES"/>
              </w:rPr>
            </w:pPr>
            <w:r w:rsidRPr="00745FE7">
              <w:rPr>
                <w:lang w:val="es-ES"/>
              </w:rPr>
              <w:t>Inhibición de la acetilcolinesterasa (AChE).</w:t>
            </w:r>
          </w:p>
          <w:p w14:paraId="5F6E4B19" w14:textId="77777777" w:rsidR="002B0DBA" w:rsidRPr="00745FE7" w:rsidRDefault="002B0DBA" w:rsidP="00FE4699">
            <w:pPr>
              <w:spacing w:after="40"/>
              <w:rPr>
                <w:rStyle w:val="breakword"/>
                <w:lang w:val="es-ES"/>
              </w:rPr>
            </w:pPr>
            <w:r w:rsidRPr="00745FE7">
              <w:rPr>
                <w:lang w:val="es-ES"/>
              </w:rPr>
              <w:t>La característica principal del mecanismo tóxico de los plaguicidas organofosforados es la inhibición de la actividad enzimática de la esterasa, en particular la colinesterasa, que desempeña un papel fisiológico importante. Los plaguicidas organofosforados también pueden interactuar en forma indirecta con los receptores bioquímicos de la acetilcolina.(PubChem, 2017c).</w:t>
            </w:r>
          </w:p>
          <w:p w14:paraId="2543DB85" w14:textId="77777777" w:rsidR="002B0DBA" w:rsidRPr="00745FE7" w:rsidRDefault="002B0DBA" w:rsidP="00FE4699">
            <w:pPr>
              <w:spacing w:after="40"/>
              <w:rPr>
                <w:lang w:val="es-ES"/>
              </w:rPr>
            </w:pPr>
            <w:r w:rsidRPr="00745FE7">
              <w:rPr>
                <w:lang w:val="es-ES"/>
              </w:rPr>
              <w:t>Sistémico que actúa por contacto e ingesta (PPDB, 2018).</w:t>
            </w:r>
          </w:p>
        </w:tc>
      </w:tr>
      <w:tr w:rsidR="002B0DBA" w:rsidRPr="00745FE7" w14:paraId="0D4D23CF"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10CA2BED" w14:textId="77777777" w:rsidR="002B0DBA" w:rsidRPr="00745FE7" w:rsidRDefault="002B0DBA" w:rsidP="00FE4699">
            <w:pPr>
              <w:spacing w:after="120"/>
              <w:rPr>
                <w:b/>
                <w:lang w:val="es-ES"/>
              </w:rPr>
            </w:pPr>
            <w:r w:rsidRPr="00745FE7">
              <w:rPr>
                <w:b/>
                <w:bCs/>
                <w:lang w:val="es-ES"/>
              </w:rPr>
              <w:t>2.1.2</w:t>
            </w:r>
          </w:p>
        </w:tc>
        <w:tc>
          <w:tcPr>
            <w:tcW w:w="1735" w:type="dxa"/>
            <w:tcBorders>
              <w:top w:val="nil"/>
              <w:left w:val="nil"/>
              <w:bottom w:val="nil"/>
              <w:right w:val="nil"/>
            </w:tcBorders>
          </w:tcPr>
          <w:p w14:paraId="3703DCF1" w14:textId="77777777" w:rsidR="002B0DBA" w:rsidRPr="00745FE7" w:rsidRDefault="002B0DBA" w:rsidP="00FE4699">
            <w:pPr>
              <w:spacing w:after="120"/>
              <w:rPr>
                <w:b/>
                <w:bCs/>
                <w:lang w:val="es-ES"/>
              </w:rPr>
            </w:pPr>
            <w:r w:rsidRPr="00745FE7">
              <w:rPr>
                <w:b/>
                <w:bCs/>
                <w:lang w:val="es-ES"/>
              </w:rPr>
              <w:t>Síntomas de intoxicación</w:t>
            </w:r>
          </w:p>
        </w:tc>
        <w:tc>
          <w:tcPr>
            <w:tcW w:w="6946" w:type="dxa"/>
            <w:tcBorders>
              <w:top w:val="nil"/>
              <w:left w:val="nil"/>
              <w:bottom w:val="nil"/>
              <w:right w:val="nil"/>
            </w:tcBorders>
          </w:tcPr>
          <w:p w14:paraId="2A3FEC15" w14:textId="77777777" w:rsidR="002B0DBA" w:rsidRPr="00745FE7" w:rsidRDefault="002B0DBA" w:rsidP="00FE4699">
            <w:pPr>
              <w:autoSpaceDE w:val="0"/>
              <w:autoSpaceDN w:val="0"/>
              <w:adjustRightInd w:val="0"/>
              <w:spacing w:after="120"/>
              <w:rPr>
                <w:lang w:val="es-ES"/>
              </w:rPr>
            </w:pPr>
            <w:r w:rsidRPr="00745FE7">
              <w:rPr>
                <w:lang w:val="es-ES"/>
              </w:rPr>
              <w:t>El forato demostró ser en extremo tóxico, y provocar letalidad a dosis bajas, para distintas condiciones de exposición. Los estudios muestran que algunos trabajadores agrícolas expuestos al forato han sufridos intoxicaciones y muertes relacionadas con las propiedades tóxicas del ingrediente activo.</w:t>
            </w:r>
          </w:p>
          <w:p w14:paraId="7150B5FF" w14:textId="77777777" w:rsidR="002B0DBA" w:rsidRPr="00745FE7" w:rsidRDefault="002B0DBA" w:rsidP="00FE4699">
            <w:pPr>
              <w:autoSpaceDE w:val="0"/>
              <w:autoSpaceDN w:val="0"/>
              <w:adjustRightInd w:val="0"/>
              <w:spacing w:after="120"/>
              <w:rPr>
                <w:lang w:val="es-ES"/>
              </w:rPr>
            </w:pPr>
            <w:r w:rsidRPr="00745FE7">
              <w:rPr>
                <w:lang w:val="es-ES"/>
              </w:rPr>
              <w:t>Los síntomas y signos de intoxicación por forato son característicos de la inhibición de la AChE y pueden incluir vómitos, mareo, dolores abdominales, taquicardia, salivación excesiva, miosis e hipotensión, como se observó en casos de intoxicación intencional, exposición al forato accidental y en el lugar de trabajo.</w:t>
            </w:r>
          </w:p>
          <w:p w14:paraId="4062E5B5" w14:textId="77777777" w:rsidR="002B0DBA" w:rsidRPr="00745FE7" w:rsidRDefault="002B0DBA" w:rsidP="00FE4699">
            <w:pPr>
              <w:autoSpaceDE w:val="0"/>
              <w:autoSpaceDN w:val="0"/>
              <w:adjustRightInd w:val="0"/>
              <w:spacing w:after="120"/>
              <w:rPr>
                <w:lang w:val="es-ES"/>
              </w:rPr>
            </w:pPr>
            <w:r w:rsidRPr="00745FE7">
              <w:rPr>
                <w:lang w:val="es-ES"/>
              </w:rPr>
              <w:t>Se han descrito también síntomas más severos como convulsiones, espasmos, temblores, pérdida de la coordinación muscular, aumento del tono muscular de los miembros, dificultad respiratoria, edema cerebral, pérdida de la conciencia y coma profundo. Las constataciones efectuadas en algunos pacientes coincidieron con muerte cerebral, también falta de reflejos corneales, oculocefálicos, pupilares y musculares, ausencia de reacciones a estímulos de dolor o calor y ausencia de respiración espontánea con supresión general de la actividad cortical. Algunos casos de intoxicación concluyeron en muerte.</w:t>
            </w:r>
          </w:p>
          <w:p w14:paraId="2D132427" w14:textId="77777777" w:rsidR="002B0DBA" w:rsidRPr="00745FE7" w:rsidRDefault="002B0DBA" w:rsidP="00FE4699">
            <w:pPr>
              <w:autoSpaceDE w:val="0"/>
              <w:autoSpaceDN w:val="0"/>
              <w:adjustRightInd w:val="0"/>
              <w:spacing w:after="120"/>
              <w:rPr>
                <w:lang w:val="es-ES"/>
              </w:rPr>
            </w:pPr>
            <w:r w:rsidRPr="00745FE7">
              <w:rPr>
                <w:lang w:val="es-ES"/>
              </w:rPr>
              <w:t>El forato puede ser causa de complejos trastornos neurológicos en las personas, como encefalopatía, síndrome intermedio y polineuropatía tardía.</w:t>
            </w:r>
          </w:p>
          <w:p w14:paraId="525EA603" w14:textId="77777777" w:rsidR="002B0DBA" w:rsidRPr="00745FE7" w:rsidRDefault="002B0DBA" w:rsidP="00FE4699">
            <w:pPr>
              <w:autoSpaceDE w:val="0"/>
              <w:autoSpaceDN w:val="0"/>
              <w:adjustRightInd w:val="0"/>
              <w:spacing w:after="120"/>
              <w:rPr>
                <w:lang w:val="es-ES"/>
              </w:rPr>
            </w:pPr>
            <w:r w:rsidRPr="00745FE7">
              <w:rPr>
                <w:lang w:val="es-ES"/>
              </w:rPr>
              <w:t>Además, según los estudios experimentales y epidemiológicos del forato en relación con las vías respiratorias, la sustancia es muy tóxica para este sistema.</w:t>
            </w:r>
          </w:p>
          <w:p w14:paraId="1413A3A0" w14:textId="77777777" w:rsidR="002B0DBA" w:rsidRPr="00745FE7" w:rsidRDefault="002B0DBA" w:rsidP="00FE4699">
            <w:pPr>
              <w:autoSpaceDE w:val="0"/>
              <w:autoSpaceDN w:val="0"/>
              <w:adjustRightInd w:val="0"/>
              <w:spacing w:after="120"/>
              <w:rPr>
                <w:lang w:val="es-ES"/>
              </w:rPr>
            </w:pPr>
            <w:r w:rsidRPr="00745FE7">
              <w:rPr>
                <w:lang w:val="es-ES"/>
              </w:rPr>
              <w:t>En dosis similares a la exposición humana en el lugar de trabajo, entre los signos y síntomas puede producirse enfisema, bronconeumonía, cambios inflamatorios y dificultad respiratoria como efectos principales que resultaron irreversibles para el período de observación, incluso después de haber concluido la exposición. Se sabe que estos efectos pueden generar un aumento de la resistencia vascular pulmonar, agobiar el corazón e incluso provocar insuficiencia cardíaca. (Notificación brasileña y documentación probatoria).</w:t>
            </w:r>
          </w:p>
          <w:p w14:paraId="5078DF21" w14:textId="77777777" w:rsidR="002B0DBA" w:rsidRPr="00745FE7" w:rsidRDefault="002B0DBA" w:rsidP="00FE4699">
            <w:pPr>
              <w:keepNext/>
              <w:keepLines/>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u w:val="single"/>
                <w:lang w:val="es-ES"/>
              </w:rPr>
            </w:pPr>
            <w:r w:rsidRPr="00745FE7">
              <w:rPr>
                <w:u w:val="single"/>
                <w:lang w:val="es-ES"/>
              </w:rPr>
              <w:t>Órganos afectados</w:t>
            </w:r>
          </w:p>
          <w:p w14:paraId="4814E30F" w14:textId="77777777" w:rsidR="002B0DBA" w:rsidRPr="00745FE7" w:rsidRDefault="002B0DBA" w:rsidP="00FE4699">
            <w:pPr>
              <w:keepNext/>
              <w:keepLines/>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breakword"/>
                <w:lang w:val="es-ES"/>
              </w:rPr>
            </w:pPr>
            <w:r w:rsidRPr="00745FE7">
              <w:rPr>
                <w:lang w:val="es-ES"/>
              </w:rPr>
              <w:t>Ojos, piel, sistema respiratorio, sistema nervioso central, sistema cardiovascular, colinesterasa sanguínea. (PubChem, 2017c).</w:t>
            </w:r>
          </w:p>
          <w:p w14:paraId="645789C5" w14:textId="77777777" w:rsidR="002B0DBA" w:rsidRPr="00745FE7" w:rsidRDefault="002B0DBA" w:rsidP="00FE4699">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s-ES"/>
              </w:rPr>
            </w:pPr>
            <w:r w:rsidRPr="00745FE7">
              <w:rPr>
                <w:lang w:val="es-ES"/>
              </w:rPr>
              <w:t>Puede recabarse más información sobre los síntomas en Toxnet (2017): en la sección “Efectos clínicos”.</w:t>
            </w:r>
          </w:p>
        </w:tc>
      </w:tr>
      <w:tr w:rsidR="002B0DBA" w:rsidRPr="00745FE7" w14:paraId="466A30C4"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63637C7C" w14:textId="77777777" w:rsidR="002B0DBA" w:rsidRPr="00745FE7" w:rsidRDefault="002B0DBA" w:rsidP="00FE4699">
            <w:pPr>
              <w:rPr>
                <w:b/>
                <w:lang w:val="es-ES"/>
              </w:rPr>
            </w:pPr>
            <w:r w:rsidRPr="00745FE7">
              <w:rPr>
                <w:b/>
                <w:bCs/>
                <w:lang w:val="es-ES"/>
              </w:rPr>
              <w:t>2.1.3</w:t>
            </w:r>
          </w:p>
        </w:tc>
        <w:tc>
          <w:tcPr>
            <w:tcW w:w="1735" w:type="dxa"/>
            <w:tcBorders>
              <w:top w:val="nil"/>
              <w:left w:val="nil"/>
              <w:bottom w:val="nil"/>
              <w:right w:val="nil"/>
            </w:tcBorders>
          </w:tcPr>
          <w:p w14:paraId="7AAB9B67" w14:textId="77777777" w:rsidR="002B0DBA" w:rsidRPr="00745FE7" w:rsidRDefault="002B0DBA" w:rsidP="00FE4699">
            <w:pPr>
              <w:rPr>
                <w:b/>
                <w:bCs/>
                <w:lang w:val="es-ES"/>
              </w:rPr>
            </w:pPr>
            <w:r w:rsidRPr="00745FE7">
              <w:rPr>
                <w:b/>
                <w:bCs/>
                <w:lang w:val="es-ES"/>
              </w:rPr>
              <w:t>Absorción, distribución, excreción y metabolismo en mamíferos</w:t>
            </w:r>
          </w:p>
        </w:tc>
        <w:tc>
          <w:tcPr>
            <w:tcW w:w="6946" w:type="dxa"/>
            <w:tcBorders>
              <w:top w:val="nil"/>
              <w:left w:val="nil"/>
              <w:bottom w:val="nil"/>
              <w:right w:val="nil"/>
            </w:tcBorders>
          </w:tcPr>
          <w:p w14:paraId="2475B003" w14:textId="77777777" w:rsidR="002B0DBA" w:rsidRPr="00745FE7" w:rsidRDefault="002B0DBA" w:rsidP="00FE4699">
            <w:pPr>
              <w:autoSpaceDE w:val="0"/>
              <w:autoSpaceDN w:val="0"/>
              <w:adjustRightInd w:val="0"/>
              <w:spacing w:after="120"/>
              <w:rPr>
                <w:b/>
                <w:u w:val="single"/>
                <w:lang w:val="es-ES"/>
              </w:rPr>
            </w:pPr>
            <w:r w:rsidRPr="00745FE7">
              <w:rPr>
                <w:b/>
                <w:u w:val="single"/>
                <w:lang w:val="es-ES"/>
              </w:rPr>
              <w:t>Notificación brasileña</w:t>
            </w:r>
          </w:p>
          <w:p w14:paraId="51EE24A7" w14:textId="27F45EA7" w:rsidR="002B0DBA" w:rsidRPr="00745FE7" w:rsidRDefault="002B0DBA" w:rsidP="00FE4699">
            <w:pPr>
              <w:autoSpaceDE w:val="0"/>
              <w:autoSpaceDN w:val="0"/>
              <w:adjustRightInd w:val="0"/>
              <w:rPr>
                <w:spacing w:val="-2"/>
                <w:lang w:val="es-ES"/>
              </w:rPr>
            </w:pPr>
            <w:r w:rsidRPr="00745FE7">
              <w:rPr>
                <w:spacing w:val="-2"/>
                <w:lang w:val="es-ES"/>
              </w:rPr>
              <w:t>Índice y grado de absorción oral: rápida, aproximadamente 90</w:t>
            </w:r>
            <w:r w:rsidR="00A4087D" w:rsidRPr="00745FE7">
              <w:rPr>
                <w:spacing w:val="-2"/>
                <w:lang w:val="es-ES"/>
              </w:rPr>
              <w:t> </w:t>
            </w:r>
            <w:r w:rsidRPr="00745FE7">
              <w:rPr>
                <w:spacing w:val="-2"/>
                <w:lang w:val="es-ES"/>
              </w:rPr>
              <w:t>% en un lapso de 24 h.</w:t>
            </w:r>
          </w:p>
          <w:p w14:paraId="3800F209" w14:textId="77777777" w:rsidR="002B0DBA" w:rsidRPr="00745FE7" w:rsidRDefault="002B0DBA" w:rsidP="00FE4699">
            <w:pPr>
              <w:autoSpaceDE w:val="0"/>
              <w:autoSpaceDN w:val="0"/>
              <w:adjustRightInd w:val="0"/>
              <w:rPr>
                <w:lang w:val="es-ES"/>
              </w:rPr>
            </w:pPr>
            <w:r w:rsidRPr="00745FE7">
              <w:rPr>
                <w:lang w:val="es-ES"/>
              </w:rPr>
              <w:t>Absorción cutánea: extendida según la toxicidad aguda.</w:t>
            </w:r>
          </w:p>
          <w:p w14:paraId="1752152B" w14:textId="77777777" w:rsidR="002B0DBA" w:rsidRPr="00745FE7" w:rsidRDefault="002B0DBA" w:rsidP="00FE4699">
            <w:pPr>
              <w:autoSpaceDE w:val="0"/>
              <w:autoSpaceDN w:val="0"/>
              <w:adjustRightInd w:val="0"/>
              <w:rPr>
                <w:lang w:val="es-ES"/>
              </w:rPr>
            </w:pPr>
            <w:r w:rsidRPr="00745FE7">
              <w:rPr>
                <w:lang w:val="es-ES"/>
              </w:rPr>
              <w:t>Distribución: rápida y extensiva.</w:t>
            </w:r>
          </w:p>
          <w:p w14:paraId="4302DA8D" w14:textId="77777777" w:rsidR="002B0DBA" w:rsidRPr="00745FE7" w:rsidRDefault="002B0DBA" w:rsidP="00FE4699">
            <w:pPr>
              <w:autoSpaceDE w:val="0"/>
              <w:autoSpaceDN w:val="0"/>
              <w:adjustRightInd w:val="0"/>
              <w:rPr>
                <w:lang w:val="es-ES"/>
              </w:rPr>
            </w:pPr>
            <w:r w:rsidRPr="00745FE7">
              <w:rPr>
                <w:lang w:val="es-ES"/>
              </w:rPr>
              <w:t>Potencial de bioacumulación: ninguno.</w:t>
            </w:r>
          </w:p>
          <w:p w14:paraId="5F873B72" w14:textId="604F079E" w:rsidR="002B0DBA" w:rsidRPr="00745FE7" w:rsidRDefault="002B0DBA" w:rsidP="00FE4699">
            <w:pPr>
              <w:autoSpaceDE w:val="0"/>
              <w:autoSpaceDN w:val="0"/>
              <w:adjustRightInd w:val="0"/>
              <w:spacing w:after="120"/>
              <w:rPr>
                <w:lang w:val="es-ES"/>
              </w:rPr>
            </w:pPr>
            <w:r w:rsidRPr="00745FE7">
              <w:rPr>
                <w:lang w:val="es-ES"/>
              </w:rPr>
              <w:t>Índice y grado de excreción: 89</w:t>
            </w:r>
            <w:r w:rsidR="00A4087D" w:rsidRPr="00745FE7">
              <w:rPr>
                <w:lang w:val="es-ES"/>
              </w:rPr>
              <w:t> </w:t>
            </w:r>
            <w:r w:rsidRPr="00745FE7">
              <w:rPr>
                <w:lang w:val="es-ES"/>
              </w:rPr>
              <w:t>% en un lapso de 24 h; predominio de excreción urinaria (77</w:t>
            </w:r>
            <w:r w:rsidR="00A4087D" w:rsidRPr="00745FE7">
              <w:rPr>
                <w:lang w:val="es-ES"/>
              </w:rPr>
              <w:t> </w:t>
            </w:r>
            <w:r w:rsidRPr="00745FE7">
              <w:rPr>
                <w:lang w:val="es-ES"/>
              </w:rPr>
              <w:t>%); excreción fecal (12</w:t>
            </w:r>
            <w:r w:rsidR="00A4087D" w:rsidRPr="00745FE7">
              <w:rPr>
                <w:lang w:val="es-ES"/>
              </w:rPr>
              <w:t> </w:t>
            </w:r>
            <w:r w:rsidRPr="00745FE7">
              <w:rPr>
                <w:lang w:val="es-ES"/>
              </w:rPr>
              <w:t>%).</w:t>
            </w:r>
          </w:p>
          <w:p w14:paraId="620077A7" w14:textId="77777777" w:rsidR="002B0DBA" w:rsidRPr="00745FE7" w:rsidRDefault="002B0DBA" w:rsidP="00FE4699">
            <w:pPr>
              <w:autoSpaceDE w:val="0"/>
              <w:autoSpaceDN w:val="0"/>
              <w:adjustRightInd w:val="0"/>
              <w:spacing w:after="120"/>
              <w:rPr>
                <w:b/>
                <w:u w:val="single"/>
                <w:lang w:val="es-ES"/>
              </w:rPr>
            </w:pPr>
            <w:r w:rsidRPr="00745FE7">
              <w:rPr>
                <w:b/>
                <w:bCs/>
                <w:u w:val="single"/>
                <w:lang w:val="es-ES"/>
              </w:rPr>
              <w:t>(PubChem, 2017c)</w:t>
            </w:r>
          </w:p>
          <w:p w14:paraId="46FB2972" w14:textId="0D6B6427" w:rsidR="002B0DBA" w:rsidRPr="00745FE7" w:rsidRDefault="002B0DBA" w:rsidP="00FE4699">
            <w:pPr>
              <w:autoSpaceDE w:val="0"/>
              <w:autoSpaceDN w:val="0"/>
              <w:adjustRightInd w:val="0"/>
              <w:spacing w:after="120"/>
              <w:rPr>
                <w:rStyle w:val="breakword"/>
                <w:lang w:val="es-ES"/>
              </w:rPr>
            </w:pPr>
            <w:r w:rsidRPr="00745FE7">
              <w:rPr>
                <w:lang w:val="es-ES"/>
              </w:rPr>
              <w:t>El forato se absorbe por todas las vías: oral, respiratoria y cutánea.</w:t>
            </w:r>
            <w:r w:rsidR="002C568E" w:rsidRPr="00745FE7">
              <w:rPr>
                <w:lang w:val="es-ES"/>
              </w:rPr>
              <w:t xml:space="preserve"> Se excretó alrededor del </w:t>
            </w:r>
            <w:r w:rsidRPr="00745FE7">
              <w:rPr>
                <w:lang w:val="es-ES"/>
              </w:rPr>
              <w:t>77</w:t>
            </w:r>
            <w:r w:rsidR="00A4087D" w:rsidRPr="00745FE7">
              <w:rPr>
                <w:lang w:val="es-ES"/>
              </w:rPr>
              <w:t> </w:t>
            </w:r>
            <w:r w:rsidRPr="00745FE7">
              <w:rPr>
                <w:lang w:val="es-ES"/>
              </w:rPr>
              <w:t>% de una dosis oral en la orina de ratas dentro de las 24 h, y 12</w:t>
            </w:r>
            <w:r w:rsidR="005D7543" w:rsidRPr="00745FE7">
              <w:rPr>
                <w:lang w:val="es-ES"/>
              </w:rPr>
              <w:t> </w:t>
            </w:r>
            <w:r w:rsidRPr="00745FE7">
              <w:rPr>
                <w:lang w:val="es-ES"/>
              </w:rPr>
              <w:t>% en las heces. Las ratas a las que se administró forato por vía oral a 2 mg/kg o 6 dosis diarias de 1 mg/kg/día eliminaron hasta el 35</w:t>
            </w:r>
            <w:r w:rsidR="005D7543" w:rsidRPr="00745FE7">
              <w:rPr>
                <w:lang w:val="es-ES"/>
              </w:rPr>
              <w:t> </w:t>
            </w:r>
            <w:r w:rsidRPr="00745FE7">
              <w:rPr>
                <w:lang w:val="es-ES"/>
              </w:rPr>
              <w:t>% de la dosis en la orina y hasta 6</w:t>
            </w:r>
            <w:r w:rsidR="005D7543" w:rsidRPr="00745FE7">
              <w:rPr>
                <w:lang w:val="es-ES"/>
              </w:rPr>
              <w:t> </w:t>
            </w:r>
            <w:r w:rsidRPr="00745FE7">
              <w:rPr>
                <w:lang w:val="es-ES"/>
              </w:rPr>
              <w:t>% en las heces en 6 días. Las ratas sometidas a tratamiento con 1 mg/kg/día durante 6 días excretaron solo el 12</w:t>
            </w:r>
            <w:r w:rsidR="00A4087D" w:rsidRPr="00745FE7">
              <w:rPr>
                <w:lang w:val="es-ES"/>
              </w:rPr>
              <w:t> </w:t>
            </w:r>
            <w:r w:rsidRPr="00745FE7">
              <w:rPr>
                <w:lang w:val="es-ES"/>
              </w:rPr>
              <w:t>% en la orina y</w:t>
            </w:r>
            <w:r w:rsidR="002C568E" w:rsidRPr="00745FE7">
              <w:rPr>
                <w:lang w:val="es-ES"/>
              </w:rPr>
              <w:t> </w:t>
            </w:r>
            <w:r w:rsidRPr="00745FE7">
              <w:rPr>
                <w:lang w:val="es-ES"/>
              </w:rPr>
              <w:t>6</w:t>
            </w:r>
            <w:r w:rsidR="00A4087D" w:rsidRPr="00745FE7">
              <w:rPr>
                <w:lang w:val="es-ES"/>
              </w:rPr>
              <w:t> </w:t>
            </w:r>
            <w:r w:rsidRPr="00745FE7">
              <w:rPr>
                <w:lang w:val="es-ES"/>
              </w:rPr>
              <w:t>% en las heces en un lapso de 7 días.</w:t>
            </w:r>
          </w:p>
          <w:p w14:paraId="2C71C3D8" w14:textId="77777777" w:rsidR="002B0DBA" w:rsidRPr="00745FE7" w:rsidRDefault="002B0DBA" w:rsidP="00FE4699">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s-ES"/>
              </w:rPr>
            </w:pPr>
            <w:r w:rsidRPr="00745FE7">
              <w:rPr>
                <w:lang w:val="es-ES"/>
              </w:rPr>
              <w:t>Los tejidos cerebral, hepático y renal de estos animales contenían residuos no identificados y en su mayoría no extraíbles (PISSQ INCHEM, sin fecha).</w:t>
            </w:r>
          </w:p>
          <w:p w14:paraId="23730F9C" w14:textId="77777777" w:rsidR="002B0DBA" w:rsidRPr="00745FE7" w:rsidRDefault="002B0DBA" w:rsidP="00FE4699">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lang w:val="es-ES"/>
              </w:rPr>
            </w:pPr>
            <w:r w:rsidRPr="00745FE7">
              <w:rPr>
                <w:u w:val="single"/>
                <w:lang w:val="es-ES"/>
              </w:rPr>
              <w:t>Metabolismo</w:t>
            </w:r>
          </w:p>
          <w:p w14:paraId="102A9ADB" w14:textId="77777777" w:rsidR="002B0DBA" w:rsidRPr="00745FE7" w:rsidRDefault="002B0DBA" w:rsidP="00FE4699">
            <w:pPr>
              <w:autoSpaceDE w:val="0"/>
              <w:autoSpaceDN w:val="0"/>
              <w:adjustRightInd w:val="0"/>
              <w:spacing w:after="120"/>
              <w:rPr>
                <w:lang w:val="es-ES"/>
              </w:rPr>
            </w:pPr>
            <w:r w:rsidRPr="00745FE7">
              <w:rPr>
                <w:lang w:val="es-ES"/>
              </w:rPr>
              <w:t>Metabolismo en animales - vía principal: división de la unión fósforo-azufre, metilación del grupo tiol liberado y oxidación del grupo divalente resultante al sulfóxido y sulfona.</w:t>
            </w:r>
          </w:p>
          <w:p w14:paraId="4D838C77" w14:textId="77777777" w:rsidR="002B0DBA" w:rsidRPr="00745FE7" w:rsidRDefault="002B0DBA" w:rsidP="00FE4699">
            <w:pPr>
              <w:autoSpaceDE w:val="0"/>
              <w:autoSpaceDN w:val="0"/>
              <w:adjustRightInd w:val="0"/>
              <w:spacing w:after="120"/>
              <w:rPr>
                <w:lang w:val="es-ES"/>
              </w:rPr>
            </w:pPr>
            <w:r w:rsidRPr="00745FE7">
              <w:rPr>
                <w:lang w:val="es-ES"/>
              </w:rPr>
              <w:t>Compuestos toxicológicamente significativos (plantas, animales y el medio ambiente): original, sulfóxido y sulfona de forato (notificación brasileña).</w:t>
            </w:r>
          </w:p>
          <w:p w14:paraId="4AB080F4" w14:textId="1788213C" w:rsidR="002B0DBA" w:rsidRPr="00745FE7" w:rsidRDefault="002B0DBA" w:rsidP="00FE4699">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s-ES"/>
              </w:rPr>
            </w:pPr>
            <w:r w:rsidRPr="00745FE7">
              <w:rPr>
                <w:lang w:val="es-ES"/>
              </w:rPr>
              <w:t xml:space="preserve">La orina de ratas macho a las que se les administraron dosis orales diarias </w:t>
            </w:r>
            <w:r w:rsidR="00A4087D" w:rsidRPr="00745FE7">
              <w:rPr>
                <w:lang w:val="es-ES"/>
              </w:rPr>
              <w:t>de 1 </w:t>
            </w:r>
            <w:r w:rsidRPr="00745FE7">
              <w:rPr>
                <w:lang w:val="es-ES"/>
              </w:rPr>
              <w:t>mg/kg p.c. contenían 17</w:t>
            </w:r>
            <w:r w:rsidR="00A4087D" w:rsidRPr="00745FE7">
              <w:rPr>
                <w:lang w:val="es-ES"/>
              </w:rPr>
              <w:t> </w:t>
            </w:r>
            <w:r w:rsidRPr="00745FE7">
              <w:rPr>
                <w:lang w:val="es-ES"/>
              </w:rPr>
              <w:t>% ácido fosfórico dietílico, 80</w:t>
            </w:r>
            <w:r w:rsidR="00A4087D" w:rsidRPr="00745FE7">
              <w:rPr>
                <w:lang w:val="es-ES"/>
              </w:rPr>
              <w:t> </w:t>
            </w:r>
            <w:r w:rsidRPr="00745FE7">
              <w:rPr>
                <w:lang w:val="es-ES"/>
              </w:rPr>
              <w:t xml:space="preserve">% ácido fosforotioico </w:t>
            </w:r>
            <w:r w:rsidR="009B760B" w:rsidRPr="00745FE7">
              <w:rPr>
                <w:i/>
                <w:iCs/>
                <w:lang w:val="es-ES" w:eastAsia="pl-PL"/>
              </w:rPr>
              <w:t>O,O-</w:t>
            </w:r>
            <w:r w:rsidRPr="00745FE7">
              <w:rPr>
                <w:lang w:val="es-ES"/>
              </w:rPr>
              <w:noBreakHyphen/>
              <w:t>dietil y ácido fosforoditioico 3</w:t>
            </w:r>
            <w:r w:rsidR="00A4087D" w:rsidRPr="00745FE7">
              <w:rPr>
                <w:lang w:val="es-ES"/>
              </w:rPr>
              <w:t> </w:t>
            </w:r>
            <w:r w:rsidRPr="00745FE7">
              <w:rPr>
                <w:lang w:val="es-ES"/>
              </w:rPr>
              <w:t xml:space="preserve">% </w:t>
            </w:r>
            <w:r w:rsidR="009B760B" w:rsidRPr="00745FE7">
              <w:rPr>
                <w:i/>
                <w:iCs/>
                <w:lang w:val="es-ES" w:eastAsia="pl-PL"/>
              </w:rPr>
              <w:t>O,O-</w:t>
            </w:r>
            <w:r w:rsidRPr="00745FE7">
              <w:rPr>
                <w:lang w:val="es-ES"/>
              </w:rPr>
              <w:t>-dietil. Se formaron sulfóxido y sulfona de forato, y sulfóxido y sulfona de foratoxon (PISSQ INCHEM, sin fecha).</w:t>
            </w:r>
          </w:p>
          <w:p w14:paraId="704FF4AB" w14:textId="77777777" w:rsidR="002B0DBA" w:rsidRPr="00745FE7" w:rsidRDefault="002B0DBA" w:rsidP="00FE4699">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s-ES"/>
              </w:rPr>
            </w:pPr>
            <w:r w:rsidRPr="00745FE7">
              <w:rPr>
                <w:lang w:val="es-ES"/>
              </w:rPr>
              <w:t>Se cuantificaron los metabolitos de forato en muestras de orina diarias obtenidas de los empleados de una planta formuladora de plaguicida. Los fosfatos de alquilo predominantes detectados en la orina eran fosfato dietílico, fosforotiolato dietílico y tiofosfato dietílico (PubChem, 2017c).</w:t>
            </w:r>
          </w:p>
        </w:tc>
      </w:tr>
      <w:tr w:rsidR="002B0DBA" w:rsidRPr="00745FE7" w14:paraId="1F16484D"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72DDB7BA" w14:textId="77777777" w:rsidR="002B0DBA" w:rsidRPr="00745FE7" w:rsidRDefault="002B0DBA" w:rsidP="00FE4699">
            <w:pPr>
              <w:rPr>
                <w:b/>
                <w:lang w:val="es-ES"/>
              </w:rPr>
            </w:pPr>
            <w:r w:rsidRPr="00745FE7">
              <w:rPr>
                <w:b/>
                <w:bCs/>
                <w:lang w:val="es-ES"/>
              </w:rPr>
              <w:t>2.2</w:t>
            </w:r>
          </w:p>
        </w:tc>
        <w:tc>
          <w:tcPr>
            <w:tcW w:w="1735" w:type="dxa"/>
            <w:tcBorders>
              <w:top w:val="nil"/>
              <w:left w:val="nil"/>
              <w:bottom w:val="nil"/>
              <w:right w:val="nil"/>
            </w:tcBorders>
          </w:tcPr>
          <w:p w14:paraId="3EDE4352" w14:textId="77777777" w:rsidR="002B0DBA" w:rsidRPr="00745FE7" w:rsidRDefault="002B0DBA" w:rsidP="00FE4699">
            <w:pPr>
              <w:rPr>
                <w:b/>
                <w:bCs/>
                <w:lang w:val="es-ES"/>
              </w:rPr>
            </w:pPr>
            <w:r w:rsidRPr="00745FE7">
              <w:rPr>
                <w:b/>
                <w:bCs/>
                <w:lang w:val="es-ES"/>
              </w:rPr>
              <w:t>Estudios toxicológicos</w:t>
            </w:r>
          </w:p>
        </w:tc>
        <w:tc>
          <w:tcPr>
            <w:tcW w:w="6946" w:type="dxa"/>
            <w:tcBorders>
              <w:top w:val="nil"/>
              <w:left w:val="nil"/>
              <w:bottom w:val="nil"/>
              <w:right w:val="nil"/>
            </w:tcBorders>
          </w:tcPr>
          <w:p w14:paraId="6FC9783A" w14:textId="77777777" w:rsidR="002B0DBA" w:rsidRPr="00745FE7" w:rsidRDefault="002B0DBA" w:rsidP="00FE4699">
            <w:pPr>
              <w:spacing w:after="40"/>
              <w:rPr>
                <w:lang w:val="es-ES"/>
              </w:rPr>
            </w:pPr>
          </w:p>
        </w:tc>
      </w:tr>
      <w:tr w:rsidR="002B0DBA" w:rsidRPr="00745FE7" w14:paraId="47312281"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34E075EF" w14:textId="77777777" w:rsidR="002B0DBA" w:rsidRPr="00745FE7" w:rsidRDefault="002B0DBA" w:rsidP="00FE4699">
            <w:pPr>
              <w:rPr>
                <w:b/>
                <w:lang w:val="es-ES"/>
              </w:rPr>
            </w:pPr>
            <w:r w:rsidRPr="00745FE7">
              <w:rPr>
                <w:b/>
                <w:bCs/>
                <w:lang w:val="es-ES"/>
              </w:rPr>
              <w:t>2.2.1</w:t>
            </w:r>
          </w:p>
        </w:tc>
        <w:tc>
          <w:tcPr>
            <w:tcW w:w="1735" w:type="dxa"/>
            <w:tcBorders>
              <w:top w:val="nil"/>
              <w:left w:val="nil"/>
              <w:bottom w:val="nil"/>
              <w:right w:val="nil"/>
            </w:tcBorders>
          </w:tcPr>
          <w:p w14:paraId="22192200" w14:textId="77777777" w:rsidR="002B0DBA" w:rsidRPr="00745FE7" w:rsidRDefault="002B0DBA" w:rsidP="00FE4699">
            <w:pPr>
              <w:rPr>
                <w:b/>
                <w:bCs/>
                <w:lang w:val="es-ES"/>
              </w:rPr>
            </w:pPr>
            <w:r w:rsidRPr="00745FE7">
              <w:rPr>
                <w:b/>
                <w:bCs/>
                <w:lang w:val="es-ES"/>
              </w:rPr>
              <w:t>Toxicidad aguda</w:t>
            </w:r>
          </w:p>
        </w:tc>
        <w:tc>
          <w:tcPr>
            <w:tcW w:w="6946" w:type="dxa"/>
            <w:tcBorders>
              <w:top w:val="nil"/>
              <w:left w:val="nil"/>
              <w:bottom w:val="nil"/>
              <w:right w:val="nil"/>
            </w:tcBorders>
          </w:tcPr>
          <w:p w14:paraId="393A1B1D" w14:textId="77777777" w:rsidR="002B0DBA" w:rsidRPr="00745FE7" w:rsidRDefault="002B0DBA" w:rsidP="00FE4699">
            <w:pPr>
              <w:autoSpaceDE w:val="0"/>
              <w:autoSpaceDN w:val="0"/>
              <w:adjustRightInd w:val="0"/>
              <w:rPr>
                <w:lang w:val="es-ES"/>
              </w:rPr>
            </w:pPr>
            <w:r w:rsidRPr="00745FE7">
              <w:rPr>
                <w:lang w:val="es-ES"/>
              </w:rPr>
              <w:t>Ratas, DL</w:t>
            </w:r>
            <w:r w:rsidRPr="00745FE7">
              <w:rPr>
                <w:vertAlign w:val="subscript"/>
                <w:lang w:val="es-ES"/>
              </w:rPr>
              <w:t>50</w:t>
            </w:r>
            <w:r w:rsidRPr="00745FE7">
              <w:rPr>
                <w:lang w:val="es-ES"/>
              </w:rPr>
              <w:t>, oral para macho y hembra 3,7 mg/kg p.c., 1,4 mg/kg p.c., respectivamente (notificación brasileña).</w:t>
            </w:r>
          </w:p>
          <w:p w14:paraId="052EFB75" w14:textId="77777777" w:rsidR="002B0DBA" w:rsidRPr="00745FE7" w:rsidRDefault="002B0DBA" w:rsidP="00FE4699">
            <w:pPr>
              <w:autoSpaceDE w:val="0"/>
              <w:autoSpaceDN w:val="0"/>
              <w:adjustRightInd w:val="0"/>
              <w:rPr>
                <w:lang w:val="es-ES"/>
              </w:rPr>
            </w:pPr>
            <w:r w:rsidRPr="00745FE7">
              <w:rPr>
                <w:lang w:val="es-ES"/>
              </w:rPr>
              <w:t>Ratas, DL</w:t>
            </w:r>
            <w:r w:rsidRPr="00745FE7">
              <w:rPr>
                <w:vertAlign w:val="subscript"/>
                <w:lang w:val="es-ES"/>
              </w:rPr>
              <w:t>50</w:t>
            </w:r>
            <w:r w:rsidRPr="00745FE7">
              <w:rPr>
                <w:lang w:val="es-ES"/>
              </w:rPr>
              <w:t>, oral para macho y hembra 3,7 mg/kg p.c., 1,6 mg/kg p.c., respectivamente (notificación canadiense).</w:t>
            </w:r>
          </w:p>
          <w:p w14:paraId="76717BC3" w14:textId="77777777" w:rsidR="002B0DBA" w:rsidRPr="00745FE7" w:rsidRDefault="002B0DBA" w:rsidP="00FE4699">
            <w:pPr>
              <w:autoSpaceDE w:val="0"/>
              <w:autoSpaceDN w:val="0"/>
              <w:adjustRightInd w:val="0"/>
              <w:rPr>
                <w:lang w:val="es-ES"/>
              </w:rPr>
            </w:pPr>
            <w:r w:rsidRPr="00745FE7">
              <w:rPr>
                <w:lang w:val="es-ES"/>
              </w:rPr>
              <w:t>Ratas, DL</w:t>
            </w:r>
            <w:r w:rsidRPr="00745FE7">
              <w:rPr>
                <w:vertAlign w:val="subscript"/>
                <w:lang w:val="es-ES"/>
              </w:rPr>
              <w:t>50</w:t>
            </w:r>
            <w:r w:rsidRPr="00745FE7">
              <w:rPr>
                <w:lang w:val="es-ES"/>
              </w:rPr>
              <w:t>, oral para macho y hembra 2 y 1,1 mg/kg p.c., respectivamente (PubChem, 2017c).</w:t>
            </w:r>
          </w:p>
          <w:p w14:paraId="7AA5D3E2" w14:textId="77777777" w:rsidR="002B0DBA" w:rsidRPr="00745FE7" w:rsidRDefault="002B0DBA" w:rsidP="00FE4699">
            <w:pPr>
              <w:autoSpaceDE w:val="0"/>
              <w:autoSpaceDN w:val="0"/>
              <w:adjustRightInd w:val="0"/>
              <w:rPr>
                <w:lang w:val="es-ES"/>
              </w:rPr>
            </w:pPr>
            <w:r w:rsidRPr="00745FE7">
              <w:rPr>
                <w:lang w:val="es-ES"/>
              </w:rPr>
              <w:t>Ratones DL</w:t>
            </w:r>
            <w:r w:rsidRPr="00745FE7">
              <w:rPr>
                <w:vertAlign w:val="subscript"/>
                <w:lang w:val="es-ES"/>
              </w:rPr>
              <w:t>50</w:t>
            </w:r>
            <w:r w:rsidRPr="00745FE7">
              <w:rPr>
                <w:lang w:val="es-ES"/>
              </w:rPr>
              <w:t xml:space="preserve"> oral 6 mg/kg p.c. (notificación canadiense).</w:t>
            </w:r>
          </w:p>
          <w:p w14:paraId="46BE829B" w14:textId="77777777" w:rsidR="002B0DBA" w:rsidRPr="00745FE7" w:rsidRDefault="002B0DBA" w:rsidP="00FE4699">
            <w:pPr>
              <w:autoSpaceDE w:val="0"/>
              <w:autoSpaceDN w:val="0"/>
              <w:adjustRightInd w:val="0"/>
              <w:rPr>
                <w:lang w:val="es-ES"/>
              </w:rPr>
            </w:pPr>
            <w:r w:rsidRPr="00745FE7">
              <w:rPr>
                <w:lang w:val="es-ES"/>
              </w:rPr>
              <w:t>Ratón macho DL</w:t>
            </w:r>
            <w:r w:rsidRPr="00745FE7">
              <w:rPr>
                <w:vertAlign w:val="subscript"/>
                <w:lang w:val="es-ES"/>
              </w:rPr>
              <w:t xml:space="preserve">50 </w:t>
            </w:r>
            <w:r w:rsidRPr="00745FE7">
              <w:rPr>
                <w:lang w:val="es-ES"/>
              </w:rPr>
              <w:t>oral 2,25 mg/kg p.c. (PubChem, 2017c).</w:t>
            </w:r>
          </w:p>
          <w:p w14:paraId="15A557BE" w14:textId="77777777" w:rsidR="002B0DBA" w:rsidRPr="00745FE7" w:rsidRDefault="002B0DBA" w:rsidP="00FE4699">
            <w:pPr>
              <w:autoSpaceDE w:val="0"/>
              <w:autoSpaceDN w:val="0"/>
              <w:adjustRightInd w:val="0"/>
              <w:rPr>
                <w:lang w:val="es-ES"/>
              </w:rPr>
            </w:pPr>
            <w:r w:rsidRPr="00745FE7">
              <w:rPr>
                <w:lang w:val="es-ES"/>
              </w:rPr>
              <w:t>Ratón macho DL</w:t>
            </w:r>
            <w:r w:rsidRPr="00745FE7">
              <w:rPr>
                <w:vertAlign w:val="subscript"/>
                <w:lang w:val="es-ES"/>
              </w:rPr>
              <w:t xml:space="preserve">50 </w:t>
            </w:r>
            <w:r w:rsidRPr="00745FE7">
              <w:rPr>
                <w:lang w:val="es-ES"/>
              </w:rPr>
              <w:t>ip 2,1 mg/kg (PubChem, 2017c).</w:t>
            </w:r>
          </w:p>
          <w:p w14:paraId="0323C8ED" w14:textId="09C98616" w:rsidR="002B0DBA" w:rsidRPr="00745FE7" w:rsidRDefault="002B0DBA" w:rsidP="00FE4699">
            <w:pPr>
              <w:autoSpaceDE w:val="0"/>
              <w:autoSpaceDN w:val="0"/>
              <w:adjustRightInd w:val="0"/>
              <w:rPr>
                <w:lang w:val="es-ES"/>
              </w:rPr>
            </w:pPr>
            <w:r w:rsidRPr="00745FE7">
              <w:rPr>
                <w:lang w:val="es-ES"/>
              </w:rPr>
              <w:t>Ratones DL</w:t>
            </w:r>
            <w:r w:rsidRPr="00745FE7">
              <w:rPr>
                <w:vertAlign w:val="subscript"/>
                <w:lang w:val="es-ES"/>
              </w:rPr>
              <w:t>50</w:t>
            </w:r>
            <w:r w:rsidRPr="00745FE7">
              <w:rPr>
                <w:lang w:val="es-ES"/>
              </w:rPr>
              <w:t xml:space="preserve"> espectro de 1,4 a 10 mg/kg p.c. (notificación brasileña, </w:t>
            </w:r>
            <w:r w:rsidR="005D7543" w:rsidRPr="00745FE7">
              <w:rPr>
                <w:lang w:val="es-ES"/>
              </w:rPr>
              <w:t>artículo </w:t>
            </w:r>
            <w:r w:rsidRPr="00745FE7">
              <w:rPr>
                <w:lang w:val="es-ES"/>
              </w:rPr>
              <w:t>2.4.2.1).</w:t>
            </w:r>
          </w:p>
          <w:p w14:paraId="0EDFE8B8" w14:textId="77777777" w:rsidR="002B0DBA" w:rsidRPr="00745FE7" w:rsidRDefault="002B0DBA" w:rsidP="00FE4699">
            <w:pPr>
              <w:autoSpaceDE w:val="0"/>
              <w:autoSpaceDN w:val="0"/>
              <w:adjustRightInd w:val="0"/>
              <w:rPr>
                <w:lang w:val="es-ES"/>
              </w:rPr>
            </w:pPr>
            <w:r w:rsidRPr="00745FE7">
              <w:rPr>
                <w:lang w:val="es-ES"/>
              </w:rPr>
              <w:t>Rata, DL</w:t>
            </w:r>
            <w:r w:rsidRPr="00745FE7">
              <w:rPr>
                <w:vertAlign w:val="subscript"/>
                <w:lang w:val="es-ES"/>
              </w:rPr>
              <w:t>50</w:t>
            </w:r>
            <w:r w:rsidRPr="00745FE7">
              <w:rPr>
                <w:lang w:val="es-ES"/>
              </w:rPr>
              <w:t>, cutánea para macho y hembra 9,3 mg/kg p.c. y 3,9 mg/kg p.c., respectivamente.</w:t>
            </w:r>
          </w:p>
          <w:p w14:paraId="3EEF8C4D" w14:textId="77777777" w:rsidR="002B0DBA" w:rsidRPr="00745FE7" w:rsidRDefault="002B0DBA" w:rsidP="00FE4699">
            <w:pPr>
              <w:autoSpaceDE w:val="0"/>
              <w:autoSpaceDN w:val="0"/>
              <w:adjustRightInd w:val="0"/>
              <w:rPr>
                <w:lang w:val="es-ES"/>
              </w:rPr>
            </w:pPr>
            <w:r w:rsidRPr="00745FE7">
              <w:rPr>
                <w:lang w:val="es-ES"/>
              </w:rPr>
              <w:t>Rata, CL</w:t>
            </w:r>
            <w:r w:rsidRPr="00745FE7">
              <w:rPr>
                <w:vertAlign w:val="subscript"/>
                <w:lang w:val="es-ES"/>
              </w:rPr>
              <w:t>50</w:t>
            </w:r>
            <w:r w:rsidRPr="00745FE7">
              <w:rPr>
                <w:lang w:val="es-ES"/>
              </w:rPr>
              <w:t>, inhalación para macho y hembra 0,06 mg/l de aire (1 h) y 0,011 mg/l de aire (1 h), respectivamente (notificación brasileña).</w:t>
            </w:r>
          </w:p>
          <w:p w14:paraId="06E62BF6" w14:textId="1329A4B4" w:rsidR="002B0DBA" w:rsidRPr="00745FE7" w:rsidRDefault="002B0DBA" w:rsidP="00FE4699">
            <w:pPr>
              <w:pStyle w:val="Style11"/>
              <w:widowControl/>
              <w:spacing w:after="120" w:line="240" w:lineRule="auto"/>
              <w:jc w:val="left"/>
              <w:rPr>
                <w:rFonts w:ascii="Times New Roman" w:hAnsi="Times New Roman" w:cs="Times New Roman"/>
                <w:b/>
                <w:sz w:val="20"/>
                <w:szCs w:val="20"/>
                <w:lang w:val="es-ES"/>
              </w:rPr>
            </w:pPr>
            <w:r w:rsidRPr="00745FE7">
              <w:rPr>
                <w:rFonts w:ascii="Times New Roman" w:hAnsi="Times New Roman" w:cs="Times New Roman"/>
                <w:b/>
                <w:sz w:val="20"/>
                <w:szCs w:val="20"/>
                <w:lang w:val="es-ES"/>
              </w:rPr>
              <w:t>Percutánea aguda piel y ojos DL</w:t>
            </w:r>
            <w:r w:rsidRPr="00745FE7">
              <w:rPr>
                <w:rFonts w:ascii="Times New Roman" w:hAnsi="Times New Roman" w:cs="Times New Roman"/>
                <w:b/>
                <w:sz w:val="20"/>
                <w:szCs w:val="20"/>
                <w:vertAlign w:val="subscript"/>
                <w:lang w:val="es-ES"/>
              </w:rPr>
              <w:t>50</w:t>
            </w:r>
            <w:r w:rsidRPr="00745FE7">
              <w:rPr>
                <w:rFonts w:ascii="Times New Roman" w:hAnsi="Times New Roman" w:cs="Times New Roman"/>
                <w:b/>
                <w:sz w:val="20"/>
                <w:szCs w:val="20"/>
                <w:lang w:val="es-ES"/>
              </w:rPr>
              <w:t xml:space="preserve"> para ratas macho 6,2, ratas hembra 2,5, conejos macho 5,6, conejos hembra 2</w:t>
            </w:r>
            <w:r w:rsidR="00353101" w:rsidRPr="00745FE7">
              <w:rPr>
                <w:rFonts w:ascii="Times New Roman" w:hAnsi="Times New Roman" w:cs="Times New Roman"/>
                <w:b/>
                <w:sz w:val="20"/>
                <w:szCs w:val="20"/>
                <w:lang w:val="es-ES"/>
              </w:rPr>
              <w:t>,</w:t>
            </w:r>
            <w:r w:rsidRPr="00745FE7">
              <w:rPr>
                <w:rFonts w:ascii="Times New Roman" w:hAnsi="Times New Roman" w:cs="Times New Roman"/>
                <w:b/>
                <w:sz w:val="20"/>
                <w:szCs w:val="20"/>
                <w:lang w:val="es-ES"/>
              </w:rPr>
              <w:t>9, conejillos de Indias 30,0 mg/kg (notificación canadiense).</w:t>
            </w:r>
          </w:p>
        </w:tc>
      </w:tr>
      <w:tr w:rsidR="002B0DBA" w:rsidRPr="00745FE7" w14:paraId="1124A389"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43059A29" w14:textId="77777777" w:rsidR="002B0DBA" w:rsidRPr="00745FE7" w:rsidRDefault="002B0DBA" w:rsidP="00FE4699">
            <w:pPr>
              <w:rPr>
                <w:b/>
                <w:lang w:val="es-ES"/>
              </w:rPr>
            </w:pPr>
            <w:r w:rsidRPr="00745FE7">
              <w:rPr>
                <w:b/>
                <w:bCs/>
                <w:lang w:val="es-ES"/>
              </w:rPr>
              <w:t>2.2.2</w:t>
            </w:r>
          </w:p>
        </w:tc>
        <w:tc>
          <w:tcPr>
            <w:tcW w:w="1735" w:type="dxa"/>
            <w:tcBorders>
              <w:top w:val="nil"/>
              <w:left w:val="nil"/>
              <w:bottom w:val="nil"/>
              <w:right w:val="nil"/>
            </w:tcBorders>
          </w:tcPr>
          <w:p w14:paraId="48F7F4EE" w14:textId="2F429264" w:rsidR="002B0DBA" w:rsidRPr="00745FE7" w:rsidRDefault="002B0DBA" w:rsidP="00FE4699">
            <w:pPr>
              <w:rPr>
                <w:b/>
                <w:bCs/>
                <w:lang w:val="es-ES"/>
              </w:rPr>
            </w:pPr>
            <w:r w:rsidRPr="00745FE7">
              <w:rPr>
                <w:b/>
                <w:bCs/>
                <w:lang w:val="es-ES"/>
              </w:rPr>
              <w:t>Toxicidad a corto</w:t>
            </w:r>
            <w:r w:rsidR="002C568E" w:rsidRPr="00745FE7">
              <w:rPr>
                <w:b/>
                <w:bCs/>
                <w:lang w:val="es-ES"/>
              </w:rPr>
              <w:t> </w:t>
            </w:r>
            <w:r w:rsidRPr="00745FE7">
              <w:rPr>
                <w:b/>
                <w:bCs/>
                <w:lang w:val="es-ES"/>
              </w:rPr>
              <w:t>plazo</w:t>
            </w:r>
          </w:p>
        </w:tc>
        <w:tc>
          <w:tcPr>
            <w:tcW w:w="6946" w:type="dxa"/>
            <w:tcBorders>
              <w:top w:val="nil"/>
              <w:left w:val="nil"/>
              <w:bottom w:val="nil"/>
              <w:right w:val="nil"/>
            </w:tcBorders>
          </w:tcPr>
          <w:p w14:paraId="6B7C26B9" w14:textId="77777777" w:rsidR="002B0DBA" w:rsidRPr="00745FE7" w:rsidRDefault="002B0DBA" w:rsidP="00FE4699">
            <w:pPr>
              <w:autoSpaceDE w:val="0"/>
              <w:autoSpaceDN w:val="0"/>
              <w:adjustRightInd w:val="0"/>
              <w:rPr>
                <w:lang w:val="es-ES"/>
              </w:rPr>
            </w:pPr>
            <w:r w:rsidRPr="00745FE7">
              <w:rPr>
                <w:lang w:val="es-ES"/>
              </w:rPr>
              <w:t>Efecto meta / crítico: actividad cerebral y eritrocito acetilcolinesterasa, y miosis (ratas).</w:t>
            </w:r>
          </w:p>
          <w:p w14:paraId="14E6865D" w14:textId="77777777" w:rsidR="002B0DBA" w:rsidRPr="00745FE7" w:rsidRDefault="002B0DBA" w:rsidP="00FE4699">
            <w:pPr>
              <w:autoSpaceDE w:val="0"/>
              <w:autoSpaceDN w:val="0"/>
              <w:adjustRightInd w:val="0"/>
              <w:rPr>
                <w:lang w:val="es-ES"/>
              </w:rPr>
            </w:pPr>
            <w:r w:rsidRPr="00745FE7">
              <w:rPr>
                <w:lang w:val="es-ES"/>
              </w:rPr>
              <w:t>NOAEL mínimo oral de interés: 0,07 mg/kg p.c. por día (notificación brasileña).</w:t>
            </w:r>
          </w:p>
          <w:p w14:paraId="6ABD5AB3" w14:textId="77777777" w:rsidR="002B0DBA" w:rsidRPr="00745FE7" w:rsidRDefault="002B0DBA" w:rsidP="00FE4699">
            <w:pPr>
              <w:autoSpaceDE w:val="0"/>
              <w:autoSpaceDN w:val="0"/>
              <w:adjustRightInd w:val="0"/>
              <w:rPr>
                <w:lang w:val="es-ES"/>
              </w:rPr>
            </w:pPr>
            <w:r w:rsidRPr="00745FE7">
              <w:rPr>
                <w:lang w:val="es-ES"/>
              </w:rPr>
              <w:t>NOAEL cutáneo mínimo de interés: 0,41 mg/kg p.c. a partir de estudio de toxicidad cutánea de 28 días para evaluación de riesgo cutáneo en el corto y mediano plazos, en el cual hubo inhibición de la actividad de la colinesterasa en el nivel siguiente (notificación canadiense).</w:t>
            </w:r>
          </w:p>
          <w:p w14:paraId="7D4D78B7" w14:textId="77777777" w:rsidR="002B0DBA" w:rsidRPr="00745FE7" w:rsidRDefault="002B0DBA" w:rsidP="00FE4699">
            <w:pPr>
              <w:autoSpaceDE w:val="0"/>
              <w:autoSpaceDN w:val="0"/>
              <w:adjustRightInd w:val="0"/>
              <w:rPr>
                <w:lang w:val="es-ES"/>
              </w:rPr>
            </w:pPr>
            <w:r w:rsidRPr="00745FE7">
              <w:rPr>
                <w:lang w:val="es-ES"/>
              </w:rPr>
              <w:t>NOAEC mínimo de inhalación de interés: sin datos (notificación brasileña).</w:t>
            </w:r>
          </w:p>
          <w:p w14:paraId="201CEFB5" w14:textId="77777777" w:rsidR="002B0DBA" w:rsidRPr="00745FE7" w:rsidRDefault="002B0DBA" w:rsidP="00FE4699">
            <w:pPr>
              <w:autoSpaceDE w:val="0"/>
              <w:autoSpaceDN w:val="0"/>
              <w:adjustRightInd w:val="0"/>
              <w:spacing w:after="120"/>
              <w:rPr>
                <w:i/>
                <w:lang w:val="es-ES"/>
              </w:rPr>
            </w:pPr>
            <w:r w:rsidRPr="00745FE7">
              <w:rPr>
                <w:lang w:val="es-ES"/>
              </w:rPr>
              <w:t>NOAEL = 0,25 mg/kg peso corporal derivado de constataciones de estudio de neurotoxicidad aguda en ratas coincidente con la inhibición de acetilcolinesterasa (notificación brasileña).</w:t>
            </w:r>
          </w:p>
        </w:tc>
      </w:tr>
      <w:tr w:rsidR="002B0DBA" w:rsidRPr="00745FE7" w14:paraId="5C637895"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45A27BC3" w14:textId="77777777" w:rsidR="002B0DBA" w:rsidRPr="00745FE7" w:rsidRDefault="002B0DBA" w:rsidP="00FE4699">
            <w:pPr>
              <w:rPr>
                <w:b/>
                <w:lang w:val="es-ES"/>
              </w:rPr>
            </w:pPr>
            <w:r w:rsidRPr="00745FE7">
              <w:rPr>
                <w:b/>
                <w:bCs/>
                <w:lang w:val="es-ES"/>
              </w:rPr>
              <w:t>2.2.3</w:t>
            </w:r>
          </w:p>
        </w:tc>
        <w:tc>
          <w:tcPr>
            <w:tcW w:w="1735" w:type="dxa"/>
            <w:tcBorders>
              <w:top w:val="nil"/>
              <w:left w:val="nil"/>
              <w:bottom w:val="nil"/>
              <w:right w:val="nil"/>
            </w:tcBorders>
          </w:tcPr>
          <w:p w14:paraId="0572BC23" w14:textId="77777777" w:rsidR="002B0DBA" w:rsidRPr="00745FE7" w:rsidRDefault="002B0DBA" w:rsidP="00FE4699">
            <w:pPr>
              <w:spacing w:after="120"/>
              <w:rPr>
                <w:b/>
                <w:bCs/>
                <w:lang w:val="es-ES"/>
              </w:rPr>
            </w:pPr>
            <w:r w:rsidRPr="00745FE7">
              <w:rPr>
                <w:b/>
                <w:bCs/>
                <w:lang w:val="es-ES"/>
              </w:rPr>
              <w:t>Genotoxicidad (incluida la mutagenicidad)</w:t>
            </w:r>
          </w:p>
        </w:tc>
        <w:tc>
          <w:tcPr>
            <w:tcW w:w="6946" w:type="dxa"/>
            <w:tcBorders>
              <w:top w:val="nil"/>
              <w:left w:val="nil"/>
              <w:bottom w:val="nil"/>
              <w:right w:val="nil"/>
            </w:tcBorders>
          </w:tcPr>
          <w:p w14:paraId="1DA84B75" w14:textId="77777777" w:rsidR="002B0DBA" w:rsidRPr="00745FE7" w:rsidRDefault="002B0DBA" w:rsidP="00FE4699">
            <w:pPr>
              <w:spacing w:after="40"/>
              <w:rPr>
                <w:lang w:val="es-ES"/>
              </w:rPr>
            </w:pPr>
            <w:r w:rsidRPr="00745FE7">
              <w:rPr>
                <w:lang w:val="es-ES"/>
              </w:rPr>
              <w:t>Resultados negativos in vivo e in vitro (notificación brasileña).</w:t>
            </w:r>
          </w:p>
        </w:tc>
      </w:tr>
      <w:tr w:rsidR="002B0DBA" w:rsidRPr="00745FE7" w14:paraId="435A9A2D"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6F15C4FE" w14:textId="77777777" w:rsidR="002B0DBA" w:rsidRPr="00745FE7" w:rsidRDefault="002B0DBA" w:rsidP="00FE4699">
            <w:pPr>
              <w:rPr>
                <w:b/>
                <w:lang w:val="es-ES"/>
              </w:rPr>
            </w:pPr>
            <w:r w:rsidRPr="00745FE7">
              <w:rPr>
                <w:b/>
                <w:bCs/>
                <w:lang w:val="es-ES"/>
              </w:rPr>
              <w:t>2.2.4</w:t>
            </w:r>
          </w:p>
        </w:tc>
        <w:tc>
          <w:tcPr>
            <w:tcW w:w="1735" w:type="dxa"/>
            <w:tcBorders>
              <w:top w:val="nil"/>
              <w:left w:val="nil"/>
              <w:bottom w:val="nil"/>
              <w:right w:val="nil"/>
            </w:tcBorders>
          </w:tcPr>
          <w:p w14:paraId="31332E73" w14:textId="77777777" w:rsidR="002B0DBA" w:rsidRPr="00745FE7" w:rsidRDefault="002B0DBA" w:rsidP="00FE4699">
            <w:pPr>
              <w:rPr>
                <w:b/>
                <w:bCs/>
                <w:lang w:val="es-ES"/>
              </w:rPr>
            </w:pPr>
            <w:r w:rsidRPr="00745FE7">
              <w:rPr>
                <w:b/>
                <w:lang w:val="es-ES"/>
              </w:rPr>
              <w:t>Toxicidad y potencia cancerígena a largo plazo.</w:t>
            </w:r>
          </w:p>
        </w:tc>
        <w:tc>
          <w:tcPr>
            <w:tcW w:w="6946" w:type="dxa"/>
            <w:tcBorders>
              <w:top w:val="nil"/>
              <w:left w:val="nil"/>
              <w:bottom w:val="nil"/>
              <w:right w:val="nil"/>
            </w:tcBorders>
          </w:tcPr>
          <w:p w14:paraId="1389B418" w14:textId="3FA05566" w:rsidR="002B0DBA" w:rsidRPr="00745FE7" w:rsidRDefault="002B0DBA" w:rsidP="00FE4699">
            <w:pPr>
              <w:autoSpaceDE w:val="0"/>
              <w:autoSpaceDN w:val="0"/>
              <w:adjustRightInd w:val="0"/>
              <w:rPr>
                <w:lang w:val="es-ES"/>
              </w:rPr>
            </w:pPr>
            <w:r w:rsidRPr="00745FE7">
              <w:rPr>
                <w:lang w:val="es-ES"/>
              </w:rPr>
              <w:t>Objetivo / efecto crítico: inhibición de la actividad de la colinesterasa cerebral y</w:t>
            </w:r>
            <w:r w:rsidR="00353101" w:rsidRPr="00745FE7">
              <w:rPr>
                <w:lang w:val="es-ES"/>
              </w:rPr>
              <w:t> </w:t>
            </w:r>
            <w:r w:rsidRPr="00745FE7">
              <w:rPr>
                <w:lang w:val="es-ES"/>
              </w:rPr>
              <w:t>eritrocitos.</w:t>
            </w:r>
          </w:p>
          <w:p w14:paraId="24CEA6AE" w14:textId="77777777" w:rsidR="002B0DBA" w:rsidRPr="00745FE7" w:rsidRDefault="002B0DBA" w:rsidP="00FE4699">
            <w:pPr>
              <w:autoSpaceDE w:val="0"/>
              <w:autoSpaceDN w:val="0"/>
              <w:adjustRightInd w:val="0"/>
              <w:rPr>
                <w:lang w:val="es-ES"/>
              </w:rPr>
            </w:pPr>
            <w:r w:rsidRPr="00745FE7">
              <w:rPr>
                <w:lang w:val="es-ES"/>
              </w:rPr>
              <w:t>NOAEL mínimo de interés: 0,07 mg/kg por día (ratas, notificación brasileña)</w:t>
            </w:r>
          </w:p>
          <w:p w14:paraId="26DD3043" w14:textId="77777777" w:rsidR="002B0DBA" w:rsidRPr="00745FE7" w:rsidRDefault="002B0DBA" w:rsidP="00FE4699">
            <w:pPr>
              <w:spacing w:after="40"/>
              <w:rPr>
                <w:lang w:val="es-ES"/>
              </w:rPr>
            </w:pPr>
            <w:r w:rsidRPr="00745FE7">
              <w:rPr>
                <w:lang w:val="es-ES"/>
              </w:rPr>
              <w:t>Potencia cancerígena: no cancerígeno en ratones y ratas (notificación brasileña).</w:t>
            </w:r>
          </w:p>
          <w:p w14:paraId="0E914605" w14:textId="77777777" w:rsidR="002B0DBA" w:rsidRPr="00745FE7" w:rsidRDefault="002B0DBA" w:rsidP="00FE4699">
            <w:pPr>
              <w:pStyle w:val="HTMLPreformatted"/>
              <w:rPr>
                <w:rFonts w:ascii="Times New Roman" w:hAnsi="Times New Roman" w:cs="Times New Roman"/>
                <w:color w:val="000000"/>
                <w:lang w:val="es-ES"/>
              </w:rPr>
            </w:pPr>
            <w:r w:rsidRPr="00745FE7">
              <w:rPr>
                <w:rFonts w:ascii="Times New Roman" w:hAnsi="Times New Roman" w:cs="Times New Roman"/>
                <w:lang w:val="es-ES"/>
              </w:rPr>
              <w:t>Existe un estudio en ratas. El LIE en este estudio fue 2,0 ppm (0,1 mg/kg/día); El NOEL era de 0,66 ppm (0,033 mg/kg/día).</w:t>
            </w:r>
          </w:p>
          <w:p w14:paraId="7637F2D3" w14:textId="1457FCB7" w:rsidR="002B0DBA" w:rsidRPr="00745FE7" w:rsidRDefault="002B0DBA" w:rsidP="00FE4699">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s-ES"/>
              </w:rPr>
            </w:pPr>
            <w:r w:rsidRPr="00745FE7">
              <w:rPr>
                <w:lang w:val="es-ES"/>
              </w:rPr>
              <w:t>- Toxicidad crónica: existe un estudio en perros (el NOEL y el LIE para la toxicidad sistémica fueron de 50 y 250 µg/kg/día, respectivamente).</w:t>
            </w:r>
            <w:r w:rsidR="009B760B" w:rsidRPr="00745FE7">
              <w:rPr>
                <w:lang w:val="es-ES"/>
              </w:rPr>
              <w:t xml:space="preserve"> </w:t>
            </w:r>
            <w:r w:rsidRPr="00745FE7">
              <w:rPr>
                <w:lang w:val="es-ES"/>
              </w:rPr>
              <w:t>Existe un estudio sobre ratones (el NOEL y el LIE fueron de 0,45 y .9 µg/kg/día, respectivamente). Existe un estudio sobre ratas (el LIE fue de 0,05 mg/kg/día y el NOEL no se determinó).</w:t>
            </w:r>
          </w:p>
          <w:p w14:paraId="5B6B6DA8" w14:textId="77777777" w:rsidR="002B0DBA" w:rsidRPr="00745FE7" w:rsidRDefault="002B0DBA" w:rsidP="00FE4699">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i/>
                <w:lang w:val="es-ES"/>
              </w:rPr>
            </w:pPr>
            <w:r w:rsidRPr="00745FE7">
              <w:rPr>
                <w:lang w:val="es-ES"/>
              </w:rPr>
              <w:t>Fuente: Extoxnet (2017)</w:t>
            </w:r>
          </w:p>
        </w:tc>
      </w:tr>
      <w:tr w:rsidR="002B0DBA" w:rsidRPr="00745FE7" w14:paraId="35938549"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05D98984" w14:textId="77777777" w:rsidR="002B0DBA" w:rsidRPr="00745FE7" w:rsidRDefault="002B0DBA" w:rsidP="00FE4699">
            <w:pPr>
              <w:rPr>
                <w:b/>
                <w:lang w:val="es-ES"/>
              </w:rPr>
            </w:pPr>
            <w:r w:rsidRPr="00745FE7">
              <w:rPr>
                <w:b/>
                <w:bCs/>
                <w:lang w:val="es-ES"/>
              </w:rPr>
              <w:t>2.2.5</w:t>
            </w:r>
          </w:p>
        </w:tc>
        <w:tc>
          <w:tcPr>
            <w:tcW w:w="1735" w:type="dxa"/>
            <w:tcBorders>
              <w:top w:val="nil"/>
              <w:left w:val="nil"/>
              <w:bottom w:val="nil"/>
              <w:right w:val="nil"/>
            </w:tcBorders>
          </w:tcPr>
          <w:p w14:paraId="057D4647" w14:textId="77777777" w:rsidR="002B0DBA" w:rsidRPr="00745FE7" w:rsidRDefault="002B0DBA" w:rsidP="00FE4699">
            <w:pPr>
              <w:rPr>
                <w:b/>
                <w:bCs/>
                <w:lang w:val="es-ES"/>
              </w:rPr>
            </w:pPr>
            <w:r w:rsidRPr="00745FE7">
              <w:rPr>
                <w:b/>
                <w:bCs/>
                <w:lang w:val="es-ES"/>
              </w:rPr>
              <w:t>Efectos sobre la reproducción</w:t>
            </w:r>
          </w:p>
        </w:tc>
        <w:tc>
          <w:tcPr>
            <w:tcW w:w="6946" w:type="dxa"/>
            <w:tcBorders>
              <w:top w:val="nil"/>
              <w:left w:val="nil"/>
              <w:bottom w:val="nil"/>
              <w:right w:val="nil"/>
            </w:tcBorders>
          </w:tcPr>
          <w:p w14:paraId="31FDC38C" w14:textId="414A6C78" w:rsidR="002B0DBA" w:rsidRPr="00745FE7" w:rsidRDefault="002B0DBA" w:rsidP="00FE4699">
            <w:pPr>
              <w:autoSpaceDE w:val="0"/>
              <w:autoSpaceDN w:val="0"/>
              <w:adjustRightInd w:val="0"/>
              <w:rPr>
                <w:lang w:val="es-ES"/>
              </w:rPr>
            </w:pPr>
            <w:r w:rsidRPr="00745FE7">
              <w:rPr>
                <w:lang w:val="es-ES"/>
              </w:rPr>
              <w:t>Objetivo / efecto crítico sobre la reproducción: se redujo el crecimiento de la cría a dosis</w:t>
            </w:r>
            <w:r w:rsidR="002C568E" w:rsidRPr="00745FE7">
              <w:rPr>
                <w:lang w:val="es-ES"/>
              </w:rPr>
              <w:t> </w:t>
            </w:r>
            <w:r w:rsidRPr="00745FE7">
              <w:rPr>
                <w:lang w:val="es-ES"/>
              </w:rPr>
              <w:t>tóxica para la madre. NOAEL mínimo reproductivo de interés: 2 ppm equivalente a</w:t>
            </w:r>
            <w:r w:rsidR="002C568E" w:rsidRPr="00745FE7">
              <w:rPr>
                <w:lang w:val="es-ES"/>
              </w:rPr>
              <w:t> </w:t>
            </w:r>
            <w:r w:rsidRPr="00745FE7">
              <w:rPr>
                <w:lang w:val="es-ES"/>
              </w:rPr>
              <w:t>0,17 mg/kg p.c. por día.</w:t>
            </w:r>
          </w:p>
          <w:p w14:paraId="6F439CB6" w14:textId="77777777" w:rsidR="002B0DBA" w:rsidRPr="00745FE7" w:rsidRDefault="002B0DBA" w:rsidP="00FE4699">
            <w:pPr>
              <w:autoSpaceDE w:val="0"/>
              <w:autoSpaceDN w:val="0"/>
              <w:adjustRightInd w:val="0"/>
              <w:rPr>
                <w:lang w:val="es-ES"/>
              </w:rPr>
            </w:pPr>
            <w:r w:rsidRPr="00745FE7">
              <w:rPr>
                <w:lang w:val="es-ES"/>
              </w:rPr>
              <w:t>Objetivo / efecto crítico sobre el desarrollo: se redujo el peso de la cría y se demoró la osificación a dosis tóxica para la madre (ratas).</w:t>
            </w:r>
          </w:p>
          <w:p w14:paraId="0FDFDD91" w14:textId="77777777" w:rsidR="002B0DBA" w:rsidRPr="00745FE7" w:rsidRDefault="002B0DBA" w:rsidP="00FE4699">
            <w:pPr>
              <w:spacing w:after="40"/>
              <w:rPr>
                <w:lang w:val="es-ES"/>
              </w:rPr>
            </w:pPr>
            <w:r w:rsidRPr="00745FE7">
              <w:rPr>
                <w:lang w:val="es-ES"/>
              </w:rPr>
              <w:t>NOAEL mínimo del desarrollo de interés: 0,3 mg/kg p.c. por día (ratas).</w:t>
            </w:r>
          </w:p>
          <w:p w14:paraId="1A43C970" w14:textId="77777777" w:rsidR="002B0DBA" w:rsidRPr="00745FE7" w:rsidRDefault="002B0DBA" w:rsidP="00FE4699">
            <w:pPr>
              <w:spacing w:after="40"/>
              <w:rPr>
                <w:i/>
                <w:lang w:val="es-ES"/>
              </w:rPr>
            </w:pPr>
            <w:r w:rsidRPr="00745FE7">
              <w:rPr>
                <w:lang w:val="es-ES"/>
              </w:rPr>
              <w:t>(Notificación brasileña)</w:t>
            </w:r>
          </w:p>
        </w:tc>
      </w:tr>
      <w:tr w:rsidR="002B0DBA" w:rsidRPr="00745FE7" w14:paraId="665C4454"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776D12D0" w14:textId="77777777" w:rsidR="002B0DBA" w:rsidRPr="00745FE7" w:rsidRDefault="002B0DBA" w:rsidP="00FE4699">
            <w:pPr>
              <w:keepNext/>
              <w:keepLines/>
              <w:rPr>
                <w:b/>
                <w:lang w:val="es-ES"/>
              </w:rPr>
            </w:pPr>
            <w:r w:rsidRPr="00745FE7">
              <w:rPr>
                <w:b/>
                <w:bCs/>
                <w:lang w:val="es-ES"/>
              </w:rPr>
              <w:t>2.2.6</w:t>
            </w:r>
          </w:p>
        </w:tc>
        <w:tc>
          <w:tcPr>
            <w:tcW w:w="1735" w:type="dxa"/>
            <w:tcBorders>
              <w:top w:val="nil"/>
              <w:left w:val="nil"/>
              <w:bottom w:val="nil"/>
              <w:right w:val="nil"/>
            </w:tcBorders>
          </w:tcPr>
          <w:p w14:paraId="2E77B8D7" w14:textId="77777777" w:rsidR="002B0DBA" w:rsidRPr="00745FE7" w:rsidRDefault="002B0DBA" w:rsidP="00FE4699">
            <w:pPr>
              <w:keepNext/>
              <w:keepLines/>
              <w:rPr>
                <w:b/>
                <w:bCs/>
                <w:lang w:val="es-ES"/>
              </w:rPr>
            </w:pPr>
            <w:r w:rsidRPr="00745FE7">
              <w:rPr>
                <w:b/>
                <w:bCs/>
                <w:lang w:val="es-ES"/>
              </w:rPr>
              <w:t>Neurotoxicidad/ neurotoxicidad retardada, estudios especiales si los hubiera</w:t>
            </w:r>
          </w:p>
        </w:tc>
        <w:tc>
          <w:tcPr>
            <w:tcW w:w="6946" w:type="dxa"/>
            <w:tcBorders>
              <w:top w:val="nil"/>
              <w:left w:val="nil"/>
              <w:bottom w:val="nil"/>
              <w:right w:val="nil"/>
            </w:tcBorders>
          </w:tcPr>
          <w:p w14:paraId="41FACC93" w14:textId="77777777" w:rsidR="002B0DBA" w:rsidRPr="00745FE7" w:rsidRDefault="002B0DBA" w:rsidP="00FE4699">
            <w:pPr>
              <w:keepNext/>
              <w:keepLines/>
              <w:autoSpaceDE w:val="0"/>
              <w:autoSpaceDN w:val="0"/>
              <w:adjustRightInd w:val="0"/>
              <w:rPr>
                <w:lang w:val="es-ES"/>
              </w:rPr>
            </w:pPr>
            <w:r w:rsidRPr="00745FE7">
              <w:rPr>
                <w:lang w:val="es-ES"/>
              </w:rPr>
              <w:t>Estudio de la neurotoxicidad con una sola dosis:</w:t>
            </w:r>
          </w:p>
          <w:p w14:paraId="4D86ED48" w14:textId="77777777" w:rsidR="002B0DBA" w:rsidRPr="00745FE7" w:rsidRDefault="002B0DBA" w:rsidP="00FE4699">
            <w:pPr>
              <w:keepNext/>
              <w:keepLines/>
              <w:autoSpaceDE w:val="0"/>
              <w:autoSpaceDN w:val="0"/>
              <w:adjustRightInd w:val="0"/>
              <w:rPr>
                <w:lang w:val="es-ES"/>
              </w:rPr>
            </w:pPr>
            <w:r w:rsidRPr="00745FE7">
              <w:rPr>
                <w:lang w:val="es-ES"/>
              </w:rPr>
              <w:t>Objetivo/efecto crítico: signos coincidentes con la inhibición de la acetilcolinesterasa; sin efectos neuropatológicos.</w:t>
            </w:r>
          </w:p>
          <w:p w14:paraId="4C49C0BE" w14:textId="2F3915B4" w:rsidR="002B0DBA" w:rsidRPr="00745FE7" w:rsidRDefault="002B0DBA" w:rsidP="00FE4699">
            <w:pPr>
              <w:keepNext/>
              <w:keepLines/>
              <w:autoSpaceDE w:val="0"/>
              <w:autoSpaceDN w:val="0"/>
              <w:adjustRightInd w:val="0"/>
              <w:rPr>
                <w:lang w:val="es-ES"/>
              </w:rPr>
            </w:pPr>
            <w:r w:rsidRPr="00745FE7">
              <w:rPr>
                <w:lang w:val="es-ES"/>
              </w:rPr>
              <w:t xml:space="preserve">NOAEL de interés: 0,25 mg/kg </w:t>
            </w:r>
            <w:r w:rsidR="002C568E" w:rsidRPr="00745FE7">
              <w:rPr>
                <w:lang w:val="es-ES"/>
              </w:rPr>
              <w:t>p.c</w:t>
            </w:r>
            <w:r w:rsidRPr="00745FE7">
              <w:rPr>
                <w:lang w:val="es-ES"/>
              </w:rPr>
              <w:t>.</w:t>
            </w:r>
          </w:p>
          <w:p w14:paraId="44740DD8" w14:textId="77777777" w:rsidR="002B0DBA" w:rsidRPr="00745FE7" w:rsidRDefault="002B0DBA" w:rsidP="00FE4699">
            <w:pPr>
              <w:keepNext/>
              <w:keepLines/>
              <w:autoSpaceDE w:val="0"/>
              <w:autoSpaceDN w:val="0"/>
              <w:adjustRightInd w:val="0"/>
              <w:rPr>
                <w:lang w:val="es-ES"/>
              </w:rPr>
            </w:pPr>
            <w:r w:rsidRPr="00745FE7">
              <w:rPr>
                <w:lang w:val="es-ES"/>
              </w:rPr>
              <w:t>Neuropatía retardada: no hay neurotoxicidad retardada en gallinas.</w:t>
            </w:r>
          </w:p>
          <w:p w14:paraId="3343E29F" w14:textId="77777777" w:rsidR="002B0DBA" w:rsidRPr="00745FE7" w:rsidRDefault="002B0DBA" w:rsidP="00FE4699">
            <w:pPr>
              <w:keepNext/>
              <w:keepLines/>
              <w:autoSpaceDE w:val="0"/>
              <w:autoSpaceDN w:val="0"/>
              <w:adjustRightInd w:val="0"/>
              <w:rPr>
                <w:lang w:val="es-ES"/>
              </w:rPr>
            </w:pPr>
            <w:r w:rsidRPr="00745FE7">
              <w:rPr>
                <w:lang w:val="es-ES"/>
              </w:rPr>
              <w:t>Datos médicos: constataciones coincidentes con la inhibición de la actividad de la acetilcolinesterasa; sin registros de secuelas permanentes.</w:t>
            </w:r>
          </w:p>
          <w:p w14:paraId="4E59CEB8" w14:textId="77777777" w:rsidR="002B0DBA" w:rsidRPr="00745FE7" w:rsidRDefault="002B0DBA" w:rsidP="00FE4699">
            <w:pPr>
              <w:keepNext/>
              <w:keepLines/>
              <w:autoSpaceDE w:val="0"/>
              <w:autoSpaceDN w:val="0"/>
              <w:adjustRightInd w:val="0"/>
              <w:spacing w:after="120"/>
              <w:rPr>
                <w:i/>
                <w:lang w:val="es-ES"/>
              </w:rPr>
            </w:pPr>
            <w:r w:rsidRPr="00745FE7">
              <w:rPr>
                <w:lang w:val="es-ES"/>
              </w:rPr>
              <w:t>(Notificación brasileña)</w:t>
            </w:r>
          </w:p>
        </w:tc>
      </w:tr>
      <w:tr w:rsidR="002B0DBA" w:rsidRPr="00745FE7" w14:paraId="4E7E8390"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7CB64266" w14:textId="77777777" w:rsidR="002B0DBA" w:rsidRPr="00745FE7" w:rsidRDefault="002B0DBA" w:rsidP="00FE4699">
            <w:pPr>
              <w:spacing w:after="60"/>
              <w:rPr>
                <w:b/>
                <w:bCs/>
                <w:lang w:val="es-ES"/>
              </w:rPr>
            </w:pPr>
            <w:r w:rsidRPr="00745FE7">
              <w:rPr>
                <w:b/>
                <w:bCs/>
                <w:lang w:val="es-ES"/>
              </w:rPr>
              <w:t>2.2.7</w:t>
            </w:r>
          </w:p>
        </w:tc>
        <w:tc>
          <w:tcPr>
            <w:tcW w:w="1735" w:type="dxa"/>
            <w:tcBorders>
              <w:top w:val="nil"/>
              <w:left w:val="nil"/>
              <w:bottom w:val="nil"/>
              <w:right w:val="nil"/>
            </w:tcBorders>
          </w:tcPr>
          <w:p w14:paraId="771E34DE" w14:textId="77777777" w:rsidR="002B0DBA" w:rsidRPr="00745FE7" w:rsidRDefault="002B0DBA" w:rsidP="00FE4699">
            <w:pPr>
              <w:spacing w:before="20" w:after="20"/>
              <w:outlineLvl w:val="2"/>
              <w:rPr>
                <w:b/>
                <w:bCs/>
                <w:lang w:val="es-ES"/>
              </w:rPr>
            </w:pPr>
            <w:r w:rsidRPr="00745FE7">
              <w:rPr>
                <w:b/>
                <w:lang w:val="es-ES"/>
              </w:rPr>
              <w:t>Resumen de la toxicidad en mamíferos y evaluación global</w:t>
            </w:r>
          </w:p>
        </w:tc>
        <w:tc>
          <w:tcPr>
            <w:tcW w:w="6946" w:type="dxa"/>
            <w:tcBorders>
              <w:top w:val="nil"/>
              <w:left w:val="nil"/>
              <w:bottom w:val="nil"/>
              <w:right w:val="nil"/>
            </w:tcBorders>
          </w:tcPr>
          <w:p w14:paraId="5CDF258D" w14:textId="77777777" w:rsidR="002B0DBA" w:rsidRPr="00745FE7" w:rsidRDefault="002B0DBA" w:rsidP="00FE4699">
            <w:pPr>
              <w:pStyle w:val="Style34"/>
              <w:widowControl/>
              <w:spacing w:before="24" w:after="120" w:line="240" w:lineRule="auto"/>
              <w:rPr>
                <w:rStyle w:val="FontStyle56"/>
                <w:b w:val="0"/>
                <w:u w:val="single"/>
                <w:lang w:val="es-ES" w:eastAsia="en-US"/>
              </w:rPr>
            </w:pPr>
            <w:r w:rsidRPr="00745FE7">
              <w:rPr>
                <w:rFonts w:ascii="Times New Roman" w:hAnsi="Times New Roman" w:cs="Times New Roman"/>
                <w:b/>
                <w:sz w:val="20"/>
                <w:szCs w:val="20"/>
                <w:u w:val="single"/>
                <w:lang w:val="es-ES"/>
              </w:rPr>
              <w:t>Notificación canadiense</w:t>
            </w:r>
          </w:p>
          <w:p w14:paraId="77B08AA1" w14:textId="04F8F2E4" w:rsidR="002B0DBA" w:rsidRPr="00745FE7" w:rsidRDefault="002B0DBA" w:rsidP="00FE4699">
            <w:pPr>
              <w:pStyle w:val="Style34"/>
              <w:widowControl/>
              <w:spacing w:after="120" w:line="240" w:lineRule="auto"/>
              <w:rPr>
                <w:rFonts w:ascii="Times New Roman" w:hAnsi="Times New Roman" w:cs="Times New Roman"/>
                <w:b/>
                <w:color w:val="000000"/>
                <w:sz w:val="20"/>
                <w:szCs w:val="20"/>
                <w:lang w:val="es-ES"/>
              </w:rPr>
            </w:pPr>
            <w:r w:rsidRPr="00745FE7">
              <w:rPr>
                <w:rFonts w:ascii="Times New Roman" w:hAnsi="Times New Roman" w:cs="Times New Roman"/>
                <w:b/>
                <w:sz w:val="20"/>
                <w:szCs w:val="20"/>
                <w:lang w:val="es-ES"/>
              </w:rPr>
              <w:t xml:space="preserve">En animales de laboratorio, se descubrió que el forato resultaba agudamente tóxico en extremo, tras la exposición aguda oral, cutánea y por inhalación. Después de suministrar dosis única y repetidas, el indicador más sensible de la toxicidad fue la inhibición de la acetilcolinesterasa, una enzima necesaria para el buen funcionamiento del sistema nervioso, o signos clínicos de toxicidad colinérgica. Las hembras resultaron más sensibles a los efectos tóxicos del forato. Los metabolitos de forato fosforilado (sulfóxido y sulfona de forato) presentan una toxicidad similar a la del forato. El forato no provocó ninguna neurotoxicidad retardada visible y no existían pruebas de efectos histopatológicos en el sistema nervioso central, en ninguno de los estudios disponibles. No resultó genotóxico ni cancerígeno para ratas ni ratones. No provocó malformaciones fetales en ratas ni conejos, como tampoco toxicidad reproductiva en ratas, más allá de la reducción de la viabilidad de las jóvenes a dosis tóxicas para la madre. Los estudios de toxicidad evolutiva y reproductiva no demostraron sensibilidad alguna de los animales jóvenes en relación con los animales adultos, si bien la falta de mediciones de la colinesterasa en estos estudios imposibilitó la evaluación final de este aspecto. Sobre la base de los estudios de toxicidad disponibles, se anticipa que el forato posee un potencial elevado de absorción cutánea. Una de las características más notorias del forato era la inclinación y potencia de la dosis-efecto con una dosificación aguda y a corto plazo. Los niveles sin efectos perjudiciales observados (NOAEL) eran muy cercanos a los niveles de dosis que provocaban la mortalidad en los animales </w:t>
            </w:r>
            <w:r w:rsidR="00A4087D" w:rsidRPr="00745FE7">
              <w:rPr>
                <w:rFonts w:ascii="Times New Roman" w:hAnsi="Times New Roman" w:cs="Times New Roman"/>
                <w:b/>
                <w:sz w:val="20"/>
                <w:szCs w:val="20"/>
                <w:lang w:val="es-ES"/>
              </w:rPr>
              <w:t>de </w:t>
            </w:r>
            <w:r w:rsidRPr="00745FE7">
              <w:rPr>
                <w:rFonts w:ascii="Times New Roman" w:hAnsi="Times New Roman" w:cs="Times New Roman"/>
                <w:b/>
                <w:sz w:val="20"/>
                <w:szCs w:val="20"/>
                <w:lang w:val="es-ES"/>
              </w:rPr>
              <w:t>prueba.</w:t>
            </w:r>
          </w:p>
          <w:p w14:paraId="4AC33EB8" w14:textId="77777777" w:rsidR="002B0DBA" w:rsidRPr="00745FE7" w:rsidRDefault="002B0DBA" w:rsidP="00FE4699">
            <w:pPr>
              <w:snapToGrid w:val="0"/>
              <w:spacing w:after="120"/>
              <w:rPr>
                <w:b/>
                <w:color w:val="000000"/>
                <w:u w:val="single"/>
                <w:lang w:val="es-ES"/>
              </w:rPr>
            </w:pPr>
            <w:r w:rsidRPr="00745FE7">
              <w:rPr>
                <w:b/>
                <w:u w:val="single"/>
                <w:lang w:val="es-ES"/>
              </w:rPr>
              <w:t>Notificación brasileña</w:t>
            </w:r>
          </w:p>
          <w:p w14:paraId="3F49F8FA" w14:textId="77777777" w:rsidR="002B0DBA" w:rsidRPr="00745FE7" w:rsidRDefault="002B0DBA" w:rsidP="00FE4699">
            <w:pPr>
              <w:snapToGrid w:val="0"/>
              <w:spacing w:after="120"/>
              <w:rPr>
                <w:lang w:val="es-ES"/>
              </w:rPr>
            </w:pPr>
            <w:r w:rsidRPr="00745FE7">
              <w:rPr>
                <w:lang w:val="es-ES"/>
              </w:rPr>
              <w:t>Se observó que el forato y sus metabolitos se absorben con facilidad a través de la piel y las membranas mucosas y bloquean de forma irreversible la actividad catalítica de la acetilcolinesterasa (AChE). Así, interrumpen la transmisión de impulsos nerviosos en las sinapsis colinérgicas del sistema nervioso central (SNC), el sistema nervioso autónomo (SNA) y la unión neuromuscular. La inactivación de la AChE es causa de hiperestimulación colinérgica por acumulación de acetilcolina en la hendidura sináptica. El forato está considerado uno de los inhibidores organofosforados de la AChE más tóxicos (su DL</w:t>
            </w:r>
            <w:r w:rsidRPr="00745FE7">
              <w:rPr>
                <w:vertAlign w:val="subscript"/>
                <w:lang w:val="es-ES"/>
              </w:rPr>
              <w:t>50</w:t>
            </w:r>
            <w:r w:rsidRPr="00745FE7">
              <w:rPr>
                <w:lang w:val="es-ES"/>
              </w:rPr>
              <w:t xml:space="preserve"> media por vía oral para ratones es de 1,4 a 10 mg/kg por peso corporal). El forato puede ser causa de complejos trastornos neurológicos en las personas, como encefalopatía, síndrome intermedio y polineuropatía tardía. En experimentos con animales de laboratorio no se registraron casos de síndrome intermedio ni de polineuropatía tardía, lo que sugiere que el forato es más tóxico para los seres humanos que para los animales a los que se administró el plaguicida.</w:t>
            </w:r>
          </w:p>
          <w:p w14:paraId="13E16A63" w14:textId="77777777" w:rsidR="002B0DBA" w:rsidRPr="00745FE7" w:rsidRDefault="002B0DBA" w:rsidP="00FE4699">
            <w:pPr>
              <w:snapToGrid w:val="0"/>
              <w:spacing w:after="120"/>
              <w:rPr>
                <w:lang w:val="es-ES"/>
              </w:rPr>
            </w:pPr>
            <w:r w:rsidRPr="00745FE7">
              <w:rPr>
                <w:lang w:val="es-ES"/>
              </w:rPr>
              <w:t>Según los estudios experimentales y epidemiológicos del forato en relación con las vías respiratorias, la sustancia es muy tóxica para este sistema.</w:t>
            </w:r>
          </w:p>
          <w:p w14:paraId="49BB0A17" w14:textId="77777777" w:rsidR="002B0DBA" w:rsidRPr="00745FE7" w:rsidRDefault="002B0DBA" w:rsidP="00FE4699">
            <w:pPr>
              <w:snapToGrid w:val="0"/>
              <w:spacing w:after="120"/>
              <w:rPr>
                <w:lang w:val="es-ES"/>
              </w:rPr>
            </w:pPr>
            <w:r w:rsidRPr="00745FE7">
              <w:rPr>
                <w:lang w:val="es-ES"/>
              </w:rPr>
              <w:t>El forato demostró potencial de incidir negativamente en los procesos endocrinos que regulan las hormonas esteroideas de los seres humanos, lo que a su vez podría contribuir a un aumento de los casos de cáncer.</w:t>
            </w:r>
          </w:p>
          <w:p w14:paraId="277F020D" w14:textId="77777777" w:rsidR="002B0DBA" w:rsidRPr="00745FE7" w:rsidRDefault="002B0DBA" w:rsidP="00FE4699">
            <w:pPr>
              <w:snapToGrid w:val="0"/>
              <w:rPr>
                <w:lang w:val="es-ES"/>
              </w:rPr>
            </w:pPr>
            <w:r w:rsidRPr="00745FE7">
              <w:rPr>
                <w:lang w:val="es-ES"/>
              </w:rPr>
              <w:t>Varios estudios mostraron que algunos trabajadores agrícolas expuestos al forato han sufridos intoxicaciones y muertes relacionadas con las propiedades tóxicas del ingrediente activo. La exposición se vuelve aún más peligrosa por las dificultades relacionadas con la disponibilidad o ineficacia de los equipos de protección personal.</w:t>
            </w:r>
          </w:p>
        </w:tc>
      </w:tr>
      <w:tr w:rsidR="002B0DBA" w:rsidRPr="00745FE7" w14:paraId="5C89D44D"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709" w:type="dxa"/>
            <w:tcBorders>
              <w:top w:val="nil"/>
              <w:left w:val="nil"/>
              <w:bottom w:val="single" w:sz="4" w:space="0" w:color="auto"/>
              <w:right w:val="nil"/>
            </w:tcBorders>
          </w:tcPr>
          <w:p w14:paraId="668A1928" w14:textId="77777777" w:rsidR="002B0DBA" w:rsidRPr="00745FE7" w:rsidRDefault="002B0DBA" w:rsidP="00FE4699">
            <w:pPr>
              <w:keepNext/>
              <w:spacing w:before="60" w:after="60"/>
              <w:rPr>
                <w:b/>
                <w:lang w:val="es-ES"/>
              </w:rPr>
            </w:pPr>
            <w:r w:rsidRPr="00745FE7">
              <w:rPr>
                <w:b/>
                <w:bCs/>
                <w:lang w:val="es-ES"/>
              </w:rPr>
              <w:t>3</w:t>
            </w:r>
          </w:p>
        </w:tc>
        <w:tc>
          <w:tcPr>
            <w:tcW w:w="8681" w:type="dxa"/>
            <w:gridSpan w:val="2"/>
            <w:tcBorders>
              <w:top w:val="nil"/>
              <w:left w:val="nil"/>
              <w:bottom w:val="single" w:sz="4" w:space="0" w:color="auto"/>
              <w:right w:val="nil"/>
            </w:tcBorders>
          </w:tcPr>
          <w:p w14:paraId="5AF3F84F" w14:textId="77777777" w:rsidR="002B0DBA" w:rsidRPr="00745FE7" w:rsidRDefault="002B0DBA" w:rsidP="00FE4699">
            <w:pPr>
              <w:spacing w:before="60" w:after="60"/>
              <w:rPr>
                <w:b/>
                <w:lang w:val="es-ES"/>
              </w:rPr>
            </w:pPr>
            <w:r w:rsidRPr="00745FE7">
              <w:rPr>
                <w:b/>
                <w:bCs/>
                <w:lang w:val="es-ES"/>
              </w:rPr>
              <w:t>Exposición de las personas/evaluación de los riesgos</w:t>
            </w:r>
          </w:p>
        </w:tc>
      </w:tr>
      <w:tr w:rsidR="002B0DBA" w:rsidRPr="00745FE7" w14:paraId="7364A24B"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single" w:sz="4" w:space="0" w:color="auto"/>
              <w:left w:val="nil"/>
              <w:bottom w:val="nil"/>
              <w:right w:val="nil"/>
            </w:tcBorders>
          </w:tcPr>
          <w:p w14:paraId="2EA27380" w14:textId="77777777" w:rsidR="002B0DBA" w:rsidRPr="00745FE7" w:rsidRDefault="002B0DBA" w:rsidP="00FE4699">
            <w:pPr>
              <w:spacing w:after="60"/>
              <w:rPr>
                <w:b/>
                <w:bCs/>
                <w:lang w:val="es-ES"/>
              </w:rPr>
            </w:pPr>
            <w:r w:rsidRPr="00745FE7">
              <w:rPr>
                <w:b/>
                <w:bCs/>
                <w:lang w:val="es-ES"/>
              </w:rPr>
              <w:t>3.1</w:t>
            </w:r>
          </w:p>
        </w:tc>
        <w:tc>
          <w:tcPr>
            <w:tcW w:w="1735" w:type="dxa"/>
            <w:tcBorders>
              <w:top w:val="single" w:sz="4" w:space="0" w:color="auto"/>
              <w:left w:val="nil"/>
              <w:bottom w:val="nil"/>
              <w:right w:val="nil"/>
            </w:tcBorders>
          </w:tcPr>
          <w:p w14:paraId="2935D410" w14:textId="77777777" w:rsidR="002B0DBA" w:rsidRPr="00745FE7" w:rsidRDefault="002B0DBA" w:rsidP="00FE4699">
            <w:pPr>
              <w:spacing w:before="20" w:after="20"/>
              <w:outlineLvl w:val="2"/>
              <w:rPr>
                <w:b/>
                <w:bCs/>
                <w:lang w:val="es-ES"/>
              </w:rPr>
            </w:pPr>
            <w:r w:rsidRPr="00745FE7">
              <w:rPr>
                <w:b/>
                <w:bCs/>
                <w:lang w:val="es-ES"/>
              </w:rPr>
              <w:t>Alimentación</w:t>
            </w:r>
          </w:p>
        </w:tc>
        <w:tc>
          <w:tcPr>
            <w:tcW w:w="6946" w:type="dxa"/>
            <w:tcBorders>
              <w:top w:val="single" w:sz="4" w:space="0" w:color="auto"/>
              <w:left w:val="nil"/>
              <w:bottom w:val="nil"/>
              <w:right w:val="nil"/>
            </w:tcBorders>
          </w:tcPr>
          <w:p w14:paraId="11152622" w14:textId="77777777" w:rsidR="002B0DBA" w:rsidRPr="00745FE7" w:rsidRDefault="002B0DBA" w:rsidP="00FE4699">
            <w:pPr>
              <w:spacing w:after="120"/>
              <w:rPr>
                <w:lang w:val="es-ES"/>
              </w:rPr>
            </w:pPr>
            <w:r w:rsidRPr="00745FE7">
              <w:rPr>
                <w:lang w:val="es-ES"/>
              </w:rPr>
              <w:t>Los datos de la vigilancia indican que la población en general puede estar expuesta al forato a través de la ingesta de alimentos.</w:t>
            </w:r>
          </w:p>
        </w:tc>
      </w:tr>
      <w:tr w:rsidR="002B0DBA" w:rsidRPr="00745FE7" w14:paraId="2F228B3C"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76B2FD12" w14:textId="77777777" w:rsidR="002B0DBA" w:rsidRPr="00745FE7" w:rsidRDefault="002B0DBA" w:rsidP="00FE4699">
            <w:pPr>
              <w:spacing w:after="60"/>
              <w:rPr>
                <w:b/>
                <w:bCs/>
                <w:lang w:val="es-ES"/>
              </w:rPr>
            </w:pPr>
            <w:r w:rsidRPr="00745FE7">
              <w:rPr>
                <w:b/>
                <w:bCs/>
                <w:lang w:val="es-ES"/>
              </w:rPr>
              <w:t>3.2</w:t>
            </w:r>
          </w:p>
        </w:tc>
        <w:tc>
          <w:tcPr>
            <w:tcW w:w="1735" w:type="dxa"/>
            <w:tcBorders>
              <w:top w:val="nil"/>
              <w:left w:val="nil"/>
              <w:bottom w:val="nil"/>
              <w:right w:val="nil"/>
            </w:tcBorders>
          </w:tcPr>
          <w:p w14:paraId="4BA3960C" w14:textId="77777777" w:rsidR="002B0DBA" w:rsidRPr="00745FE7" w:rsidRDefault="002B0DBA" w:rsidP="00FE4699">
            <w:pPr>
              <w:spacing w:before="20" w:after="20"/>
              <w:ind w:right="-108"/>
              <w:outlineLvl w:val="2"/>
              <w:rPr>
                <w:b/>
                <w:bCs/>
                <w:lang w:val="es-ES"/>
              </w:rPr>
            </w:pPr>
            <w:r w:rsidRPr="00745FE7">
              <w:rPr>
                <w:b/>
                <w:bCs/>
                <w:lang w:val="es-ES"/>
              </w:rPr>
              <w:t>Aire</w:t>
            </w:r>
          </w:p>
        </w:tc>
        <w:tc>
          <w:tcPr>
            <w:tcW w:w="6946" w:type="dxa"/>
            <w:tcBorders>
              <w:top w:val="nil"/>
              <w:left w:val="nil"/>
              <w:bottom w:val="nil"/>
              <w:right w:val="nil"/>
            </w:tcBorders>
          </w:tcPr>
          <w:p w14:paraId="5DC02399" w14:textId="77777777" w:rsidR="002B0DBA" w:rsidRPr="00745FE7" w:rsidRDefault="002B0DBA" w:rsidP="00FE4699">
            <w:pPr>
              <w:spacing w:after="120"/>
              <w:rPr>
                <w:lang w:val="es-ES"/>
              </w:rPr>
            </w:pPr>
            <w:r w:rsidRPr="00745FE7">
              <w:rPr>
                <w:lang w:val="es-ES"/>
              </w:rPr>
              <w:t>Los datos de la vigilancia indican que la población en general puede estar expuesta al forato a través de la inhalación del aire ambiente.</w:t>
            </w:r>
          </w:p>
        </w:tc>
      </w:tr>
      <w:tr w:rsidR="002B0DBA" w:rsidRPr="00745FE7" w14:paraId="0D4AD4F9"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5B4450CA" w14:textId="77777777" w:rsidR="002B0DBA" w:rsidRPr="00745FE7" w:rsidRDefault="002B0DBA" w:rsidP="00FE4699">
            <w:pPr>
              <w:spacing w:after="60"/>
              <w:rPr>
                <w:b/>
                <w:bCs/>
                <w:lang w:val="es-ES"/>
              </w:rPr>
            </w:pPr>
            <w:r w:rsidRPr="00745FE7">
              <w:rPr>
                <w:b/>
                <w:bCs/>
                <w:lang w:val="es-ES"/>
              </w:rPr>
              <w:t>3.3</w:t>
            </w:r>
          </w:p>
        </w:tc>
        <w:tc>
          <w:tcPr>
            <w:tcW w:w="1735" w:type="dxa"/>
            <w:tcBorders>
              <w:top w:val="nil"/>
              <w:left w:val="nil"/>
              <w:bottom w:val="nil"/>
              <w:right w:val="nil"/>
            </w:tcBorders>
          </w:tcPr>
          <w:p w14:paraId="66DC46F9" w14:textId="77777777" w:rsidR="002B0DBA" w:rsidRPr="00745FE7" w:rsidRDefault="002B0DBA" w:rsidP="00FE4699">
            <w:pPr>
              <w:spacing w:before="20" w:after="20"/>
              <w:ind w:right="-108"/>
              <w:outlineLvl w:val="2"/>
              <w:rPr>
                <w:b/>
                <w:bCs/>
                <w:lang w:val="es-ES"/>
              </w:rPr>
            </w:pPr>
            <w:r w:rsidRPr="00745FE7">
              <w:rPr>
                <w:b/>
                <w:bCs/>
                <w:lang w:val="es-ES"/>
              </w:rPr>
              <w:t>Agua</w:t>
            </w:r>
          </w:p>
        </w:tc>
        <w:tc>
          <w:tcPr>
            <w:tcW w:w="6946" w:type="dxa"/>
            <w:tcBorders>
              <w:top w:val="nil"/>
              <w:left w:val="nil"/>
              <w:bottom w:val="nil"/>
              <w:right w:val="nil"/>
            </w:tcBorders>
          </w:tcPr>
          <w:p w14:paraId="2B9BA662" w14:textId="77777777" w:rsidR="002B0DBA" w:rsidRPr="00745FE7" w:rsidRDefault="002B0DBA" w:rsidP="00FE4699">
            <w:pPr>
              <w:spacing w:after="120"/>
              <w:rPr>
                <w:lang w:val="es-ES"/>
              </w:rPr>
            </w:pPr>
            <w:r w:rsidRPr="00745FE7">
              <w:rPr>
                <w:lang w:val="es-ES"/>
              </w:rPr>
              <w:t>Los datos de la vigilancia indican que la población en general puede estar expuesta al forato a través del agua potable.</w:t>
            </w:r>
          </w:p>
        </w:tc>
      </w:tr>
      <w:tr w:rsidR="002B0DBA" w:rsidRPr="00745FE7" w14:paraId="1EEC9986"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0AD8FFFE" w14:textId="77777777" w:rsidR="002B0DBA" w:rsidRPr="00745FE7" w:rsidRDefault="002B0DBA" w:rsidP="00FE4699">
            <w:pPr>
              <w:spacing w:after="60"/>
              <w:rPr>
                <w:b/>
                <w:bCs/>
                <w:lang w:val="es-ES"/>
              </w:rPr>
            </w:pPr>
            <w:r w:rsidRPr="00745FE7">
              <w:rPr>
                <w:b/>
                <w:bCs/>
                <w:lang w:val="es-ES"/>
              </w:rPr>
              <w:t>3.4</w:t>
            </w:r>
          </w:p>
        </w:tc>
        <w:tc>
          <w:tcPr>
            <w:tcW w:w="1735" w:type="dxa"/>
            <w:tcBorders>
              <w:top w:val="nil"/>
              <w:left w:val="nil"/>
              <w:bottom w:val="nil"/>
              <w:right w:val="nil"/>
            </w:tcBorders>
          </w:tcPr>
          <w:p w14:paraId="41E17B34" w14:textId="77777777" w:rsidR="002B0DBA" w:rsidRPr="00745FE7" w:rsidRDefault="002B0DBA" w:rsidP="00FE4699">
            <w:pPr>
              <w:rPr>
                <w:b/>
                <w:bCs/>
                <w:lang w:val="es-ES"/>
              </w:rPr>
            </w:pPr>
            <w:r w:rsidRPr="00745FE7">
              <w:rPr>
                <w:b/>
                <w:bCs/>
                <w:lang w:val="es-ES"/>
              </w:rPr>
              <w:t>Exposición ocupacional</w:t>
            </w:r>
          </w:p>
        </w:tc>
        <w:tc>
          <w:tcPr>
            <w:tcW w:w="6946" w:type="dxa"/>
            <w:tcBorders>
              <w:top w:val="nil"/>
              <w:left w:val="nil"/>
              <w:bottom w:val="nil"/>
              <w:right w:val="nil"/>
            </w:tcBorders>
          </w:tcPr>
          <w:p w14:paraId="0240621F" w14:textId="2DA3C77F" w:rsidR="002B0DBA" w:rsidRPr="00745FE7" w:rsidRDefault="002B0DBA" w:rsidP="00FE4699">
            <w:pPr>
              <w:spacing w:after="120"/>
              <w:rPr>
                <w:lang w:val="es-ES"/>
              </w:rPr>
            </w:pPr>
            <w:r w:rsidRPr="00745FE7">
              <w:rPr>
                <w:lang w:val="es-ES"/>
              </w:rPr>
              <w:t xml:space="preserve">Puede producirse la exposición ocupacional al forato a través de la inhalación y </w:t>
            </w:r>
            <w:r w:rsidR="00A4087D" w:rsidRPr="00745FE7">
              <w:rPr>
                <w:lang w:val="es-ES"/>
              </w:rPr>
              <w:t>el </w:t>
            </w:r>
            <w:r w:rsidRPr="00745FE7">
              <w:rPr>
                <w:lang w:val="es-ES"/>
              </w:rPr>
              <w:t xml:space="preserve">contacto cutáneo con este compuesto en el lugar de trabajo, donde se lo produce </w:t>
            </w:r>
            <w:r w:rsidR="00A4087D" w:rsidRPr="00745FE7">
              <w:rPr>
                <w:lang w:val="es-ES"/>
              </w:rPr>
              <w:t>o </w:t>
            </w:r>
            <w:r w:rsidRPr="00745FE7">
              <w:rPr>
                <w:lang w:val="es-ES"/>
              </w:rPr>
              <w:t>utiliza.</w:t>
            </w:r>
          </w:p>
          <w:p w14:paraId="7B00E5C6" w14:textId="77777777" w:rsidR="002B0DBA" w:rsidRPr="00745FE7" w:rsidRDefault="002B0DBA" w:rsidP="00FE4699">
            <w:pPr>
              <w:spacing w:after="120"/>
              <w:rPr>
                <w:b/>
                <w:u w:val="single"/>
                <w:lang w:val="es-ES"/>
              </w:rPr>
            </w:pPr>
            <w:r w:rsidRPr="00745FE7">
              <w:rPr>
                <w:b/>
                <w:u w:val="single"/>
                <w:lang w:val="es-ES"/>
              </w:rPr>
              <w:t>Brasil</w:t>
            </w:r>
          </w:p>
          <w:p w14:paraId="6C7BC4B5" w14:textId="7F29190B" w:rsidR="002B0DBA" w:rsidRPr="00745FE7" w:rsidRDefault="002B0DBA" w:rsidP="00FE4699">
            <w:pPr>
              <w:spacing w:after="120"/>
              <w:rPr>
                <w:lang w:val="es-ES"/>
              </w:rPr>
            </w:pPr>
            <w:r w:rsidRPr="00745FE7">
              <w:rPr>
                <w:lang w:val="es-ES"/>
              </w:rPr>
              <w:t xml:space="preserve">La notificación menciona varios estudios en los que se ha demostrado que se produjeron envenenamientos con plaguicidas, sobre todo con plaguicidas organofosforados, en diferentes regiones del Brasil. Además, en la nota técnica (ANVISA, 2009) se señala que en el Brasil no se notificaron muchos de los casos </w:t>
            </w:r>
            <w:r w:rsidR="00353101" w:rsidRPr="00745FE7">
              <w:rPr>
                <w:lang w:val="es-ES"/>
              </w:rPr>
              <w:t>de </w:t>
            </w:r>
            <w:r w:rsidRPr="00745FE7">
              <w:rPr>
                <w:lang w:val="es-ES"/>
              </w:rPr>
              <w:t>envenenamiento con plaguicidas.</w:t>
            </w:r>
          </w:p>
          <w:p w14:paraId="6336342F" w14:textId="77777777" w:rsidR="002B0DBA" w:rsidRPr="00745FE7" w:rsidRDefault="002B0DBA" w:rsidP="00FE4699">
            <w:pPr>
              <w:spacing w:after="120"/>
              <w:rPr>
                <w:lang w:val="es-ES"/>
              </w:rPr>
            </w:pPr>
            <w:r w:rsidRPr="00745FE7">
              <w:rPr>
                <w:lang w:val="es-ES"/>
              </w:rPr>
              <w:t>Según un estudio de la zona amazónica del Brasil, los trabajadores agrícolas no estaban preparados para utilizar plaguicidas correctamente. No tenían conocimiento suficiente de los riesgos que plantean los plaguicidas para la salud humana y el medio ambiente. El estudio llegó a la conclusión, asimismo, de que los agricultores no utilizaban indumentaria ni equipo de protección por su elevado costo y porque no es apto para clima tropical. Debido a la falta de capacitación y al poco conocimiento de los peligros que entrañaban, manipulaban los plaguicidas sin el cuidado debido durante la preparación y la aplicación, y al eliminar los paquetes vacíos. Por esa razón, los agricultores, sus familiares, los consumidores y el medio ambiente estuvieron muy expuestos a la sustancia.</w:t>
            </w:r>
          </w:p>
          <w:p w14:paraId="317CE696" w14:textId="77777777" w:rsidR="002B0DBA" w:rsidRPr="00745FE7" w:rsidRDefault="002B0DBA" w:rsidP="00FE4699">
            <w:pPr>
              <w:spacing w:after="120"/>
              <w:rPr>
                <w:lang w:val="es-ES"/>
              </w:rPr>
            </w:pPr>
            <w:r w:rsidRPr="00745FE7">
              <w:rPr>
                <w:lang w:val="es-ES"/>
              </w:rPr>
              <w:t>Aunque el Brasil no informó de casos de envenenamiento con forato propiamente, la decisión de prohibirlo fue adoptada sobre la base de la evaluación de sus propiedades peligrosas, así como la exposición prevista de los trabajadores agrícolas al forato en las condiciones de uso en el Brasil. ANVISA llegó a la conclusión de que este principio activo tiene el potencial de causar trastornos hormonales en humanos y es más tóxico para estos que para los animales de laboratorio sometidos a ensayos, los cuales constituyen criterios prohibitivos para el registro de plaguicidas en el Brasil.</w:t>
            </w:r>
          </w:p>
          <w:p w14:paraId="1FA6D778" w14:textId="77777777" w:rsidR="002B0DBA" w:rsidRPr="00745FE7" w:rsidRDefault="002B0DBA" w:rsidP="00FE4699">
            <w:pPr>
              <w:pStyle w:val="Style3"/>
              <w:widowControl/>
              <w:spacing w:before="62" w:line="240" w:lineRule="auto"/>
              <w:rPr>
                <w:rStyle w:val="FontStyle76"/>
                <w:b w:val="0"/>
                <w:u w:val="single"/>
                <w:lang w:val="es-ES"/>
              </w:rPr>
            </w:pPr>
            <w:r w:rsidRPr="00745FE7">
              <w:rPr>
                <w:rFonts w:ascii="Times New Roman" w:hAnsi="Times New Roman" w:cs="Times New Roman"/>
                <w:b/>
                <w:sz w:val="20"/>
                <w:szCs w:val="20"/>
                <w:u w:val="single"/>
                <w:lang w:val="es-ES"/>
              </w:rPr>
              <w:t>Canadá</w:t>
            </w:r>
          </w:p>
          <w:p w14:paraId="5EA4DB4D" w14:textId="77777777" w:rsidR="002B0DBA" w:rsidRPr="00745FE7" w:rsidRDefault="002B0DBA" w:rsidP="00FE4699">
            <w:pPr>
              <w:pStyle w:val="Style3"/>
              <w:widowControl/>
              <w:spacing w:before="62" w:after="120" w:line="240" w:lineRule="auto"/>
              <w:rPr>
                <w:rStyle w:val="FontStyle76"/>
                <w:b w:val="0"/>
                <w:lang w:val="es-ES"/>
              </w:rPr>
            </w:pPr>
            <w:r w:rsidRPr="00745FE7">
              <w:rPr>
                <w:rFonts w:ascii="Times New Roman" w:hAnsi="Times New Roman" w:cs="Times New Roman"/>
                <w:b/>
                <w:sz w:val="20"/>
                <w:szCs w:val="20"/>
                <w:lang w:val="es-ES"/>
              </w:rPr>
              <w:t>Evaluación de riesgos ocupacionales</w:t>
            </w:r>
          </w:p>
          <w:p w14:paraId="757E0877" w14:textId="77777777" w:rsidR="002B0DBA" w:rsidRPr="00745FE7" w:rsidRDefault="002B0DBA" w:rsidP="00FE4699">
            <w:pPr>
              <w:pStyle w:val="Style21"/>
              <w:widowControl/>
              <w:spacing w:after="120" w:line="240" w:lineRule="auto"/>
              <w:rPr>
                <w:rStyle w:val="FontStyle85"/>
                <w:lang w:val="es-ES"/>
              </w:rPr>
            </w:pPr>
            <w:r w:rsidRPr="00745FE7">
              <w:rPr>
                <w:rFonts w:ascii="Times New Roman" w:hAnsi="Times New Roman" w:cs="Times New Roman"/>
                <w:sz w:val="20"/>
                <w:szCs w:val="20"/>
                <w:lang w:val="es-ES"/>
              </w:rPr>
              <w:t>Los trabajadores pueden estar expuesto a un plaguicida al cargarlo o aplicarlo, o al reingresar a lugares tratados. Se estima el riesgo del trabajador por un margen de error que determina cuánto se acerca la exposición en el lugar de trabajo al NOAEL obtenido en estudios con animales. En el caso de los trabajadores que ingresan en un sitio tratado, se calculan los intervalos de reingreso cuando es necesario, para determinar el lapso mínimo de tiempo exigido antes de permitirles a los trabajadores o a otros ingresar en el lugar.</w:t>
            </w:r>
          </w:p>
          <w:p w14:paraId="7F17A1DB" w14:textId="5F84E385" w:rsidR="002B0DBA" w:rsidRPr="00745FE7" w:rsidRDefault="002B0DBA" w:rsidP="00FE4699">
            <w:pPr>
              <w:pStyle w:val="Style21"/>
              <w:widowControl/>
              <w:spacing w:after="120" w:line="240" w:lineRule="auto"/>
              <w:rPr>
                <w:rStyle w:val="FontStyle85"/>
                <w:lang w:val="es-ES"/>
              </w:rPr>
            </w:pPr>
            <w:r w:rsidRPr="00745FE7">
              <w:rPr>
                <w:rFonts w:ascii="Times New Roman" w:hAnsi="Times New Roman" w:cs="Times New Roman"/>
                <w:sz w:val="20"/>
                <w:szCs w:val="20"/>
                <w:lang w:val="es-ES"/>
              </w:rPr>
              <w:t>Los riesgos que conlleva la carga y aplicación del Thimet 15-G granular con base de arcilla (15</w:t>
            </w:r>
            <w:r w:rsidR="00A4087D" w:rsidRPr="00745FE7">
              <w:rPr>
                <w:rFonts w:ascii="Times New Roman" w:hAnsi="Times New Roman" w:cs="Times New Roman"/>
                <w:sz w:val="20"/>
                <w:szCs w:val="20"/>
                <w:lang w:val="es-ES"/>
              </w:rPr>
              <w:t> </w:t>
            </w:r>
            <w:r w:rsidRPr="00745FE7">
              <w:rPr>
                <w:rFonts w:ascii="Times New Roman" w:hAnsi="Times New Roman" w:cs="Times New Roman"/>
                <w:sz w:val="20"/>
                <w:szCs w:val="20"/>
                <w:lang w:val="es-ES"/>
              </w:rPr>
              <w:t>% principio activo) mediante un sistema de manejo cerrado Lock'n Load y otras medidas de mitigación son inferiores al nivel del PMRA de interés. Según el solicitante de inscripción, aproximadamente el 60</w:t>
            </w:r>
            <w:r w:rsidR="00A4087D" w:rsidRPr="00745FE7">
              <w:rPr>
                <w:rFonts w:ascii="Times New Roman" w:hAnsi="Times New Roman" w:cs="Times New Roman"/>
                <w:sz w:val="20"/>
                <w:szCs w:val="20"/>
                <w:lang w:val="es-ES"/>
              </w:rPr>
              <w:t> </w:t>
            </w:r>
            <w:r w:rsidRPr="00745FE7">
              <w:rPr>
                <w:rFonts w:ascii="Times New Roman" w:hAnsi="Times New Roman" w:cs="Times New Roman"/>
                <w:sz w:val="20"/>
                <w:szCs w:val="20"/>
                <w:lang w:val="es-ES"/>
              </w:rPr>
              <w:t>% de Thimet 15-G se vende en envases de Lock'n Load. El riesgo de cargar Thimet 15-G en bolsas de papel (carga abierta) excede el nivel de interés del PRMA.</w:t>
            </w:r>
          </w:p>
          <w:p w14:paraId="48A94CAA" w14:textId="77777777" w:rsidR="002B0DBA" w:rsidRPr="00745FE7" w:rsidRDefault="002B0DBA" w:rsidP="00FE4699">
            <w:pPr>
              <w:pStyle w:val="Style21"/>
              <w:widowControl/>
              <w:spacing w:after="120" w:line="240" w:lineRule="auto"/>
              <w:rPr>
                <w:rStyle w:val="FontStyle85"/>
                <w:lang w:val="es-ES"/>
              </w:rPr>
            </w:pPr>
            <w:r w:rsidRPr="00745FE7">
              <w:rPr>
                <w:rFonts w:ascii="Times New Roman" w:hAnsi="Times New Roman" w:cs="Times New Roman"/>
                <w:sz w:val="20"/>
                <w:szCs w:val="20"/>
                <w:lang w:val="es-ES"/>
              </w:rPr>
              <w:t>Se utilizó información sobre exposición específica de las sustancias químicas para evaluar el escenario del sistema de manejo cerrado (Lock'n Load). Se empleó la Base de Datos de Exposición de los Manipuladores de Plaguicidas (PHED) para evaluar el escenario de mezcla y carga abiertas. Para el Thimet 15-G, se obtendría la protección adecuada de los trabajadores en las siguientes condiciones: para actividades de carga: envases Lock'n Load y equipo de protección personal, con delantal y guantes resistentes a productos químicos; y para actividades de aplicación: cabina cerrada. Como medida provisional hasta la instauración de las cabinas cerradas, se recomienda vestir traje de protección (overol) sobre pantalones largos y mangas largas, guantes resistentes a productos químicos y un respirador para las actividades de aplicación.</w:t>
            </w:r>
          </w:p>
          <w:p w14:paraId="21EEE436" w14:textId="77777777" w:rsidR="002B0DBA" w:rsidRPr="00745FE7" w:rsidRDefault="002B0DBA" w:rsidP="00FE4699">
            <w:pPr>
              <w:pStyle w:val="Style21"/>
              <w:widowControl/>
              <w:spacing w:after="120" w:line="240" w:lineRule="auto"/>
              <w:rPr>
                <w:rStyle w:val="FontStyle85"/>
                <w:lang w:val="es-ES"/>
              </w:rPr>
            </w:pPr>
            <w:r w:rsidRPr="00745FE7">
              <w:rPr>
                <w:rFonts w:ascii="Times New Roman" w:hAnsi="Times New Roman" w:cs="Times New Roman"/>
                <w:sz w:val="20"/>
                <w:szCs w:val="20"/>
                <w:lang w:val="es-ES"/>
              </w:rPr>
              <w:t>No se obtuvieron márgenes de error adecuados para las actividades de carga abierta con Thimet 15-G envasado en papel.</w:t>
            </w:r>
          </w:p>
          <w:p w14:paraId="64B5A5E9" w14:textId="77777777" w:rsidR="002B0DBA" w:rsidRPr="00745FE7" w:rsidRDefault="002B0DBA" w:rsidP="00FE4699">
            <w:pPr>
              <w:pStyle w:val="Style21"/>
              <w:widowControl/>
              <w:spacing w:after="120" w:line="240" w:lineRule="auto"/>
              <w:rPr>
                <w:rStyle w:val="FontStyle85"/>
                <w:lang w:val="es-ES"/>
              </w:rPr>
            </w:pPr>
            <w:r w:rsidRPr="00745FE7">
              <w:rPr>
                <w:rFonts w:ascii="Times New Roman" w:hAnsi="Times New Roman" w:cs="Times New Roman"/>
                <w:sz w:val="20"/>
                <w:szCs w:val="20"/>
                <w:lang w:val="es-ES"/>
              </w:rPr>
              <w:t>El PMRA llegó a la conclusión de que se considera mínima la exposición para las personas que ingresan en sitios tratados tras la aplicación, debido al método de aplicación (incorporación al suelo durante la plantación). Un intervalo de reingreso de 48 h basado en la toxicidad aguda es suficiente para proteger a los trabajadores que pueden reingresar en las zonas tratadas.</w:t>
            </w:r>
          </w:p>
          <w:p w14:paraId="27AAC1A0" w14:textId="77777777" w:rsidR="002B0DBA" w:rsidRPr="00745FE7" w:rsidRDefault="002B0DBA" w:rsidP="00FE4699">
            <w:pPr>
              <w:spacing w:after="120"/>
              <w:rPr>
                <w:b/>
                <w:u w:val="single"/>
                <w:lang w:val="es-ES"/>
              </w:rPr>
            </w:pPr>
            <w:r w:rsidRPr="00745FE7">
              <w:rPr>
                <w:b/>
                <w:bCs/>
                <w:u w:val="single"/>
                <w:lang w:val="es-ES"/>
              </w:rPr>
              <w:t>Toxnet (2017):</w:t>
            </w:r>
          </w:p>
          <w:p w14:paraId="5CD2D2C4" w14:textId="66B2A6E4" w:rsidR="002B0DBA" w:rsidRPr="00745FE7" w:rsidRDefault="002B0DBA" w:rsidP="00FE4699">
            <w:pPr>
              <w:pStyle w:val="Style21"/>
              <w:widowControl/>
              <w:spacing w:after="120" w:line="240" w:lineRule="auto"/>
              <w:rPr>
                <w:rFonts w:ascii="Times New Roman" w:hAnsi="Times New Roman" w:cs="Times New Roman"/>
                <w:sz w:val="20"/>
                <w:szCs w:val="20"/>
                <w:lang w:val="es-ES"/>
              </w:rPr>
            </w:pPr>
            <w:r w:rsidRPr="00745FE7">
              <w:rPr>
                <w:rFonts w:ascii="Times New Roman" w:hAnsi="Times New Roman" w:cs="Times New Roman"/>
                <w:sz w:val="20"/>
                <w:szCs w:val="20"/>
                <w:lang w:val="es-ES"/>
              </w:rPr>
              <w:t>Se detectó forato en los trajes de protección de algodón que llevaban los agricultores durante la aplicación de plaguicida (1985</w:t>
            </w:r>
            <w:r w:rsidR="00A4087D" w:rsidRPr="00745FE7">
              <w:rPr>
                <w:rFonts w:ascii="Times New Roman" w:hAnsi="Times New Roman" w:cs="Times New Roman"/>
                <w:sz w:val="20"/>
                <w:szCs w:val="20"/>
                <w:lang w:val="es-ES"/>
              </w:rPr>
              <w:noBreakHyphen/>
            </w:r>
            <w:r w:rsidRPr="00745FE7">
              <w:rPr>
                <w:rFonts w:ascii="Times New Roman" w:hAnsi="Times New Roman" w:cs="Times New Roman"/>
                <w:sz w:val="20"/>
                <w:szCs w:val="20"/>
                <w:lang w:val="es-ES"/>
              </w:rPr>
              <w:t>1987).</w:t>
            </w:r>
          </w:p>
        </w:tc>
      </w:tr>
      <w:tr w:rsidR="002B0DBA" w:rsidRPr="00745FE7" w14:paraId="2F11DBF8"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75CA67DE" w14:textId="77777777" w:rsidR="002B0DBA" w:rsidRPr="00745FE7" w:rsidRDefault="002B0DBA" w:rsidP="00FE4699">
            <w:pPr>
              <w:spacing w:after="60"/>
              <w:rPr>
                <w:b/>
                <w:bCs/>
                <w:lang w:val="es-ES"/>
              </w:rPr>
            </w:pPr>
            <w:r w:rsidRPr="00745FE7">
              <w:rPr>
                <w:b/>
                <w:lang w:val="es-ES"/>
              </w:rPr>
              <w:t>3.5</w:t>
            </w:r>
          </w:p>
        </w:tc>
        <w:tc>
          <w:tcPr>
            <w:tcW w:w="1735" w:type="dxa"/>
            <w:tcBorders>
              <w:top w:val="nil"/>
              <w:left w:val="nil"/>
              <w:bottom w:val="nil"/>
              <w:right w:val="nil"/>
            </w:tcBorders>
          </w:tcPr>
          <w:p w14:paraId="70FFA6B5" w14:textId="77777777" w:rsidR="002B0DBA" w:rsidRPr="00745FE7" w:rsidRDefault="002B0DBA" w:rsidP="00FE4699">
            <w:pPr>
              <w:spacing w:before="20" w:after="20"/>
              <w:outlineLvl w:val="2"/>
              <w:rPr>
                <w:b/>
                <w:bCs/>
                <w:lang w:val="es-ES"/>
              </w:rPr>
            </w:pPr>
            <w:r w:rsidRPr="00745FE7">
              <w:rPr>
                <w:b/>
                <w:lang w:val="es-ES"/>
              </w:rPr>
              <w:t>Datos médicos utilizados para adoptar la decisión reglamentaria</w:t>
            </w:r>
          </w:p>
        </w:tc>
        <w:tc>
          <w:tcPr>
            <w:tcW w:w="6946" w:type="dxa"/>
            <w:tcBorders>
              <w:top w:val="nil"/>
              <w:left w:val="nil"/>
              <w:bottom w:val="nil"/>
              <w:right w:val="nil"/>
            </w:tcBorders>
          </w:tcPr>
          <w:p w14:paraId="1AAB5FB9" w14:textId="77777777" w:rsidR="002B0DBA" w:rsidRPr="00745FE7" w:rsidRDefault="002B0DBA" w:rsidP="00FE4699">
            <w:pPr>
              <w:autoSpaceDE w:val="0"/>
              <w:autoSpaceDN w:val="0"/>
              <w:adjustRightInd w:val="0"/>
              <w:rPr>
                <w:b/>
                <w:u w:val="single"/>
                <w:lang w:val="es-ES"/>
              </w:rPr>
            </w:pPr>
            <w:r w:rsidRPr="00745FE7">
              <w:rPr>
                <w:b/>
                <w:bCs/>
                <w:u w:val="single"/>
                <w:lang w:val="es-ES"/>
              </w:rPr>
              <w:t>Casos de intoxicación</w:t>
            </w:r>
          </w:p>
          <w:p w14:paraId="3B83FA53" w14:textId="77777777" w:rsidR="002B0DBA" w:rsidRPr="00745FE7" w:rsidRDefault="002B0DBA" w:rsidP="00FE4699">
            <w:pPr>
              <w:pStyle w:val="Style21"/>
              <w:widowControl/>
              <w:spacing w:after="120" w:line="240" w:lineRule="auto"/>
              <w:rPr>
                <w:rFonts w:ascii="Times New Roman" w:hAnsi="Times New Roman" w:cs="Times New Roman"/>
                <w:sz w:val="20"/>
                <w:szCs w:val="20"/>
                <w:lang w:val="es-ES"/>
              </w:rPr>
            </w:pPr>
            <w:r w:rsidRPr="00745FE7">
              <w:rPr>
                <w:rFonts w:ascii="Times New Roman" w:hAnsi="Times New Roman" w:cs="Times New Roman"/>
                <w:sz w:val="20"/>
                <w:szCs w:val="20"/>
                <w:lang w:val="es-ES"/>
              </w:rPr>
              <w:t>Usha y Harikrishnan (2004) informaron varios casos de envenenamiento agudo en comunidades de Kerala, India. Entre ellos, 5 (ocurridos entre 1999 y 2002), vinculados a la exposición al forato.</w:t>
            </w:r>
          </w:p>
          <w:p w14:paraId="51270BE2" w14:textId="5FE86D56" w:rsidR="002B0DBA" w:rsidRPr="00745FE7" w:rsidRDefault="002B0DBA" w:rsidP="00FE4699">
            <w:pPr>
              <w:pStyle w:val="Style21"/>
              <w:widowControl/>
              <w:spacing w:after="120" w:line="240" w:lineRule="auto"/>
              <w:rPr>
                <w:rFonts w:ascii="Times New Roman" w:hAnsi="Times New Roman" w:cs="Times New Roman"/>
                <w:sz w:val="20"/>
                <w:szCs w:val="20"/>
                <w:lang w:val="es-ES"/>
              </w:rPr>
            </w:pPr>
            <w:r w:rsidRPr="00745FE7">
              <w:rPr>
                <w:rFonts w:ascii="Times New Roman" w:hAnsi="Times New Roman" w:cs="Times New Roman"/>
                <w:sz w:val="20"/>
                <w:szCs w:val="20"/>
                <w:lang w:val="es-ES"/>
              </w:rPr>
              <w:t>Según los autores, en julio de 1999, unas 12 personas que vivían en zonas de cultivo de bananas resultaron gravemente intoxicadas con forato. Después de utilizar el producto, llovió en la región, lo que provocó su evaporación rápida y diseminación a zonas cercanas, hasta llegar a los hogares. Poco después de la aplicación del producto, aparecieron los síntomas y los afectados debieron ser internados. En junio de 2001, un joven de 16 años murió como consecuencia de la exposición ocupacional al forato por una semana. Ese mismo año, 40 trabajadoras rurales de una plantación de té se intoxicaron durante la cosecha. Aparecieron los síntomas a los 30 minutos de la exposición, en forma de mareos, vértigo, visión borrosa, vómitos. Treinta y siete mujeres presentaban síntomas más graves y permanecieron internadas dos días. Los autores señalan que</w:t>
            </w:r>
            <w:r w:rsidR="002C568E" w:rsidRPr="00745FE7">
              <w:rPr>
                <w:rFonts w:ascii="Times New Roman" w:hAnsi="Times New Roman" w:cs="Times New Roman"/>
                <w:sz w:val="20"/>
                <w:szCs w:val="20"/>
                <w:lang w:val="es-ES"/>
              </w:rPr>
              <w:t>,</w:t>
            </w:r>
            <w:r w:rsidRPr="00745FE7">
              <w:rPr>
                <w:rFonts w:ascii="Times New Roman" w:hAnsi="Times New Roman" w:cs="Times New Roman"/>
                <w:sz w:val="20"/>
                <w:szCs w:val="20"/>
                <w:lang w:val="es-ES"/>
              </w:rPr>
              <w:t xml:space="preserve"> en julio de 2002, 31 niños de los últimos años de la escuela primaria se intoxicaron con forato aplicado en una plantación cercana a la</w:t>
            </w:r>
            <w:r w:rsidR="002C568E" w:rsidRPr="00745FE7">
              <w:rPr>
                <w:rFonts w:ascii="Times New Roman" w:hAnsi="Times New Roman" w:cs="Times New Roman"/>
                <w:sz w:val="20"/>
                <w:szCs w:val="20"/>
                <w:lang w:val="es-ES"/>
              </w:rPr>
              <w:t> </w:t>
            </w:r>
            <w:r w:rsidRPr="00745FE7">
              <w:rPr>
                <w:rFonts w:ascii="Times New Roman" w:hAnsi="Times New Roman" w:cs="Times New Roman"/>
                <w:sz w:val="20"/>
                <w:szCs w:val="20"/>
                <w:lang w:val="es-ES"/>
              </w:rPr>
              <w:t>escuela.</w:t>
            </w:r>
          </w:p>
          <w:p w14:paraId="61FFACC0" w14:textId="77777777" w:rsidR="002B0DBA" w:rsidRPr="00745FE7" w:rsidRDefault="002B0DBA" w:rsidP="00FE4699">
            <w:pPr>
              <w:pStyle w:val="Style21"/>
              <w:widowControl/>
              <w:spacing w:after="120" w:line="240" w:lineRule="auto"/>
              <w:rPr>
                <w:rFonts w:ascii="Times New Roman" w:hAnsi="Times New Roman" w:cs="Times New Roman"/>
                <w:sz w:val="20"/>
                <w:szCs w:val="20"/>
                <w:lang w:val="es-ES"/>
              </w:rPr>
            </w:pPr>
            <w:r w:rsidRPr="00745FE7">
              <w:rPr>
                <w:rFonts w:ascii="Times New Roman" w:hAnsi="Times New Roman" w:cs="Times New Roman"/>
                <w:sz w:val="20"/>
                <w:szCs w:val="20"/>
                <w:lang w:val="es-ES"/>
              </w:rPr>
              <w:t>Los niños presentaban dolor de cabeza persistente, dolor torácico, dificultades para respirar, náuseas, mareos, visión borrosa y dolor de estómago, y uno de ellos padecía espasmos musculares descontrolados y convulsiones, incluso a las 24 horas del tratamiento.</w:t>
            </w:r>
          </w:p>
          <w:p w14:paraId="28931ED0" w14:textId="77777777" w:rsidR="002B0DBA" w:rsidRPr="00745FE7" w:rsidRDefault="002B0DBA" w:rsidP="00FE4699">
            <w:pPr>
              <w:pStyle w:val="Style21"/>
              <w:widowControl/>
              <w:spacing w:after="120" w:line="240" w:lineRule="auto"/>
              <w:rPr>
                <w:rFonts w:ascii="Times New Roman" w:hAnsi="Times New Roman" w:cs="Times New Roman"/>
                <w:i/>
                <w:sz w:val="20"/>
                <w:szCs w:val="20"/>
                <w:lang w:val="es-ES"/>
              </w:rPr>
            </w:pPr>
            <w:r w:rsidRPr="00745FE7">
              <w:rPr>
                <w:rFonts w:ascii="Times New Roman" w:hAnsi="Times New Roman" w:cs="Times New Roman"/>
                <w:sz w:val="20"/>
                <w:szCs w:val="20"/>
                <w:lang w:val="es-ES"/>
              </w:rPr>
              <w:t>El 21 de julio de 2006, 20 residentes de la aldea de Salkiana, distrito de Jalandhar, India, debieron ser llevados al hospital porque se observaron síntomas neurotóxicos de exposición aguda al forato. Se utilizó el producto en un campo cercano de caña de azúcar. Los más afectados fueron los alumnos de una escuela primaria. Los docentes y los alumnos comenzaron a quejarse de un olor extraño y de dificultades para respirar. De pronto, un alumno cayó inconsciente y otros comenzaron a desmayarse. En un lapso de diez minutos, 16 alumnos se desmayaron después de haber inhalado algo tóxico. Además de la dificultad para respirar, los síntomas más frecuentes eran indisposición, dolor de cabeza, irritación ocular, mareos, náuseas, vómitos, lagrimeo, salivación excesiva, calambres musculares y dolor. Seis días después de la exposición al forato, varios pacientes aún presentaban síntomas, como irritación ocular, reacciones cutáneas y malestar general. (Mission, 2006).</w:t>
            </w:r>
          </w:p>
        </w:tc>
      </w:tr>
      <w:tr w:rsidR="002B0DBA" w:rsidRPr="00745FE7" w14:paraId="7E907072"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5B307ABB" w14:textId="77777777" w:rsidR="002B0DBA" w:rsidRPr="00745FE7" w:rsidRDefault="002B0DBA" w:rsidP="00FE4699">
            <w:pPr>
              <w:spacing w:after="60"/>
              <w:rPr>
                <w:b/>
                <w:bCs/>
                <w:lang w:val="es-ES"/>
              </w:rPr>
            </w:pPr>
            <w:r w:rsidRPr="00745FE7">
              <w:rPr>
                <w:b/>
                <w:bCs/>
                <w:lang w:val="es-ES"/>
              </w:rPr>
              <w:t>3.6</w:t>
            </w:r>
          </w:p>
        </w:tc>
        <w:tc>
          <w:tcPr>
            <w:tcW w:w="1735" w:type="dxa"/>
            <w:tcBorders>
              <w:top w:val="nil"/>
              <w:left w:val="nil"/>
              <w:bottom w:val="nil"/>
              <w:right w:val="nil"/>
            </w:tcBorders>
          </w:tcPr>
          <w:p w14:paraId="6DE13644" w14:textId="77777777" w:rsidR="002B0DBA" w:rsidRPr="00745FE7" w:rsidRDefault="002B0DBA" w:rsidP="00FE4699">
            <w:pPr>
              <w:spacing w:before="20" w:after="20"/>
              <w:outlineLvl w:val="2"/>
              <w:rPr>
                <w:b/>
                <w:bCs/>
                <w:lang w:val="es-ES"/>
              </w:rPr>
            </w:pPr>
            <w:r w:rsidRPr="00745FE7">
              <w:rPr>
                <w:b/>
                <w:lang w:val="es-ES"/>
              </w:rPr>
              <w:t>Exposición pública</w:t>
            </w:r>
          </w:p>
        </w:tc>
        <w:tc>
          <w:tcPr>
            <w:tcW w:w="6946" w:type="dxa"/>
            <w:tcBorders>
              <w:top w:val="nil"/>
              <w:left w:val="nil"/>
              <w:bottom w:val="nil"/>
              <w:right w:val="nil"/>
            </w:tcBorders>
          </w:tcPr>
          <w:p w14:paraId="73EBC2D7" w14:textId="77777777" w:rsidR="002B0DBA" w:rsidRPr="00745FE7" w:rsidRDefault="002B0DBA" w:rsidP="00FE4699">
            <w:pPr>
              <w:spacing w:after="120"/>
              <w:rPr>
                <w:b/>
                <w:u w:val="single"/>
                <w:lang w:val="es-ES"/>
              </w:rPr>
            </w:pPr>
            <w:r w:rsidRPr="00745FE7">
              <w:rPr>
                <w:b/>
                <w:bCs/>
                <w:u w:val="single"/>
                <w:lang w:val="es-ES"/>
              </w:rPr>
              <w:t>Toxnet (2017):</w:t>
            </w:r>
          </w:p>
          <w:p w14:paraId="369EA0ED" w14:textId="77777777" w:rsidR="002B0DBA" w:rsidRPr="00745FE7" w:rsidRDefault="002B0DBA" w:rsidP="00FE4699">
            <w:pPr>
              <w:spacing w:after="120"/>
              <w:rPr>
                <w:lang w:val="es-ES"/>
              </w:rPr>
            </w:pPr>
            <w:r w:rsidRPr="00745FE7">
              <w:rPr>
                <w:lang w:val="es-ES"/>
              </w:rPr>
              <w:t>“Se detectó forato en las manos de los hijos de los productores a un nivel de 15 ng tras la aplicación de plaguicida en los campos” y “También puede producirse la exposición secundaria de niños a través del contacto con la indumentaria contaminada de sus padres”.</w:t>
            </w:r>
          </w:p>
        </w:tc>
      </w:tr>
      <w:tr w:rsidR="002B0DBA" w:rsidRPr="00745FE7" w14:paraId="006C1527" w14:textId="77777777" w:rsidTr="00745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tcBorders>
              <w:top w:val="nil"/>
              <w:left w:val="nil"/>
              <w:bottom w:val="nil"/>
              <w:right w:val="nil"/>
            </w:tcBorders>
          </w:tcPr>
          <w:p w14:paraId="0636C924" w14:textId="77777777" w:rsidR="002B0DBA" w:rsidRPr="00745FE7" w:rsidRDefault="002B0DBA" w:rsidP="00FE4699">
            <w:pPr>
              <w:spacing w:after="60"/>
              <w:rPr>
                <w:b/>
                <w:bCs/>
                <w:lang w:val="es-ES"/>
              </w:rPr>
            </w:pPr>
            <w:r w:rsidRPr="00745FE7">
              <w:rPr>
                <w:b/>
                <w:bCs/>
                <w:lang w:val="es-ES"/>
              </w:rPr>
              <w:t>3.7</w:t>
            </w:r>
          </w:p>
        </w:tc>
        <w:tc>
          <w:tcPr>
            <w:tcW w:w="1735" w:type="dxa"/>
            <w:tcBorders>
              <w:top w:val="nil"/>
              <w:left w:val="nil"/>
              <w:bottom w:val="nil"/>
              <w:right w:val="nil"/>
            </w:tcBorders>
          </w:tcPr>
          <w:p w14:paraId="7ECF2A23" w14:textId="77777777" w:rsidR="002B0DBA" w:rsidRPr="00745FE7" w:rsidRDefault="002B0DBA" w:rsidP="00FE4699">
            <w:pPr>
              <w:spacing w:before="20" w:after="20"/>
              <w:outlineLvl w:val="2"/>
              <w:rPr>
                <w:b/>
                <w:bCs/>
                <w:lang w:val="es-ES"/>
              </w:rPr>
            </w:pPr>
            <w:r w:rsidRPr="00745FE7">
              <w:rPr>
                <w:b/>
                <w:lang w:val="es-ES"/>
              </w:rPr>
              <w:t>Resumen: evaluación del riesgo global</w:t>
            </w:r>
          </w:p>
        </w:tc>
        <w:tc>
          <w:tcPr>
            <w:tcW w:w="6946" w:type="dxa"/>
            <w:tcBorders>
              <w:top w:val="nil"/>
              <w:left w:val="nil"/>
              <w:bottom w:val="nil"/>
              <w:right w:val="nil"/>
            </w:tcBorders>
          </w:tcPr>
          <w:p w14:paraId="6C908C87" w14:textId="77777777" w:rsidR="002B0DBA" w:rsidRPr="00745FE7" w:rsidRDefault="002B0DBA" w:rsidP="00FE4699">
            <w:pPr>
              <w:spacing w:after="120"/>
              <w:rPr>
                <w:lang w:val="es-ES"/>
              </w:rPr>
            </w:pPr>
            <w:r w:rsidRPr="00745FE7">
              <w:rPr>
                <w:lang w:val="es-ES"/>
              </w:rPr>
              <w:t>El</w:t>
            </w:r>
            <w:r w:rsidRPr="00745FE7">
              <w:rPr>
                <w:b/>
                <w:lang w:val="es-ES"/>
              </w:rPr>
              <w:t xml:space="preserve"> Brasil</w:t>
            </w:r>
            <w:r w:rsidRPr="00745FE7">
              <w:rPr>
                <w:lang w:val="es-ES"/>
              </w:rPr>
              <w:t xml:space="preserve"> ha realizado una evaluación del riesgo de los efectos del forato sobre la salud humana. Sobre la base de las propiedades peligrosas del forato, así como de las condiciones de uso en el Brasil, los riesgos previstos de la exposición de los trabajadores agrícolas, los transeúntes y la población general al forato se consideran demasiado altos.</w:t>
            </w:r>
          </w:p>
        </w:tc>
      </w:tr>
      <w:tr w:rsidR="002B0DBA" w:rsidRPr="00745FE7" w14:paraId="784C5EA7" w14:textId="77777777" w:rsidTr="00745FE7">
        <w:tc>
          <w:tcPr>
            <w:tcW w:w="709" w:type="dxa"/>
            <w:tcBorders>
              <w:top w:val="nil"/>
              <w:left w:val="nil"/>
              <w:bottom w:val="single" w:sz="4" w:space="0" w:color="auto"/>
              <w:right w:val="nil"/>
            </w:tcBorders>
            <w:hideMark/>
          </w:tcPr>
          <w:p w14:paraId="30BA305E" w14:textId="77777777" w:rsidR="002B0DBA" w:rsidRPr="00745FE7" w:rsidRDefault="002B0DBA" w:rsidP="00FE4699">
            <w:pPr>
              <w:spacing w:before="40" w:after="60"/>
              <w:outlineLvl w:val="0"/>
              <w:rPr>
                <w:b/>
                <w:bCs/>
                <w:kern w:val="28"/>
                <w:lang w:val="es-ES"/>
              </w:rPr>
            </w:pPr>
            <w:r w:rsidRPr="00745FE7">
              <w:rPr>
                <w:b/>
                <w:bCs/>
                <w:lang w:val="es-ES"/>
              </w:rPr>
              <w:t>4</w:t>
            </w:r>
          </w:p>
        </w:tc>
        <w:tc>
          <w:tcPr>
            <w:tcW w:w="8681" w:type="dxa"/>
            <w:gridSpan w:val="2"/>
            <w:tcBorders>
              <w:top w:val="nil"/>
              <w:left w:val="nil"/>
              <w:bottom w:val="single" w:sz="4" w:space="0" w:color="auto"/>
              <w:right w:val="nil"/>
            </w:tcBorders>
            <w:hideMark/>
          </w:tcPr>
          <w:p w14:paraId="71DE4D67" w14:textId="77777777" w:rsidR="002B0DBA" w:rsidRPr="00745FE7" w:rsidRDefault="002B0DBA" w:rsidP="00FE4699">
            <w:pPr>
              <w:spacing w:before="40" w:after="60"/>
              <w:outlineLvl w:val="0"/>
              <w:rPr>
                <w:b/>
                <w:bCs/>
                <w:i/>
                <w:kern w:val="28"/>
                <w:lang w:val="es-ES"/>
              </w:rPr>
            </w:pPr>
            <w:r w:rsidRPr="00745FE7">
              <w:rPr>
                <w:b/>
                <w:lang w:val="es-ES"/>
              </w:rPr>
              <w:t>Destino en el medio ambiente y efectos</w:t>
            </w:r>
          </w:p>
        </w:tc>
      </w:tr>
      <w:tr w:rsidR="002B0DBA" w:rsidRPr="00745FE7" w14:paraId="637CD7B9" w14:textId="77777777" w:rsidTr="00745FE7">
        <w:trPr>
          <w:trHeight w:val="321"/>
        </w:trPr>
        <w:tc>
          <w:tcPr>
            <w:tcW w:w="709" w:type="dxa"/>
            <w:tcBorders>
              <w:top w:val="single" w:sz="4" w:space="0" w:color="auto"/>
              <w:left w:val="nil"/>
              <w:bottom w:val="nil"/>
              <w:right w:val="nil"/>
            </w:tcBorders>
            <w:hideMark/>
          </w:tcPr>
          <w:p w14:paraId="24D81EC9" w14:textId="77777777" w:rsidR="002B0DBA" w:rsidRPr="00745FE7" w:rsidRDefault="002B0DBA" w:rsidP="00FE4699">
            <w:pPr>
              <w:keepLines/>
              <w:rPr>
                <w:b/>
                <w:lang w:val="es-ES"/>
              </w:rPr>
            </w:pPr>
            <w:r w:rsidRPr="00745FE7">
              <w:rPr>
                <w:b/>
                <w:bCs/>
                <w:lang w:val="es-ES"/>
              </w:rPr>
              <w:t>4.1</w:t>
            </w:r>
          </w:p>
        </w:tc>
        <w:tc>
          <w:tcPr>
            <w:tcW w:w="1735" w:type="dxa"/>
            <w:tcBorders>
              <w:top w:val="single" w:sz="4" w:space="0" w:color="auto"/>
              <w:left w:val="nil"/>
              <w:bottom w:val="nil"/>
              <w:right w:val="nil"/>
            </w:tcBorders>
            <w:hideMark/>
          </w:tcPr>
          <w:p w14:paraId="1221D113" w14:textId="77777777" w:rsidR="002B0DBA" w:rsidRPr="00745FE7" w:rsidRDefault="002B0DBA" w:rsidP="00FE4699">
            <w:pPr>
              <w:spacing w:before="20" w:after="20"/>
              <w:outlineLvl w:val="2"/>
              <w:rPr>
                <w:b/>
                <w:bCs/>
                <w:lang w:val="es-ES"/>
              </w:rPr>
            </w:pPr>
            <w:r w:rsidRPr="00745FE7">
              <w:rPr>
                <w:b/>
                <w:lang w:val="es-ES"/>
              </w:rPr>
              <w:t>Destino</w:t>
            </w:r>
          </w:p>
        </w:tc>
        <w:tc>
          <w:tcPr>
            <w:tcW w:w="6946" w:type="dxa"/>
            <w:tcBorders>
              <w:top w:val="single" w:sz="4" w:space="0" w:color="auto"/>
              <w:left w:val="nil"/>
              <w:bottom w:val="nil"/>
              <w:right w:val="nil"/>
            </w:tcBorders>
          </w:tcPr>
          <w:p w14:paraId="365E8764" w14:textId="77777777" w:rsidR="002B0DBA" w:rsidRPr="00745FE7" w:rsidRDefault="002B0DBA" w:rsidP="00FE4699">
            <w:pPr>
              <w:rPr>
                <w:b/>
                <w:i/>
                <w:iCs/>
                <w:snapToGrid w:val="0"/>
                <w:lang w:val="es-ES"/>
              </w:rPr>
            </w:pPr>
          </w:p>
        </w:tc>
      </w:tr>
      <w:tr w:rsidR="002B0DBA" w:rsidRPr="00745FE7" w14:paraId="636D38EE" w14:textId="77777777" w:rsidTr="00745FE7">
        <w:tc>
          <w:tcPr>
            <w:tcW w:w="709" w:type="dxa"/>
            <w:hideMark/>
          </w:tcPr>
          <w:p w14:paraId="476CD096" w14:textId="77777777" w:rsidR="002B0DBA" w:rsidRPr="00745FE7" w:rsidRDefault="002B0DBA" w:rsidP="00FE4699">
            <w:pPr>
              <w:keepLines/>
              <w:rPr>
                <w:b/>
                <w:lang w:val="es-ES"/>
              </w:rPr>
            </w:pPr>
            <w:r w:rsidRPr="00745FE7">
              <w:rPr>
                <w:b/>
                <w:bCs/>
                <w:lang w:val="es-ES"/>
              </w:rPr>
              <w:t>4.1.1</w:t>
            </w:r>
          </w:p>
        </w:tc>
        <w:tc>
          <w:tcPr>
            <w:tcW w:w="1735" w:type="dxa"/>
            <w:hideMark/>
          </w:tcPr>
          <w:p w14:paraId="348AF86A" w14:textId="77777777" w:rsidR="002B0DBA" w:rsidRPr="00745FE7" w:rsidRDefault="002B0DBA" w:rsidP="00FE4699">
            <w:pPr>
              <w:spacing w:before="20" w:after="20"/>
              <w:outlineLvl w:val="2"/>
              <w:rPr>
                <w:b/>
                <w:bCs/>
                <w:lang w:val="es-ES"/>
              </w:rPr>
            </w:pPr>
            <w:r w:rsidRPr="00745FE7">
              <w:rPr>
                <w:b/>
                <w:bCs/>
                <w:lang w:val="es-ES"/>
              </w:rPr>
              <w:t>Suelo</w:t>
            </w:r>
          </w:p>
        </w:tc>
        <w:tc>
          <w:tcPr>
            <w:tcW w:w="6946" w:type="dxa"/>
            <w:hideMark/>
          </w:tcPr>
          <w:p w14:paraId="5268BFE4" w14:textId="77777777" w:rsidR="002B0DBA" w:rsidRPr="00745FE7" w:rsidRDefault="002B0DBA" w:rsidP="00FE4699">
            <w:pPr>
              <w:spacing w:after="120"/>
              <w:rPr>
                <w:b/>
                <w:iCs/>
                <w:snapToGrid w:val="0"/>
                <w:u w:val="single"/>
                <w:lang w:val="es-ES"/>
              </w:rPr>
            </w:pPr>
            <w:r w:rsidRPr="00745FE7">
              <w:rPr>
                <w:b/>
                <w:u w:val="single"/>
                <w:lang w:val="es-ES"/>
              </w:rPr>
              <w:t>Brasil</w:t>
            </w:r>
          </w:p>
          <w:p w14:paraId="17966F50" w14:textId="77777777" w:rsidR="002B0DBA" w:rsidRPr="00745FE7" w:rsidRDefault="002B0DBA" w:rsidP="00FE4699">
            <w:pPr>
              <w:spacing w:after="120"/>
              <w:rPr>
                <w:iCs/>
                <w:snapToGrid w:val="0"/>
                <w:lang w:val="es-ES"/>
              </w:rPr>
            </w:pPr>
            <w:r w:rsidRPr="00745FE7">
              <w:rPr>
                <w:b/>
                <w:lang w:val="es-ES"/>
              </w:rPr>
              <w:t xml:space="preserve">Descomposición molecular en suelo y agua subterránea: </w:t>
            </w:r>
            <w:r w:rsidRPr="00745FE7">
              <w:rPr>
                <w:lang w:val="es-ES"/>
              </w:rPr>
              <w:t>el forato presenta una persistencia moderada en el suelo y se ha informado que la vida media en el terreno oscila entre los 2 y los 173 días. Un valor representativo puede ser de aproximadamente 60 días. El contenido de materia orgánica y arcillosa del suelo, las precipitaciones y el pH del suelo pueden repercutir sobre los tiempos de residencia reales. Con frecuencia, los tratamientos del suelo dejan más residuos en las plantas que los tratamientos foliares, porque el compuesto persiste en el suelo y las raíces de las plantas lo absorben fácilmente. El forato se une moderadamente bien a la mayoría de los suelos y es levemente soluble en agua. Por lo tanto, no debería ser demasiado móvil en la mayoría de los suelos, y debería transportarse con la escorrentía a través de sedimentos y agua. El forato presenta un potencial mínimo de filtrarse por el suelo y contaminar el agua subterránea. Esta posibilidad es mayor en los casos de suelos arenosos y acuíferos poco profundos.</w:t>
            </w:r>
          </w:p>
          <w:p w14:paraId="01390F9B" w14:textId="77777777" w:rsidR="002B0DBA" w:rsidRPr="00745FE7" w:rsidRDefault="002B0DBA" w:rsidP="00FE4699">
            <w:pPr>
              <w:spacing w:after="120"/>
              <w:rPr>
                <w:iCs/>
                <w:snapToGrid w:val="0"/>
                <w:lang w:val="es-ES"/>
              </w:rPr>
            </w:pPr>
            <w:r w:rsidRPr="00745FE7">
              <w:rPr>
                <w:lang w:val="es-ES"/>
              </w:rPr>
              <w:t>Los estudios sobre el terreno indican que la lixiviación es muy baja en suelos con alto contenido de arcilla y materia orgánica, y baja en suelos arenosos.</w:t>
            </w:r>
          </w:p>
          <w:p w14:paraId="051861FD" w14:textId="77777777" w:rsidR="002B0DBA" w:rsidRPr="00745FE7" w:rsidRDefault="002B0DBA" w:rsidP="00FE4699">
            <w:pPr>
              <w:spacing w:after="120"/>
              <w:rPr>
                <w:b/>
                <w:iCs/>
                <w:snapToGrid w:val="0"/>
                <w:u w:val="single"/>
                <w:lang w:val="es-ES"/>
              </w:rPr>
            </w:pPr>
            <w:r w:rsidRPr="00745FE7">
              <w:rPr>
                <w:b/>
                <w:u w:val="single"/>
                <w:lang w:val="es-ES"/>
              </w:rPr>
              <w:t>Canadá</w:t>
            </w:r>
          </w:p>
          <w:p w14:paraId="1373CEA0" w14:textId="4DDDFC98" w:rsidR="002B0DBA" w:rsidRPr="00745FE7" w:rsidRDefault="002B0DBA" w:rsidP="00FE4699">
            <w:pPr>
              <w:spacing w:after="120"/>
              <w:rPr>
                <w:iCs/>
                <w:snapToGrid w:val="0"/>
                <w:lang w:val="es-ES"/>
              </w:rPr>
            </w:pPr>
            <w:r w:rsidRPr="00745FE7">
              <w:rPr>
                <w:lang w:val="es-ES"/>
              </w:rPr>
              <w:t>Se transforma el forato mediante la acción química y microbiana. Es moderadamente persistente en el suelo (tiempo necesario para 50</w:t>
            </w:r>
            <w:r w:rsidR="005D7543" w:rsidRPr="00745FE7">
              <w:rPr>
                <w:lang w:val="es-ES"/>
              </w:rPr>
              <w:t> </w:t>
            </w:r>
            <w:r w:rsidRPr="00745FE7">
              <w:rPr>
                <w:lang w:val="es-ES"/>
              </w:rPr>
              <w:t>% de disipación (DT</w:t>
            </w:r>
            <w:r w:rsidRPr="00745FE7">
              <w:rPr>
                <w:vertAlign w:val="subscript"/>
                <w:lang w:val="es-ES"/>
              </w:rPr>
              <w:t>50</w:t>
            </w:r>
            <w:r w:rsidRPr="00745FE7">
              <w:rPr>
                <w:lang w:val="es-ES"/>
              </w:rPr>
              <w:t>) = 49-75 d) en condiciones de campo, como se ve en los estudios sobre el terreno realizados en Columbia Británica. Los principales productos de la transformación sulfóxido y sulfona de forato, que se forman como consecuencia de la acción microbiana, son moderadamente persistentes (DT</w:t>
            </w:r>
            <w:r w:rsidRPr="00745FE7">
              <w:rPr>
                <w:vertAlign w:val="subscript"/>
                <w:lang w:val="es-ES"/>
              </w:rPr>
              <w:t>50</w:t>
            </w:r>
            <w:r w:rsidRPr="00745FE7">
              <w:rPr>
                <w:lang w:val="es-ES"/>
              </w:rPr>
              <w:t xml:space="preserve"> = 65-137 d) en suelos sometidos a condiciones de laboratorio. Estos productos de la transformación conservan la estructura fosforilada y se espera que presenten inhibición de la colinesterasa y, por lo tanto, sean tan tóxicos como el forato compuesto original.</w:t>
            </w:r>
          </w:p>
          <w:p w14:paraId="5CCA9970" w14:textId="77777777" w:rsidR="002B0DBA" w:rsidRPr="00745FE7" w:rsidRDefault="002B0DBA" w:rsidP="00FE4699">
            <w:pPr>
              <w:spacing w:after="120"/>
              <w:rPr>
                <w:i/>
                <w:iCs/>
                <w:snapToGrid w:val="0"/>
                <w:lang w:val="es-ES"/>
              </w:rPr>
            </w:pPr>
            <w:r w:rsidRPr="00745FE7">
              <w:rPr>
                <w:lang w:val="es-ES"/>
              </w:rPr>
              <w:t>El forato es muy sorbido en el suelo y se lo clasifica como poseedor de una movilidad leve (K</w:t>
            </w:r>
            <w:r w:rsidRPr="00745FE7">
              <w:rPr>
                <w:vertAlign w:val="subscript"/>
                <w:lang w:val="es-ES"/>
              </w:rPr>
              <w:t>oc</w:t>
            </w:r>
            <w:r w:rsidRPr="00745FE7">
              <w:rPr>
                <w:lang w:val="es-ES"/>
              </w:rPr>
              <w:t xml:space="preserve"> = 2.000 a 3.000) a moderada (K</w:t>
            </w:r>
            <w:r w:rsidRPr="00745FE7">
              <w:rPr>
                <w:vertAlign w:val="subscript"/>
                <w:lang w:val="es-ES"/>
              </w:rPr>
              <w:t>oc</w:t>
            </w:r>
            <w:r w:rsidRPr="00745FE7">
              <w:rPr>
                <w:lang w:val="es-ES"/>
              </w:rPr>
              <w:t xml:space="preserve"> = 224 a 450). El sulfóxido y la sulfona de forato se dividen preferentemente en agua y ambos se clasifican como poseedores de movilidad moderada (K</w:t>
            </w:r>
            <w:r w:rsidRPr="00745FE7">
              <w:rPr>
                <w:vertAlign w:val="subscript"/>
                <w:lang w:val="es-ES"/>
              </w:rPr>
              <w:t>oc</w:t>
            </w:r>
            <w:r w:rsidRPr="00745FE7">
              <w:rPr>
                <w:lang w:val="es-ES"/>
              </w:rPr>
              <w:t xml:space="preserve"> = 172 a 210) a alta (K</w:t>
            </w:r>
            <w:r w:rsidRPr="00745FE7">
              <w:rPr>
                <w:vertAlign w:val="subscript"/>
                <w:lang w:val="es-ES"/>
              </w:rPr>
              <w:t>oc</w:t>
            </w:r>
            <w:r w:rsidRPr="00745FE7">
              <w:rPr>
                <w:lang w:val="es-ES"/>
              </w:rPr>
              <w:t xml:space="preserve"> = 71 a 91) en una gama de tipos de suelos. Si bien el forato y los principales productos de su transformación pueden ingresar en los sistemas acuáticos a través de la escorrentía, estos últimos son más móviles que el compuesto original.</w:t>
            </w:r>
          </w:p>
        </w:tc>
      </w:tr>
      <w:tr w:rsidR="002B0DBA" w:rsidRPr="00745FE7" w14:paraId="75C20510" w14:textId="77777777" w:rsidTr="00745FE7">
        <w:tc>
          <w:tcPr>
            <w:tcW w:w="709" w:type="dxa"/>
            <w:hideMark/>
          </w:tcPr>
          <w:p w14:paraId="702DED4E" w14:textId="77777777" w:rsidR="002B0DBA" w:rsidRPr="00745FE7" w:rsidRDefault="002B0DBA" w:rsidP="00FE4699">
            <w:pPr>
              <w:keepLines/>
              <w:rPr>
                <w:b/>
                <w:lang w:val="es-ES"/>
              </w:rPr>
            </w:pPr>
            <w:r w:rsidRPr="00745FE7">
              <w:rPr>
                <w:b/>
                <w:bCs/>
                <w:lang w:val="es-ES"/>
              </w:rPr>
              <w:t>4.1.2</w:t>
            </w:r>
          </w:p>
        </w:tc>
        <w:tc>
          <w:tcPr>
            <w:tcW w:w="1735" w:type="dxa"/>
            <w:hideMark/>
          </w:tcPr>
          <w:p w14:paraId="2CF5CA4A" w14:textId="77777777" w:rsidR="002B0DBA" w:rsidRPr="00745FE7" w:rsidRDefault="002B0DBA" w:rsidP="00FE4699">
            <w:pPr>
              <w:spacing w:before="20" w:after="20"/>
              <w:outlineLvl w:val="2"/>
              <w:rPr>
                <w:b/>
                <w:bCs/>
                <w:lang w:val="es-ES"/>
              </w:rPr>
            </w:pPr>
            <w:r w:rsidRPr="00745FE7">
              <w:rPr>
                <w:b/>
                <w:bCs/>
                <w:lang w:val="es-ES"/>
              </w:rPr>
              <w:t>Agua</w:t>
            </w:r>
          </w:p>
        </w:tc>
        <w:tc>
          <w:tcPr>
            <w:tcW w:w="6946" w:type="dxa"/>
            <w:hideMark/>
          </w:tcPr>
          <w:p w14:paraId="6C5E4395" w14:textId="77777777" w:rsidR="002B0DBA" w:rsidRPr="00745FE7" w:rsidRDefault="002B0DBA" w:rsidP="00FE4699">
            <w:pPr>
              <w:keepNext/>
              <w:spacing w:after="120"/>
              <w:outlineLvl w:val="8"/>
              <w:rPr>
                <w:b/>
                <w:iCs/>
                <w:snapToGrid w:val="0"/>
                <w:u w:val="single"/>
                <w:lang w:val="es-ES"/>
              </w:rPr>
            </w:pPr>
            <w:r w:rsidRPr="00745FE7">
              <w:rPr>
                <w:b/>
                <w:bCs/>
                <w:u w:val="single"/>
                <w:lang w:val="es-ES"/>
              </w:rPr>
              <w:t>Brasil</w:t>
            </w:r>
          </w:p>
          <w:p w14:paraId="7753AF00" w14:textId="77777777" w:rsidR="002B0DBA" w:rsidRPr="00745FE7" w:rsidRDefault="002B0DBA" w:rsidP="00FE4699">
            <w:pPr>
              <w:keepNext/>
              <w:spacing w:after="120"/>
              <w:outlineLvl w:val="8"/>
              <w:rPr>
                <w:iCs/>
                <w:snapToGrid w:val="0"/>
                <w:lang w:val="es-ES"/>
              </w:rPr>
            </w:pPr>
            <w:r w:rsidRPr="00745FE7">
              <w:rPr>
                <w:b/>
                <w:lang w:val="es-ES"/>
              </w:rPr>
              <w:t>Descomposición molecular en agua:</w:t>
            </w:r>
            <w:r w:rsidRPr="00745FE7">
              <w:rPr>
                <w:lang w:val="es-ES"/>
              </w:rPr>
              <w:t xml:space="preserve"> la vida media del forato en soluciones acuosas ácidas oscila entre unos días y unas semanas, según la temperatura; la vida media en agua alcalina (básica) puede ser mucho más corta. Se degrada a través de microorganismos en el agua y de hidrólisis. Puesto que se desintegra en agua, se forman productos hidrosolubles no tóxicos.</w:t>
            </w:r>
          </w:p>
          <w:p w14:paraId="606D8736" w14:textId="77777777" w:rsidR="002B0DBA" w:rsidRPr="00745FE7" w:rsidRDefault="002B0DBA" w:rsidP="00FE4699">
            <w:pPr>
              <w:keepNext/>
              <w:spacing w:after="120"/>
              <w:outlineLvl w:val="8"/>
              <w:rPr>
                <w:b/>
                <w:iCs/>
                <w:snapToGrid w:val="0"/>
                <w:u w:val="single"/>
                <w:lang w:val="es-ES"/>
              </w:rPr>
            </w:pPr>
            <w:r w:rsidRPr="00745FE7">
              <w:rPr>
                <w:b/>
                <w:bCs/>
                <w:u w:val="single"/>
                <w:lang w:val="es-ES"/>
              </w:rPr>
              <w:t>Canadá</w:t>
            </w:r>
          </w:p>
          <w:p w14:paraId="64E91854" w14:textId="159149C0" w:rsidR="002B0DBA" w:rsidRPr="00745FE7" w:rsidRDefault="002B0DBA" w:rsidP="00FE4699">
            <w:pPr>
              <w:pStyle w:val="Style21"/>
              <w:widowControl/>
              <w:spacing w:before="12" w:after="120" w:line="240" w:lineRule="auto"/>
              <w:rPr>
                <w:rStyle w:val="FontStyle85"/>
                <w:lang w:val="es-ES"/>
              </w:rPr>
            </w:pPr>
            <w:r w:rsidRPr="00745FE7">
              <w:rPr>
                <w:rFonts w:ascii="Times New Roman" w:hAnsi="Times New Roman" w:cs="Times New Roman"/>
                <w:sz w:val="20"/>
                <w:szCs w:val="20"/>
                <w:lang w:val="es-ES"/>
              </w:rPr>
              <w:t>El forato es soluble en agua a 50 mg/l y muy inestable con una presión de vapor en equilibrio de 85 mPa a 25°</w:t>
            </w:r>
            <w:r w:rsidR="0016510A" w:rsidRPr="00745FE7">
              <w:rPr>
                <w:rFonts w:ascii="Times New Roman" w:hAnsi="Times New Roman" w:cs="Times New Roman"/>
                <w:sz w:val="20"/>
                <w:szCs w:val="20"/>
                <w:lang w:val="es-ES"/>
              </w:rPr>
              <w:t> </w:t>
            </w:r>
            <w:r w:rsidRPr="00745FE7">
              <w:rPr>
                <w:rFonts w:ascii="Times New Roman" w:hAnsi="Times New Roman" w:cs="Times New Roman"/>
                <w:sz w:val="20"/>
                <w:szCs w:val="20"/>
                <w:lang w:val="es-ES"/>
              </w:rPr>
              <w:t xml:space="preserve">C. </w:t>
            </w:r>
            <w:r w:rsidRPr="00745FE7">
              <w:rPr>
                <w:rFonts w:ascii="Times New Roman" w:hAnsi="Times New Roman" w:cs="Times New Roman"/>
                <w:b/>
                <w:sz w:val="20"/>
                <w:szCs w:val="20"/>
                <w:lang w:val="es-ES"/>
              </w:rPr>
              <w:t xml:space="preserve">La </w:t>
            </w:r>
            <w:r w:rsidRPr="00745FE7">
              <w:rPr>
                <w:rFonts w:ascii="Times New Roman" w:hAnsi="Times New Roman" w:cs="Times New Roman"/>
                <w:sz w:val="20"/>
                <w:szCs w:val="20"/>
                <w:lang w:val="es-ES"/>
              </w:rPr>
              <w:t>constante de la ley de Henry es 4,368 x 10</w:t>
            </w:r>
            <w:r w:rsidRPr="00745FE7">
              <w:rPr>
                <w:rFonts w:ascii="Times New Roman" w:hAnsi="Times New Roman" w:cs="Times New Roman"/>
                <w:sz w:val="20"/>
                <w:szCs w:val="20"/>
                <w:vertAlign w:val="superscript"/>
                <w:lang w:val="es-ES"/>
              </w:rPr>
              <w:t>-6</w:t>
            </w:r>
            <w:r w:rsidRPr="00745FE7">
              <w:rPr>
                <w:rFonts w:ascii="Times New Roman" w:hAnsi="Times New Roman" w:cs="Times New Roman"/>
                <w:sz w:val="20"/>
                <w:szCs w:val="20"/>
                <w:lang w:val="es-ES"/>
              </w:rPr>
              <w:t xml:space="preserve"> atm.m</w:t>
            </w:r>
            <w:r w:rsidRPr="00745FE7">
              <w:rPr>
                <w:rFonts w:ascii="Times New Roman" w:hAnsi="Times New Roman" w:cs="Times New Roman"/>
                <w:sz w:val="20"/>
                <w:szCs w:val="20"/>
                <w:vertAlign w:val="superscript"/>
                <w:lang w:val="es-ES"/>
              </w:rPr>
              <w:t>3</w:t>
            </w:r>
            <w:r w:rsidRPr="00745FE7">
              <w:rPr>
                <w:rFonts w:ascii="Times New Roman" w:hAnsi="Times New Roman" w:cs="Times New Roman"/>
                <w:sz w:val="20"/>
                <w:szCs w:val="20"/>
                <w:lang w:val="es-ES"/>
              </w:rPr>
              <w:t>/mol, que indica que existe el potencial de volatilizarse a partir del agua o del suelo húmedo.</w:t>
            </w:r>
          </w:p>
          <w:p w14:paraId="5D573611" w14:textId="6EB9683E" w:rsidR="002B0DBA" w:rsidRPr="00745FE7" w:rsidRDefault="002B0DBA" w:rsidP="00FE4699">
            <w:pPr>
              <w:keepNext/>
              <w:spacing w:after="120"/>
              <w:outlineLvl w:val="8"/>
              <w:rPr>
                <w:i/>
                <w:iCs/>
                <w:snapToGrid w:val="0"/>
                <w:lang w:val="es-ES"/>
              </w:rPr>
            </w:pPr>
            <w:r w:rsidRPr="00745FE7">
              <w:rPr>
                <w:lang w:val="es-ES"/>
              </w:rPr>
              <w:t xml:space="preserve">A pesar de que puede existir contaminación de las aguas superficiales a través de la escorrentía, el forato no es persistente en agua, debido a la hidrólisis rápida. En agua estéril con pH 5, 7 y 9, las vidas medias son de 2,6, 3,2 y 3,9 días, respectivamente. La fotólisis es otra vía importante de transformación (vida media ajustada con control oscuro de 1,9 d con solución amortiguadora de pH después </w:t>
            </w:r>
            <w:r w:rsidR="0016510A" w:rsidRPr="00745FE7">
              <w:rPr>
                <w:lang w:val="es-ES"/>
              </w:rPr>
              <w:t>de </w:t>
            </w:r>
            <w:r w:rsidRPr="00745FE7">
              <w:rPr>
                <w:lang w:val="es-ES"/>
              </w:rPr>
              <w:t>7 d de irradiación continua). El formaldehído, sulfóxido de forato y sulfona de forato son los principales productos de la transformación formados durante la hidrólisis y la fotólisis acuosa. Los estudios sobre la biotransformación acuática aeróbica con agua de estanques no estéril revelaron que el compuesto original y los productos de la transformación no persistían en el agua (forato DT</w:t>
            </w:r>
            <w:r w:rsidRPr="00745FE7">
              <w:rPr>
                <w:vertAlign w:val="subscript"/>
                <w:lang w:val="es-ES"/>
              </w:rPr>
              <w:t>50</w:t>
            </w:r>
            <w:r w:rsidRPr="00745FE7">
              <w:rPr>
                <w:lang w:val="es-ES"/>
              </w:rPr>
              <w:t xml:space="preserve"> de 0,5 d, sulfóxido de forato DT</w:t>
            </w:r>
            <w:r w:rsidRPr="00745FE7">
              <w:rPr>
                <w:vertAlign w:val="subscript"/>
                <w:lang w:val="es-ES"/>
              </w:rPr>
              <w:t>50</w:t>
            </w:r>
            <w:r w:rsidRPr="00745FE7">
              <w:rPr>
                <w:lang w:val="es-ES"/>
              </w:rPr>
              <w:t xml:space="preserve"> de 9 d, sulfona de forato DT</w:t>
            </w:r>
            <w:r w:rsidRPr="00745FE7">
              <w:rPr>
                <w:vertAlign w:val="subscript"/>
                <w:lang w:val="es-ES"/>
              </w:rPr>
              <w:t>50</w:t>
            </w:r>
            <w:r w:rsidRPr="00745FE7">
              <w:rPr>
                <w:lang w:val="es-ES"/>
              </w:rPr>
              <w:t xml:space="preserve"> de 21 d) y formaldehído alcanzaron el 17</w:t>
            </w:r>
            <w:r w:rsidR="0016510A" w:rsidRPr="00745FE7">
              <w:rPr>
                <w:lang w:val="es-ES"/>
              </w:rPr>
              <w:t> </w:t>
            </w:r>
            <w:r w:rsidRPr="00745FE7">
              <w:rPr>
                <w:lang w:val="es-ES"/>
              </w:rPr>
              <w:t>% de aplicación al día 14 después del tratamiento).</w:t>
            </w:r>
          </w:p>
        </w:tc>
      </w:tr>
      <w:tr w:rsidR="002B0DBA" w:rsidRPr="00745FE7" w14:paraId="22F332A9" w14:textId="77777777" w:rsidTr="00745FE7">
        <w:tc>
          <w:tcPr>
            <w:tcW w:w="709" w:type="dxa"/>
            <w:hideMark/>
          </w:tcPr>
          <w:p w14:paraId="2F491D51" w14:textId="77777777" w:rsidR="002B0DBA" w:rsidRPr="00745FE7" w:rsidRDefault="002B0DBA" w:rsidP="00FE4699">
            <w:pPr>
              <w:keepLines/>
              <w:rPr>
                <w:b/>
                <w:lang w:val="es-ES"/>
              </w:rPr>
            </w:pPr>
            <w:r w:rsidRPr="00745FE7">
              <w:rPr>
                <w:b/>
                <w:bCs/>
                <w:lang w:val="es-ES"/>
              </w:rPr>
              <w:t>4.1.3</w:t>
            </w:r>
          </w:p>
        </w:tc>
        <w:tc>
          <w:tcPr>
            <w:tcW w:w="1735" w:type="dxa"/>
            <w:hideMark/>
          </w:tcPr>
          <w:p w14:paraId="22F6727C" w14:textId="77777777" w:rsidR="002B0DBA" w:rsidRPr="00745FE7" w:rsidRDefault="002B0DBA" w:rsidP="00FE4699">
            <w:pPr>
              <w:spacing w:before="20" w:after="20"/>
              <w:outlineLvl w:val="2"/>
              <w:rPr>
                <w:b/>
                <w:bCs/>
                <w:lang w:val="es-ES"/>
              </w:rPr>
            </w:pPr>
            <w:r w:rsidRPr="00745FE7">
              <w:rPr>
                <w:b/>
                <w:bCs/>
                <w:lang w:val="es-ES"/>
              </w:rPr>
              <w:t>Aire</w:t>
            </w:r>
          </w:p>
        </w:tc>
        <w:tc>
          <w:tcPr>
            <w:tcW w:w="6946" w:type="dxa"/>
            <w:hideMark/>
          </w:tcPr>
          <w:p w14:paraId="6392D284" w14:textId="77777777" w:rsidR="002B0DBA" w:rsidRPr="00745FE7" w:rsidRDefault="002B0DBA" w:rsidP="00FE4699">
            <w:pPr>
              <w:keepNext/>
              <w:spacing w:after="120"/>
              <w:outlineLvl w:val="8"/>
              <w:rPr>
                <w:b/>
                <w:iCs/>
                <w:snapToGrid w:val="0"/>
                <w:u w:val="single"/>
                <w:lang w:val="es-ES"/>
              </w:rPr>
            </w:pPr>
            <w:r w:rsidRPr="00745FE7">
              <w:rPr>
                <w:b/>
                <w:bCs/>
                <w:u w:val="single"/>
                <w:lang w:val="es-ES"/>
              </w:rPr>
              <w:t>Canadá</w:t>
            </w:r>
          </w:p>
          <w:p w14:paraId="12A2F922" w14:textId="45D44297" w:rsidR="002B0DBA" w:rsidRPr="00745FE7" w:rsidRDefault="002B0DBA" w:rsidP="00FE4699">
            <w:pPr>
              <w:keepNext/>
              <w:spacing w:after="120"/>
              <w:outlineLvl w:val="8"/>
              <w:rPr>
                <w:iCs/>
                <w:snapToGrid w:val="0"/>
                <w:lang w:val="es-ES"/>
              </w:rPr>
            </w:pPr>
            <w:r w:rsidRPr="00745FE7">
              <w:rPr>
                <w:lang w:val="es-ES"/>
              </w:rPr>
              <w:t>El forato es muy volátil con una presión saturante de vapor de 85 mPa a 25</w:t>
            </w:r>
            <w:r w:rsidRPr="00745FE7">
              <w:rPr>
                <w:vertAlign w:val="superscript"/>
                <w:lang w:val="es-ES"/>
              </w:rPr>
              <w:t>o</w:t>
            </w:r>
            <w:r w:rsidR="0016510A" w:rsidRPr="00745FE7">
              <w:rPr>
                <w:vertAlign w:val="superscript"/>
                <w:lang w:val="es-ES"/>
              </w:rPr>
              <w:t> </w:t>
            </w:r>
            <w:r w:rsidRPr="00745FE7">
              <w:rPr>
                <w:lang w:val="es-ES"/>
              </w:rPr>
              <w:t>C. La constante de la ley de Henry de 4,368 X 10</w:t>
            </w:r>
            <w:r w:rsidRPr="00745FE7">
              <w:rPr>
                <w:vertAlign w:val="superscript"/>
                <w:lang w:val="es-ES"/>
              </w:rPr>
              <w:t>-6</w:t>
            </w:r>
            <w:r w:rsidRPr="00745FE7">
              <w:rPr>
                <w:lang w:val="es-ES"/>
              </w:rPr>
              <w:t xml:space="preserve"> indica que existe potencial de volatilizarse a partir del suelo y del agua. No obstante, tal como se presenta a continuación, la bibliografía indica que el forato no es persistente en el aire.</w:t>
            </w:r>
          </w:p>
          <w:p w14:paraId="113C4567" w14:textId="77777777" w:rsidR="002B0DBA" w:rsidRPr="00745FE7" w:rsidRDefault="002B0DBA" w:rsidP="00FE4699">
            <w:pPr>
              <w:keepNext/>
              <w:spacing w:after="120"/>
              <w:outlineLvl w:val="8"/>
              <w:rPr>
                <w:b/>
                <w:iCs/>
                <w:snapToGrid w:val="0"/>
                <w:u w:val="single"/>
                <w:lang w:val="es-ES"/>
              </w:rPr>
            </w:pPr>
            <w:r w:rsidRPr="00745FE7">
              <w:rPr>
                <w:b/>
                <w:bCs/>
                <w:u w:val="single"/>
                <w:lang w:val="es-ES"/>
              </w:rPr>
              <w:t>Bibliografía</w:t>
            </w:r>
          </w:p>
          <w:p w14:paraId="503F2ECC" w14:textId="6812FA20" w:rsidR="002B0DBA" w:rsidRPr="00745FE7" w:rsidRDefault="002B0DBA" w:rsidP="00FE4699">
            <w:pPr>
              <w:keepNext/>
              <w:spacing w:after="120"/>
              <w:outlineLvl w:val="8"/>
              <w:rPr>
                <w:i/>
                <w:iCs/>
                <w:snapToGrid w:val="0"/>
                <w:lang w:val="es-ES"/>
              </w:rPr>
            </w:pPr>
            <w:r w:rsidRPr="00745FE7">
              <w:rPr>
                <w:lang w:val="es-ES"/>
              </w:rPr>
              <w:t>De acuerdo con un modelo de separación del gas y las partículas de compuestos orgánicos semivolátiles en la atmósfera, se espera que el forato, cuya presión de vapor en equilibrio es de 0,000638 mm Hg a 25</w:t>
            </w:r>
            <w:r w:rsidRPr="00745FE7">
              <w:rPr>
                <w:vertAlign w:val="superscript"/>
                <w:lang w:val="es-ES"/>
              </w:rPr>
              <w:t>o</w:t>
            </w:r>
            <w:r w:rsidR="0016510A" w:rsidRPr="00745FE7">
              <w:rPr>
                <w:vertAlign w:val="superscript"/>
                <w:lang w:val="es-ES"/>
              </w:rPr>
              <w:t> </w:t>
            </w:r>
            <w:r w:rsidRPr="00745FE7">
              <w:rPr>
                <w:lang w:val="es-ES"/>
              </w:rPr>
              <w:t xml:space="preserve">C, exista únicamente como vapor en la atmósfera ambiente. El forato en fase vapor se degrada en la atmósfera por reacción con los radicales hidroxilo producidos </w:t>
            </w:r>
            <w:proofErr w:type="spellStart"/>
            <w:r w:rsidRPr="00745FE7">
              <w:rPr>
                <w:lang w:val="es-ES"/>
              </w:rPr>
              <w:t>fotoquímicamente</w:t>
            </w:r>
            <w:proofErr w:type="spellEnd"/>
            <w:r w:rsidRPr="00745FE7">
              <w:rPr>
                <w:lang w:val="es-ES"/>
              </w:rPr>
              <w:t>; se estima que la vida media para esta reacción en aire es de</w:t>
            </w:r>
            <w:r w:rsidR="002C568E" w:rsidRPr="00745FE7">
              <w:rPr>
                <w:lang w:val="es-ES"/>
              </w:rPr>
              <w:t> </w:t>
            </w:r>
            <w:r w:rsidRPr="00745FE7">
              <w:rPr>
                <w:lang w:val="es-ES"/>
              </w:rPr>
              <w:t>1,5 horas, calculada a partir de su tipo constante de 2,5 X 10</w:t>
            </w:r>
            <w:r w:rsidRPr="00745FE7">
              <w:rPr>
                <w:vertAlign w:val="superscript"/>
                <w:lang w:val="es-ES"/>
              </w:rPr>
              <w:t>-10</w:t>
            </w:r>
            <w:r w:rsidRPr="00745FE7">
              <w:rPr>
                <w:lang w:val="es-ES"/>
              </w:rPr>
              <w:t xml:space="preserve"> cc/molécula-seg a 25</w:t>
            </w:r>
            <w:r w:rsidRPr="00745FE7">
              <w:rPr>
                <w:vertAlign w:val="superscript"/>
                <w:lang w:val="es-ES"/>
              </w:rPr>
              <w:t>o</w:t>
            </w:r>
            <w:r w:rsidR="0016510A" w:rsidRPr="00745FE7">
              <w:rPr>
                <w:vertAlign w:val="superscript"/>
                <w:lang w:val="es-ES"/>
              </w:rPr>
              <w:t> </w:t>
            </w:r>
            <w:r w:rsidRPr="00745FE7">
              <w:rPr>
                <w:lang w:val="es-ES"/>
              </w:rPr>
              <w:t>C derivada con un método de estimación de la estructura. Los experimentos de laboratorio indicaron una fotólisis rápida en fase gaseosa en condiciones de luz de pleno verano con vidas medias observadas de &lt; 30 minutos (PubChem, 2017c).</w:t>
            </w:r>
          </w:p>
        </w:tc>
      </w:tr>
      <w:tr w:rsidR="002B0DBA" w:rsidRPr="00745FE7" w14:paraId="1F792B6C" w14:textId="77777777" w:rsidTr="00745FE7">
        <w:tc>
          <w:tcPr>
            <w:tcW w:w="709" w:type="dxa"/>
            <w:hideMark/>
          </w:tcPr>
          <w:p w14:paraId="66EB3C1C" w14:textId="77777777" w:rsidR="002B0DBA" w:rsidRPr="00745FE7" w:rsidRDefault="002B0DBA" w:rsidP="00FE4699">
            <w:pPr>
              <w:keepNext/>
              <w:keepLines/>
              <w:rPr>
                <w:b/>
                <w:lang w:val="es-ES"/>
              </w:rPr>
            </w:pPr>
            <w:r w:rsidRPr="00745FE7">
              <w:rPr>
                <w:b/>
                <w:bCs/>
                <w:lang w:val="es-ES"/>
              </w:rPr>
              <w:t>4.1.4</w:t>
            </w:r>
          </w:p>
        </w:tc>
        <w:tc>
          <w:tcPr>
            <w:tcW w:w="1735" w:type="dxa"/>
            <w:hideMark/>
          </w:tcPr>
          <w:p w14:paraId="696DD948" w14:textId="77777777" w:rsidR="002B0DBA" w:rsidRPr="00745FE7" w:rsidRDefault="002B0DBA" w:rsidP="00FE4699">
            <w:pPr>
              <w:keepNext/>
              <w:keepLines/>
              <w:spacing w:before="20" w:after="20"/>
              <w:outlineLvl w:val="2"/>
              <w:rPr>
                <w:b/>
                <w:bCs/>
                <w:lang w:val="es-ES"/>
              </w:rPr>
            </w:pPr>
            <w:r w:rsidRPr="00745FE7">
              <w:rPr>
                <w:b/>
                <w:bCs/>
                <w:lang w:val="es-ES"/>
              </w:rPr>
              <w:t>Bioconcentración</w:t>
            </w:r>
          </w:p>
        </w:tc>
        <w:tc>
          <w:tcPr>
            <w:tcW w:w="6946" w:type="dxa"/>
          </w:tcPr>
          <w:p w14:paraId="36359A90" w14:textId="77777777" w:rsidR="002B0DBA" w:rsidRPr="00745FE7" w:rsidRDefault="002B0DBA" w:rsidP="00FE4699">
            <w:pPr>
              <w:keepNext/>
              <w:keepLines/>
              <w:spacing w:after="120"/>
              <w:rPr>
                <w:b/>
                <w:snapToGrid w:val="0"/>
                <w:u w:val="single"/>
                <w:lang w:val="es-ES"/>
              </w:rPr>
            </w:pPr>
            <w:r w:rsidRPr="00745FE7">
              <w:rPr>
                <w:b/>
                <w:bCs/>
                <w:u w:val="single"/>
                <w:lang w:val="es-ES"/>
              </w:rPr>
              <w:t>Canadá</w:t>
            </w:r>
          </w:p>
          <w:p w14:paraId="4177665F" w14:textId="77777777" w:rsidR="002B0DBA" w:rsidRPr="00745FE7" w:rsidRDefault="002B0DBA" w:rsidP="00FE4699">
            <w:pPr>
              <w:keepNext/>
              <w:keepLines/>
              <w:spacing w:after="120"/>
              <w:rPr>
                <w:snapToGrid w:val="0"/>
                <w:lang w:val="es-ES"/>
              </w:rPr>
            </w:pPr>
            <w:r w:rsidRPr="00745FE7">
              <w:rPr>
                <w:lang w:val="es-ES"/>
              </w:rPr>
              <w:t>El coeficiente de separación de n-octanol-agua (coeficiente de partición) es 3,92, lo que indica que existe potencial para la bioacumulación. Sin embargo, la rápida degradación en agua a productos más hidrosolubles antes demostrada tanto en las notificaciones brasileña como canadiense sugeriría que el potencial de bioacumulación es bajo. Asimismo, el Canadá llegó a la conclusión de que el forato no es bioacumulativo según el criterio de límite de la Política de manejo de substancias tóxicas (TSMP) Vía 1 (log K</w:t>
            </w:r>
            <w:r w:rsidRPr="00745FE7">
              <w:rPr>
                <w:vertAlign w:val="subscript"/>
                <w:lang w:val="es-ES"/>
              </w:rPr>
              <w:t>ow</w:t>
            </w:r>
            <w:r w:rsidRPr="00745FE7">
              <w:rPr>
                <w:lang w:val="es-ES"/>
              </w:rPr>
              <w:t xml:space="preserve"> ~ 3,92).</w:t>
            </w:r>
          </w:p>
          <w:p w14:paraId="1C9F1F1C" w14:textId="708AFA66" w:rsidR="002B0DBA" w:rsidRPr="00745FE7" w:rsidRDefault="002B0DBA" w:rsidP="00FE4699">
            <w:pPr>
              <w:keepNext/>
              <w:keepLines/>
              <w:spacing w:after="120"/>
              <w:rPr>
                <w:snapToGrid w:val="0"/>
                <w:lang w:val="es-ES"/>
              </w:rPr>
            </w:pPr>
            <w:r w:rsidRPr="00745FE7">
              <w:rPr>
                <w:lang w:val="es-ES"/>
              </w:rPr>
              <w:t>Los sargo chopa y los piscardos jóvenes, Cyprinodon variegatus, después de 28 días de exposición al forato tenían un factor de bioconcentración de 90. Según un sistema de clasificación, este FBC sugiere que el potencial de bioconcentración en organismos acuáticos es moderado. Se estudió la bioconcentración del forato en medios de cultivo por algas verde-azuladas Anabaena sp.(ARM 310) y Aulosira fertilissima (ARM 68). Los factores de bioconcentración de forato en Anabaena sp.eran 3, 6 y 12 a 2,5, 5 y 10 µg/ml, respectivamente. Las plantas de elodea nuttallii cultivadas durante 2 semanas en agua con un depósito de C14-forato en el suelo del fondo acumularon el 30</w:t>
            </w:r>
            <w:r w:rsidR="0016510A" w:rsidRPr="00745FE7">
              <w:rPr>
                <w:lang w:val="es-ES"/>
              </w:rPr>
              <w:t> </w:t>
            </w:r>
            <w:r w:rsidRPr="00745FE7">
              <w:rPr>
                <w:lang w:val="es-ES"/>
              </w:rPr>
              <w:t>% del radiocarbono aplicado originalmente por el suelo en sus tejidos; 56</w:t>
            </w:r>
            <w:r w:rsidR="0016510A" w:rsidRPr="00745FE7">
              <w:rPr>
                <w:lang w:val="es-ES"/>
              </w:rPr>
              <w:t> </w:t>
            </w:r>
            <w:r w:rsidRPr="00745FE7">
              <w:rPr>
                <w:lang w:val="es-ES"/>
              </w:rPr>
              <w:t>% del forato acumulado en los tejidos vegetales cuando se aplicó el insecticida directamente al agua (PubChem, 2017c).</w:t>
            </w:r>
          </w:p>
        </w:tc>
      </w:tr>
      <w:tr w:rsidR="00745FE7" w:rsidRPr="00745FE7" w14:paraId="7CC50472" w14:textId="77777777" w:rsidTr="00745FE7">
        <w:tc>
          <w:tcPr>
            <w:tcW w:w="709" w:type="dxa"/>
          </w:tcPr>
          <w:p w14:paraId="06839532" w14:textId="7D78D8EB" w:rsidR="00745FE7" w:rsidRPr="00745FE7" w:rsidRDefault="00745FE7" w:rsidP="00FE4699">
            <w:pPr>
              <w:keepLines/>
              <w:rPr>
                <w:b/>
                <w:lang w:val="es-ES"/>
              </w:rPr>
            </w:pPr>
            <w:r w:rsidRPr="00745FE7">
              <w:rPr>
                <w:b/>
                <w:bCs/>
                <w:lang w:val="es-ES"/>
              </w:rPr>
              <w:t>4.1.5</w:t>
            </w:r>
          </w:p>
        </w:tc>
        <w:tc>
          <w:tcPr>
            <w:tcW w:w="1735" w:type="dxa"/>
          </w:tcPr>
          <w:p w14:paraId="00FF532B" w14:textId="2026BAAA" w:rsidR="00745FE7" w:rsidRPr="00745FE7" w:rsidRDefault="00745FE7" w:rsidP="00FE4699">
            <w:pPr>
              <w:spacing w:before="20" w:after="20"/>
              <w:outlineLvl w:val="2"/>
              <w:rPr>
                <w:b/>
                <w:bCs/>
                <w:lang w:val="es-ES"/>
              </w:rPr>
            </w:pPr>
            <w:r w:rsidRPr="00745FE7">
              <w:rPr>
                <w:b/>
                <w:bCs/>
                <w:lang w:val="es-ES"/>
              </w:rPr>
              <w:t>Persistencia</w:t>
            </w:r>
          </w:p>
        </w:tc>
        <w:tc>
          <w:tcPr>
            <w:tcW w:w="6946" w:type="dxa"/>
          </w:tcPr>
          <w:p w14:paraId="08D3D903" w14:textId="77777777" w:rsidR="00745FE7" w:rsidRPr="00745FE7" w:rsidRDefault="00745FE7" w:rsidP="00FE4699">
            <w:pPr>
              <w:pStyle w:val="Style21"/>
              <w:widowControl/>
              <w:spacing w:before="19" w:line="240" w:lineRule="auto"/>
              <w:rPr>
                <w:rStyle w:val="FontStyle85"/>
                <w:b/>
                <w:u w:val="single"/>
                <w:lang w:val="es-ES"/>
              </w:rPr>
            </w:pPr>
            <w:r w:rsidRPr="00745FE7">
              <w:rPr>
                <w:rFonts w:ascii="Times New Roman" w:hAnsi="Times New Roman" w:cs="Times New Roman"/>
                <w:b/>
                <w:bCs/>
                <w:sz w:val="20"/>
                <w:szCs w:val="20"/>
                <w:u w:val="single"/>
                <w:lang w:val="es-ES"/>
              </w:rPr>
              <w:t>Canadá</w:t>
            </w:r>
          </w:p>
          <w:p w14:paraId="423905FB" w14:textId="77777777" w:rsidR="00745FE7" w:rsidRPr="00745FE7" w:rsidRDefault="00745FE7" w:rsidP="00FE4699">
            <w:pPr>
              <w:pStyle w:val="Style21"/>
              <w:widowControl/>
              <w:spacing w:before="19" w:after="120" w:line="240" w:lineRule="auto"/>
              <w:rPr>
                <w:rStyle w:val="FontStyle85"/>
                <w:lang w:val="es-ES"/>
              </w:rPr>
            </w:pPr>
            <w:r w:rsidRPr="00745FE7">
              <w:rPr>
                <w:rFonts w:ascii="Times New Roman" w:hAnsi="Times New Roman" w:cs="Times New Roman"/>
                <w:sz w:val="20"/>
                <w:szCs w:val="20"/>
                <w:lang w:val="es-ES"/>
              </w:rPr>
              <w:t>El forato en suelo es moderadamente persistente (tiempo necesario para 50 % de disipación (DT</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 = 49-75 d) en condiciones de campo, como se ve en los estudios sobre el terreno realizados en Columbia Británica. Los principales productos de la transformación sulfóxido y sulfona de forato, que se forman como consecuencia de la acción microbiana, son moderadamente persistentes (DT</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 xml:space="preserve"> - 65-137 d) en suelos sometidos a condiciones de laboratorio.</w:t>
            </w:r>
          </w:p>
          <w:p w14:paraId="20A74960" w14:textId="77777777" w:rsidR="00745FE7" w:rsidRPr="00745FE7" w:rsidRDefault="00745FE7" w:rsidP="00FE4699">
            <w:pPr>
              <w:pStyle w:val="Style21"/>
              <w:widowControl/>
              <w:spacing w:before="19" w:after="120" w:line="240" w:lineRule="auto"/>
              <w:rPr>
                <w:rStyle w:val="FontStyle85"/>
                <w:lang w:val="es-ES"/>
              </w:rPr>
            </w:pPr>
            <w:r w:rsidRPr="00745FE7">
              <w:rPr>
                <w:rFonts w:ascii="Times New Roman" w:hAnsi="Times New Roman" w:cs="Times New Roman"/>
                <w:sz w:val="20"/>
                <w:szCs w:val="20"/>
                <w:lang w:val="es-ES"/>
              </w:rPr>
              <w:t>A pesar de que puede existir contaminación de las aguas superficiales a través de la escorrentía, el forato no es persistente en agua, debido a la hidrólisis rápida. En agua estéril con pH 5, 7 y 9, las vidas medias son de 2,6, 3,2 y 3,9 días, respectivamente. Los estudios sobre la biotransformación acuática aeróbica con agua de estanques no estéril revelaron que el compuesto original y los productos de la transformación no persistían en el agua (forato DT</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 xml:space="preserve"> de 0,5 d, sulfóxido de forato DT</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 xml:space="preserve"> de 9 d, sulfona de forato DT</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 xml:space="preserve"> de 21 d y formaldehído alcanzaron el 17 % de aplicación al día 14 después del tratamiento).</w:t>
            </w:r>
          </w:p>
          <w:p w14:paraId="61A47262" w14:textId="4CB69D86" w:rsidR="00745FE7" w:rsidRPr="00745FE7" w:rsidRDefault="00745FE7" w:rsidP="00FE4699">
            <w:pPr>
              <w:spacing w:after="120"/>
              <w:rPr>
                <w:snapToGrid w:val="0"/>
                <w:lang w:val="es-ES"/>
              </w:rPr>
            </w:pPr>
            <w:r w:rsidRPr="00745FE7">
              <w:rPr>
                <w:lang w:val="es-ES"/>
              </w:rPr>
              <w:t>Después de evaluar el forato (Thimet 15-G) con respecto a la política federal de manejo de substancias tóxicas (TSMP), se llegó a la conclusión de que el forato no cumple los criterios de persistencia de la TSMP.</w:t>
            </w:r>
          </w:p>
        </w:tc>
      </w:tr>
      <w:tr w:rsidR="00745FE7" w:rsidRPr="00745FE7" w14:paraId="4896E79B" w14:textId="77777777" w:rsidTr="00745FE7">
        <w:trPr>
          <w:trHeight w:val="603"/>
        </w:trPr>
        <w:tc>
          <w:tcPr>
            <w:tcW w:w="709" w:type="dxa"/>
            <w:hideMark/>
          </w:tcPr>
          <w:p w14:paraId="2D488A5E" w14:textId="77777777" w:rsidR="00745FE7" w:rsidRPr="00745FE7" w:rsidRDefault="00745FE7" w:rsidP="00FE4699">
            <w:pPr>
              <w:keepLines/>
              <w:rPr>
                <w:b/>
                <w:lang w:val="es-ES"/>
              </w:rPr>
            </w:pPr>
            <w:r w:rsidRPr="00745FE7">
              <w:rPr>
                <w:b/>
                <w:bCs/>
                <w:lang w:val="es-ES"/>
              </w:rPr>
              <w:t>4.2</w:t>
            </w:r>
          </w:p>
        </w:tc>
        <w:tc>
          <w:tcPr>
            <w:tcW w:w="1735" w:type="dxa"/>
            <w:hideMark/>
          </w:tcPr>
          <w:p w14:paraId="52F102DA" w14:textId="77777777" w:rsidR="00745FE7" w:rsidRPr="00745FE7" w:rsidRDefault="00745FE7" w:rsidP="00FE4699">
            <w:pPr>
              <w:spacing w:before="20" w:after="20"/>
              <w:outlineLvl w:val="2"/>
              <w:rPr>
                <w:b/>
                <w:bCs/>
                <w:lang w:val="es-ES"/>
              </w:rPr>
            </w:pPr>
            <w:r w:rsidRPr="00745FE7">
              <w:rPr>
                <w:b/>
                <w:lang w:val="es-ES"/>
              </w:rPr>
              <w:t>Efectos sobre los organismos no destinatarios</w:t>
            </w:r>
          </w:p>
        </w:tc>
        <w:tc>
          <w:tcPr>
            <w:tcW w:w="6946" w:type="dxa"/>
          </w:tcPr>
          <w:p w14:paraId="030742B6" w14:textId="77777777" w:rsidR="00745FE7" w:rsidRPr="00745FE7" w:rsidRDefault="00745FE7" w:rsidP="00FE4699">
            <w:pPr>
              <w:rPr>
                <w:b/>
                <w:snapToGrid w:val="0"/>
                <w:lang w:val="es-ES"/>
              </w:rPr>
            </w:pPr>
          </w:p>
        </w:tc>
      </w:tr>
      <w:tr w:rsidR="00745FE7" w:rsidRPr="00745FE7" w14:paraId="5C6A195F" w14:textId="77777777" w:rsidTr="00745FE7">
        <w:tc>
          <w:tcPr>
            <w:tcW w:w="709" w:type="dxa"/>
            <w:hideMark/>
          </w:tcPr>
          <w:p w14:paraId="603FF495" w14:textId="77777777" w:rsidR="00745FE7" w:rsidRPr="00745FE7" w:rsidRDefault="00745FE7" w:rsidP="00FE4699">
            <w:pPr>
              <w:keepLines/>
              <w:rPr>
                <w:b/>
                <w:lang w:val="es-ES"/>
              </w:rPr>
            </w:pPr>
            <w:r w:rsidRPr="00745FE7">
              <w:rPr>
                <w:b/>
                <w:bCs/>
                <w:lang w:val="es-ES"/>
              </w:rPr>
              <w:t>4.2.1</w:t>
            </w:r>
          </w:p>
        </w:tc>
        <w:tc>
          <w:tcPr>
            <w:tcW w:w="1735" w:type="dxa"/>
            <w:hideMark/>
          </w:tcPr>
          <w:p w14:paraId="1096EFB8" w14:textId="77777777" w:rsidR="00745FE7" w:rsidRPr="00745FE7" w:rsidRDefault="00745FE7" w:rsidP="00FE4699">
            <w:pPr>
              <w:spacing w:before="20" w:after="20"/>
              <w:outlineLvl w:val="2"/>
              <w:rPr>
                <w:b/>
                <w:bCs/>
                <w:lang w:val="es-ES"/>
              </w:rPr>
            </w:pPr>
            <w:r w:rsidRPr="00745FE7">
              <w:rPr>
                <w:b/>
                <w:bCs/>
                <w:lang w:val="es-ES"/>
              </w:rPr>
              <w:t>Vertebrados terrestres</w:t>
            </w:r>
          </w:p>
        </w:tc>
        <w:tc>
          <w:tcPr>
            <w:tcW w:w="6946" w:type="dxa"/>
            <w:hideMark/>
          </w:tcPr>
          <w:p w14:paraId="0977156D" w14:textId="77777777" w:rsidR="00745FE7" w:rsidRPr="00745FE7" w:rsidRDefault="00745FE7" w:rsidP="00FE4699">
            <w:pPr>
              <w:spacing w:after="120"/>
              <w:rPr>
                <w:b/>
                <w:snapToGrid w:val="0"/>
                <w:u w:val="single"/>
                <w:lang w:val="es-ES"/>
              </w:rPr>
            </w:pPr>
            <w:r w:rsidRPr="00745FE7">
              <w:rPr>
                <w:b/>
                <w:bCs/>
                <w:u w:val="single"/>
                <w:lang w:val="es-ES"/>
              </w:rPr>
              <w:t>Brasil</w:t>
            </w:r>
          </w:p>
          <w:p w14:paraId="387DB730" w14:textId="77777777" w:rsidR="00745FE7" w:rsidRPr="00745FE7" w:rsidRDefault="00745FE7" w:rsidP="00FE4699">
            <w:pPr>
              <w:spacing w:after="120"/>
              <w:rPr>
                <w:snapToGrid w:val="0"/>
                <w:lang w:val="es-ES"/>
              </w:rPr>
            </w:pPr>
            <w:r w:rsidRPr="00745FE7">
              <w:rPr>
                <w:b/>
                <w:lang w:val="es-ES"/>
              </w:rPr>
              <w:t>Efectos sobre las aves:</w:t>
            </w:r>
            <w:r w:rsidRPr="00745FE7">
              <w:rPr>
                <w:lang w:val="es-ES"/>
              </w:rPr>
              <w:t xml:space="preserve"> el forato es muy altamente tóxico para las aves. Los valores informados de DL</w:t>
            </w:r>
            <w:r w:rsidRPr="00745FE7">
              <w:rPr>
                <w:vertAlign w:val="subscript"/>
                <w:lang w:val="es-ES"/>
              </w:rPr>
              <w:t xml:space="preserve">50 </w:t>
            </w:r>
            <w:r w:rsidRPr="00745FE7">
              <w:rPr>
                <w:lang w:val="es-ES"/>
              </w:rPr>
              <w:t>real por vía oral son:</w:t>
            </w:r>
          </w:p>
          <w:p w14:paraId="49E975F1" w14:textId="77777777" w:rsidR="00745FE7" w:rsidRPr="00745FE7" w:rsidRDefault="00745FE7" w:rsidP="00FE4699">
            <w:pPr>
              <w:spacing w:after="120"/>
              <w:rPr>
                <w:snapToGrid w:val="0"/>
                <w:lang w:val="es-ES"/>
              </w:rPr>
            </w:pPr>
            <w:r w:rsidRPr="00745FE7">
              <w:rPr>
                <w:lang w:val="es-ES"/>
              </w:rPr>
              <w:t>12,8 mg/kg en perdiz chukar, 7,5 mg/kg en estornino, de 0,6 a 2,5 mg/kg en ánade real, de 7 a 21 mg/kg en codorniz del norte, 1 mg/kg en tordo sargento, y 7 mg/kg en faisán común.</w:t>
            </w:r>
          </w:p>
          <w:p w14:paraId="1C5E7FA9" w14:textId="77777777" w:rsidR="00745FE7" w:rsidRPr="00745FE7" w:rsidRDefault="00745FE7" w:rsidP="00FE4699">
            <w:pPr>
              <w:spacing w:after="120"/>
              <w:rPr>
                <w:snapToGrid w:val="0"/>
                <w:lang w:val="es-ES"/>
              </w:rPr>
            </w:pPr>
            <w:r w:rsidRPr="00745FE7">
              <w:rPr>
                <w:lang w:val="es-ES"/>
              </w:rPr>
              <w:t>Se informan valores de CL</w:t>
            </w:r>
            <w:r w:rsidRPr="00745FE7">
              <w:rPr>
                <w:vertAlign w:val="subscript"/>
                <w:lang w:val="es-ES"/>
              </w:rPr>
              <w:t xml:space="preserve">50 </w:t>
            </w:r>
            <w:r w:rsidRPr="00745FE7">
              <w:rPr>
                <w:lang w:val="es-ES"/>
              </w:rPr>
              <w:t>alimentaria de 5 a 8 días en 370 a 580 ppm en codorniz, ánade real, codorniz del norte y faisán común japoneses.</w:t>
            </w:r>
          </w:p>
          <w:p w14:paraId="70543974" w14:textId="77777777" w:rsidR="00745FE7" w:rsidRPr="00745FE7" w:rsidRDefault="00745FE7" w:rsidP="00FE4699">
            <w:pPr>
              <w:spacing w:after="120"/>
              <w:rPr>
                <w:b/>
                <w:snapToGrid w:val="0"/>
                <w:u w:val="single"/>
                <w:lang w:val="es-ES"/>
              </w:rPr>
            </w:pPr>
            <w:r w:rsidRPr="00745FE7">
              <w:rPr>
                <w:b/>
                <w:bCs/>
                <w:u w:val="single"/>
                <w:lang w:val="es-ES"/>
              </w:rPr>
              <w:t>Canadá</w:t>
            </w:r>
          </w:p>
          <w:p w14:paraId="6A2D06C8" w14:textId="77777777" w:rsidR="00745FE7" w:rsidRPr="00745FE7" w:rsidRDefault="00745FE7" w:rsidP="00FE4699">
            <w:pPr>
              <w:spacing w:after="120"/>
              <w:rPr>
                <w:i/>
                <w:snapToGrid w:val="0"/>
                <w:lang w:val="es-ES"/>
              </w:rPr>
            </w:pPr>
            <w:r w:rsidRPr="00745FE7">
              <w:rPr>
                <w:lang w:val="es-ES"/>
              </w:rPr>
              <w:t>Los estudios han demostrado que el forato es altamente tóxico para aves en base oral aguda (dosis letal media para ánades (DL</w:t>
            </w:r>
            <w:r w:rsidRPr="00745FE7">
              <w:rPr>
                <w:vertAlign w:val="subscript"/>
                <w:lang w:val="es-ES"/>
              </w:rPr>
              <w:t>50</w:t>
            </w:r>
            <w:r w:rsidRPr="00745FE7">
              <w:rPr>
                <w:lang w:val="es-ES"/>
              </w:rPr>
              <w:t>) = 0,62 mg i.a./kg), y altamente tóxico para aves sobre una base alimentaria (ánade DL</w:t>
            </w:r>
            <w:r w:rsidRPr="00745FE7">
              <w:rPr>
                <w:vertAlign w:val="subscript"/>
                <w:lang w:val="es-ES"/>
              </w:rPr>
              <w:t>50</w:t>
            </w:r>
            <w:r w:rsidRPr="00745FE7">
              <w:rPr>
                <w:lang w:val="es-ES"/>
              </w:rPr>
              <w:t xml:space="preserve"> = 248 mg i.a./kg). El forato es altamente tóxico para mamíferos pequeños sobre una base oral aguda (ratas DL</w:t>
            </w:r>
            <w:r w:rsidRPr="00745FE7">
              <w:rPr>
                <w:vertAlign w:val="subscript"/>
                <w:lang w:val="es-ES"/>
              </w:rPr>
              <w:t>50</w:t>
            </w:r>
            <w:r w:rsidRPr="00745FE7">
              <w:rPr>
                <w:lang w:val="es-ES"/>
              </w:rPr>
              <w:t xml:space="preserve"> = 1,1 a 3,7 mg i.a./kg) y sobre una base alimentaria (ratas DL</w:t>
            </w:r>
            <w:r w:rsidRPr="00745FE7">
              <w:rPr>
                <w:vertAlign w:val="subscript"/>
                <w:lang w:val="es-ES"/>
              </w:rPr>
              <w:t>50</w:t>
            </w:r>
            <w:r w:rsidRPr="00745FE7">
              <w:rPr>
                <w:lang w:val="es-ES"/>
              </w:rPr>
              <w:t xml:space="preserve"> = 28 mg i.a./kg).</w:t>
            </w:r>
          </w:p>
        </w:tc>
      </w:tr>
      <w:tr w:rsidR="00745FE7" w:rsidRPr="00745FE7" w14:paraId="74DBCF1E" w14:textId="77777777" w:rsidTr="00745FE7">
        <w:tc>
          <w:tcPr>
            <w:tcW w:w="709" w:type="dxa"/>
            <w:hideMark/>
          </w:tcPr>
          <w:p w14:paraId="6D5C2EDF" w14:textId="77777777" w:rsidR="00745FE7" w:rsidRPr="00745FE7" w:rsidRDefault="00745FE7" w:rsidP="00FE4699">
            <w:pPr>
              <w:keepNext/>
              <w:keepLines/>
              <w:rPr>
                <w:b/>
                <w:lang w:val="es-ES"/>
              </w:rPr>
            </w:pPr>
            <w:r w:rsidRPr="00745FE7">
              <w:rPr>
                <w:b/>
                <w:bCs/>
                <w:lang w:val="es-ES"/>
              </w:rPr>
              <w:t>4.2.2</w:t>
            </w:r>
          </w:p>
        </w:tc>
        <w:tc>
          <w:tcPr>
            <w:tcW w:w="1735" w:type="dxa"/>
            <w:hideMark/>
          </w:tcPr>
          <w:p w14:paraId="047F074B" w14:textId="77777777" w:rsidR="00745FE7" w:rsidRPr="00745FE7" w:rsidRDefault="00745FE7" w:rsidP="00FE4699">
            <w:pPr>
              <w:keepNext/>
              <w:keepLines/>
              <w:spacing w:before="20" w:after="20"/>
              <w:outlineLvl w:val="2"/>
              <w:rPr>
                <w:b/>
                <w:bCs/>
                <w:lang w:val="es-ES"/>
              </w:rPr>
            </w:pPr>
            <w:r w:rsidRPr="00745FE7">
              <w:rPr>
                <w:b/>
                <w:bCs/>
                <w:lang w:val="es-ES"/>
              </w:rPr>
              <w:t>Especies acuáticas</w:t>
            </w:r>
          </w:p>
        </w:tc>
        <w:tc>
          <w:tcPr>
            <w:tcW w:w="6946" w:type="dxa"/>
            <w:hideMark/>
          </w:tcPr>
          <w:p w14:paraId="1847797A" w14:textId="77777777" w:rsidR="00745FE7" w:rsidRPr="00745FE7" w:rsidRDefault="00745FE7" w:rsidP="00FE4699">
            <w:pPr>
              <w:keepNext/>
              <w:keepLines/>
              <w:spacing w:after="120"/>
              <w:rPr>
                <w:b/>
                <w:snapToGrid w:val="0"/>
                <w:u w:val="single"/>
                <w:lang w:val="es-ES"/>
              </w:rPr>
            </w:pPr>
            <w:r w:rsidRPr="00745FE7">
              <w:rPr>
                <w:b/>
                <w:bCs/>
                <w:u w:val="single"/>
                <w:lang w:val="es-ES"/>
              </w:rPr>
              <w:t>Brasil</w:t>
            </w:r>
          </w:p>
          <w:p w14:paraId="090BFDC3" w14:textId="77777777" w:rsidR="00745FE7" w:rsidRPr="00745FE7" w:rsidRDefault="00745FE7" w:rsidP="00FE4699">
            <w:pPr>
              <w:keepNext/>
              <w:keepLines/>
              <w:spacing w:after="120"/>
              <w:rPr>
                <w:b/>
                <w:snapToGrid w:val="0"/>
                <w:lang w:val="es-ES"/>
              </w:rPr>
            </w:pPr>
            <w:r w:rsidRPr="00745FE7">
              <w:rPr>
                <w:b/>
                <w:lang w:val="es-ES"/>
              </w:rPr>
              <w:t>Efectos sobre los organismos acuáticos:</w:t>
            </w:r>
          </w:p>
          <w:p w14:paraId="2C12DD69" w14:textId="79256E38" w:rsidR="00745FE7" w:rsidRPr="00745FE7" w:rsidRDefault="00745FE7" w:rsidP="00FE4699">
            <w:pPr>
              <w:keepNext/>
              <w:keepLines/>
              <w:spacing w:after="120"/>
              <w:rPr>
                <w:snapToGrid w:val="0"/>
                <w:lang w:val="es-ES"/>
              </w:rPr>
            </w:pPr>
            <w:r w:rsidRPr="00745FE7">
              <w:rPr>
                <w:lang w:val="es-ES"/>
              </w:rPr>
              <w:t>El forato es altamente tóxico para los peces. Los valores de CL</w:t>
            </w:r>
            <w:r w:rsidRPr="00745FE7">
              <w:rPr>
                <w:vertAlign w:val="subscript"/>
                <w:lang w:val="es-ES"/>
              </w:rPr>
              <w:t>50</w:t>
            </w:r>
            <w:r w:rsidRPr="00745FE7">
              <w:rPr>
                <w:lang w:val="es-ES"/>
              </w:rPr>
              <w:t xml:space="preserve"> informados para 96 horas oscilan entre 2 y 13 µg/l en trucha clarki, pez sol y lubina negra. Otros valores de CL</w:t>
            </w:r>
            <w:r w:rsidRPr="00745FE7">
              <w:rPr>
                <w:vertAlign w:val="subscript"/>
                <w:lang w:val="es-ES"/>
              </w:rPr>
              <w:t>50</w:t>
            </w:r>
            <w:r w:rsidRPr="00745FE7">
              <w:rPr>
                <w:lang w:val="es-ES"/>
              </w:rPr>
              <w:t xml:space="preserve"> en 96 horas son 110 µg/l en lucio y 280 µg/l en bagre.</w:t>
            </w:r>
          </w:p>
          <w:p w14:paraId="6AC4C821" w14:textId="77777777" w:rsidR="00745FE7" w:rsidRPr="00745FE7" w:rsidRDefault="00745FE7" w:rsidP="00FE4699">
            <w:pPr>
              <w:keepNext/>
              <w:keepLines/>
              <w:spacing w:after="120"/>
              <w:rPr>
                <w:snapToGrid w:val="0"/>
                <w:lang w:val="es-ES"/>
              </w:rPr>
            </w:pPr>
            <w:r w:rsidRPr="00745FE7">
              <w:rPr>
                <w:lang w:val="es-ES"/>
              </w:rPr>
              <w:t>Los valores informados de CL</w:t>
            </w:r>
            <w:r w:rsidRPr="00745FE7">
              <w:rPr>
                <w:vertAlign w:val="subscript"/>
                <w:lang w:val="es-ES"/>
              </w:rPr>
              <w:t>50</w:t>
            </w:r>
            <w:r w:rsidRPr="00745FE7">
              <w:rPr>
                <w:lang w:val="es-ES"/>
              </w:rPr>
              <w:t xml:space="preserve"> para 96 horas para el compuesto en invertebrados de agua dulce como plecópteros y anfípodos son 4 µg/l, lo que es también indicio de una toxicidad muy alta. Otros valores de CL</w:t>
            </w:r>
            <w:r w:rsidRPr="00745FE7">
              <w:rPr>
                <w:vertAlign w:val="subscript"/>
                <w:lang w:val="es-ES"/>
              </w:rPr>
              <w:t>50</w:t>
            </w:r>
            <w:r w:rsidRPr="00745FE7">
              <w:rPr>
                <w:lang w:val="es-ES"/>
              </w:rPr>
              <w:t xml:space="preserve"> son 0,006 µg/l para anfípodos y 0,11 a 1,9 µg/l en otros invertebrados de agua dulce. La DL</w:t>
            </w:r>
            <w:r w:rsidRPr="00745FE7">
              <w:rPr>
                <w:vertAlign w:val="subscript"/>
                <w:lang w:val="es-ES"/>
              </w:rPr>
              <w:t xml:space="preserve">50 </w:t>
            </w:r>
            <w:r w:rsidRPr="00745FE7">
              <w:rPr>
                <w:lang w:val="es-ES"/>
              </w:rPr>
              <w:t>real por vía oral del forato es 85 mg/kg en rana toro.</w:t>
            </w:r>
          </w:p>
          <w:p w14:paraId="1A3E82AA" w14:textId="77777777" w:rsidR="00745FE7" w:rsidRPr="00745FE7" w:rsidRDefault="00745FE7" w:rsidP="00FE4699">
            <w:pPr>
              <w:keepNext/>
              <w:keepLines/>
              <w:spacing w:after="120"/>
              <w:rPr>
                <w:b/>
                <w:snapToGrid w:val="0"/>
                <w:u w:val="single"/>
                <w:lang w:val="es-ES"/>
              </w:rPr>
            </w:pPr>
            <w:r w:rsidRPr="00745FE7">
              <w:rPr>
                <w:b/>
                <w:bCs/>
                <w:u w:val="single"/>
                <w:lang w:val="es-ES"/>
              </w:rPr>
              <w:t>Canadá</w:t>
            </w:r>
          </w:p>
          <w:p w14:paraId="6B278427" w14:textId="77777777" w:rsidR="00745FE7" w:rsidRPr="00745FE7" w:rsidRDefault="00745FE7" w:rsidP="00FE4699">
            <w:pPr>
              <w:keepNext/>
              <w:keepLines/>
              <w:spacing w:after="120"/>
              <w:rPr>
                <w:snapToGrid w:val="0"/>
                <w:lang w:val="es-ES"/>
              </w:rPr>
            </w:pPr>
            <w:r w:rsidRPr="00745FE7">
              <w:rPr>
                <w:lang w:val="es-ES"/>
              </w:rPr>
              <w:t>El forato es altamente tóxico en base aguda para los peces (concentración letal (LC</w:t>
            </w:r>
            <w:r w:rsidRPr="00745FE7">
              <w:rPr>
                <w:vertAlign w:val="subscript"/>
                <w:lang w:val="es-ES"/>
              </w:rPr>
              <w:t>50</w:t>
            </w:r>
            <w:r w:rsidRPr="00745FE7">
              <w:rPr>
                <w:lang w:val="es-ES"/>
              </w:rPr>
              <w:t>) media para trucha arcoíris = 13 µg i.a./l) y para los invertebrados acuáticos (Gammarus fasciatus LC</w:t>
            </w:r>
            <w:r w:rsidRPr="00745FE7">
              <w:rPr>
                <w:vertAlign w:val="subscript"/>
                <w:lang w:val="es-ES"/>
              </w:rPr>
              <w:t>50</w:t>
            </w:r>
            <w:r w:rsidRPr="00745FE7">
              <w:rPr>
                <w:lang w:val="es-ES"/>
              </w:rPr>
              <w:t xml:space="preserve"> = 4 µg i.a./l).</w:t>
            </w:r>
          </w:p>
          <w:p w14:paraId="6605C88C" w14:textId="77777777" w:rsidR="00745FE7" w:rsidRPr="00745FE7" w:rsidRDefault="00745FE7" w:rsidP="00FE4699">
            <w:pPr>
              <w:keepNext/>
              <w:keepLines/>
              <w:spacing w:after="120"/>
              <w:rPr>
                <w:lang w:val="es-ES"/>
              </w:rPr>
            </w:pPr>
            <w:r w:rsidRPr="00745FE7">
              <w:rPr>
                <w:b/>
                <w:u w:val="single"/>
                <w:lang w:val="es-ES"/>
              </w:rPr>
              <w:t>Base de Datos sobre propiedades de plaguicidas</w:t>
            </w:r>
            <w:r w:rsidRPr="00745FE7">
              <w:rPr>
                <w:lang w:val="es-ES"/>
              </w:rPr>
              <w:t xml:space="preserve"> (PPDB, 2018)</w:t>
            </w:r>
          </w:p>
          <w:p w14:paraId="06EB90C8" w14:textId="77777777" w:rsidR="00745FE7" w:rsidRPr="00745FE7" w:rsidRDefault="00745FE7" w:rsidP="00FE4699">
            <w:pPr>
              <w:keepNext/>
              <w:keepLines/>
              <w:spacing w:after="40"/>
              <w:rPr>
                <w:i/>
                <w:iCs/>
                <w:lang w:val="es-ES"/>
              </w:rPr>
            </w:pPr>
            <w:r w:rsidRPr="00745FE7">
              <w:rPr>
                <w:lang w:val="es-ES"/>
              </w:rPr>
              <w:t>Peces - CL</w:t>
            </w:r>
            <w:r w:rsidRPr="00745FE7">
              <w:rPr>
                <w:vertAlign w:val="subscript"/>
                <w:lang w:val="es-ES"/>
              </w:rPr>
              <w:t xml:space="preserve">50 </w:t>
            </w:r>
            <w:r w:rsidRPr="00745FE7">
              <w:rPr>
                <w:lang w:val="es-ES"/>
              </w:rPr>
              <w:t xml:space="preserve">aguda 96 horas = 0,013 mg/l </w:t>
            </w:r>
            <w:r w:rsidRPr="00745FE7">
              <w:rPr>
                <w:i/>
                <w:iCs/>
                <w:lang w:val="es-ES"/>
              </w:rPr>
              <w:t>Oncorhynchus mykiss</w:t>
            </w:r>
            <w:r w:rsidRPr="00745FE7">
              <w:rPr>
                <w:lang w:val="es-ES"/>
              </w:rPr>
              <w:t>.</w:t>
            </w:r>
          </w:p>
          <w:p w14:paraId="161E0E0B" w14:textId="77777777" w:rsidR="00745FE7" w:rsidRPr="00745FE7" w:rsidRDefault="00745FE7" w:rsidP="00FE4699">
            <w:pPr>
              <w:keepNext/>
              <w:keepLines/>
              <w:spacing w:after="40"/>
              <w:rPr>
                <w:i/>
                <w:iCs/>
                <w:lang w:val="es-ES"/>
              </w:rPr>
            </w:pPr>
            <w:r w:rsidRPr="00745FE7">
              <w:rPr>
                <w:lang w:val="es-ES"/>
              </w:rPr>
              <w:t xml:space="preserve">Peces - NOEC crónico 21 días = 0,0002 mg/l </w:t>
            </w:r>
            <w:r w:rsidRPr="00745FE7">
              <w:rPr>
                <w:i/>
                <w:iCs/>
                <w:lang w:val="es-ES"/>
              </w:rPr>
              <w:t>Oncorhynchus mykiss</w:t>
            </w:r>
            <w:r w:rsidRPr="00745FE7">
              <w:rPr>
                <w:lang w:val="es-ES"/>
              </w:rPr>
              <w:t>.</w:t>
            </w:r>
          </w:p>
          <w:p w14:paraId="1A0D771E" w14:textId="77777777" w:rsidR="00745FE7" w:rsidRPr="00745FE7" w:rsidRDefault="00745FE7" w:rsidP="00FE4699">
            <w:pPr>
              <w:keepNext/>
              <w:keepLines/>
              <w:spacing w:after="40"/>
              <w:rPr>
                <w:i/>
                <w:iCs/>
                <w:lang w:val="es-ES"/>
              </w:rPr>
            </w:pPr>
            <w:r w:rsidRPr="00745FE7">
              <w:rPr>
                <w:lang w:val="es-ES"/>
              </w:rPr>
              <w:t>Invertebrados acuáticos - CE</w:t>
            </w:r>
            <w:r w:rsidRPr="00745FE7">
              <w:rPr>
                <w:vertAlign w:val="subscript"/>
                <w:lang w:val="es-ES"/>
              </w:rPr>
              <w:t xml:space="preserve">50 </w:t>
            </w:r>
            <w:r w:rsidRPr="00745FE7">
              <w:rPr>
                <w:lang w:val="es-ES"/>
              </w:rPr>
              <w:t xml:space="preserve">aguda 48 horas = 0,004 mg/l </w:t>
            </w:r>
            <w:r w:rsidRPr="00745FE7">
              <w:rPr>
                <w:i/>
                <w:iCs/>
                <w:lang w:val="es-ES"/>
              </w:rPr>
              <w:t>Daphnia magna</w:t>
            </w:r>
            <w:r w:rsidRPr="00745FE7">
              <w:rPr>
                <w:lang w:val="es-ES"/>
              </w:rPr>
              <w:t>.</w:t>
            </w:r>
          </w:p>
          <w:p w14:paraId="119F7971" w14:textId="77777777" w:rsidR="00745FE7" w:rsidRPr="00745FE7" w:rsidRDefault="00745FE7" w:rsidP="00FE4699">
            <w:pPr>
              <w:keepNext/>
              <w:keepLines/>
              <w:spacing w:after="40"/>
              <w:rPr>
                <w:i/>
                <w:iCs/>
                <w:lang w:val="es-ES"/>
              </w:rPr>
            </w:pPr>
            <w:r w:rsidRPr="00745FE7">
              <w:rPr>
                <w:lang w:val="es-ES"/>
              </w:rPr>
              <w:t>Crustáceos acuáticos - CL</w:t>
            </w:r>
            <w:r w:rsidRPr="00745FE7">
              <w:rPr>
                <w:vertAlign w:val="subscript"/>
                <w:lang w:val="es-ES"/>
              </w:rPr>
              <w:t>50</w:t>
            </w:r>
            <w:r w:rsidRPr="00745FE7">
              <w:rPr>
                <w:lang w:val="es-ES"/>
              </w:rPr>
              <w:t xml:space="preserve"> aguda 96 horas = 0,00033 mg/l</w:t>
            </w:r>
            <w:r w:rsidRPr="00745FE7">
              <w:rPr>
                <w:i/>
                <w:iCs/>
                <w:lang w:val="es-ES"/>
              </w:rPr>
              <w:t xml:space="preserve"> Americamysis bahia</w:t>
            </w:r>
            <w:r w:rsidRPr="00745FE7">
              <w:rPr>
                <w:lang w:val="es-ES"/>
              </w:rPr>
              <w:t>.</w:t>
            </w:r>
          </w:p>
          <w:p w14:paraId="2E0298BA" w14:textId="77777777" w:rsidR="00745FE7" w:rsidRPr="00745FE7" w:rsidRDefault="00745FE7" w:rsidP="00FE4699">
            <w:pPr>
              <w:keepNext/>
              <w:keepLines/>
              <w:spacing w:after="40"/>
              <w:rPr>
                <w:rStyle w:val="FontStyle56"/>
                <w:b w:val="0"/>
                <w:lang w:val="es-ES"/>
              </w:rPr>
            </w:pPr>
            <w:r w:rsidRPr="00745FE7">
              <w:rPr>
                <w:lang w:val="es-ES"/>
              </w:rPr>
              <w:t>Organismos que habitan el sedimento - CL</w:t>
            </w:r>
            <w:r w:rsidRPr="00745FE7">
              <w:rPr>
                <w:vertAlign w:val="subscript"/>
                <w:lang w:val="es-ES"/>
              </w:rPr>
              <w:t>50</w:t>
            </w:r>
            <w:r w:rsidRPr="00745FE7">
              <w:rPr>
                <w:lang w:val="es-ES"/>
              </w:rPr>
              <w:t xml:space="preserve"> aguda 96 horas = 0,081 mg/l </w:t>
            </w:r>
            <w:r w:rsidRPr="00745FE7">
              <w:rPr>
                <w:i/>
                <w:iCs/>
                <w:lang w:val="es-ES"/>
              </w:rPr>
              <w:t>Chironomus riparius</w:t>
            </w:r>
            <w:r w:rsidRPr="00745FE7">
              <w:rPr>
                <w:lang w:val="es-ES"/>
              </w:rPr>
              <w:t>.</w:t>
            </w:r>
          </w:p>
          <w:p w14:paraId="34A9E5A6" w14:textId="77777777" w:rsidR="00745FE7" w:rsidRPr="00745FE7" w:rsidRDefault="00745FE7" w:rsidP="00FE4699">
            <w:pPr>
              <w:keepNext/>
              <w:keepLines/>
              <w:spacing w:after="120"/>
              <w:rPr>
                <w:i/>
                <w:snapToGrid w:val="0"/>
                <w:lang w:val="es-ES"/>
              </w:rPr>
            </w:pPr>
            <w:r w:rsidRPr="00745FE7">
              <w:rPr>
                <w:lang w:val="es-ES"/>
              </w:rPr>
              <w:t>Algas - CE</w:t>
            </w:r>
            <w:r w:rsidRPr="00745FE7">
              <w:rPr>
                <w:vertAlign w:val="subscript"/>
                <w:lang w:val="es-ES"/>
              </w:rPr>
              <w:t>50</w:t>
            </w:r>
            <w:r w:rsidRPr="00745FE7">
              <w:rPr>
                <w:lang w:val="es-ES"/>
              </w:rPr>
              <w:t xml:space="preserve"> aguda 72 horas, crecimiento 0,13 mg/l. Especies desconocidas.</w:t>
            </w:r>
          </w:p>
        </w:tc>
      </w:tr>
      <w:tr w:rsidR="00745FE7" w:rsidRPr="00745FE7" w14:paraId="62953DA2" w14:textId="77777777" w:rsidTr="00745FE7">
        <w:tc>
          <w:tcPr>
            <w:tcW w:w="709" w:type="dxa"/>
            <w:hideMark/>
          </w:tcPr>
          <w:p w14:paraId="2FA5AC7C" w14:textId="77777777" w:rsidR="00745FE7" w:rsidRPr="00745FE7" w:rsidRDefault="00745FE7" w:rsidP="00FE4699">
            <w:pPr>
              <w:keepNext/>
              <w:keepLines/>
              <w:rPr>
                <w:b/>
                <w:lang w:val="es-ES"/>
              </w:rPr>
            </w:pPr>
            <w:r w:rsidRPr="00745FE7">
              <w:rPr>
                <w:b/>
                <w:bCs/>
                <w:lang w:val="es-ES"/>
              </w:rPr>
              <w:t>4.2.3</w:t>
            </w:r>
          </w:p>
        </w:tc>
        <w:tc>
          <w:tcPr>
            <w:tcW w:w="1735" w:type="dxa"/>
            <w:hideMark/>
          </w:tcPr>
          <w:p w14:paraId="01D6CAD2" w14:textId="77777777" w:rsidR="00745FE7" w:rsidRPr="00745FE7" w:rsidRDefault="00745FE7" w:rsidP="00FE4699">
            <w:pPr>
              <w:keepNext/>
              <w:keepLines/>
              <w:spacing w:before="20" w:after="20"/>
              <w:outlineLvl w:val="2"/>
              <w:rPr>
                <w:b/>
                <w:bCs/>
                <w:lang w:val="es-ES"/>
              </w:rPr>
            </w:pPr>
            <w:r w:rsidRPr="00745FE7">
              <w:rPr>
                <w:b/>
                <w:bCs/>
                <w:lang w:val="es-ES"/>
              </w:rPr>
              <w:t>Abejas y otros artrópodos</w:t>
            </w:r>
          </w:p>
        </w:tc>
        <w:tc>
          <w:tcPr>
            <w:tcW w:w="6946" w:type="dxa"/>
          </w:tcPr>
          <w:p w14:paraId="282F8F7D" w14:textId="77777777" w:rsidR="00745FE7" w:rsidRPr="00745FE7" w:rsidRDefault="00745FE7" w:rsidP="00FE4699">
            <w:pPr>
              <w:keepNext/>
              <w:keepLines/>
              <w:spacing w:after="120"/>
              <w:rPr>
                <w:b/>
                <w:snapToGrid w:val="0"/>
                <w:u w:val="single"/>
                <w:lang w:val="es-ES"/>
              </w:rPr>
            </w:pPr>
            <w:r w:rsidRPr="00745FE7">
              <w:rPr>
                <w:b/>
                <w:bCs/>
                <w:u w:val="single"/>
                <w:lang w:val="es-ES"/>
              </w:rPr>
              <w:t>Brasil</w:t>
            </w:r>
          </w:p>
          <w:p w14:paraId="43A086E7" w14:textId="4B022AAA" w:rsidR="00745FE7" w:rsidRPr="00745FE7" w:rsidRDefault="00745FE7" w:rsidP="00FE4699">
            <w:pPr>
              <w:keepNext/>
              <w:keepLines/>
              <w:spacing w:after="120"/>
              <w:rPr>
                <w:i/>
                <w:snapToGrid w:val="0"/>
                <w:lang w:val="es-ES"/>
              </w:rPr>
            </w:pPr>
            <w:r w:rsidRPr="00745FE7">
              <w:rPr>
                <w:lang w:val="es-ES"/>
              </w:rPr>
              <w:t>El forato es tóxico para las abejas; se informó un DL</w:t>
            </w:r>
            <w:r w:rsidRPr="00745FE7">
              <w:rPr>
                <w:vertAlign w:val="subscript"/>
                <w:lang w:val="es-ES"/>
              </w:rPr>
              <w:t>50</w:t>
            </w:r>
            <w:r w:rsidRPr="00745FE7">
              <w:rPr>
                <w:lang w:val="es-ES"/>
              </w:rPr>
              <w:t xml:space="preserve"> de aplicación tópica de 10 µg por abeja.</w:t>
            </w:r>
          </w:p>
          <w:p w14:paraId="00642A42" w14:textId="77777777" w:rsidR="00745FE7" w:rsidRPr="00745FE7" w:rsidRDefault="00745FE7" w:rsidP="00FE4699">
            <w:pPr>
              <w:keepNext/>
              <w:keepLines/>
              <w:spacing w:after="120"/>
              <w:rPr>
                <w:b/>
                <w:snapToGrid w:val="0"/>
                <w:u w:val="single"/>
                <w:lang w:val="es-ES"/>
              </w:rPr>
            </w:pPr>
            <w:r w:rsidRPr="00745FE7">
              <w:rPr>
                <w:b/>
                <w:bCs/>
                <w:u w:val="single"/>
                <w:lang w:val="es-ES"/>
              </w:rPr>
              <w:t>Canadá</w:t>
            </w:r>
          </w:p>
          <w:p w14:paraId="1DB5CD64" w14:textId="77777777" w:rsidR="00745FE7" w:rsidRPr="00745FE7" w:rsidRDefault="00745FE7" w:rsidP="00FE4699">
            <w:pPr>
              <w:keepNext/>
              <w:keepLines/>
              <w:spacing w:after="120"/>
              <w:rPr>
                <w:i/>
                <w:snapToGrid w:val="0"/>
                <w:lang w:val="es-ES"/>
              </w:rPr>
            </w:pPr>
            <w:r w:rsidRPr="00745FE7">
              <w:rPr>
                <w:lang w:val="es-ES"/>
              </w:rPr>
              <w:t>El forato es moderadamente tóxico a muy tóxico para las abejas sobre una base de contacto agudo (0,32 a 10,1 µg i.a./abeja).</w:t>
            </w:r>
          </w:p>
        </w:tc>
      </w:tr>
      <w:tr w:rsidR="00745FE7" w:rsidRPr="00745FE7" w14:paraId="4D1C328E" w14:textId="77777777" w:rsidTr="00745FE7">
        <w:tc>
          <w:tcPr>
            <w:tcW w:w="709" w:type="dxa"/>
            <w:hideMark/>
          </w:tcPr>
          <w:p w14:paraId="126A62F2" w14:textId="77777777" w:rsidR="00745FE7" w:rsidRPr="00745FE7" w:rsidRDefault="00745FE7" w:rsidP="00FE4699">
            <w:pPr>
              <w:keepLines/>
              <w:rPr>
                <w:b/>
                <w:lang w:val="es-ES"/>
              </w:rPr>
            </w:pPr>
            <w:r w:rsidRPr="00745FE7">
              <w:rPr>
                <w:b/>
                <w:bCs/>
                <w:lang w:val="es-ES"/>
              </w:rPr>
              <w:t>4.2.4</w:t>
            </w:r>
          </w:p>
        </w:tc>
        <w:tc>
          <w:tcPr>
            <w:tcW w:w="1735" w:type="dxa"/>
            <w:hideMark/>
          </w:tcPr>
          <w:p w14:paraId="16629165" w14:textId="77777777" w:rsidR="00745FE7" w:rsidRPr="00745FE7" w:rsidRDefault="00745FE7" w:rsidP="00FE4699">
            <w:pPr>
              <w:spacing w:before="20" w:after="20"/>
              <w:outlineLvl w:val="2"/>
              <w:rPr>
                <w:b/>
                <w:bCs/>
                <w:lang w:val="es-ES"/>
              </w:rPr>
            </w:pPr>
            <w:r w:rsidRPr="00745FE7">
              <w:rPr>
                <w:b/>
                <w:bCs/>
                <w:lang w:val="es-ES"/>
              </w:rPr>
              <w:t>Lombrices de tierra</w:t>
            </w:r>
          </w:p>
        </w:tc>
        <w:tc>
          <w:tcPr>
            <w:tcW w:w="6946" w:type="dxa"/>
          </w:tcPr>
          <w:p w14:paraId="5E707B00" w14:textId="77777777" w:rsidR="00745FE7" w:rsidRPr="00745FE7" w:rsidRDefault="00745FE7" w:rsidP="00FE4699">
            <w:pPr>
              <w:spacing w:after="120"/>
              <w:rPr>
                <w:lang w:val="es-ES"/>
              </w:rPr>
            </w:pPr>
            <w:r w:rsidRPr="00745FE7">
              <w:rPr>
                <w:b/>
                <w:u w:val="single"/>
                <w:lang w:val="es-ES"/>
              </w:rPr>
              <w:t>Base de Datos sobre propiedades de plaguicidas</w:t>
            </w:r>
            <w:r w:rsidRPr="00745FE7">
              <w:rPr>
                <w:lang w:val="es-ES"/>
              </w:rPr>
              <w:t xml:space="preserve"> (PPDB, 2018)</w:t>
            </w:r>
          </w:p>
          <w:p w14:paraId="1C2B8864" w14:textId="77777777" w:rsidR="00745FE7" w:rsidRPr="00745FE7" w:rsidRDefault="00745FE7" w:rsidP="00FE4699">
            <w:pPr>
              <w:spacing w:after="120"/>
              <w:rPr>
                <w:i/>
                <w:snapToGrid w:val="0"/>
                <w:lang w:val="es-ES"/>
              </w:rPr>
            </w:pPr>
            <w:r w:rsidRPr="00745FE7">
              <w:rPr>
                <w:lang w:val="es-ES"/>
              </w:rPr>
              <w:t>Lombrices de tierra - CL</w:t>
            </w:r>
            <w:r w:rsidRPr="00745FE7">
              <w:rPr>
                <w:vertAlign w:val="subscript"/>
                <w:lang w:val="es-ES"/>
              </w:rPr>
              <w:t>50</w:t>
            </w:r>
            <w:r w:rsidRPr="00745FE7">
              <w:rPr>
                <w:lang w:val="es-ES"/>
              </w:rPr>
              <w:t xml:space="preserve"> aguda 14 días (mg kg</w:t>
            </w:r>
            <w:r w:rsidRPr="00745FE7">
              <w:rPr>
                <w:vertAlign w:val="superscript"/>
                <w:lang w:val="es-ES"/>
              </w:rPr>
              <w:t>-1</w:t>
            </w:r>
            <w:r w:rsidRPr="00745FE7">
              <w:rPr>
                <w:lang w:val="es-ES"/>
              </w:rPr>
              <w:t xml:space="preserve">) 20,8 </w:t>
            </w:r>
            <w:r w:rsidRPr="00745FE7">
              <w:rPr>
                <w:i/>
                <w:iCs/>
                <w:lang w:val="es-ES"/>
              </w:rPr>
              <w:t>Eisenia foetida</w:t>
            </w:r>
            <w:r w:rsidRPr="00745FE7">
              <w:rPr>
                <w:lang w:val="es-ES"/>
              </w:rPr>
              <w:t>.</w:t>
            </w:r>
          </w:p>
        </w:tc>
      </w:tr>
      <w:tr w:rsidR="00745FE7" w:rsidRPr="00745FE7" w14:paraId="50E3F69C" w14:textId="77777777" w:rsidTr="00745FE7">
        <w:tc>
          <w:tcPr>
            <w:tcW w:w="709" w:type="dxa"/>
            <w:hideMark/>
          </w:tcPr>
          <w:p w14:paraId="4DCC3D57" w14:textId="77777777" w:rsidR="00745FE7" w:rsidRPr="00745FE7" w:rsidRDefault="00745FE7" w:rsidP="00FE4699">
            <w:pPr>
              <w:keepLines/>
              <w:spacing w:after="120"/>
              <w:rPr>
                <w:b/>
                <w:lang w:val="es-ES"/>
              </w:rPr>
            </w:pPr>
            <w:r w:rsidRPr="00745FE7">
              <w:rPr>
                <w:b/>
                <w:bCs/>
                <w:lang w:val="es-ES"/>
              </w:rPr>
              <w:t>4.2.5</w:t>
            </w:r>
          </w:p>
        </w:tc>
        <w:tc>
          <w:tcPr>
            <w:tcW w:w="1735" w:type="dxa"/>
            <w:hideMark/>
          </w:tcPr>
          <w:p w14:paraId="2F59FE96" w14:textId="77777777" w:rsidR="00745FE7" w:rsidRPr="00745FE7" w:rsidRDefault="00745FE7" w:rsidP="00FE4699">
            <w:pPr>
              <w:spacing w:before="20" w:after="120"/>
              <w:outlineLvl w:val="2"/>
              <w:rPr>
                <w:b/>
                <w:bCs/>
                <w:lang w:val="es-ES"/>
              </w:rPr>
            </w:pPr>
            <w:r w:rsidRPr="00745FE7">
              <w:rPr>
                <w:b/>
                <w:lang w:val="es-ES"/>
              </w:rPr>
              <w:t>Microorganismos del suelo</w:t>
            </w:r>
          </w:p>
        </w:tc>
        <w:tc>
          <w:tcPr>
            <w:tcW w:w="6946" w:type="dxa"/>
          </w:tcPr>
          <w:p w14:paraId="2A887B03" w14:textId="77777777" w:rsidR="00745FE7" w:rsidRPr="00745FE7" w:rsidRDefault="00745FE7" w:rsidP="00FE4699">
            <w:pPr>
              <w:spacing w:after="120"/>
              <w:rPr>
                <w:snapToGrid w:val="0"/>
                <w:lang w:val="es-ES"/>
              </w:rPr>
            </w:pPr>
            <w:r w:rsidRPr="00745FE7">
              <w:rPr>
                <w:lang w:val="es-ES"/>
              </w:rPr>
              <w:t>No se dispone de datos.</w:t>
            </w:r>
          </w:p>
        </w:tc>
      </w:tr>
      <w:tr w:rsidR="00745FE7" w:rsidRPr="00745FE7" w14:paraId="52F602CE" w14:textId="77777777" w:rsidTr="00745FE7">
        <w:tc>
          <w:tcPr>
            <w:tcW w:w="709" w:type="dxa"/>
            <w:hideMark/>
          </w:tcPr>
          <w:p w14:paraId="54789450" w14:textId="77777777" w:rsidR="00745FE7" w:rsidRPr="00745FE7" w:rsidRDefault="00745FE7" w:rsidP="00FE4699">
            <w:pPr>
              <w:keepLines/>
              <w:spacing w:after="120"/>
              <w:rPr>
                <w:b/>
                <w:lang w:val="es-ES"/>
              </w:rPr>
            </w:pPr>
            <w:r w:rsidRPr="00745FE7">
              <w:rPr>
                <w:b/>
                <w:bCs/>
                <w:lang w:val="es-ES"/>
              </w:rPr>
              <w:t>4.2.6</w:t>
            </w:r>
          </w:p>
        </w:tc>
        <w:tc>
          <w:tcPr>
            <w:tcW w:w="1735" w:type="dxa"/>
            <w:hideMark/>
          </w:tcPr>
          <w:p w14:paraId="30DEB281" w14:textId="77777777" w:rsidR="00745FE7" w:rsidRPr="00745FE7" w:rsidRDefault="00745FE7" w:rsidP="00FE4699">
            <w:pPr>
              <w:spacing w:before="20" w:after="120"/>
              <w:outlineLvl w:val="2"/>
              <w:rPr>
                <w:b/>
                <w:bCs/>
                <w:lang w:val="es-ES"/>
              </w:rPr>
            </w:pPr>
            <w:r w:rsidRPr="00745FE7">
              <w:rPr>
                <w:b/>
                <w:bCs/>
                <w:lang w:val="es-ES"/>
              </w:rPr>
              <w:t>Plantas terrestres</w:t>
            </w:r>
          </w:p>
        </w:tc>
        <w:tc>
          <w:tcPr>
            <w:tcW w:w="6946" w:type="dxa"/>
          </w:tcPr>
          <w:p w14:paraId="6A72D8DA" w14:textId="77777777" w:rsidR="00745FE7" w:rsidRPr="00745FE7" w:rsidRDefault="00745FE7" w:rsidP="00FE4699">
            <w:pPr>
              <w:spacing w:after="120"/>
              <w:rPr>
                <w:snapToGrid w:val="0"/>
                <w:lang w:val="es-ES"/>
              </w:rPr>
            </w:pPr>
            <w:r w:rsidRPr="00745FE7">
              <w:rPr>
                <w:lang w:val="es-ES"/>
              </w:rPr>
              <w:t>No se dispone de datos.</w:t>
            </w:r>
          </w:p>
        </w:tc>
      </w:tr>
      <w:tr w:rsidR="00745FE7" w:rsidRPr="00745FE7" w14:paraId="1B095464" w14:textId="77777777" w:rsidTr="00745FE7">
        <w:trPr>
          <w:cantSplit/>
        </w:trPr>
        <w:tc>
          <w:tcPr>
            <w:tcW w:w="709" w:type="dxa"/>
            <w:tcBorders>
              <w:top w:val="nil"/>
              <w:left w:val="nil"/>
              <w:bottom w:val="single" w:sz="4" w:space="0" w:color="auto"/>
              <w:right w:val="nil"/>
            </w:tcBorders>
          </w:tcPr>
          <w:p w14:paraId="42D669FC" w14:textId="77777777" w:rsidR="00745FE7" w:rsidRPr="00745FE7" w:rsidRDefault="00745FE7" w:rsidP="00FE4699">
            <w:pPr>
              <w:spacing w:before="40" w:after="60"/>
              <w:outlineLvl w:val="0"/>
              <w:rPr>
                <w:b/>
                <w:bCs/>
                <w:kern w:val="28"/>
                <w:lang w:val="es-ES"/>
              </w:rPr>
            </w:pPr>
          </w:p>
        </w:tc>
        <w:tc>
          <w:tcPr>
            <w:tcW w:w="8681" w:type="dxa"/>
            <w:gridSpan w:val="2"/>
            <w:tcBorders>
              <w:top w:val="nil"/>
              <w:left w:val="nil"/>
              <w:bottom w:val="single" w:sz="4" w:space="0" w:color="auto"/>
              <w:right w:val="nil"/>
            </w:tcBorders>
          </w:tcPr>
          <w:p w14:paraId="36ACB786" w14:textId="77777777" w:rsidR="00745FE7" w:rsidRPr="00745FE7" w:rsidRDefault="00745FE7" w:rsidP="00FE4699">
            <w:pPr>
              <w:spacing w:before="40" w:after="60"/>
              <w:outlineLvl w:val="0"/>
              <w:rPr>
                <w:b/>
                <w:bCs/>
                <w:kern w:val="28"/>
                <w:lang w:val="es-ES"/>
              </w:rPr>
            </w:pPr>
          </w:p>
        </w:tc>
      </w:tr>
      <w:tr w:rsidR="00745FE7" w:rsidRPr="00745FE7" w14:paraId="4A5ADA04" w14:textId="77777777" w:rsidTr="00745FE7">
        <w:trPr>
          <w:cantSplit/>
        </w:trPr>
        <w:tc>
          <w:tcPr>
            <w:tcW w:w="709" w:type="dxa"/>
            <w:tcBorders>
              <w:top w:val="nil"/>
              <w:left w:val="nil"/>
              <w:bottom w:val="single" w:sz="4" w:space="0" w:color="auto"/>
              <w:right w:val="nil"/>
            </w:tcBorders>
            <w:hideMark/>
          </w:tcPr>
          <w:p w14:paraId="4FF74975" w14:textId="77777777" w:rsidR="00745FE7" w:rsidRPr="00745FE7" w:rsidRDefault="00745FE7" w:rsidP="00FE4699">
            <w:pPr>
              <w:spacing w:before="40" w:after="60"/>
              <w:outlineLvl w:val="0"/>
              <w:rPr>
                <w:b/>
                <w:bCs/>
                <w:kern w:val="28"/>
                <w:lang w:val="es-ES"/>
              </w:rPr>
            </w:pPr>
            <w:r w:rsidRPr="00745FE7">
              <w:rPr>
                <w:b/>
                <w:bCs/>
                <w:lang w:val="es-ES"/>
              </w:rPr>
              <w:t>5</w:t>
            </w:r>
          </w:p>
        </w:tc>
        <w:tc>
          <w:tcPr>
            <w:tcW w:w="8681" w:type="dxa"/>
            <w:gridSpan w:val="2"/>
            <w:tcBorders>
              <w:top w:val="nil"/>
              <w:left w:val="nil"/>
              <w:bottom w:val="single" w:sz="4" w:space="0" w:color="auto"/>
              <w:right w:val="nil"/>
            </w:tcBorders>
            <w:hideMark/>
          </w:tcPr>
          <w:p w14:paraId="5CC9F222" w14:textId="77777777" w:rsidR="00745FE7" w:rsidRPr="00745FE7" w:rsidRDefault="00745FE7" w:rsidP="00FE4699">
            <w:pPr>
              <w:spacing w:before="40" w:after="60"/>
              <w:outlineLvl w:val="0"/>
              <w:rPr>
                <w:b/>
                <w:bCs/>
                <w:i/>
                <w:snapToGrid w:val="0"/>
                <w:kern w:val="28"/>
                <w:u w:val="single"/>
                <w:lang w:val="es-ES"/>
              </w:rPr>
            </w:pPr>
            <w:r w:rsidRPr="00745FE7">
              <w:rPr>
                <w:b/>
                <w:bCs/>
                <w:lang w:val="es-ES"/>
              </w:rPr>
              <w:t>Exposición ambiental/evaluación de los riesgos</w:t>
            </w:r>
          </w:p>
        </w:tc>
      </w:tr>
      <w:tr w:rsidR="00745FE7" w:rsidRPr="00745FE7" w14:paraId="147B8F1B" w14:textId="77777777" w:rsidTr="00745FE7">
        <w:tc>
          <w:tcPr>
            <w:tcW w:w="709" w:type="dxa"/>
            <w:tcBorders>
              <w:top w:val="single" w:sz="4" w:space="0" w:color="auto"/>
              <w:left w:val="nil"/>
              <w:bottom w:val="nil"/>
              <w:right w:val="nil"/>
            </w:tcBorders>
            <w:hideMark/>
          </w:tcPr>
          <w:p w14:paraId="1A6AB93A" w14:textId="77777777" w:rsidR="00745FE7" w:rsidRPr="00745FE7" w:rsidRDefault="00745FE7" w:rsidP="00FE4699">
            <w:pPr>
              <w:keepLines/>
              <w:rPr>
                <w:b/>
                <w:lang w:val="es-ES"/>
              </w:rPr>
            </w:pPr>
            <w:r w:rsidRPr="00745FE7">
              <w:rPr>
                <w:b/>
                <w:bCs/>
                <w:lang w:val="es-ES"/>
              </w:rPr>
              <w:t>5.1</w:t>
            </w:r>
          </w:p>
        </w:tc>
        <w:tc>
          <w:tcPr>
            <w:tcW w:w="1735" w:type="dxa"/>
            <w:tcBorders>
              <w:top w:val="single" w:sz="4" w:space="0" w:color="auto"/>
              <w:left w:val="nil"/>
              <w:bottom w:val="nil"/>
              <w:right w:val="nil"/>
            </w:tcBorders>
            <w:hideMark/>
          </w:tcPr>
          <w:p w14:paraId="0B509D85" w14:textId="77777777" w:rsidR="00745FE7" w:rsidRPr="00745FE7" w:rsidRDefault="00745FE7" w:rsidP="00FE4699">
            <w:pPr>
              <w:spacing w:before="20" w:after="20"/>
              <w:outlineLvl w:val="2"/>
              <w:rPr>
                <w:b/>
                <w:bCs/>
                <w:lang w:val="es-ES"/>
              </w:rPr>
            </w:pPr>
            <w:r w:rsidRPr="00745FE7">
              <w:rPr>
                <w:b/>
                <w:bCs/>
                <w:lang w:val="es-ES"/>
              </w:rPr>
              <w:t>Vertebrados terrestres</w:t>
            </w:r>
          </w:p>
        </w:tc>
        <w:tc>
          <w:tcPr>
            <w:tcW w:w="6946" w:type="dxa"/>
            <w:tcBorders>
              <w:top w:val="single" w:sz="4" w:space="0" w:color="auto"/>
              <w:left w:val="nil"/>
              <w:bottom w:val="nil"/>
              <w:right w:val="nil"/>
            </w:tcBorders>
            <w:hideMark/>
          </w:tcPr>
          <w:p w14:paraId="2EB7BAAE" w14:textId="25326B14" w:rsidR="00745FE7" w:rsidRPr="00745FE7" w:rsidRDefault="00745FE7" w:rsidP="00FE4699">
            <w:pPr>
              <w:spacing w:after="120"/>
              <w:rPr>
                <w:snapToGrid w:val="0"/>
                <w:lang w:val="es-ES"/>
              </w:rPr>
            </w:pPr>
            <w:r w:rsidRPr="00745FE7">
              <w:rPr>
                <w:lang w:val="es-ES"/>
              </w:rPr>
              <w:t>La notificación brasileña no contiene información o resumen de las conclusiones de la evaluación de los riesgos ambientales para los vertebrados terrestres.</w:t>
            </w:r>
          </w:p>
          <w:p w14:paraId="59816400" w14:textId="77777777" w:rsidR="00745FE7" w:rsidRPr="00745FE7" w:rsidRDefault="00745FE7" w:rsidP="00FE4699">
            <w:pPr>
              <w:spacing w:after="120"/>
              <w:rPr>
                <w:b/>
                <w:snapToGrid w:val="0"/>
                <w:u w:val="single"/>
                <w:lang w:val="es-ES"/>
              </w:rPr>
            </w:pPr>
            <w:r w:rsidRPr="00745FE7">
              <w:rPr>
                <w:b/>
                <w:bCs/>
                <w:u w:val="single"/>
                <w:lang w:val="es-ES"/>
              </w:rPr>
              <w:t>Canadá</w:t>
            </w:r>
          </w:p>
          <w:p w14:paraId="53E63615" w14:textId="1E19E74E" w:rsidR="00745FE7" w:rsidRPr="00745FE7" w:rsidRDefault="00745FE7" w:rsidP="00FE4699">
            <w:pPr>
              <w:spacing w:after="120"/>
              <w:rPr>
                <w:rStyle w:val="FontStyle85"/>
                <w:lang w:val="es-ES"/>
              </w:rPr>
            </w:pPr>
            <w:r w:rsidRPr="00745FE7">
              <w:rPr>
                <w:lang w:val="es-ES"/>
              </w:rPr>
              <w:t>A partir de los usos registrados del forato, se han identificado riesgos muy altos para los organismos terrestres. Respaldan esta evaluación los informes de incidentes en el Canadá y los Estados Unidos. Las concentraciones de exposición estimadas para los organismos terrestres exceden los niveles de efecto agudos tanto para las aves como para los mamíferos. Para aplicaciones en surcos, la exposición estimada de superficie es del 1 %. Para el sembrado subsuperficial zunchado para maíz y colinabos, la exposición estimada de superficie es del 15 %. El riesgo agudo que plantea el consumo directo de gránulos es mayor para las especies más pequeñas. Se utiliza la cantidad de dosis letales (DL</w:t>
            </w:r>
            <w:r w:rsidRPr="00745FE7">
              <w:rPr>
                <w:vertAlign w:val="subscript"/>
                <w:lang w:val="es-ES"/>
              </w:rPr>
              <w:t>50</w:t>
            </w:r>
            <w:r w:rsidRPr="00745FE7">
              <w:rPr>
                <w:lang w:val="es-ES"/>
              </w:rPr>
              <w:t>s) disponibles dentro de un metro cuadrado inmediatamente después de la aplicación (DL</w:t>
            </w:r>
            <w:r w:rsidRPr="00745FE7">
              <w:rPr>
                <w:vertAlign w:val="subscript"/>
                <w:lang w:val="es-ES"/>
              </w:rPr>
              <w:t>50</w:t>
            </w:r>
            <w:r w:rsidRPr="00745FE7">
              <w:rPr>
                <w:lang w:val="es-ES"/>
              </w:rPr>
              <w:t>s/m</w:t>
            </w:r>
            <w:r w:rsidRPr="00745FE7">
              <w:rPr>
                <w:vertAlign w:val="superscript"/>
                <w:lang w:val="es-ES"/>
              </w:rPr>
              <w:t>2</w:t>
            </w:r>
            <w:r w:rsidRPr="00745FE7">
              <w:rPr>
                <w:lang w:val="es-ES"/>
              </w:rPr>
              <w:t>) como cociente de riesgo (CR) para los productos granulares.</w:t>
            </w:r>
          </w:p>
          <w:p w14:paraId="41B5948D" w14:textId="3E8505D3" w:rsidR="00745FE7" w:rsidRPr="00745FE7" w:rsidRDefault="00745FE7" w:rsidP="00FE4699">
            <w:pPr>
              <w:pStyle w:val="Style21"/>
              <w:widowControl/>
              <w:spacing w:before="26" w:after="120" w:line="240" w:lineRule="auto"/>
              <w:rPr>
                <w:rStyle w:val="FontStyle85"/>
                <w:lang w:val="es-ES"/>
              </w:rPr>
            </w:pPr>
            <w:r w:rsidRPr="00745FE7">
              <w:rPr>
                <w:rFonts w:ascii="Times New Roman" w:hAnsi="Times New Roman" w:cs="Times New Roman"/>
                <w:sz w:val="20"/>
                <w:szCs w:val="20"/>
                <w:lang w:val="es-ES"/>
              </w:rPr>
              <w:t>Los cocientes de riesgo para los efectos agudos en mamíferos superaron 1 DL</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/m</w:t>
            </w:r>
            <w:r w:rsidRPr="00745FE7">
              <w:rPr>
                <w:rFonts w:ascii="Times New Roman" w:hAnsi="Times New Roman" w:cs="Times New Roman"/>
                <w:sz w:val="20"/>
                <w:szCs w:val="20"/>
                <w:vertAlign w:val="superscript"/>
                <w:lang w:val="es-ES"/>
              </w:rPr>
              <w:t>2</w:t>
            </w:r>
            <w:r w:rsidRPr="00745FE7">
              <w:rPr>
                <w:rFonts w:ascii="Times New Roman" w:hAnsi="Times New Roman" w:cs="Times New Roman"/>
                <w:sz w:val="20"/>
                <w:szCs w:val="20"/>
                <w:lang w:val="es-ES"/>
              </w:rPr>
              <w:t>, el umbral de preocupación para las especies sometidas al ensayo, para usar en patatas y frijoles. Los cocientes de riesgo oscilaban entre 198 y 13.112 DL</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s/m</w:t>
            </w:r>
            <w:r w:rsidRPr="00745FE7">
              <w:rPr>
                <w:rFonts w:ascii="Times New Roman" w:hAnsi="Times New Roman" w:cs="Times New Roman"/>
                <w:sz w:val="20"/>
                <w:szCs w:val="20"/>
                <w:vertAlign w:val="superscript"/>
                <w:lang w:val="es-ES"/>
              </w:rPr>
              <w:t>2</w:t>
            </w:r>
            <w:r w:rsidRPr="00745FE7">
              <w:rPr>
                <w:rFonts w:ascii="Times New Roman" w:hAnsi="Times New Roman" w:cs="Times New Roman"/>
                <w:sz w:val="20"/>
                <w:szCs w:val="20"/>
                <w:lang w:val="es-ES"/>
              </w:rPr>
              <w:t xml:space="preserve"> para tratamientos masivos superficiales en frijoles y entre 98 y 6.481 DL</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s/m</w:t>
            </w:r>
            <w:r w:rsidRPr="00745FE7">
              <w:rPr>
                <w:rFonts w:ascii="Times New Roman" w:hAnsi="Times New Roman" w:cs="Times New Roman"/>
                <w:sz w:val="20"/>
                <w:szCs w:val="20"/>
                <w:vertAlign w:val="superscript"/>
                <w:lang w:val="es-ES"/>
              </w:rPr>
              <w:t>2</w:t>
            </w:r>
            <w:r w:rsidRPr="00745FE7">
              <w:rPr>
                <w:rFonts w:ascii="Times New Roman" w:hAnsi="Times New Roman" w:cs="Times New Roman"/>
                <w:sz w:val="20"/>
                <w:szCs w:val="20"/>
                <w:lang w:val="es-ES"/>
              </w:rPr>
              <w:t xml:space="preserve"> para</w:t>
            </w:r>
            <w:r w:rsidR="00FE4699">
              <w:rPr>
                <w:rFonts w:ascii="Times New Roman" w:hAnsi="Times New Roman" w:cs="Times New Roman"/>
                <w:sz w:val="20"/>
                <w:szCs w:val="20"/>
                <w:lang w:val="es-ES"/>
              </w:rPr>
              <w:t> </w:t>
            </w:r>
            <w:r w:rsidRPr="00745FE7">
              <w:rPr>
                <w:rFonts w:ascii="Times New Roman" w:hAnsi="Times New Roman" w:cs="Times New Roman"/>
                <w:sz w:val="20"/>
                <w:szCs w:val="20"/>
                <w:lang w:val="es-ES"/>
              </w:rPr>
              <w:t>tratamientos en surco en patatas, según el tamaño del mamífero. Para los</w:t>
            </w:r>
            <w:r w:rsidR="00FE4699">
              <w:rPr>
                <w:rFonts w:ascii="Times New Roman" w:hAnsi="Times New Roman" w:cs="Times New Roman"/>
                <w:sz w:val="20"/>
                <w:szCs w:val="20"/>
                <w:lang w:val="es-ES"/>
              </w:rPr>
              <w:t> </w:t>
            </w:r>
            <w:r w:rsidRPr="00745FE7">
              <w:rPr>
                <w:rFonts w:ascii="Times New Roman" w:hAnsi="Times New Roman" w:cs="Times New Roman"/>
                <w:sz w:val="20"/>
                <w:szCs w:val="20"/>
                <w:lang w:val="es-ES"/>
              </w:rPr>
              <w:t>tratamientos en lechuga, los cocientes de riesgo oscilaban entre 99 y 6.556 DL</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s/m</w:t>
            </w:r>
            <w:r w:rsidRPr="00745FE7">
              <w:rPr>
                <w:rFonts w:ascii="Times New Roman" w:hAnsi="Times New Roman" w:cs="Times New Roman"/>
                <w:sz w:val="20"/>
                <w:szCs w:val="20"/>
                <w:vertAlign w:val="superscript"/>
                <w:lang w:val="es-ES"/>
              </w:rPr>
              <w:t>2</w:t>
            </w:r>
            <w:r w:rsidRPr="00745FE7">
              <w:rPr>
                <w:rFonts w:ascii="Times New Roman" w:hAnsi="Times New Roman" w:cs="Times New Roman"/>
                <w:sz w:val="20"/>
                <w:szCs w:val="20"/>
                <w:lang w:val="es-ES"/>
              </w:rPr>
              <w:t>, en maíz, entre 101 y 6.782 DL</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s/m</w:t>
            </w:r>
            <w:r w:rsidRPr="00745FE7">
              <w:rPr>
                <w:rFonts w:ascii="Times New Roman" w:hAnsi="Times New Roman" w:cs="Times New Roman"/>
                <w:sz w:val="20"/>
                <w:szCs w:val="20"/>
                <w:vertAlign w:val="superscript"/>
                <w:lang w:val="es-ES"/>
              </w:rPr>
              <w:t>2</w:t>
            </w:r>
            <w:r w:rsidRPr="00745FE7">
              <w:rPr>
                <w:rFonts w:ascii="Times New Roman" w:hAnsi="Times New Roman" w:cs="Times New Roman"/>
                <w:sz w:val="20"/>
                <w:szCs w:val="20"/>
                <w:lang w:val="es-ES"/>
              </w:rPr>
              <w:t xml:space="preserve"> y en colinabos, entre 417 y 55.340 DL</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s/m</w:t>
            </w:r>
            <w:r w:rsidRPr="00745FE7">
              <w:rPr>
                <w:rFonts w:ascii="Times New Roman" w:hAnsi="Times New Roman" w:cs="Times New Roman"/>
                <w:sz w:val="20"/>
                <w:szCs w:val="20"/>
                <w:vertAlign w:val="superscript"/>
                <w:lang w:val="es-ES"/>
              </w:rPr>
              <w:t>2</w:t>
            </w:r>
            <w:r w:rsidRPr="00745FE7">
              <w:rPr>
                <w:rFonts w:ascii="Times New Roman" w:hAnsi="Times New Roman" w:cs="Times New Roman"/>
                <w:sz w:val="20"/>
                <w:szCs w:val="20"/>
                <w:lang w:val="es-ES"/>
              </w:rPr>
              <w:t>. Se los clasifica como riesgo alto a muy alto.</w:t>
            </w:r>
          </w:p>
          <w:p w14:paraId="6E10C5A7" w14:textId="1A42B75C" w:rsidR="00745FE7" w:rsidRPr="00745FE7" w:rsidRDefault="00745FE7" w:rsidP="00FE4699">
            <w:pPr>
              <w:pStyle w:val="Style21"/>
              <w:widowControl/>
              <w:spacing w:before="26" w:after="120" w:line="240" w:lineRule="auto"/>
              <w:rPr>
                <w:rFonts w:ascii="Times New Roman" w:hAnsi="Times New Roman" w:cs="Times New Roman"/>
                <w:i/>
                <w:snapToGrid w:val="0"/>
                <w:sz w:val="20"/>
                <w:szCs w:val="20"/>
                <w:lang w:val="es-ES"/>
              </w:rPr>
            </w:pPr>
            <w:r w:rsidRPr="00745FE7">
              <w:rPr>
                <w:rFonts w:ascii="Times New Roman" w:hAnsi="Times New Roman" w:cs="Times New Roman"/>
                <w:sz w:val="20"/>
                <w:szCs w:val="20"/>
                <w:lang w:val="es-ES"/>
              </w:rPr>
              <w:t>Los cocientes de riesgo para los efectos agudos en aves superaron 1 DL</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/m</w:t>
            </w:r>
            <w:r w:rsidRPr="00745FE7">
              <w:rPr>
                <w:rFonts w:ascii="Times New Roman" w:hAnsi="Times New Roman" w:cs="Times New Roman"/>
                <w:sz w:val="20"/>
                <w:szCs w:val="20"/>
                <w:vertAlign w:val="superscript"/>
                <w:lang w:val="es-ES"/>
              </w:rPr>
              <w:t>2</w:t>
            </w:r>
            <w:r w:rsidRPr="00745FE7">
              <w:rPr>
                <w:rFonts w:ascii="Times New Roman" w:hAnsi="Times New Roman" w:cs="Times New Roman"/>
                <w:sz w:val="20"/>
                <w:szCs w:val="20"/>
                <w:lang w:val="es-ES"/>
              </w:rPr>
              <w:t>, el umbral de preocupación para las especies sometidas al ensayo, para usar en frijoles y patatas. Los cocientes de riesgo oscilaban entre 170 y 21.623 DL</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s/m</w:t>
            </w:r>
            <w:r w:rsidRPr="00745FE7">
              <w:rPr>
                <w:rFonts w:ascii="Times New Roman" w:hAnsi="Times New Roman" w:cs="Times New Roman"/>
                <w:sz w:val="20"/>
                <w:szCs w:val="20"/>
                <w:vertAlign w:val="superscript"/>
                <w:lang w:val="es-ES"/>
              </w:rPr>
              <w:t>2</w:t>
            </w:r>
            <w:r w:rsidRPr="00745FE7">
              <w:rPr>
                <w:rFonts w:ascii="Times New Roman" w:hAnsi="Times New Roman" w:cs="Times New Roman"/>
                <w:sz w:val="20"/>
                <w:szCs w:val="20"/>
                <w:lang w:val="es-ES"/>
              </w:rPr>
              <w:t xml:space="preserve"> para los tratamientos masivos superficiales en frijoles, y entre 84 y 10.687 DL</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s/m</w:t>
            </w:r>
            <w:r w:rsidRPr="00745FE7">
              <w:rPr>
                <w:rFonts w:ascii="Times New Roman" w:hAnsi="Times New Roman" w:cs="Times New Roman"/>
                <w:sz w:val="20"/>
                <w:szCs w:val="20"/>
                <w:vertAlign w:val="superscript"/>
                <w:lang w:val="es-ES"/>
              </w:rPr>
              <w:t>2</w:t>
            </w:r>
            <w:r w:rsidRPr="00745FE7">
              <w:rPr>
                <w:rFonts w:ascii="Times New Roman" w:hAnsi="Times New Roman" w:cs="Times New Roman"/>
                <w:sz w:val="20"/>
                <w:szCs w:val="20"/>
                <w:lang w:val="es-ES"/>
              </w:rPr>
              <w:t xml:space="preserve"> para tratamientos en surco en patatas, según el tamaño del ave. Para tratamientos en lechuga, los cocientes de riesgo oscilaban entre 85 y 10.811 DL</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s/m</w:t>
            </w:r>
            <w:r w:rsidRPr="00745FE7">
              <w:rPr>
                <w:rFonts w:ascii="Times New Roman" w:hAnsi="Times New Roman" w:cs="Times New Roman"/>
                <w:sz w:val="20"/>
                <w:szCs w:val="20"/>
                <w:vertAlign w:val="superscript"/>
                <w:lang w:val="es-ES"/>
              </w:rPr>
              <w:t>2</w:t>
            </w:r>
            <w:r w:rsidRPr="00745FE7">
              <w:rPr>
                <w:rFonts w:ascii="Times New Roman" w:hAnsi="Times New Roman" w:cs="Times New Roman"/>
                <w:sz w:val="20"/>
                <w:szCs w:val="20"/>
                <w:lang w:val="es-ES"/>
              </w:rPr>
              <w:t>, en maíz, entre 88 y 11.184 DL</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s/m</w:t>
            </w:r>
            <w:r w:rsidRPr="00745FE7">
              <w:rPr>
                <w:rFonts w:ascii="Times New Roman" w:hAnsi="Times New Roman" w:cs="Times New Roman"/>
                <w:sz w:val="20"/>
                <w:szCs w:val="20"/>
                <w:vertAlign w:val="superscript"/>
                <w:lang w:val="es-ES"/>
              </w:rPr>
              <w:t>2</w:t>
            </w:r>
            <w:r w:rsidRPr="00745FE7">
              <w:rPr>
                <w:rFonts w:ascii="Times New Roman" w:hAnsi="Times New Roman" w:cs="Times New Roman"/>
                <w:sz w:val="20"/>
                <w:szCs w:val="20"/>
                <w:lang w:val="es-ES"/>
              </w:rPr>
              <w:t>, y en colinabos, entre 358 y 91.263 DL</w:t>
            </w:r>
            <w:r w:rsidRPr="00745FE7">
              <w:rPr>
                <w:rFonts w:ascii="Times New Roman" w:hAnsi="Times New Roman" w:cs="Times New Roman"/>
                <w:sz w:val="20"/>
                <w:szCs w:val="20"/>
                <w:vertAlign w:val="subscript"/>
                <w:lang w:val="es-ES"/>
              </w:rPr>
              <w:t>50</w:t>
            </w:r>
            <w:r w:rsidRPr="00745FE7">
              <w:rPr>
                <w:rFonts w:ascii="Times New Roman" w:hAnsi="Times New Roman" w:cs="Times New Roman"/>
                <w:sz w:val="20"/>
                <w:szCs w:val="20"/>
                <w:lang w:val="es-ES"/>
              </w:rPr>
              <w:t>s/m</w:t>
            </w:r>
            <w:r w:rsidRPr="00745FE7">
              <w:rPr>
                <w:rFonts w:ascii="Times New Roman" w:hAnsi="Times New Roman" w:cs="Times New Roman"/>
                <w:sz w:val="20"/>
                <w:szCs w:val="20"/>
                <w:vertAlign w:val="superscript"/>
                <w:lang w:val="es-ES"/>
              </w:rPr>
              <w:t>2</w:t>
            </w:r>
            <w:r w:rsidRPr="00745FE7">
              <w:rPr>
                <w:rFonts w:ascii="Times New Roman" w:hAnsi="Times New Roman" w:cs="Times New Roman"/>
                <w:sz w:val="20"/>
                <w:szCs w:val="20"/>
                <w:lang w:val="es-ES"/>
              </w:rPr>
              <w:t>. Se los clasifica como riesgo alto a muy alto. Las aves también pueden estar expuestas a otras rutas, como caminar sobre gránulos expuestos y bañarse en agua contaminada por gránulos y beberla, y comer presas contaminadas.</w:t>
            </w:r>
          </w:p>
        </w:tc>
      </w:tr>
      <w:tr w:rsidR="00745FE7" w:rsidRPr="00745FE7" w14:paraId="5FBB9AB0" w14:textId="77777777" w:rsidTr="00745FE7">
        <w:tc>
          <w:tcPr>
            <w:tcW w:w="709" w:type="dxa"/>
            <w:hideMark/>
          </w:tcPr>
          <w:p w14:paraId="632DC6F6" w14:textId="77777777" w:rsidR="00745FE7" w:rsidRPr="00745FE7" w:rsidRDefault="00745FE7" w:rsidP="00FE4699">
            <w:pPr>
              <w:keepLines/>
              <w:rPr>
                <w:b/>
                <w:lang w:val="es-ES"/>
              </w:rPr>
            </w:pPr>
            <w:r w:rsidRPr="00745FE7">
              <w:rPr>
                <w:b/>
                <w:bCs/>
                <w:lang w:val="es-ES"/>
              </w:rPr>
              <w:t>5.2</w:t>
            </w:r>
          </w:p>
        </w:tc>
        <w:tc>
          <w:tcPr>
            <w:tcW w:w="1735" w:type="dxa"/>
            <w:hideMark/>
          </w:tcPr>
          <w:p w14:paraId="6E36C87F" w14:textId="77777777" w:rsidR="00745FE7" w:rsidRPr="00745FE7" w:rsidRDefault="00745FE7" w:rsidP="00FE4699">
            <w:pPr>
              <w:spacing w:before="20" w:after="20"/>
              <w:outlineLvl w:val="2"/>
              <w:rPr>
                <w:b/>
                <w:bCs/>
                <w:lang w:val="es-ES"/>
              </w:rPr>
            </w:pPr>
            <w:r w:rsidRPr="00745FE7">
              <w:rPr>
                <w:b/>
                <w:bCs/>
                <w:lang w:val="es-ES"/>
              </w:rPr>
              <w:t>Especies acuáticas</w:t>
            </w:r>
          </w:p>
        </w:tc>
        <w:tc>
          <w:tcPr>
            <w:tcW w:w="6946" w:type="dxa"/>
            <w:hideMark/>
          </w:tcPr>
          <w:p w14:paraId="46B69703" w14:textId="77777777" w:rsidR="00745FE7" w:rsidRPr="00745FE7" w:rsidRDefault="00745FE7" w:rsidP="00FE4699">
            <w:pPr>
              <w:pStyle w:val="Style21"/>
              <w:widowControl/>
              <w:spacing w:before="19" w:after="120" w:line="240" w:lineRule="auto"/>
              <w:rPr>
                <w:rStyle w:val="FontStyle85"/>
                <w:lang w:val="es-ES"/>
              </w:rPr>
            </w:pPr>
            <w:r w:rsidRPr="00745FE7">
              <w:rPr>
                <w:rFonts w:ascii="Times New Roman" w:hAnsi="Times New Roman" w:cs="Times New Roman"/>
                <w:sz w:val="20"/>
                <w:szCs w:val="20"/>
                <w:lang w:val="es-ES"/>
              </w:rPr>
              <w:t>A partir de los usos registrados del forato, se han identificado riesgos muy altos para los organismos acuáticos. Respaldan esta evaluación los informes de incidentes de efectos adversos en los Estados Unidos. Pueden haberse producido efectos similares en el Canadá, pero este país no cuenta con un sistema de información equivalente.</w:t>
            </w:r>
          </w:p>
          <w:p w14:paraId="65CC3710" w14:textId="77777777" w:rsidR="00745FE7" w:rsidRPr="00745FE7" w:rsidRDefault="00745FE7" w:rsidP="00FE4699">
            <w:pPr>
              <w:pStyle w:val="Style21"/>
              <w:widowControl/>
              <w:spacing w:before="12" w:after="120" w:line="240" w:lineRule="auto"/>
              <w:rPr>
                <w:rStyle w:val="FontStyle85"/>
                <w:lang w:val="es-ES"/>
              </w:rPr>
            </w:pPr>
            <w:r w:rsidRPr="00745FE7">
              <w:rPr>
                <w:rFonts w:ascii="Times New Roman" w:hAnsi="Times New Roman" w:cs="Times New Roman"/>
                <w:sz w:val="20"/>
                <w:szCs w:val="20"/>
                <w:lang w:val="es-ES"/>
              </w:rPr>
              <w:t>La concentración estimada en la atmósfera excede los niveles de los efectos crónicos, tanto en peces como en invertebrados acuáticos:</w:t>
            </w:r>
          </w:p>
          <w:p w14:paraId="66694D02" w14:textId="77777777" w:rsidR="00745FE7" w:rsidRPr="00745FE7" w:rsidRDefault="00745FE7" w:rsidP="00FE4699">
            <w:pPr>
              <w:pStyle w:val="Style21"/>
              <w:widowControl/>
              <w:spacing w:before="19" w:after="120" w:line="240" w:lineRule="auto"/>
              <w:rPr>
                <w:rStyle w:val="FontStyle85"/>
                <w:lang w:val="es-ES"/>
              </w:rPr>
            </w:pPr>
            <w:r w:rsidRPr="00745FE7">
              <w:rPr>
                <w:rFonts w:ascii="Times New Roman" w:hAnsi="Times New Roman" w:cs="Times New Roman"/>
                <w:sz w:val="20"/>
                <w:szCs w:val="20"/>
                <w:lang w:val="es-ES"/>
              </w:rPr>
              <w:t>Los cocientes de riesgo para los efectos agudos y crónicos sobre la mayoría de los invertebrados acuáticos de agua dulce sujetos del ensayo fueron mayores que 1, el umbral de preocupación. Los cocientes de riesgo superaron los 1000 para uso en patatas (CR = 1.476), frijoles (CR = 1.495), lechuga (CR = 1.917), maíz (CR = 2.650) y colinabos (CR = 4.500) y están clasificados como riesgo muy alto.</w:t>
            </w:r>
          </w:p>
          <w:p w14:paraId="70BC2AA7" w14:textId="7F7CB542" w:rsidR="00745FE7" w:rsidRPr="00745FE7" w:rsidRDefault="00745FE7" w:rsidP="00FE4699">
            <w:pPr>
              <w:pStyle w:val="Style21"/>
              <w:widowControl/>
              <w:spacing w:before="12" w:after="120" w:line="240" w:lineRule="auto"/>
              <w:rPr>
                <w:rStyle w:val="FontStyle85"/>
                <w:lang w:val="es-ES"/>
              </w:rPr>
            </w:pPr>
            <w:r w:rsidRPr="00745FE7">
              <w:rPr>
                <w:rFonts w:ascii="Times New Roman" w:hAnsi="Times New Roman" w:cs="Times New Roman"/>
                <w:sz w:val="20"/>
                <w:szCs w:val="20"/>
                <w:lang w:val="es-ES"/>
              </w:rPr>
              <w:t>Los cocientes de riesgo para los efectos agudos y crónicos sobre los peces de agua dulce fueron mayores que 1, el umbral de preocupación. Los valores superaron los 100 para tratamiento en frijoles (CR = 165), maíz (CR = 122) y colinabos (CR = 415) y están clasificados como riesgo muy alto. Para tratamientos en lechuga (CR = 89), los riesgos agudos y crónicos se clasificaron como altos, dado que el CR era mayor que 10.</w:t>
            </w:r>
          </w:p>
          <w:p w14:paraId="7DBD3C34" w14:textId="77777777" w:rsidR="00745FE7" w:rsidRPr="00745FE7" w:rsidRDefault="00745FE7" w:rsidP="00FE4699">
            <w:pPr>
              <w:pStyle w:val="Style21"/>
              <w:widowControl/>
              <w:spacing w:before="50" w:after="120" w:line="240" w:lineRule="auto"/>
              <w:rPr>
                <w:rFonts w:ascii="Times New Roman" w:hAnsi="Times New Roman" w:cs="Times New Roman"/>
                <w:i/>
                <w:snapToGrid w:val="0"/>
                <w:sz w:val="20"/>
                <w:szCs w:val="20"/>
                <w:lang w:val="es-ES"/>
              </w:rPr>
            </w:pPr>
            <w:r w:rsidRPr="00745FE7">
              <w:rPr>
                <w:rFonts w:ascii="Times New Roman" w:hAnsi="Times New Roman" w:cs="Times New Roman"/>
                <w:sz w:val="20"/>
                <w:szCs w:val="20"/>
                <w:lang w:val="es-ES"/>
              </w:rPr>
              <w:t>Para los peces e invertebrados marinos y de estuario, los cocientes de riesgo agudo y crónico superaron el millar, lo que se clasifica como riesgo extremadamente alto.</w:t>
            </w:r>
          </w:p>
        </w:tc>
      </w:tr>
      <w:tr w:rsidR="00745FE7" w:rsidRPr="00745FE7" w14:paraId="32BA0335" w14:textId="77777777" w:rsidTr="00745FE7">
        <w:tc>
          <w:tcPr>
            <w:tcW w:w="709" w:type="dxa"/>
            <w:hideMark/>
          </w:tcPr>
          <w:p w14:paraId="3B2A3F42" w14:textId="77777777" w:rsidR="00745FE7" w:rsidRPr="00745FE7" w:rsidRDefault="00745FE7" w:rsidP="00FE4699">
            <w:pPr>
              <w:keepLines/>
              <w:rPr>
                <w:b/>
                <w:lang w:val="es-ES"/>
              </w:rPr>
            </w:pPr>
            <w:r w:rsidRPr="00745FE7">
              <w:rPr>
                <w:b/>
                <w:bCs/>
                <w:lang w:val="es-ES"/>
              </w:rPr>
              <w:t>5.3</w:t>
            </w:r>
          </w:p>
        </w:tc>
        <w:tc>
          <w:tcPr>
            <w:tcW w:w="1735" w:type="dxa"/>
            <w:hideMark/>
          </w:tcPr>
          <w:p w14:paraId="5EC9A157" w14:textId="77777777" w:rsidR="00745FE7" w:rsidRPr="00745FE7" w:rsidRDefault="00745FE7" w:rsidP="00FE4699">
            <w:pPr>
              <w:spacing w:before="20" w:after="20"/>
              <w:outlineLvl w:val="2"/>
              <w:rPr>
                <w:b/>
                <w:bCs/>
                <w:lang w:val="es-ES"/>
              </w:rPr>
            </w:pPr>
            <w:r w:rsidRPr="00745FE7">
              <w:rPr>
                <w:b/>
                <w:bCs/>
                <w:lang w:val="es-ES"/>
              </w:rPr>
              <w:t>Abejas melíferas</w:t>
            </w:r>
          </w:p>
        </w:tc>
        <w:tc>
          <w:tcPr>
            <w:tcW w:w="6946" w:type="dxa"/>
            <w:hideMark/>
          </w:tcPr>
          <w:p w14:paraId="783F62B0" w14:textId="0C80F6C7" w:rsidR="00745FE7" w:rsidRPr="00745FE7" w:rsidRDefault="00745FE7" w:rsidP="00FE4699">
            <w:pPr>
              <w:spacing w:after="120"/>
              <w:rPr>
                <w:i/>
                <w:snapToGrid w:val="0"/>
                <w:lang w:val="es-ES"/>
              </w:rPr>
            </w:pPr>
            <w:r w:rsidRPr="00745FE7">
              <w:rPr>
                <w:lang w:val="es-ES"/>
              </w:rPr>
              <w:t>Las notificaciones brasileñas o canadienses no contienen información ni conclusiones resumidas de la evaluación de los riesgos ambientales para las abejas melíferas.</w:t>
            </w:r>
          </w:p>
        </w:tc>
      </w:tr>
      <w:tr w:rsidR="00745FE7" w:rsidRPr="00745FE7" w14:paraId="3653CDD0" w14:textId="77777777" w:rsidTr="00745FE7">
        <w:tc>
          <w:tcPr>
            <w:tcW w:w="709" w:type="dxa"/>
            <w:hideMark/>
          </w:tcPr>
          <w:p w14:paraId="2519D91A" w14:textId="77777777" w:rsidR="00745FE7" w:rsidRPr="00745FE7" w:rsidRDefault="00745FE7" w:rsidP="00FE4699">
            <w:pPr>
              <w:keepLines/>
              <w:rPr>
                <w:b/>
                <w:lang w:val="es-ES"/>
              </w:rPr>
            </w:pPr>
            <w:r w:rsidRPr="00745FE7">
              <w:rPr>
                <w:b/>
                <w:bCs/>
                <w:lang w:val="es-ES"/>
              </w:rPr>
              <w:t>5.4</w:t>
            </w:r>
          </w:p>
        </w:tc>
        <w:tc>
          <w:tcPr>
            <w:tcW w:w="1735" w:type="dxa"/>
            <w:hideMark/>
          </w:tcPr>
          <w:p w14:paraId="6BAA93E8" w14:textId="77777777" w:rsidR="00745FE7" w:rsidRPr="00745FE7" w:rsidRDefault="00745FE7" w:rsidP="00FE4699">
            <w:pPr>
              <w:spacing w:before="20" w:after="20"/>
              <w:outlineLvl w:val="2"/>
              <w:rPr>
                <w:b/>
                <w:bCs/>
                <w:lang w:val="es-ES"/>
              </w:rPr>
            </w:pPr>
            <w:r w:rsidRPr="00745FE7">
              <w:rPr>
                <w:b/>
                <w:bCs/>
                <w:lang w:val="es-ES"/>
              </w:rPr>
              <w:t>Lombrices de tierra</w:t>
            </w:r>
          </w:p>
        </w:tc>
        <w:tc>
          <w:tcPr>
            <w:tcW w:w="6946" w:type="dxa"/>
          </w:tcPr>
          <w:p w14:paraId="09F926D7" w14:textId="77777777" w:rsidR="00745FE7" w:rsidRPr="00745FE7" w:rsidRDefault="00745FE7" w:rsidP="00FE4699">
            <w:pPr>
              <w:spacing w:after="120"/>
              <w:rPr>
                <w:snapToGrid w:val="0"/>
                <w:lang w:val="es-ES"/>
              </w:rPr>
            </w:pPr>
            <w:r w:rsidRPr="00745FE7">
              <w:rPr>
                <w:lang w:val="es-ES"/>
              </w:rPr>
              <w:t>Las notificaciones brasileñas o canadienses no contienen información ni conclusiones resumidas de la evaluación de los riesgos ambientales para las lombrices de tierra.</w:t>
            </w:r>
          </w:p>
        </w:tc>
      </w:tr>
      <w:tr w:rsidR="00745FE7" w:rsidRPr="00745FE7" w14:paraId="1D1CEA20" w14:textId="77777777" w:rsidTr="00745FE7">
        <w:tc>
          <w:tcPr>
            <w:tcW w:w="709" w:type="dxa"/>
            <w:hideMark/>
          </w:tcPr>
          <w:p w14:paraId="480B77E2" w14:textId="77777777" w:rsidR="00745FE7" w:rsidRPr="00745FE7" w:rsidRDefault="00745FE7" w:rsidP="00FE4699">
            <w:pPr>
              <w:keepLines/>
              <w:rPr>
                <w:b/>
                <w:lang w:val="es-ES"/>
              </w:rPr>
            </w:pPr>
            <w:r w:rsidRPr="00745FE7">
              <w:rPr>
                <w:b/>
                <w:bCs/>
                <w:lang w:val="es-ES"/>
              </w:rPr>
              <w:t>5.5</w:t>
            </w:r>
          </w:p>
        </w:tc>
        <w:tc>
          <w:tcPr>
            <w:tcW w:w="1735" w:type="dxa"/>
            <w:hideMark/>
          </w:tcPr>
          <w:p w14:paraId="7B02F256" w14:textId="77777777" w:rsidR="00745FE7" w:rsidRPr="00745FE7" w:rsidRDefault="00745FE7" w:rsidP="00FE4699">
            <w:pPr>
              <w:spacing w:before="20" w:after="20"/>
              <w:outlineLvl w:val="2"/>
              <w:rPr>
                <w:b/>
                <w:bCs/>
                <w:spacing w:val="-2"/>
                <w:lang w:val="es-ES"/>
              </w:rPr>
            </w:pPr>
            <w:r w:rsidRPr="00745FE7">
              <w:rPr>
                <w:b/>
                <w:bCs/>
                <w:spacing w:val="-2"/>
                <w:lang w:val="es-ES"/>
              </w:rPr>
              <w:t>Microorganismos del suelo</w:t>
            </w:r>
          </w:p>
        </w:tc>
        <w:tc>
          <w:tcPr>
            <w:tcW w:w="6946" w:type="dxa"/>
          </w:tcPr>
          <w:p w14:paraId="3B17DA42" w14:textId="77777777" w:rsidR="00745FE7" w:rsidRPr="00745FE7" w:rsidRDefault="00745FE7" w:rsidP="00FE4699">
            <w:pPr>
              <w:spacing w:after="120"/>
              <w:rPr>
                <w:snapToGrid w:val="0"/>
                <w:lang w:val="es-ES"/>
              </w:rPr>
            </w:pPr>
            <w:r w:rsidRPr="00745FE7">
              <w:rPr>
                <w:lang w:val="es-ES"/>
              </w:rPr>
              <w:t>Las notificaciones brasileñas o canadienses no contienen información ni conclusiones resumidas de la evaluación de los riesgos ambientales para los microorganismos del suelo.</w:t>
            </w:r>
          </w:p>
        </w:tc>
      </w:tr>
      <w:tr w:rsidR="00745FE7" w:rsidRPr="00745FE7" w14:paraId="2338881F" w14:textId="77777777" w:rsidTr="00745FE7">
        <w:tc>
          <w:tcPr>
            <w:tcW w:w="709" w:type="dxa"/>
            <w:hideMark/>
          </w:tcPr>
          <w:p w14:paraId="794E806C" w14:textId="77777777" w:rsidR="00745FE7" w:rsidRPr="00745FE7" w:rsidRDefault="00745FE7" w:rsidP="00FE4699">
            <w:pPr>
              <w:keepLines/>
              <w:rPr>
                <w:b/>
                <w:lang w:val="es-ES"/>
              </w:rPr>
            </w:pPr>
            <w:r w:rsidRPr="00745FE7">
              <w:rPr>
                <w:b/>
                <w:bCs/>
                <w:lang w:val="es-ES"/>
              </w:rPr>
              <w:t>5.6</w:t>
            </w:r>
          </w:p>
        </w:tc>
        <w:tc>
          <w:tcPr>
            <w:tcW w:w="1735" w:type="dxa"/>
            <w:hideMark/>
          </w:tcPr>
          <w:p w14:paraId="53A1B548" w14:textId="77777777" w:rsidR="00745FE7" w:rsidRPr="00745FE7" w:rsidRDefault="00745FE7" w:rsidP="00FE4699">
            <w:pPr>
              <w:spacing w:before="20" w:after="20"/>
              <w:outlineLvl w:val="2"/>
              <w:rPr>
                <w:b/>
                <w:bCs/>
                <w:lang w:val="es-ES"/>
              </w:rPr>
            </w:pPr>
            <w:r w:rsidRPr="00745FE7">
              <w:rPr>
                <w:b/>
                <w:lang w:val="es-ES"/>
              </w:rPr>
              <w:t>Resumen y evaluación global del riesgo</w:t>
            </w:r>
          </w:p>
        </w:tc>
        <w:tc>
          <w:tcPr>
            <w:tcW w:w="6946" w:type="dxa"/>
          </w:tcPr>
          <w:p w14:paraId="7DB46358" w14:textId="77777777" w:rsidR="00745FE7" w:rsidRPr="00745FE7" w:rsidRDefault="00745FE7" w:rsidP="00FE4699">
            <w:pPr>
              <w:pStyle w:val="Style21"/>
              <w:widowControl/>
              <w:spacing w:before="19" w:after="120" w:line="240" w:lineRule="auto"/>
              <w:rPr>
                <w:rStyle w:val="FontStyle85"/>
                <w:lang w:val="es-ES"/>
              </w:rPr>
            </w:pPr>
            <w:r w:rsidRPr="00745FE7">
              <w:rPr>
                <w:rFonts w:ascii="Times New Roman" w:hAnsi="Times New Roman" w:cs="Times New Roman"/>
                <w:sz w:val="20"/>
                <w:szCs w:val="20"/>
                <w:lang w:val="es-ES"/>
              </w:rPr>
              <w:t>Los cocientes de riesgo y los márgenes de seguridad calculados para tratamientos con Thimet 15-G indican riesgos para todos los grupos de organismos (aves, mamíferos, peces e invertebrados acuáticos) para todos los escenarios de tratamiento. Sobre la base de los datos de toxicidad disponibles, el riesgo se clasifica en alto a extremadamente alto para los organismos acuáticos de agua dulce y extremadamente alto para las aves. Del mismo modo, el riesgo para los mamíferos se clasifica como alto para los grandes mamíferos a extremadamente alto para los pequeños.</w:t>
            </w:r>
          </w:p>
          <w:p w14:paraId="0C541F28" w14:textId="77777777" w:rsidR="00745FE7" w:rsidRPr="00745FE7" w:rsidRDefault="00745FE7" w:rsidP="00FE4699">
            <w:pPr>
              <w:pStyle w:val="Style21"/>
              <w:widowControl/>
              <w:spacing w:before="41" w:after="120" w:line="240" w:lineRule="auto"/>
              <w:rPr>
                <w:rStyle w:val="FontStyle85"/>
                <w:lang w:val="es-ES"/>
              </w:rPr>
            </w:pPr>
            <w:r w:rsidRPr="00745FE7">
              <w:rPr>
                <w:rFonts w:ascii="Times New Roman" w:hAnsi="Times New Roman" w:cs="Times New Roman"/>
                <w:sz w:val="20"/>
                <w:szCs w:val="20"/>
                <w:lang w:val="es-ES"/>
              </w:rPr>
              <w:t>Los riesgos identificados para las aves y los peces se fundamentan en los incidentes informados sobre el uso declarado en las etiquetas de los productos.</w:t>
            </w:r>
          </w:p>
          <w:p w14:paraId="123C027F" w14:textId="77777777" w:rsidR="00745FE7" w:rsidRPr="00745FE7" w:rsidRDefault="00745FE7" w:rsidP="00FE4699">
            <w:pPr>
              <w:spacing w:after="120"/>
              <w:rPr>
                <w:snapToGrid w:val="0"/>
                <w:lang w:val="es-ES"/>
              </w:rPr>
            </w:pPr>
            <w:r w:rsidRPr="00745FE7">
              <w:rPr>
                <w:lang w:val="es-ES"/>
              </w:rPr>
              <w:t>El uso del forato y los productos asociados de uso final (PF) conllevan un riesgo inaceptable para el medio ambiente conforme al artículo 20 del reglamento canadiense sobre productos para el control de plagas (PCP). Como consecuencia, el Organismo Regulador de la Gestión de Plagas del Canadá (PMRA) determinó que debían eliminarse todos los usos del forato</w:t>
            </w:r>
            <w:r w:rsidRPr="00745FE7">
              <w:rPr>
                <w:rStyle w:val="FootnoteReference"/>
                <w:szCs w:val="20"/>
                <w:lang w:val="es-ES"/>
              </w:rPr>
              <w:footnoteReference w:id="8"/>
            </w:r>
            <w:r w:rsidRPr="00745FE7">
              <w:rPr>
                <w:lang w:val="es-ES"/>
              </w:rPr>
              <w:t>.</w:t>
            </w:r>
          </w:p>
        </w:tc>
      </w:tr>
    </w:tbl>
    <w:p w14:paraId="4ACAD9C3" w14:textId="77777777" w:rsidR="002B0DBA" w:rsidRPr="00900014" w:rsidRDefault="002B0DBA" w:rsidP="002B0DBA">
      <w:pPr>
        <w:tabs>
          <w:tab w:val="left" w:pos="-720"/>
          <w:tab w:val="left" w:pos="0"/>
          <w:tab w:val="left" w:pos="720"/>
        </w:tabs>
        <w:suppressAutoHyphens/>
        <w:rPr>
          <w:b/>
          <w:bCs/>
          <w:kern w:val="28"/>
          <w:szCs w:val="29"/>
          <w:lang w:val="es-ES"/>
        </w:rPr>
      </w:pPr>
      <w:r w:rsidRPr="00900014">
        <w:rPr>
          <w:b/>
          <w:bCs/>
          <w:kern w:val="28"/>
          <w:szCs w:val="29"/>
          <w:lang w:val="es-ES"/>
        </w:rPr>
        <w:br w:type="page"/>
      </w:r>
    </w:p>
    <w:tbl>
      <w:tblPr>
        <w:tblW w:w="9356" w:type="dxa"/>
        <w:tblInd w:w="-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356"/>
      </w:tblGrid>
      <w:tr w:rsidR="002B0DBA" w:rsidRPr="00AB7E72" w14:paraId="1D3291C1" w14:textId="77777777" w:rsidTr="002B0DBA">
        <w:trPr>
          <w:cantSplit/>
        </w:trPr>
        <w:tc>
          <w:tcPr>
            <w:tcW w:w="9356" w:type="dxa"/>
            <w:shd w:val="pct12" w:color="000000" w:fill="FFFFFF"/>
          </w:tcPr>
          <w:p w14:paraId="6310F923" w14:textId="77777777" w:rsidR="002B0DBA" w:rsidRPr="00051413" w:rsidRDefault="002B0DBA" w:rsidP="002B0DBA">
            <w:pPr>
              <w:spacing w:before="40" w:after="60"/>
              <w:outlineLvl w:val="0"/>
              <w:rPr>
                <w:b/>
                <w:bCs/>
                <w:kern w:val="28"/>
                <w:lang w:val="es-ES"/>
              </w:rPr>
            </w:pPr>
            <w:r w:rsidRPr="00051413">
              <w:rPr>
                <w:b/>
                <w:lang w:val="es-ES"/>
              </w:rPr>
              <w:t>Anexo 2 – Pormenores de las medidas reglamentarias firmes comunicadas</w:t>
            </w:r>
          </w:p>
        </w:tc>
      </w:tr>
    </w:tbl>
    <w:p w14:paraId="380E4B04" w14:textId="77777777" w:rsidR="002B0DBA" w:rsidRPr="002C568E" w:rsidRDefault="002B0DBA" w:rsidP="002B0DBA">
      <w:pPr>
        <w:tabs>
          <w:tab w:val="left" w:pos="-720"/>
          <w:tab w:val="left" w:pos="0"/>
          <w:tab w:val="left" w:pos="720"/>
        </w:tabs>
        <w:suppressAutoHyphens/>
        <w:rPr>
          <w:sz w:val="18"/>
          <w:szCs w:val="18"/>
          <w:lang w:val="es-ES"/>
        </w:rPr>
      </w:pPr>
    </w:p>
    <w:tbl>
      <w:tblPr>
        <w:tblW w:w="9356"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2B0DBA" w:rsidRPr="002C568E" w14:paraId="737C7ABA" w14:textId="77777777" w:rsidTr="002B0DBA">
        <w:tc>
          <w:tcPr>
            <w:tcW w:w="9356" w:type="dxa"/>
          </w:tcPr>
          <w:p w14:paraId="1760B13F" w14:textId="77777777" w:rsidR="002B0DBA" w:rsidRPr="002C568E" w:rsidRDefault="002B0DBA" w:rsidP="002B0DBA">
            <w:pPr>
              <w:outlineLvl w:val="1"/>
              <w:rPr>
                <w:b/>
                <w:bCs/>
                <w:sz w:val="18"/>
                <w:szCs w:val="18"/>
                <w:lang w:val="es-ES"/>
              </w:rPr>
            </w:pPr>
            <w:r w:rsidRPr="002C568E">
              <w:rPr>
                <w:b/>
                <w:sz w:val="18"/>
                <w:szCs w:val="18"/>
                <w:lang w:val="es-ES"/>
              </w:rPr>
              <w:t>País: Brasil</w:t>
            </w:r>
          </w:p>
        </w:tc>
      </w:tr>
    </w:tbl>
    <w:p w14:paraId="097D1E4C" w14:textId="77777777" w:rsidR="002B0DBA" w:rsidRPr="002C568E" w:rsidRDefault="002B0DBA" w:rsidP="002B0DBA">
      <w:pPr>
        <w:tabs>
          <w:tab w:val="left" w:pos="-720"/>
          <w:tab w:val="left" w:pos="0"/>
          <w:tab w:val="left" w:pos="720"/>
        </w:tabs>
        <w:suppressAutoHyphens/>
        <w:rPr>
          <w:sz w:val="18"/>
          <w:szCs w:val="18"/>
          <w:lang w:val="es-ES"/>
        </w:rPr>
      </w:pPr>
    </w:p>
    <w:tbl>
      <w:tblPr>
        <w:tblW w:w="9356" w:type="dxa"/>
        <w:tblLayout w:type="fixed"/>
        <w:tblLook w:val="0000" w:firstRow="0" w:lastRow="0" w:firstColumn="0" w:lastColumn="0" w:noHBand="0" w:noVBand="0"/>
      </w:tblPr>
      <w:tblGrid>
        <w:gridCol w:w="534"/>
        <w:gridCol w:w="1842"/>
        <w:gridCol w:w="6980"/>
      </w:tblGrid>
      <w:tr w:rsidR="002B0DBA" w:rsidRPr="00051413" w14:paraId="32422F9C" w14:textId="77777777" w:rsidTr="002B0DBA">
        <w:tc>
          <w:tcPr>
            <w:tcW w:w="534" w:type="dxa"/>
          </w:tcPr>
          <w:p w14:paraId="1FFFEC4E" w14:textId="77777777" w:rsidR="002B0DBA" w:rsidRPr="00051413" w:rsidRDefault="002B0DBA" w:rsidP="002B0DBA">
            <w:pPr>
              <w:widowControl w:val="0"/>
              <w:spacing w:after="120"/>
              <w:rPr>
                <w:b/>
                <w:bCs/>
                <w:snapToGrid w:val="0"/>
                <w:lang w:val="es-ES"/>
              </w:rPr>
            </w:pPr>
            <w:r w:rsidRPr="00051413">
              <w:rPr>
                <w:b/>
                <w:bCs/>
                <w:lang w:val="es-ES"/>
              </w:rPr>
              <w:t>1</w:t>
            </w:r>
          </w:p>
        </w:tc>
        <w:tc>
          <w:tcPr>
            <w:tcW w:w="1842" w:type="dxa"/>
          </w:tcPr>
          <w:p w14:paraId="381923A2" w14:textId="77777777" w:rsidR="002B0DBA" w:rsidRPr="00051413" w:rsidRDefault="002B0DBA" w:rsidP="002B0DBA">
            <w:pPr>
              <w:spacing w:before="20" w:after="120"/>
              <w:outlineLvl w:val="2"/>
              <w:rPr>
                <w:b/>
                <w:bCs/>
                <w:lang w:val="es-ES"/>
              </w:rPr>
            </w:pPr>
            <w:r w:rsidRPr="00051413">
              <w:rPr>
                <w:b/>
                <w:lang w:val="es-ES"/>
              </w:rPr>
              <w:t>Fecha(s) efectiva(s) de entrada en vigor de las medidas</w:t>
            </w:r>
          </w:p>
        </w:tc>
        <w:tc>
          <w:tcPr>
            <w:tcW w:w="6980" w:type="dxa"/>
          </w:tcPr>
          <w:p w14:paraId="3778D9A4" w14:textId="77777777" w:rsidR="002B0DBA" w:rsidRPr="00051413" w:rsidRDefault="002B0DBA" w:rsidP="002B0DBA">
            <w:pPr>
              <w:spacing w:after="120"/>
              <w:rPr>
                <w:lang w:val="es-ES"/>
              </w:rPr>
            </w:pPr>
            <w:r w:rsidRPr="00051413">
              <w:rPr>
                <w:lang w:val="es-ES"/>
              </w:rPr>
              <w:t>16 de marzo de 2015</w:t>
            </w:r>
          </w:p>
        </w:tc>
      </w:tr>
      <w:tr w:rsidR="002B0DBA" w:rsidRPr="00051413" w14:paraId="5C526B6F" w14:textId="77777777" w:rsidTr="002B0DBA">
        <w:tc>
          <w:tcPr>
            <w:tcW w:w="534" w:type="dxa"/>
          </w:tcPr>
          <w:p w14:paraId="30295501" w14:textId="77777777" w:rsidR="002B0DBA" w:rsidRPr="00051413" w:rsidRDefault="002B0DBA" w:rsidP="002B0DBA">
            <w:pPr>
              <w:widowControl w:val="0"/>
              <w:spacing w:after="120"/>
              <w:rPr>
                <w:b/>
                <w:bCs/>
                <w:snapToGrid w:val="0"/>
                <w:lang w:val="es-ES"/>
              </w:rPr>
            </w:pPr>
          </w:p>
        </w:tc>
        <w:tc>
          <w:tcPr>
            <w:tcW w:w="1842" w:type="dxa"/>
          </w:tcPr>
          <w:p w14:paraId="3CAEDF54" w14:textId="77777777" w:rsidR="002B0DBA" w:rsidRPr="00051413" w:rsidRDefault="002B0DBA" w:rsidP="002B0DBA">
            <w:pPr>
              <w:spacing w:after="120"/>
              <w:rPr>
                <w:b/>
                <w:bCs/>
                <w:lang w:val="es-ES"/>
              </w:rPr>
            </w:pPr>
            <w:r w:rsidRPr="00051413">
              <w:rPr>
                <w:b/>
                <w:lang w:val="es-ES"/>
              </w:rPr>
              <w:t>Referencia al documento reglamentario</w:t>
            </w:r>
          </w:p>
        </w:tc>
        <w:tc>
          <w:tcPr>
            <w:tcW w:w="6980" w:type="dxa"/>
          </w:tcPr>
          <w:p w14:paraId="1BBA7CCC" w14:textId="339EED50" w:rsidR="002B0DBA" w:rsidRPr="00051413" w:rsidRDefault="001946EF" w:rsidP="002B0DBA">
            <w:pPr>
              <w:spacing w:after="120"/>
              <w:rPr>
                <w:lang w:val="es-ES"/>
              </w:rPr>
            </w:pPr>
            <w:r w:rsidRPr="00051413">
              <w:rPr>
                <w:lang w:val="es-ES"/>
              </w:rPr>
              <w:t>Resolución RDC Núm.</w:t>
            </w:r>
            <w:r w:rsidR="002B0DBA" w:rsidRPr="00051413">
              <w:rPr>
                <w:lang w:val="es-ES"/>
              </w:rPr>
              <w:t xml:space="preserve"> 12 del 13 de marzo de 2015, dictada por la Agencia Nacional de Vigilancia Sanitaria (ANVISA)</w:t>
            </w:r>
          </w:p>
        </w:tc>
      </w:tr>
      <w:tr w:rsidR="002B0DBA" w:rsidRPr="00051413" w14:paraId="1ADE8278" w14:textId="77777777" w:rsidTr="002B0DBA">
        <w:tc>
          <w:tcPr>
            <w:tcW w:w="534" w:type="dxa"/>
          </w:tcPr>
          <w:p w14:paraId="60F06C8B" w14:textId="77777777" w:rsidR="002B0DBA" w:rsidRPr="00051413" w:rsidRDefault="002B0DBA" w:rsidP="002B0DBA">
            <w:pPr>
              <w:widowControl w:val="0"/>
              <w:spacing w:before="20" w:after="120"/>
              <w:rPr>
                <w:b/>
                <w:bCs/>
                <w:snapToGrid w:val="0"/>
                <w:lang w:val="es-ES"/>
              </w:rPr>
            </w:pPr>
            <w:r w:rsidRPr="00051413">
              <w:rPr>
                <w:b/>
                <w:bCs/>
                <w:lang w:val="es-ES"/>
              </w:rPr>
              <w:t>2</w:t>
            </w:r>
          </w:p>
        </w:tc>
        <w:tc>
          <w:tcPr>
            <w:tcW w:w="1842" w:type="dxa"/>
          </w:tcPr>
          <w:p w14:paraId="02810DEE" w14:textId="77777777" w:rsidR="002B0DBA" w:rsidRPr="00051413" w:rsidRDefault="002B0DBA" w:rsidP="002B0DBA">
            <w:pPr>
              <w:spacing w:before="20" w:after="120"/>
              <w:rPr>
                <w:b/>
                <w:bCs/>
                <w:lang w:val="es-ES"/>
              </w:rPr>
            </w:pPr>
            <w:r w:rsidRPr="00051413">
              <w:rPr>
                <w:b/>
                <w:lang w:val="es-ES"/>
              </w:rPr>
              <w:t>Descripción sucinta de la(s) medida(s) reglamentaria(s) firme(s)</w:t>
            </w:r>
          </w:p>
        </w:tc>
        <w:tc>
          <w:tcPr>
            <w:tcW w:w="6980" w:type="dxa"/>
          </w:tcPr>
          <w:p w14:paraId="2C00197C" w14:textId="564F4BF2" w:rsidR="002B0DBA" w:rsidRPr="00051413" w:rsidRDefault="001946EF" w:rsidP="002B0DBA">
            <w:pPr>
              <w:spacing w:before="20" w:after="120"/>
              <w:rPr>
                <w:lang w:val="es-ES"/>
              </w:rPr>
            </w:pPr>
            <w:r w:rsidRPr="00051413">
              <w:rPr>
                <w:lang w:val="es-ES"/>
              </w:rPr>
              <w:t>Conforme a la resolución RDC Núm.</w:t>
            </w:r>
            <w:r w:rsidR="002B0DBA" w:rsidRPr="00051413">
              <w:rPr>
                <w:lang w:val="es-ES"/>
              </w:rPr>
              <w:t xml:space="preserve"> 12 del 13 de marzo de 2015, dictada por ANVISA, están prohibidos todos los productos técnicos y formulados cuyo ingrediente activo fuese el forato. Por consiguiente, la producción, el uso, el comercio, la importación y la exportación de forato están prohibidos. Antes de la entrada en vigor de la medida reglamentaria firme, se utilizaba el forato en el Brasil como insecticida autorizado exclusivamente para uso agrícola.</w:t>
            </w:r>
          </w:p>
        </w:tc>
      </w:tr>
      <w:tr w:rsidR="002B0DBA" w:rsidRPr="00051413" w14:paraId="43828243" w14:textId="77777777" w:rsidTr="002B0DBA">
        <w:tc>
          <w:tcPr>
            <w:tcW w:w="534" w:type="dxa"/>
          </w:tcPr>
          <w:p w14:paraId="653FE698" w14:textId="77777777" w:rsidR="002B0DBA" w:rsidRPr="00051413" w:rsidRDefault="002B0DBA" w:rsidP="002B0DBA">
            <w:pPr>
              <w:widowControl w:val="0"/>
              <w:spacing w:before="20" w:after="120"/>
              <w:rPr>
                <w:b/>
                <w:bCs/>
                <w:snapToGrid w:val="0"/>
                <w:lang w:val="es-ES"/>
              </w:rPr>
            </w:pPr>
            <w:r w:rsidRPr="00051413">
              <w:rPr>
                <w:b/>
                <w:bCs/>
                <w:lang w:val="es-ES"/>
              </w:rPr>
              <w:t>3</w:t>
            </w:r>
          </w:p>
        </w:tc>
        <w:tc>
          <w:tcPr>
            <w:tcW w:w="1842" w:type="dxa"/>
          </w:tcPr>
          <w:p w14:paraId="5F7E4D7A" w14:textId="77777777" w:rsidR="002B0DBA" w:rsidRPr="00051413" w:rsidRDefault="002B0DBA" w:rsidP="002B0DBA">
            <w:pPr>
              <w:spacing w:before="20" w:after="120"/>
              <w:rPr>
                <w:b/>
                <w:bCs/>
                <w:lang w:val="es-ES"/>
              </w:rPr>
            </w:pPr>
            <w:r w:rsidRPr="00051413">
              <w:rPr>
                <w:b/>
                <w:lang w:val="es-ES"/>
              </w:rPr>
              <w:t>Razones para la adopción de medidas</w:t>
            </w:r>
          </w:p>
        </w:tc>
        <w:tc>
          <w:tcPr>
            <w:tcW w:w="6980" w:type="dxa"/>
          </w:tcPr>
          <w:p w14:paraId="0B6F2F9E" w14:textId="4A87E62B" w:rsidR="002B0DBA" w:rsidRPr="00051413" w:rsidRDefault="002B0DBA" w:rsidP="002B0DBA">
            <w:pPr>
              <w:autoSpaceDE w:val="0"/>
              <w:autoSpaceDN w:val="0"/>
              <w:adjustRightInd w:val="0"/>
              <w:spacing w:after="120"/>
              <w:rPr>
                <w:lang w:val="es-ES"/>
              </w:rPr>
            </w:pPr>
            <w:r w:rsidRPr="00051413">
              <w:rPr>
                <w:lang w:val="es-ES"/>
              </w:rPr>
              <w:t>Salud humana: riesgo inaceptable para trabajadores, consumidores y la población en</w:t>
            </w:r>
            <w:r w:rsidR="005D7543" w:rsidRPr="00051413">
              <w:rPr>
                <w:lang w:val="es-ES"/>
              </w:rPr>
              <w:t> </w:t>
            </w:r>
            <w:r w:rsidRPr="00051413">
              <w:rPr>
                <w:lang w:val="es-ES"/>
              </w:rPr>
              <w:t>general.</w:t>
            </w:r>
          </w:p>
        </w:tc>
      </w:tr>
      <w:tr w:rsidR="002B0DBA" w:rsidRPr="00051413" w14:paraId="1F159AEC" w14:textId="77777777" w:rsidTr="002B0DBA">
        <w:tc>
          <w:tcPr>
            <w:tcW w:w="534" w:type="dxa"/>
          </w:tcPr>
          <w:p w14:paraId="00CC1138" w14:textId="77777777" w:rsidR="002B0DBA" w:rsidRPr="00051413" w:rsidRDefault="002B0DBA" w:rsidP="002B0DBA">
            <w:pPr>
              <w:widowControl w:val="0"/>
              <w:spacing w:before="20" w:after="120"/>
              <w:rPr>
                <w:b/>
                <w:bCs/>
                <w:snapToGrid w:val="0"/>
                <w:lang w:val="es-ES"/>
              </w:rPr>
            </w:pPr>
            <w:r w:rsidRPr="00051413">
              <w:rPr>
                <w:b/>
                <w:bCs/>
                <w:lang w:val="es-ES"/>
              </w:rPr>
              <w:t>4</w:t>
            </w:r>
          </w:p>
        </w:tc>
        <w:tc>
          <w:tcPr>
            <w:tcW w:w="1842" w:type="dxa"/>
          </w:tcPr>
          <w:p w14:paraId="2FBD52C2" w14:textId="5A95CA19" w:rsidR="002B0DBA" w:rsidRPr="00051413" w:rsidRDefault="002B0DBA" w:rsidP="002B0DBA">
            <w:pPr>
              <w:spacing w:before="20" w:after="120"/>
              <w:rPr>
                <w:b/>
                <w:bCs/>
                <w:lang w:val="es-ES"/>
              </w:rPr>
            </w:pPr>
            <w:r w:rsidRPr="00051413">
              <w:rPr>
                <w:b/>
                <w:bCs/>
                <w:lang w:val="es-ES"/>
              </w:rPr>
              <w:t>Fundamentos para la inclusión en el anexo</w:t>
            </w:r>
            <w:r w:rsidR="00F15E4D" w:rsidRPr="00051413">
              <w:rPr>
                <w:b/>
                <w:bCs/>
                <w:lang w:val="es-ES"/>
              </w:rPr>
              <w:t> </w:t>
            </w:r>
            <w:r w:rsidRPr="00051413">
              <w:rPr>
                <w:b/>
                <w:bCs/>
                <w:lang w:val="es-ES"/>
              </w:rPr>
              <w:t>III</w:t>
            </w:r>
          </w:p>
        </w:tc>
        <w:tc>
          <w:tcPr>
            <w:tcW w:w="6980" w:type="dxa"/>
          </w:tcPr>
          <w:p w14:paraId="0D1CA5E9" w14:textId="55AF9CEF" w:rsidR="002B0DBA" w:rsidRPr="00051413" w:rsidRDefault="002B0DBA" w:rsidP="002B0DBA">
            <w:pPr>
              <w:spacing w:before="20" w:after="120"/>
              <w:rPr>
                <w:lang w:val="es-ES"/>
              </w:rPr>
            </w:pPr>
            <w:r w:rsidRPr="00051413">
              <w:rPr>
                <w:lang w:val="es-ES"/>
              </w:rPr>
              <w:t xml:space="preserve">La medida reglamentaria firme de prohibir el forato se fundamentó en una evaluación del riesgo en la que se tuvieron en cuenta las condiciones locales </w:t>
            </w:r>
            <w:r w:rsidR="00F15E4D" w:rsidRPr="00051413">
              <w:rPr>
                <w:lang w:val="es-ES"/>
              </w:rPr>
              <w:t>del </w:t>
            </w:r>
            <w:r w:rsidRPr="00051413">
              <w:rPr>
                <w:lang w:val="es-ES"/>
              </w:rPr>
              <w:t>Brasil.</w:t>
            </w:r>
          </w:p>
        </w:tc>
      </w:tr>
      <w:tr w:rsidR="002B0DBA" w:rsidRPr="00051413" w14:paraId="40DE373D" w14:textId="77777777" w:rsidTr="002B0DBA">
        <w:tc>
          <w:tcPr>
            <w:tcW w:w="534" w:type="dxa"/>
          </w:tcPr>
          <w:p w14:paraId="1AE52591" w14:textId="77777777" w:rsidR="002B0DBA" w:rsidRPr="00051413" w:rsidRDefault="002B0DBA" w:rsidP="002B0DBA">
            <w:pPr>
              <w:widowControl w:val="0"/>
              <w:spacing w:before="20" w:after="120"/>
              <w:rPr>
                <w:b/>
                <w:bCs/>
                <w:snapToGrid w:val="0"/>
                <w:lang w:val="es-ES"/>
              </w:rPr>
            </w:pPr>
            <w:r w:rsidRPr="00051413">
              <w:rPr>
                <w:b/>
                <w:bCs/>
                <w:lang w:val="es-ES"/>
              </w:rPr>
              <w:t>4.1</w:t>
            </w:r>
          </w:p>
        </w:tc>
        <w:tc>
          <w:tcPr>
            <w:tcW w:w="1842" w:type="dxa"/>
          </w:tcPr>
          <w:p w14:paraId="63DEF4FE" w14:textId="5F34DBF3" w:rsidR="002B0DBA" w:rsidRPr="00051413" w:rsidRDefault="002B0DBA" w:rsidP="002B0DBA">
            <w:pPr>
              <w:spacing w:before="20" w:after="120"/>
              <w:rPr>
                <w:b/>
                <w:lang w:val="es-ES"/>
              </w:rPr>
            </w:pPr>
            <w:r w:rsidRPr="00051413">
              <w:rPr>
                <w:b/>
                <w:bCs/>
                <w:lang w:val="es-ES"/>
              </w:rPr>
              <w:t>Evaluación de los</w:t>
            </w:r>
            <w:r w:rsidR="002C568E" w:rsidRPr="00051413">
              <w:rPr>
                <w:b/>
                <w:bCs/>
                <w:lang w:val="es-ES"/>
              </w:rPr>
              <w:t> </w:t>
            </w:r>
            <w:r w:rsidRPr="00051413">
              <w:rPr>
                <w:b/>
                <w:bCs/>
                <w:lang w:val="es-ES"/>
              </w:rPr>
              <w:t>riesgos</w:t>
            </w:r>
          </w:p>
        </w:tc>
        <w:tc>
          <w:tcPr>
            <w:tcW w:w="6980" w:type="dxa"/>
          </w:tcPr>
          <w:p w14:paraId="7B699723" w14:textId="0A1CDB65" w:rsidR="002B0DBA" w:rsidRPr="00051413" w:rsidRDefault="002B0DBA" w:rsidP="002B0DBA">
            <w:pPr>
              <w:autoSpaceDE w:val="0"/>
              <w:autoSpaceDN w:val="0"/>
              <w:adjustRightInd w:val="0"/>
              <w:snapToGrid w:val="0"/>
              <w:spacing w:after="120"/>
              <w:rPr>
                <w:rFonts w:eastAsia="Calibri"/>
                <w:lang w:val="es-ES"/>
              </w:rPr>
            </w:pPr>
            <w:r w:rsidRPr="00051413">
              <w:rPr>
                <w:lang w:val="es-ES"/>
              </w:rPr>
              <w:t xml:space="preserve">La medida reglamentaria firme se basó en una evaluación del riesgo y de los peligros. De conformidad con la ley brasileña de plaguicidas, uno o más de los organismos gubernamentales encargados del registro de plaguicidas (IBAMA, ANVISA o MAPA) pueden volver a evaluar el registro de un plaguicida cuando haya pruebas de que ha disminuido la eficiencia agronómica o han cambiado los riesgos para la salud humana o el medio ambiente. A fin de llevar a cabo esa nueva evaluación se establece un comité técnico que se encarga de elaborar notas técnicas sobre la toxicología y los posibles riesgos ambientales del ingrediente activo, además de un análisis económico de los sustitutos de los plaguicidas, a partir de los datos extraídos de los estudios realizados por instituciones nacionales e internacionales acreditadas y de la información facilitada por el Sistema Nacional de Información Toxicofarmacológica (SINITOX), el Programa de Análisis de Residuos de Plaguicidas en los Alimentos o quienes solicitan el registro de </w:t>
            </w:r>
            <w:r w:rsidR="0016510A" w:rsidRPr="00051413">
              <w:rPr>
                <w:lang w:val="es-ES"/>
              </w:rPr>
              <w:t>los </w:t>
            </w:r>
            <w:r w:rsidRPr="00051413">
              <w:rPr>
                <w:lang w:val="es-ES"/>
              </w:rPr>
              <w:t>plaguicidas.</w:t>
            </w:r>
          </w:p>
          <w:p w14:paraId="1CD82097" w14:textId="03BE5499" w:rsidR="002B0DBA" w:rsidRPr="00051413" w:rsidRDefault="002B0DBA" w:rsidP="002B0DBA">
            <w:pPr>
              <w:autoSpaceDE w:val="0"/>
              <w:autoSpaceDN w:val="0"/>
              <w:adjustRightInd w:val="0"/>
              <w:snapToGrid w:val="0"/>
              <w:spacing w:after="120"/>
              <w:rPr>
                <w:rFonts w:eastAsia="Calibri"/>
                <w:lang w:val="es-ES"/>
              </w:rPr>
            </w:pPr>
            <w:r w:rsidRPr="00051413">
              <w:rPr>
                <w:lang w:val="es-ES"/>
              </w:rPr>
              <w:t>Esas notas técnicas evalúan las posibles exposiciones y peligros con arreglo a los parámetros y métodos adoptados internacionalmente, en especial los de la Organización Mundial de la Salud (OMS), la Organización de las Naciones</w:t>
            </w:r>
            <w:r w:rsidR="0016510A" w:rsidRPr="00051413">
              <w:rPr>
                <w:lang w:val="es-ES"/>
              </w:rPr>
              <w:t> </w:t>
            </w:r>
            <w:r w:rsidRPr="00051413">
              <w:rPr>
                <w:lang w:val="es-ES"/>
              </w:rPr>
              <w:t>Unidas para la Alimentación y la Agricultura (FAO), la Organización de Cooperación y Desarrollo Económicos (OCDE), la Agencia de Protección Ambiental de los Estados Unidos y la Unión</w:t>
            </w:r>
            <w:r w:rsidR="0016510A" w:rsidRPr="00051413">
              <w:rPr>
                <w:lang w:val="es-ES"/>
              </w:rPr>
              <w:t> </w:t>
            </w:r>
            <w:r w:rsidRPr="00051413">
              <w:rPr>
                <w:lang w:val="es-ES"/>
              </w:rPr>
              <w:t>Europea. Concluida la nueva evaluación, podrían adoptarse medidas para restringir, suspender o prohibir la producción e importación de plaguicidas, o bien, de cumplirse el criterio de su prohibición, anular el</w:t>
            </w:r>
            <w:r w:rsidR="002C568E" w:rsidRPr="00051413">
              <w:rPr>
                <w:lang w:val="es-ES"/>
              </w:rPr>
              <w:t> </w:t>
            </w:r>
            <w:r w:rsidRPr="00051413">
              <w:rPr>
                <w:lang w:val="es-ES"/>
              </w:rPr>
              <w:t>registro.</w:t>
            </w:r>
          </w:p>
          <w:p w14:paraId="2A66F289" w14:textId="77777777" w:rsidR="002B0DBA" w:rsidRPr="00051413" w:rsidRDefault="002B0DBA" w:rsidP="002B0DBA">
            <w:pPr>
              <w:snapToGrid w:val="0"/>
              <w:spacing w:after="120"/>
              <w:rPr>
                <w:rFonts w:eastAsia="Calibri"/>
                <w:lang w:val="es-ES"/>
              </w:rPr>
            </w:pPr>
            <w:r w:rsidRPr="00051413">
              <w:rPr>
                <w:lang w:val="es-ES"/>
              </w:rPr>
              <w:t>En la evaluación del riesgo del forato realizada por el Brasil se tuvo en cuenta la toxicología y la salud pública; la salud y seguridad en el trabajo, los efectos en el medio ambiente y la disponibilidad de alternativas de menor riesgo. Se emprendió un amplio examen de los datos pertinentes sobre los peligros y riesgos del forato mediante el análisis de documentos, los informes y la bibliografía publicados sobre el asunto. En la nueva evaluación se tuvo en cuenta, inter alia, el estudio realizado por Waichman (2008) en algunos municipios del estado de Amazonas (Manaos, Iranduba, Careiro da Várzea y Manacapuru), según el cual los agricultores no estaban preparados para utilizar los plaguicidas como es debido y desconocían los riesgos que entrañan para la salud humana y el medio ambiente. No se utilizan equipos de protección personal porque son caros, incómodos e inadecuados para el clima caluroso de la región. La falta de capacitación y el conocimiento escaso del peligro de los plaguicidas contribuyen a la manipulación incorrecta del plaguicida durante su preparación y aplicación, así como durante la eliminación de los envases vacíos. Estas condiciones propician una exposición elevada de los agricultores, sus familias, los consumidores y el medio ambiente.</w:t>
            </w:r>
          </w:p>
          <w:p w14:paraId="4A7335A7" w14:textId="77777777" w:rsidR="002B0DBA" w:rsidRPr="00051413" w:rsidRDefault="002B0DBA" w:rsidP="002B0DBA">
            <w:pPr>
              <w:autoSpaceDE w:val="0"/>
              <w:autoSpaceDN w:val="0"/>
              <w:adjustRightInd w:val="0"/>
              <w:spacing w:after="120"/>
              <w:rPr>
                <w:lang w:val="es-ES"/>
              </w:rPr>
            </w:pPr>
            <w:r w:rsidRPr="00051413">
              <w:rPr>
                <w:lang w:val="es-ES"/>
              </w:rPr>
              <w:t>Teniendo en cuenta todos los efectos toxicológicos vinculados al forato principio activo, en especial sus características de ser más tóxico para los seres humanos que lo que pueden demostrar los experimentos con animales, y si bien el Brasil no ha informado casos de envenenamiento por forato, se tomó la decisión de prohibirlo sobre la base de la evaluación de sus propiedades peligrosas, así como de la exposición prevista de los trabajadores agrícolas al forato, en las condiciones de uso en el Brasil. La medida de reglamentación firme se tomó para proteger la salud de los trabajadores expuestos, los consumidores y la población en general.</w:t>
            </w:r>
          </w:p>
        </w:tc>
      </w:tr>
      <w:tr w:rsidR="002B0DBA" w:rsidRPr="00051413" w14:paraId="189CF0D8" w14:textId="77777777" w:rsidTr="002B0DBA">
        <w:tc>
          <w:tcPr>
            <w:tcW w:w="534" w:type="dxa"/>
          </w:tcPr>
          <w:p w14:paraId="27F9E465" w14:textId="77777777" w:rsidR="002B0DBA" w:rsidRPr="00051413" w:rsidRDefault="002B0DBA" w:rsidP="002B0DBA">
            <w:pPr>
              <w:spacing w:after="120"/>
              <w:rPr>
                <w:b/>
                <w:bCs/>
                <w:snapToGrid w:val="0"/>
                <w:lang w:val="es-ES"/>
              </w:rPr>
            </w:pPr>
            <w:r w:rsidRPr="00051413">
              <w:rPr>
                <w:b/>
                <w:bCs/>
                <w:lang w:val="es-ES"/>
              </w:rPr>
              <w:t>4.2</w:t>
            </w:r>
          </w:p>
        </w:tc>
        <w:tc>
          <w:tcPr>
            <w:tcW w:w="1842" w:type="dxa"/>
          </w:tcPr>
          <w:p w14:paraId="38BBCA3D" w14:textId="77777777" w:rsidR="002B0DBA" w:rsidRPr="00051413" w:rsidRDefault="002B0DBA" w:rsidP="002B0DBA">
            <w:pPr>
              <w:spacing w:after="120"/>
              <w:rPr>
                <w:b/>
                <w:lang w:val="es-ES"/>
              </w:rPr>
            </w:pPr>
            <w:r w:rsidRPr="00051413">
              <w:rPr>
                <w:b/>
                <w:bCs/>
                <w:lang w:val="es-ES"/>
              </w:rPr>
              <w:t>Criterios aplicados</w:t>
            </w:r>
          </w:p>
        </w:tc>
        <w:tc>
          <w:tcPr>
            <w:tcW w:w="6980" w:type="dxa"/>
          </w:tcPr>
          <w:p w14:paraId="174A4DF2" w14:textId="22DD4E4B" w:rsidR="002B0DBA" w:rsidRPr="00051413" w:rsidRDefault="002B0DBA" w:rsidP="002B0DBA">
            <w:pPr>
              <w:spacing w:after="120"/>
              <w:rPr>
                <w:iCs/>
                <w:lang w:val="es-ES"/>
              </w:rPr>
            </w:pPr>
            <w:r w:rsidRPr="00051413">
              <w:rPr>
                <w:lang w:val="es-ES"/>
              </w:rPr>
              <w:t>Riesgos para la salud humana y el medio ambiente</w:t>
            </w:r>
          </w:p>
        </w:tc>
      </w:tr>
      <w:tr w:rsidR="002B0DBA" w:rsidRPr="00051413" w14:paraId="2371D8B4" w14:textId="77777777" w:rsidTr="002B0DBA">
        <w:trPr>
          <w:trHeight w:val="624"/>
        </w:trPr>
        <w:tc>
          <w:tcPr>
            <w:tcW w:w="534" w:type="dxa"/>
          </w:tcPr>
          <w:p w14:paraId="57D03D39" w14:textId="77777777" w:rsidR="002B0DBA" w:rsidRPr="00051413" w:rsidRDefault="002B0DBA" w:rsidP="002B0DBA">
            <w:pPr>
              <w:widowControl w:val="0"/>
              <w:spacing w:after="120"/>
              <w:rPr>
                <w:b/>
                <w:bCs/>
                <w:snapToGrid w:val="0"/>
                <w:lang w:val="es-ES"/>
              </w:rPr>
            </w:pPr>
          </w:p>
        </w:tc>
        <w:tc>
          <w:tcPr>
            <w:tcW w:w="1842" w:type="dxa"/>
          </w:tcPr>
          <w:p w14:paraId="6AC99ABB" w14:textId="77777777" w:rsidR="002B0DBA" w:rsidRPr="00051413" w:rsidRDefault="002B0DBA" w:rsidP="002B0DBA">
            <w:pPr>
              <w:spacing w:after="120"/>
              <w:rPr>
                <w:b/>
                <w:lang w:val="es-ES"/>
              </w:rPr>
            </w:pPr>
            <w:r w:rsidRPr="00051413">
              <w:rPr>
                <w:b/>
                <w:bCs/>
                <w:lang w:val="es-ES"/>
              </w:rPr>
              <w:t>Importancia para otros Estados y para la región</w:t>
            </w:r>
          </w:p>
        </w:tc>
        <w:tc>
          <w:tcPr>
            <w:tcW w:w="6980" w:type="dxa"/>
          </w:tcPr>
          <w:p w14:paraId="5341EEC5" w14:textId="456AD8FC" w:rsidR="002B0DBA" w:rsidRPr="00051413" w:rsidRDefault="002B0DBA" w:rsidP="002B0DBA">
            <w:pPr>
              <w:spacing w:after="120"/>
              <w:rPr>
                <w:lang w:val="es-ES"/>
              </w:rPr>
            </w:pPr>
            <w:r w:rsidRPr="00051413">
              <w:rPr>
                <w:lang w:val="es-ES"/>
              </w:rPr>
              <w:t>Probablemente se encuentren inquietudes similares en otros países en los que se utiliza la sustancia, especialmente en países en desarrollo</w:t>
            </w:r>
          </w:p>
        </w:tc>
      </w:tr>
      <w:tr w:rsidR="002B0DBA" w:rsidRPr="00051413" w14:paraId="21C564D8" w14:textId="77777777" w:rsidTr="002B0DBA">
        <w:tc>
          <w:tcPr>
            <w:tcW w:w="534" w:type="dxa"/>
          </w:tcPr>
          <w:p w14:paraId="619342C3" w14:textId="77777777" w:rsidR="002B0DBA" w:rsidRPr="00051413" w:rsidRDefault="002B0DBA" w:rsidP="002B0DBA">
            <w:pPr>
              <w:widowControl w:val="0"/>
              <w:spacing w:after="120"/>
              <w:rPr>
                <w:b/>
                <w:bCs/>
                <w:snapToGrid w:val="0"/>
                <w:lang w:val="es-ES"/>
              </w:rPr>
            </w:pPr>
            <w:r w:rsidRPr="00051413">
              <w:rPr>
                <w:b/>
                <w:bCs/>
                <w:lang w:val="es-ES"/>
              </w:rPr>
              <w:t>5</w:t>
            </w:r>
          </w:p>
        </w:tc>
        <w:tc>
          <w:tcPr>
            <w:tcW w:w="1842" w:type="dxa"/>
          </w:tcPr>
          <w:p w14:paraId="697516B8" w14:textId="77777777" w:rsidR="002B0DBA" w:rsidRPr="00051413" w:rsidRDefault="002B0DBA" w:rsidP="002B0DBA">
            <w:pPr>
              <w:spacing w:after="120"/>
              <w:rPr>
                <w:b/>
                <w:bCs/>
                <w:lang w:val="es-ES"/>
              </w:rPr>
            </w:pPr>
            <w:r w:rsidRPr="00051413">
              <w:rPr>
                <w:b/>
                <w:bCs/>
                <w:lang w:val="es-ES"/>
              </w:rPr>
              <w:t>Alternativas</w:t>
            </w:r>
          </w:p>
        </w:tc>
        <w:tc>
          <w:tcPr>
            <w:tcW w:w="6980" w:type="dxa"/>
          </w:tcPr>
          <w:p w14:paraId="4BF56F8D" w14:textId="4850CD85" w:rsidR="002B0DBA" w:rsidRPr="00051413" w:rsidRDefault="002B0DBA" w:rsidP="002B0DBA">
            <w:pPr>
              <w:spacing w:after="120"/>
              <w:rPr>
                <w:lang w:val="es-ES"/>
              </w:rPr>
            </w:pPr>
            <w:r w:rsidRPr="00051413">
              <w:rPr>
                <w:lang w:val="es-ES"/>
              </w:rPr>
              <w:t>Véase la sección 3.3</w:t>
            </w:r>
          </w:p>
        </w:tc>
      </w:tr>
      <w:tr w:rsidR="002B0DBA" w:rsidRPr="00051413" w14:paraId="3DD139EF" w14:textId="77777777" w:rsidTr="002B0DBA">
        <w:tc>
          <w:tcPr>
            <w:tcW w:w="534" w:type="dxa"/>
          </w:tcPr>
          <w:p w14:paraId="2CBA662C" w14:textId="77777777" w:rsidR="002B0DBA" w:rsidRPr="00051413" w:rsidRDefault="002B0DBA" w:rsidP="002B0DBA">
            <w:pPr>
              <w:widowControl w:val="0"/>
              <w:spacing w:after="120"/>
              <w:rPr>
                <w:b/>
                <w:bCs/>
                <w:snapToGrid w:val="0"/>
                <w:lang w:val="es-ES"/>
              </w:rPr>
            </w:pPr>
            <w:r w:rsidRPr="00051413">
              <w:rPr>
                <w:b/>
                <w:bCs/>
                <w:lang w:val="es-ES"/>
              </w:rPr>
              <w:t>6</w:t>
            </w:r>
          </w:p>
        </w:tc>
        <w:tc>
          <w:tcPr>
            <w:tcW w:w="1842" w:type="dxa"/>
          </w:tcPr>
          <w:p w14:paraId="05EE6634" w14:textId="38080857" w:rsidR="002B0DBA" w:rsidRPr="00051413" w:rsidRDefault="002C568E" w:rsidP="002B0DBA">
            <w:pPr>
              <w:spacing w:after="120"/>
              <w:rPr>
                <w:b/>
                <w:bCs/>
                <w:lang w:val="es-ES"/>
              </w:rPr>
            </w:pPr>
            <w:r w:rsidRPr="00051413">
              <w:rPr>
                <w:b/>
                <w:bCs/>
                <w:lang w:val="es-ES"/>
              </w:rPr>
              <w:t>Gestión de los </w:t>
            </w:r>
            <w:r w:rsidR="002B0DBA" w:rsidRPr="00051413">
              <w:rPr>
                <w:b/>
                <w:bCs/>
                <w:lang w:val="es-ES"/>
              </w:rPr>
              <w:t>desechos</w:t>
            </w:r>
          </w:p>
        </w:tc>
        <w:tc>
          <w:tcPr>
            <w:tcW w:w="6980" w:type="dxa"/>
          </w:tcPr>
          <w:p w14:paraId="25D37F8E" w14:textId="1B1164B5" w:rsidR="002B0DBA" w:rsidRPr="00051413" w:rsidRDefault="002B0DBA" w:rsidP="002B0DBA">
            <w:pPr>
              <w:widowControl w:val="0"/>
              <w:spacing w:after="120"/>
              <w:rPr>
                <w:snapToGrid w:val="0"/>
                <w:lang w:val="es-ES"/>
              </w:rPr>
            </w:pPr>
            <w:r w:rsidRPr="00051413">
              <w:rPr>
                <w:lang w:val="es-ES"/>
              </w:rPr>
              <w:t>No se han comunicado</w:t>
            </w:r>
          </w:p>
        </w:tc>
      </w:tr>
      <w:tr w:rsidR="002B0DBA" w:rsidRPr="00051413" w14:paraId="26DF3F07" w14:textId="77777777" w:rsidTr="002B0DBA">
        <w:tc>
          <w:tcPr>
            <w:tcW w:w="534" w:type="dxa"/>
          </w:tcPr>
          <w:p w14:paraId="1EA86D61" w14:textId="77777777" w:rsidR="002B0DBA" w:rsidRPr="00051413" w:rsidRDefault="002B0DBA" w:rsidP="002B0DBA">
            <w:pPr>
              <w:widowControl w:val="0"/>
              <w:spacing w:after="120"/>
              <w:rPr>
                <w:b/>
                <w:bCs/>
                <w:snapToGrid w:val="0"/>
                <w:lang w:val="es-ES"/>
              </w:rPr>
            </w:pPr>
            <w:r w:rsidRPr="00051413">
              <w:rPr>
                <w:b/>
                <w:bCs/>
                <w:lang w:val="es-ES"/>
              </w:rPr>
              <w:t>7</w:t>
            </w:r>
          </w:p>
        </w:tc>
        <w:tc>
          <w:tcPr>
            <w:tcW w:w="1842" w:type="dxa"/>
          </w:tcPr>
          <w:p w14:paraId="3E78D6C3" w14:textId="77777777" w:rsidR="002B0DBA" w:rsidRPr="00051413" w:rsidRDefault="002B0DBA" w:rsidP="002B0DBA">
            <w:pPr>
              <w:spacing w:after="120"/>
              <w:ind w:left="288" w:hanging="288"/>
              <w:rPr>
                <w:b/>
                <w:snapToGrid w:val="0"/>
                <w:lang w:val="es-ES"/>
              </w:rPr>
            </w:pPr>
            <w:r w:rsidRPr="00051413">
              <w:rPr>
                <w:b/>
                <w:bCs/>
                <w:lang w:val="es-ES"/>
              </w:rPr>
              <w:t>Otros</w:t>
            </w:r>
          </w:p>
        </w:tc>
        <w:tc>
          <w:tcPr>
            <w:tcW w:w="6980" w:type="dxa"/>
          </w:tcPr>
          <w:p w14:paraId="3CD3DD58" w14:textId="76A7487A" w:rsidR="002B0DBA" w:rsidRPr="00051413" w:rsidRDefault="002B0DBA" w:rsidP="002B0DBA">
            <w:pPr>
              <w:widowControl w:val="0"/>
              <w:spacing w:after="120"/>
              <w:rPr>
                <w:snapToGrid w:val="0"/>
                <w:lang w:val="es-ES"/>
              </w:rPr>
            </w:pPr>
            <w:r w:rsidRPr="00051413">
              <w:rPr>
                <w:lang w:val="es-ES"/>
              </w:rPr>
              <w:t>No se han comunicado</w:t>
            </w:r>
          </w:p>
        </w:tc>
      </w:tr>
    </w:tbl>
    <w:p w14:paraId="5D81C303" w14:textId="77777777" w:rsidR="002B0DBA" w:rsidRPr="00900014" w:rsidRDefault="002B0DBA" w:rsidP="002B0DBA">
      <w:pPr>
        <w:spacing w:after="120"/>
        <w:rPr>
          <w:lang w:val="es-ES"/>
        </w:rPr>
      </w:pPr>
    </w:p>
    <w:p w14:paraId="56233144" w14:textId="77777777" w:rsidR="002B0DBA" w:rsidRPr="00900014" w:rsidRDefault="002B0DBA" w:rsidP="002B0DBA">
      <w:pPr>
        <w:spacing w:after="120"/>
        <w:rPr>
          <w:lang w:val="es-ES"/>
        </w:rPr>
      </w:pPr>
      <w:r w:rsidRPr="00900014">
        <w:rPr>
          <w:lang w:val="es-ES"/>
        </w:rPr>
        <w:br w:type="page"/>
      </w:r>
    </w:p>
    <w:tbl>
      <w:tblPr>
        <w:tblW w:w="92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0"/>
      </w:tblGrid>
      <w:tr w:rsidR="002B0DBA" w:rsidRPr="00051413" w14:paraId="0A7A1948" w14:textId="77777777" w:rsidTr="002B0DBA">
        <w:tc>
          <w:tcPr>
            <w:tcW w:w="9240" w:type="dxa"/>
          </w:tcPr>
          <w:p w14:paraId="1F25DC1D" w14:textId="77777777" w:rsidR="002B0DBA" w:rsidRPr="00051413" w:rsidRDefault="002B0DBA" w:rsidP="002B0DBA">
            <w:pPr>
              <w:keepNext/>
              <w:outlineLvl w:val="1"/>
              <w:rPr>
                <w:b/>
                <w:bCs/>
                <w:lang w:val="es-ES"/>
              </w:rPr>
            </w:pPr>
            <w:r w:rsidRPr="00051413">
              <w:rPr>
                <w:b/>
                <w:lang w:val="es-ES"/>
              </w:rPr>
              <w:t>País: Canadá</w:t>
            </w:r>
          </w:p>
        </w:tc>
      </w:tr>
    </w:tbl>
    <w:p w14:paraId="0928A358" w14:textId="6D12451A" w:rsidR="002B0DBA" w:rsidRPr="00183AE4" w:rsidRDefault="002B0DBA" w:rsidP="002B0DBA">
      <w:pPr>
        <w:tabs>
          <w:tab w:val="left" w:pos="-720"/>
          <w:tab w:val="left" w:pos="0"/>
          <w:tab w:val="left" w:pos="720"/>
        </w:tabs>
        <w:suppressAutoHyphens/>
        <w:rPr>
          <w:sz w:val="18"/>
          <w:szCs w:val="18"/>
          <w:lang w:val="es-ES"/>
        </w:rPr>
      </w:pPr>
    </w:p>
    <w:tbl>
      <w:tblPr>
        <w:tblW w:w="9214" w:type="dxa"/>
        <w:tblInd w:w="142" w:type="dxa"/>
        <w:tblLayout w:type="fixed"/>
        <w:tblLook w:val="0000" w:firstRow="0" w:lastRow="0" w:firstColumn="0" w:lastColumn="0" w:noHBand="0" w:noVBand="0"/>
      </w:tblPr>
      <w:tblGrid>
        <w:gridCol w:w="575"/>
        <w:gridCol w:w="1554"/>
        <w:gridCol w:w="7085"/>
      </w:tblGrid>
      <w:tr w:rsidR="002B0DBA" w:rsidRPr="00051413" w14:paraId="08CECE3F" w14:textId="77777777" w:rsidTr="00FE4699">
        <w:tc>
          <w:tcPr>
            <w:tcW w:w="567" w:type="dxa"/>
          </w:tcPr>
          <w:p w14:paraId="770F25AE" w14:textId="77777777" w:rsidR="002B0DBA" w:rsidRPr="00051413" w:rsidRDefault="002B0DBA" w:rsidP="00A634DE">
            <w:pPr>
              <w:widowControl w:val="0"/>
              <w:spacing w:before="20" w:after="120" w:line="216" w:lineRule="auto"/>
              <w:rPr>
                <w:b/>
                <w:bCs/>
                <w:snapToGrid w:val="0"/>
                <w:lang w:val="es-ES"/>
              </w:rPr>
            </w:pPr>
            <w:r w:rsidRPr="00051413">
              <w:rPr>
                <w:b/>
                <w:bCs/>
                <w:lang w:val="es-ES"/>
              </w:rPr>
              <w:t>1</w:t>
            </w:r>
          </w:p>
        </w:tc>
        <w:tc>
          <w:tcPr>
            <w:tcW w:w="1531" w:type="dxa"/>
          </w:tcPr>
          <w:p w14:paraId="1B2585B1" w14:textId="77777777" w:rsidR="002B0DBA" w:rsidRPr="00051413" w:rsidRDefault="002B0DBA" w:rsidP="00A634DE">
            <w:pPr>
              <w:spacing w:before="20" w:after="120" w:line="216" w:lineRule="auto"/>
              <w:rPr>
                <w:b/>
                <w:lang w:val="es-ES"/>
              </w:rPr>
            </w:pPr>
            <w:r w:rsidRPr="00051413">
              <w:rPr>
                <w:b/>
                <w:lang w:val="es-ES"/>
              </w:rPr>
              <w:t>Fecha(s) efectiva(s) de entrada en vigor de las medidas</w:t>
            </w:r>
          </w:p>
        </w:tc>
        <w:tc>
          <w:tcPr>
            <w:tcW w:w="6980" w:type="dxa"/>
          </w:tcPr>
          <w:p w14:paraId="098685FC" w14:textId="77777777" w:rsidR="002B0DBA" w:rsidRPr="00051413" w:rsidRDefault="002B0DBA" w:rsidP="00A634DE">
            <w:pPr>
              <w:spacing w:after="120" w:line="216" w:lineRule="auto"/>
              <w:rPr>
                <w:lang w:val="es-ES"/>
              </w:rPr>
            </w:pPr>
            <w:r w:rsidRPr="00051413">
              <w:rPr>
                <w:lang w:val="es-ES"/>
              </w:rPr>
              <w:t>En diciembre de 2004.</w:t>
            </w:r>
          </w:p>
        </w:tc>
      </w:tr>
      <w:tr w:rsidR="002B0DBA" w:rsidRPr="00051413" w14:paraId="2638D3B8" w14:textId="77777777" w:rsidTr="00FE4699">
        <w:tc>
          <w:tcPr>
            <w:tcW w:w="567" w:type="dxa"/>
          </w:tcPr>
          <w:p w14:paraId="00CAF51F" w14:textId="77777777" w:rsidR="002B0DBA" w:rsidRPr="00051413" w:rsidRDefault="002B0DBA" w:rsidP="00A634DE">
            <w:pPr>
              <w:widowControl w:val="0"/>
              <w:spacing w:before="20" w:after="120" w:line="216" w:lineRule="auto"/>
              <w:rPr>
                <w:b/>
                <w:bCs/>
                <w:snapToGrid w:val="0"/>
                <w:lang w:val="es-ES"/>
              </w:rPr>
            </w:pPr>
          </w:p>
        </w:tc>
        <w:tc>
          <w:tcPr>
            <w:tcW w:w="1531" w:type="dxa"/>
          </w:tcPr>
          <w:p w14:paraId="052A5C84" w14:textId="77777777" w:rsidR="002B0DBA" w:rsidRPr="00051413" w:rsidRDefault="002B0DBA" w:rsidP="00A634DE">
            <w:pPr>
              <w:spacing w:before="20" w:after="120" w:line="216" w:lineRule="auto"/>
              <w:rPr>
                <w:b/>
                <w:lang w:val="es-ES"/>
              </w:rPr>
            </w:pPr>
            <w:r w:rsidRPr="00051413">
              <w:rPr>
                <w:b/>
                <w:lang w:val="es-ES"/>
              </w:rPr>
              <w:t>Referencia al documento reglamentario</w:t>
            </w:r>
          </w:p>
        </w:tc>
        <w:tc>
          <w:tcPr>
            <w:tcW w:w="6980" w:type="dxa"/>
          </w:tcPr>
          <w:p w14:paraId="452BD48C" w14:textId="77777777" w:rsidR="002B0DBA" w:rsidRPr="00051413" w:rsidRDefault="002B0DBA" w:rsidP="00A634DE">
            <w:pPr>
              <w:spacing w:after="120" w:line="216" w:lineRule="auto"/>
              <w:rPr>
                <w:lang w:val="es-ES"/>
              </w:rPr>
            </w:pPr>
            <w:r w:rsidRPr="00051413">
              <w:rPr>
                <w:lang w:val="es-ES"/>
              </w:rPr>
              <w:t>Los documentos normativos pertinentes son:</w:t>
            </w:r>
          </w:p>
          <w:p w14:paraId="3D85E4B8" w14:textId="77777777" w:rsidR="002B0DBA" w:rsidRPr="00051413" w:rsidRDefault="002B0DBA" w:rsidP="00A634DE">
            <w:pPr>
              <w:numPr>
                <w:ilvl w:val="0"/>
                <w:numId w:val="44"/>
              </w:numPr>
              <w:tabs>
                <w:tab w:val="clear" w:pos="1247"/>
                <w:tab w:val="clear" w:pos="1814"/>
                <w:tab w:val="clear" w:pos="2381"/>
                <w:tab w:val="clear" w:pos="2948"/>
                <w:tab w:val="clear" w:pos="3515"/>
              </w:tabs>
              <w:spacing w:after="120" w:line="216" w:lineRule="auto"/>
              <w:rPr>
                <w:lang w:val="es-ES"/>
              </w:rPr>
            </w:pPr>
            <w:r w:rsidRPr="00051413">
              <w:rPr>
                <w:lang w:val="es-ES"/>
              </w:rPr>
              <w:t>Aceptabilidad propuesta para continuar el registro (PACR 2003-01), Organismo Regulador de la Gestión de Plagas (PMRA) Nueva evaluación del forato, 24 de enero de 2003;</w:t>
            </w:r>
          </w:p>
          <w:p w14:paraId="54A449F9" w14:textId="77777777" w:rsidR="002B0DBA" w:rsidRPr="00051413" w:rsidRDefault="002B0DBA" w:rsidP="00A634DE">
            <w:pPr>
              <w:numPr>
                <w:ilvl w:val="0"/>
                <w:numId w:val="44"/>
              </w:numPr>
              <w:tabs>
                <w:tab w:val="clear" w:pos="1247"/>
                <w:tab w:val="clear" w:pos="1814"/>
                <w:tab w:val="clear" w:pos="2381"/>
                <w:tab w:val="clear" w:pos="2948"/>
                <w:tab w:val="clear" w:pos="3515"/>
              </w:tabs>
              <w:spacing w:after="120" w:line="216" w:lineRule="auto"/>
              <w:rPr>
                <w:lang w:val="es-ES"/>
              </w:rPr>
            </w:pPr>
            <w:r w:rsidRPr="00051413">
              <w:rPr>
                <w:lang w:val="es-ES"/>
              </w:rPr>
              <w:t>Documento de decisión de la nueva evaluación (RRD 2004-11) forato, 13 de mayo de 2004;</w:t>
            </w:r>
          </w:p>
          <w:p w14:paraId="3DB6BB36" w14:textId="77777777" w:rsidR="002B0DBA" w:rsidRPr="00051413" w:rsidRDefault="002B0DBA" w:rsidP="00A634DE">
            <w:pPr>
              <w:numPr>
                <w:ilvl w:val="0"/>
                <w:numId w:val="44"/>
              </w:numPr>
              <w:tabs>
                <w:tab w:val="clear" w:pos="1247"/>
                <w:tab w:val="clear" w:pos="1814"/>
                <w:tab w:val="clear" w:pos="2381"/>
                <w:tab w:val="clear" w:pos="2948"/>
                <w:tab w:val="clear" w:pos="3515"/>
              </w:tabs>
              <w:spacing w:after="120" w:line="216" w:lineRule="auto"/>
              <w:rPr>
                <w:lang w:val="es-ES"/>
              </w:rPr>
            </w:pPr>
            <w:r w:rsidRPr="00051413">
              <w:rPr>
                <w:lang w:val="es-ES"/>
              </w:rPr>
              <w:t>Nota de nueva evaluación, REV2007-07, Update on the Use of Phorate on Potatoes (“Actualización sobre el uso de forato en patatas”), 5 de junio de 2007.</w:t>
            </w:r>
          </w:p>
        </w:tc>
      </w:tr>
      <w:tr w:rsidR="002B0DBA" w:rsidRPr="00051413" w14:paraId="11667C5D" w14:textId="77777777" w:rsidTr="00FE4699">
        <w:tc>
          <w:tcPr>
            <w:tcW w:w="567" w:type="dxa"/>
          </w:tcPr>
          <w:p w14:paraId="6D1F1029" w14:textId="77777777" w:rsidR="002B0DBA" w:rsidRPr="00051413" w:rsidRDefault="002B0DBA" w:rsidP="00A634DE">
            <w:pPr>
              <w:widowControl w:val="0"/>
              <w:spacing w:before="20" w:after="120" w:line="216" w:lineRule="auto"/>
              <w:rPr>
                <w:b/>
                <w:bCs/>
                <w:snapToGrid w:val="0"/>
                <w:lang w:val="es-ES"/>
              </w:rPr>
            </w:pPr>
            <w:r w:rsidRPr="00051413">
              <w:rPr>
                <w:b/>
                <w:bCs/>
                <w:lang w:val="es-ES"/>
              </w:rPr>
              <w:t>2</w:t>
            </w:r>
          </w:p>
        </w:tc>
        <w:tc>
          <w:tcPr>
            <w:tcW w:w="1531" w:type="dxa"/>
          </w:tcPr>
          <w:p w14:paraId="5BBBD853" w14:textId="77777777" w:rsidR="002B0DBA" w:rsidRPr="00051413" w:rsidRDefault="002B0DBA" w:rsidP="00A634DE">
            <w:pPr>
              <w:spacing w:before="20" w:after="120" w:line="216" w:lineRule="auto"/>
              <w:rPr>
                <w:b/>
                <w:bCs/>
                <w:lang w:val="es-ES"/>
              </w:rPr>
            </w:pPr>
            <w:r w:rsidRPr="00051413">
              <w:rPr>
                <w:b/>
                <w:lang w:val="es-ES"/>
              </w:rPr>
              <w:t>Detalles sucintos de la(s) medida(s) reglamentaria(s) firme(s)</w:t>
            </w:r>
          </w:p>
        </w:tc>
        <w:tc>
          <w:tcPr>
            <w:tcW w:w="6980" w:type="dxa"/>
          </w:tcPr>
          <w:p w14:paraId="5066C37D" w14:textId="0BC8F4DA" w:rsidR="002B0DBA" w:rsidRPr="00051413" w:rsidRDefault="002B0DBA" w:rsidP="00A634DE">
            <w:pPr>
              <w:spacing w:after="120" w:line="216" w:lineRule="auto"/>
              <w:rPr>
                <w:i/>
                <w:lang w:val="es-ES"/>
              </w:rPr>
            </w:pPr>
            <w:r w:rsidRPr="00051413">
              <w:rPr>
                <w:lang w:val="es-ES"/>
              </w:rPr>
              <w:t xml:space="preserve">El uso del forato y los productos asociados de uso final (PF) conllevan un riesgo inaceptable de daños al medio ambiente conforme al artículo 20 del reglamento canadiense sobre productos para el control de plagas (PCP). Como consecuencia, </w:t>
            </w:r>
            <w:r w:rsidR="0016510A" w:rsidRPr="00051413">
              <w:rPr>
                <w:lang w:val="es-ES"/>
              </w:rPr>
              <w:t>el </w:t>
            </w:r>
            <w:r w:rsidRPr="00051413">
              <w:rPr>
                <w:lang w:val="es-ES"/>
              </w:rPr>
              <w:t>PMRA determinó que debían eliminarse todos los usos de forato. Debido a la falta de alternativas al forato para el control del gusano alambre en cultivos de patatas, se permitió continuar su registro solo para este fin, con medidas provisionales de alivio destinadas a proteger a los trabajadores (controles de ingeniería, requisitos relativos al equipo de protección personal (EPP) extra y medio ambiente (declaración ambiental en la etiqueta).</w:t>
            </w:r>
          </w:p>
        </w:tc>
      </w:tr>
      <w:tr w:rsidR="002B0DBA" w:rsidRPr="00051413" w14:paraId="43954F48" w14:textId="77777777" w:rsidTr="00FE4699">
        <w:tc>
          <w:tcPr>
            <w:tcW w:w="567" w:type="dxa"/>
          </w:tcPr>
          <w:p w14:paraId="23BDA91E" w14:textId="77777777" w:rsidR="002B0DBA" w:rsidRPr="00051413" w:rsidRDefault="002B0DBA" w:rsidP="00A634DE">
            <w:pPr>
              <w:widowControl w:val="0"/>
              <w:spacing w:before="20" w:after="120" w:line="216" w:lineRule="auto"/>
              <w:rPr>
                <w:b/>
                <w:bCs/>
                <w:snapToGrid w:val="0"/>
                <w:lang w:val="es-ES"/>
              </w:rPr>
            </w:pPr>
            <w:r w:rsidRPr="00051413">
              <w:rPr>
                <w:b/>
                <w:bCs/>
                <w:lang w:val="es-ES"/>
              </w:rPr>
              <w:t>3</w:t>
            </w:r>
          </w:p>
        </w:tc>
        <w:tc>
          <w:tcPr>
            <w:tcW w:w="1531" w:type="dxa"/>
          </w:tcPr>
          <w:p w14:paraId="3E0DB99E" w14:textId="61F6D5D5" w:rsidR="002B0DBA" w:rsidRPr="00051413" w:rsidRDefault="002B0DBA" w:rsidP="00A634DE">
            <w:pPr>
              <w:spacing w:before="20" w:after="120" w:line="216" w:lineRule="auto"/>
              <w:rPr>
                <w:b/>
                <w:bCs/>
                <w:lang w:val="es-ES"/>
              </w:rPr>
            </w:pPr>
            <w:r w:rsidRPr="00051413">
              <w:rPr>
                <w:b/>
                <w:lang w:val="es-ES"/>
              </w:rPr>
              <w:t>Razones para la</w:t>
            </w:r>
            <w:r w:rsidR="00985D51" w:rsidRPr="00051413">
              <w:rPr>
                <w:b/>
                <w:lang w:val="es-ES"/>
              </w:rPr>
              <w:t> </w:t>
            </w:r>
            <w:r w:rsidRPr="00051413">
              <w:rPr>
                <w:b/>
                <w:lang w:val="es-ES"/>
              </w:rPr>
              <w:t>adopción de</w:t>
            </w:r>
            <w:r w:rsidR="00985D51" w:rsidRPr="00051413">
              <w:rPr>
                <w:b/>
                <w:lang w:val="es-ES"/>
              </w:rPr>
              <w:t> </w:t>
            </w:r>
            <w:r w:rsidRPr="00051413">
              <w:rPr>
                <w:b/>
                <w:lang w:val="es-ES"/>
              </w:rPr>
              <w:t>medidas</w:t>
            </w:r>
          </w:p>
        </w:tc>
        <w:tc>
          <w:tcPr>
            <w:tcW w:w="6980" w:type="dxa"/>
          </w:tcPr>
          <w:p w14:paraId="2F96B472" w14:textId="5A826CFE" w:rsidR="002B0DBA" w:rsidRPr="00051413" w:rsidRDefault="002B0DBA" w:rsidP="00A634DE">
            <w:pPr>
              <w:spacing w:before="20" w:after="120" w:line="216" w:lineRule="auto"/>
              <w:rPr>
                <w:lang w:val="es-ES"/>
              </w:rPr>
            </w:pPr>
            <w:r w:rsidRPr="00051413">
              <w:rPr>
                <w:lang w:val="es-ES"/>
              </w:rPr>
              <w:t>Medio ambiente: un riesgo inaceptable de daños al medio ambiente</w:t>
            </w:r>
          </w:p>
        </w:tc>
      </w:tr>
      <w:tr w:rsidR="002B0DBA" w:rsidRPr="00051413" w14:paraId="230FD736" w14:textId="77777777" w:rsidTr="00FE4699">
        <w:tc>
          <w:tcPr>
            <w:tcW w:w="567" w:type="dxa"/>
          </w:tcPr>
          <w:p w14:paraId="520F5D23" w14:textId="77777777" w:rsidR="002B0DBA" w:rsidRPr="00051413" w:rsidRDefault="002B0DBA" w:rsidP="00A634DE">
            <w:pPr>
              <w:widowControl w:val="0"/>
              <w:spacing w:before="20" w:after="120" w:line="216" w:lineRule="auto"/>
              <w:rPr>
                <w:b/>
                <w:bCs/>
                <w:snapToGrid w:val="0"/>
                <w:lang w:val="es-ES"/>
              </w:rPr>
            </w:pPr>
            <w:r w:rsidRPr="00051413">
              <w:rPr>
                <w:b/>
                <w:bCs/>
                <w:lang w:val="es-ES"/>
              </w:rPr>
              <w:t>4</w:t>
            </w:r>
          </w:p>
        </w:tc>
        <w:tc>
          <w:tcPr>
            <w:tcW w:w="1531" w:type="dxa"/>
          </w:tcPr>
          <w:p w14:paraId="3274FBB4" w14:textId="77777777" w:rsidR="002B0DBA" w:rsidRPr="00051413" w:rsidRDefault="002B0DBA" w:rsidP="00A634DE">
            <w:pPr>
              <w:spacing w:before="20" w:after="120" w:line="216" w:lineRule="auto"/>
              <w:rPr>
                <w:b/>
                <w:bCs/>
                <w:lang w:val="es-ES"/>
              </w:rPr>
            </w:pPr>
            <w:r w:rsidRPr="00051413">
              <w:rPr>
                <w:b/>
                <w:bCs/>
                <w:lang w:val="es-ES"/>
              </w:rPr>
              <w:t>Fundamentos para la inclusión en el anexo III</w:t>
            </w:r>
          </w:p>
        </w:tc>
        <w:tc>
          <w:tcPr>
            <w:tcW w:w="6980" w:type="dxa"/>
          </w:tcPr>
          <w:p w14:paraId="4CE9091F" w14:textId="334E455E" w:rsidR="002B0DBA" w:rsidRPr="00051413" w:rsidRDefault="002B0DBA" w:rsidP="00A634DE">
            <w:pPr>
              <w:spacing w:before="20" w:after="120" w:line="216" w:lineRule="auto"/>
              <w:rPr>
                <w:lang w:val="es-ES"/>
              </w:rPr>
            </w:pPr>
            <w:r w:rsidRPr="00051413">
              <w:rPr>
                <w:lang w:val="es-ES"/>
              </w:rPr>
              <w:t xml:space="preserve">La medida reglamentaria firme de prohibir el forato se fundamentó en una evaluación del riesgo en la que se tuvieron en cuenta las condiciones locales </w:t>
            </w:r>
            <w:r w:rsidR="0016510A" w:rsidRPr="00051413">
              <w:rPr>
                <w:lang w:val="es-ES"/>
              </w:rPr>
              <w:t>del </w:t>
            </w:r>
            <w:r w:rsidRPr="00051413">
              <w:rPr>
                <w:lang w:val="es-ES"/>
              </w:rPr>
              <w:t>Canadá.</w:t>
            </w:r>
          </w:p>
        </w:tc>
      </w:tr>
      <w:tr w:rsidR="002B0DBA" w:rsidRPr="00051413" w14:paraId="32906505" w14:textId="77777777" w:rsidTr="00FE4699">
        <w:tc>
          <w:tcPr>
            <w:tcW w:w="567" w:type="dxa"/>
          </w:tcPr>
          <w:p w14:paraId="31BFEA24" w14:textId="77777777" w:rsidR="002B0DBA" w:rsidRPr="00051413" w:rsidRDefault="002B0DBA" w:rsidP="00A634DE">
            <w:pPr>
              <w:widowControl w:val="0"/>
              <w:spacing w:before="20" w:after="120" w:line="216" w:lineRule="auto"/>
              <w:rPr>
                <w:b/>
                <w:bCs/>
                <w:snapToGrid w:val="0"/>
                <w:lang w:val="es-ES"/>
              </w:rPr>
            </w:pPr>
            <w:r w:rsidRPr="00051413">
              <w:rPr>
                <w:b/>
                <w:bCs/>
                <w:lang w:val="es-ES"/>
              </w:rPr>
              <w:t>4.1</w:t>
            </w:r>
          </w:p>
        </w:tc>
        <w:tc>
          <w:tcPr>
            <w:tcW w:w="1531" w:type="dxa"/>
          </w:tcPr>
          <w:p w14:paraId="2A863169" w14:textId="77777777" w:rsidR="002B0DBA" w:rsidRPr="00051413" w:rsidRDefault="002B0DBA" w:rsidP="00A634DE">
            <w:pPr>
              <w:spacing w:before="20" w:after="120" w:line="216" w:lineRule="auto"/>
              <w:rPr>
                <w:b/>
                <w:lang w:val="es-ES"/>
              </w:rPr>
            </w:pPr>
            <w:r w:rsidRPr="00051413">
              <w:rPr>
                <w:b/>
                <w:bCs/>
                <w:lang w:val="es-ES"/>
              </w:rPr>
              <w:t>Evaluación de los riesgos</w:t>
            </w:r>
          </w:p>
        </w:tc>
        <w:tc>
          <w:tcPr>
            <w:tcW w:w="6980" w:type="dxa"/>
          </w:tcPr>
          <w:p w14:paraId="792243CF" w14:textId="7D25FABF" w:rsidR="002B0DBA" w:rsidRPr="00051413" w:rsidRDefault="002B0DBA" w:rsidP="00A634DE">
            <w:pPr>
              <w:spacing w:before="20" w:after="120" w:line="216" w:lineRule="auto"/>
              <w:rPr>
                <w:lang w:val="es-ES"/>
              </w:rPr>
            </w:pPr>
            <w:r w:rsidRPr="00051413">
              <w:rPr>
                <w:lang w:val="es-ES"/>
              </w:rPr>
              <w:t xml:space="preserve">El forato es altamente tóxico para todas las especies terrestres y acuáticas que se han sometido a ensayo. Los informes de incidentes de mortalidad de aves y mamíferos en el Canadá, los Estados Unidos de América y el Reino Unido de Gran Bretaña e Irlanda del Norte respaldan la conclusión de que el forato presenta un riesgo significativo para las aves y la fauna y flora silvestres. Los tratamientos masivos en superficie presentan el máximo riesgo, debido a la gran cantidad de gránulos expuestos en la superficie. Si bien se espera que la incorporación al suelo reduzca el riesgo de exposición terrestre y acuática, sigue presentando un riesgo importante debido a que los gránulos no incorporados permanecen expuestos en la superficie. El riesgo que plantea para las aves y los mamíferos de pequeño y mediano tamaño sigue siendo alto a muy alto utilizando cualquiera de los dos métodos de tratamiento. Debido a su toxicidad extrema para todos los organismos sometidos a ensayo, al riesgo muy alto para las aves y los mamíferos de tamaño mediano y más pequeño, a los informes de incidentes de la mortalidad de aves y mamíferos (entre ellos los grandes rapaces en el Canadá), además de la persistencia y movilidad de los productos tóxicos de la transformación de sulfóxidos y sulfona, el Canadá ha llegado a la conclusión de que el uso de forato en el país presenta un riesgo alto </w:t>
            </w:r>
            <w:r w:rsidR="005D7543" w:rsidRPr="00051413">
              <w:rPr>
                <w:lang w:val="es-ES"/>
              </w:rPr>
              <w:t>para </w:t>
            </w:r>
            <w:r w:rsidRPr="00051413">
              <w:rPr>
                <w:lang w:val="es-ES"/>
              </w:rPr>
              <w:t xml:space="preserve">el medio ambiente. En la documentación justificativa proporcionada el </w:t>
            </w:r>
            <w:r w:rsidR="005D7543" w:rsidRPr="00051413">
              <w:rPr>
                <w:lang w:val="es-ES"/>
              </w:rPr>
              <w:t>Canadá </w:t>
            </w:r>
            <w:r w:rsidRPr="00051413">
              <w:rPr>
                <w:lang w:val="es-ES"/>
              </w:rPr>
              <w:t>se suministró también información adicional sobre la toxicidad para los organismos acuáticos.</w:t>
            </w:r>
          </w:p>
        </w:tc>
      </w:tr>
      <w:tr w:rsidR="002B0DBA" w:rsidRPr="00051413" w14:paraId="66968FA0" w14:textId="77777777" w:rsidTr="00FE4699">
        <w:tc>
          <w:tcPr>
            <w:tcW w:w="567" w:type="dxa"/>
          </w:tcPr>
          <w:p w14:paraId="68803E5D" w14:textId="77777777" w:rsidR="002B0DBA" w:rsidRPr="00051413" w:rsidRDefault="002B0DBA" w:rsidP="00A634DE">
            <w:pPr>
              <w:spacing w:before="20" w:after="120" w:line="216" w:lineRule="auto"/>
              <w:rPr>
                <w:b/>
                <w:bCs/>
                <w:snapToGrid w:val="0"/>
                <w:lang w:val="es-ES"/>
              </w:rPr>
            </w:pPr>
            <w:r w:rsidRPr="00051413">
              <w:rPr>
                <w:b/>
                <w:bCs/>
                <w:lang w:val="es-ES"/>
              </w:rPr>
              <w:t>4.2</w:t>
            </w:r>
          </w:p>
        </w:tc>
        <w:tc>
          <w:tcPr>
            <w:tcW w:w="1531" w:type="dxa"/>
          </w:tcPr>
          <w:p w14:paraId="1AE575EA" w14:textId="77777777" w:rsidR="002B0DBA" w:rsidRPr="00051413" w:rsidRDefault="002B0DBA" w:rsidP="00A634DE">
            <w:pPr>
              <w:spacing w:before="20" w:after="120" w:line="216" w:lineRule="auto"/>
              <w:rPr>
                <w:b/>
                <w:lang w:val="es-ES"/>
              </w:rPr>
            </w:pPr>
            <w:r w:rsidRPr="00051413">
              <w:rPr>
                <w:b/>
                <w:bCs/>
                <w:lang w:val="es-ES"/>
              </w:rPr>
              <w:t>Criterios aplicados</w:t>
            </w:r>
          </w:p>
        </w:tc>
        <w:tc>
          <w:tcPr>
            <w:tcW w:w="6980" w:type="dxa"/>
          </w:tcPr>
          <w:p w14:paraId="6FE95CB5" w14:textId="6F835AA7" w:rsidR="002B0DBA" w:rsidRPr="00051413" w:rsidRDefault="002B0DBA" w:rsidP="00A634DE">
            <w:pPr>
              <w:spacing w:before="20" w:after="120" w:line="216" w:lineRule="auto"/>
              <w:rPr>
                <w:iCs/>
                <w:lang w:val="es-ES"/>
              </w:rPr>
            </w:pPr>
            <w:r w:rsidRPr="00051413">
              <w:rPr>
                <w:lang w:val="es-ES"/>
              </w:rPr>
              <w:t>Riesgos para el medio ambiente</w:t>
            </w:r>
          </w:p>
        </w:tc>
      </w:tr>
      <w:tr w:rsidR="002B0DBA" w:rsidRPr="00051413" w14:paraId="29755DCD" w14:textId="77777777" w:rsidTr="00FE4699">
        <w:tc>
          <w:tcPr>
            <w:tcW w:w="567" w:type="dxa"/>
          </w:tcPr>
          <w:p w14:paraId="3910E157" w14:textId="77777777" w:rsidR="002B0DBA" w:rsidRPr="00051413" w:rsidRDefault="002B0DBA" w:rsidP="00A634DE">
            <w:pPr>
              <w:widowControl w:val="0"/>
              <w:spacing w:before="20" w:after="120" w:line="216" w:lineRule="auto"/>
              <w:rPr>
                <w:b/>
                <w:bCs/>
                <w:snapToGrid w:val="0"/>
                <w:lang w:val="es-ES"/>
              </w:rPr>
            </w:pPr>
          </w:p>
        </w:tc>
        <w:tc>
          <w:tcPr>
            <w:tcW w:w="1531" w:type="dxa"/>
          </w:tcPr>
          <w:p w14:paraId="57A195E1" w14:textId="77777777" w:rsidR="002B0DBA" w:rsidRPr="00051413" w:rsidRDefault="002B0DBA" w:rsidP="00A634DE">
            <w:pPr>
              <w:spacing w:before="20" w:after="120" w:line="216" w:lineRule="auto"/>
              <w:rPr>
                <w:b/>
                <w:lang w:val="es-ES"/>
              </w:rPr>
            </w:pPr>
            <w:r w:rsidRPr="00051413">
              <w:rPr>
                <w:b/>
                <w:bCs/>
                <w:lang w:val="es-ES"/>
              </w:rPr>
              <w:t>Importancia para otros Estados y para la región</w:t>
            </w:r>
          </w:p>
        </w:tc>
        <w:tc>
          <w:tcPr>
            <w:tcW w:w="6980" w:type="dxa"/>
          </w:tcPr>
          <w:p w14:paraId="6CFFB952" w14:textId="77777777" w:rsidR="002B0DBA" w:rsidRPr="00051413" w:rsidRDefault="002B0DBA" w:rsidP="00A634DE">
            <w:pPr>
              <w:spacing w:before="20" w:after="120" w:line="216" w:lineRule="auto"/>
              <w:rPr>
                <w:lang w:val="es-ES"/>
              </w:rPr>
            </w:pPr>
            <w:r w:rsidRPr="00051413">
              <w:rPr>
                <w:lang w:val="es-ES"/>
              </w:rPr>
              <w:t>Probablemente se encuentren inquietudes similares en otros países en los que se utiliza la sustancia, especialmente en países en desarrollo.</w:t>
            </w:r>
          </w:p>
        </w:tc>
      </w:tr>
      <w:tr w:rsidR="002B0DBA" w:rsidRPr="00051413" w14:paraId="75C47D99" w14:textId="77777777" w:rsidTr="00FE4699">
        <w:tc>
          <w:tcPr>
            <w:tcW w:w="567" w:type="dxa"/>
          </w:tcPr>
          <w:p w14:paraId="169C413D" w14:textId="77777777" w:rsidR="002B0DBA" w:rsidRPr="00051413" w:rsidRDefault="002B0DBA" w:rsidP="00A634DE">
            <w:pPr>
              <w:widowControl w:val="0"/>
              <w:spacing w:before="20" w:after="120" w:line="216" w:lineRule="auto"/>
              <w:rPr>
                <w:b/>
                <w:bCs/>
                <w:snapToGrid w:val="0"/>
                <w:lang w:val="es-ES"/>
              </w:rPr>
            </w:pPr>
            <w:r w:rsidRPr="00051413">
              <w:rPr>
                <w:b/>
                <w:bCs/>
                <w:lang w:val="es-ES"/>
              </w:rPr>
              <w:t>5</w:t>
            </w:r>
          </w:p>
        </w:tc>
        <w:tc>
          <w:tcPr>
            <w:tcW w:w="1531" w:type="dxa"/>
          </w:tcPr>
          <w:p w14:paraId="037F8ABE" w14:textId="77777777" w:rsidR="002B0DBA" w:rsidRPr="00051413" w:rsidRDefault="002B0DBA" w:rsidP="00A634DE">
            <w:pPr>
              <w:spacing w:before="20" w:after="120" w:line="216" w:lineRule="auto"/>
              <w:rPr>
                <w:b/>
                <w:bCs/>
                <w:lang w:val="es-ES"/>
              </w:rPr>
            </w:pPr>
            <w:r w:rsidRPr="00051413">
              <w:rPr>
                <w:b/>
                <w:bCs/>
                <w:lang w:val="es-ES"/>
              </w:rPr>
              <w:t>Alternativas</w:t>
            </w:r>
          </w:p>
        </w:tc>
        <w:tc>
          <w:tcPr>
            <w:tcW w:w="6980" w:type="dxa"/>
          </w:tcPr>
          <w:p w14:paraId="4EFA5CBC" w14:textId="13227A2A" w:rsidR="002B0DBA" w:rsidRPr="00051413" w:rsidRDefault="002B0DBA" w:rsidP="00A634DE">
            <w:pPr>
              <w:spacing w:before="20" w:after="120" w:line="216" w:lineRule="auto"/>
              <w:rPr>
                <w:lang w:val="es-ES"/>
              </w:rPr>
            </w:pPr>
            <w:r w:rsidRPr="00051413">
              <w:rPr>
                <w:lang w:val="es-ES"/>
              </w:rPr>
              <w:t>Véase la sección 3.3</w:t>
            </w:r>
          </w:p>
        </w:tc>
      </w:tr>
      <w:tr w:rsidR="002B0DBA" w:rsidRPr="00051413" w14:paraId="51E8B39E" w14:textId="77777777" w:rsidTr="00FE4699">
        <w:tc>
          <w:tcPr>
            <w:tcW w:w="567" w:type="dxa"/>
          </w:tcPr>
          <w:p w14:paraId="0E13469A" w14:textId="77777777" w:rsidR="002B0DBA" w:rsidRPr="00051413" w:rsidRDefault="002B0DBA" w:rsidP="00A634DE">
            <w:pPr>
              <w:widowControl w:val="0"/>
              <w:spacing w:before="20" w:after="120" w:line="216" w:lineRule="auto"/>
              <w:rPr>
                <w:b/>
                <w:bCs/>
                <w:snapToGrid w:val="0"/>
                <w:lang w:val="es-ES"/>
              </w:rPr>
            </w:pPr>
            <w:r w:rsidRPr="00051413">
              <w:rPr>
                <w:b/>
                <w:bCs/>
                <w:lang w:val="es-ES"/>
              </w:rPr>
              <w:t>6</w:t>
            </w:r>
          </w:p>
        </w:tc>
        <w:tc>
          <w:tcPr>
            <w:tcW w:w="1531" w:type="dxa"/>
          </w:tcPr>
          <w:p w14:paraId="14884AB4" w14:textId="77777777" w:rsidR="002B0DBA" w:rsidRPr="00051413" w:rsidRDefault="002B0DBA" w:rsidP="00A634DE">
            <w:pPr>
              <w:spacing w:before="20" w:after="120" w:line="216" w:lineRule="auto"/>
              <w:rPr>
                <w:b/>
                <w:bCs/>
                <w:lang w:val="es-ES"/>
              </w:rPr>
            </w:pPr>
            <w:r w:rsidRPr="00051413">
              <w:rPr>
                <w:b/>
                <w:bCs/>
                <w:lang w:val="es-ES"/>
              </w:rPr>
              <w:t>Gestión de los desechos</w:t>
            </w:r>
          </w:p>
        </w:tc>
        <w:tc>
          <w:tcPr>
            <w:tcW w:w="6980" w:type="dxa"/>
          </w:tcPr>
          <w:p w14:paraId="4BA69D2D" w14:textId="138FE03F" w:rsidR="002B0DBA" w:rsidRPr="00051413" w:rsidRDefault="002B0DBA" w:rsidP="00A634DE">
            <w:pPr>
              <w:widowControl w:val="0"/>
              <w:spacing w:before="20" w:after="120" w:line="216" w:lineRule="auto"/>
              <w:rPr>
                <w:snapToGrid w:val="0"/>
                <w:lang w:val="es-ES"/>
              </w:rPr>
            </w:pPr>
            <w:r w:rsidRPr="00051413">
              <w:rPr>
                <w:lang w:val="es-ES"/>
              </w:rPr>
              <w:t>No se han comunicado</w:t>
            </w:r>
          </w:p>
        </w:tc>
      </w:tr>
      <w:tr w:rsidR="002B0DBA" w:rsidRPr="00051413" w14:paraId="34A92BA9" w14:textId="77777777" w:rsidTr="00FE4699">
        <w:tc>
          <w:tcPr>
            <w:tcW w:w="567" w:type="dxa"/>
          </w:tcPr>
          <w:p w14:paraId="673FA04B" w14:textId="77777777" w:rsidR="002B0DBA" w:rsidRPr="00051413" w:rsidRDefault="002B0DBA" w:rsidP="00A634DE">
            <w:pPr>
              <w:widowControl w:val="0"/>
              <w:spacing w:before="20" w:after="120" w:line="216" w:lineRule="auto"/>
              <w:rPr>
                <w:b/>
                <w:bCs/>
                <w:snapToGrid w:val="0"/>
                <w:lang w:val="es-ES"/>
              </w:rPr>
            </w:pPr>
            <w:r w:rsidRPr="00051413">
              <w:rPr>
                <w:b/>
                <w:bCs/>
                <w:lang w:val="es-ES"/>
              </w:rPr>
              <w:t>7</w:t>
            </w:r>
          </w:p>
        </w:tc>
        <w:tc>
          <w:tcPr>
            <w:tcW w:w="1531" w:type="dxa"/>
          </w:tcPr>
          <w:p w14:paraId="0EF54CAB" w14:textId="77777777" w:rsidR="002B0DBA" w:rsidRPr="00051413" w:rsidRDefault="002B0DBA" w:rsidP="00A634DE">
            <w:pPr>
              <w:spacing w:before="20" w:after="120" w:line="216" w:lineRule="auto"/>
              <w:ind w:left="288" w:hanging="288"/>
              <w:rPr>
                <w:b/>
                <w:snapToGrid w:val="0"/>
                <w:lang w:val="es-ES"/>
              </w:rPr>
            </w:pPr>
            <w:r w:rsidRPr="00051413">
              <w:rPr>
                <w:b/>
                <w:bCs/>
                <w:lang w:val="es-ES"/>
              </w:rPr>
              <w:t>Otros</w:t>
            </w:r>
          </w:p>
        </w:tc>
        <w:tc>
          <w:tcPr>
            <w:tcW w:w="6980" w:type="dxa"/>
          </w:tcPr>
          <w:p w14:paraId="738AF36A" w14:textId="54065667" w:rsidR="002B0DBA" w:rsidRPr="00051413" w:rsidRDefault="00183AE4" w:rsidP="00A634DE">
            <w:pPr>
              <w:tabs>
                <w:tab w:val="left" w:pos="720"/>
                <w:tab w:val="center" w:pos="4320"/>
                <w:tab w:val="right" w:pos="8640"/>
              </w:tabs>
              <w:spacing w:after="120" w:line="216" w:lineRule="auto"/>
              <w:rPr>
                <w:snapToGrid w:val="0"/>
                <w:lang w:val="es-ES"/>
              </w:rPr>
            </w:pPr>
            <w:r w:rsidRPr="00051413">
              <w:rPr>
                <w:lang w:val="es-ES"/>
              </w:rPr>
              <w:t>No se han comunicado</w:t>
            </w:r>
          </w:p>
        </w:tc>
      </w:tr>
    </w:tbl>
    <w:p w14:paraId="72654BCC" w14:textId="6A49930E" w:rsidR="002B0DBA" w:rsidRPr="00900014" w:rsidRDefault="002B0DBA" w:rsidP="002B0DBA">
      <w:pPr>
        <w:rPr>
          <w:lang w:val="es-ES"/>
        </w:rPr>
      </w:pPr>
    </w:p>
    <w:tbl>
      <w:tblPr>
        <w:tblW w:w="9240" w:type="dxa"/>
        <w:tblInd w:w="108" w:type="dxa"/>
        <w:tblBorders>
          <w:top w:val="single" w:sz="6" w:space="0" w:color="808080"/>
          <w:left w:val="single" w:sz="6" w:space="0" w:color="808080"/>
          <w:bottom w:val="single" w:sz="6" w:space="0" w:color="808080"/>
          <w:right w:val="single" w:sz="6" w:space="0" w:color="808080"/>
        </w:tblBorders>
        <w:tblLayout w:type="fixed"/>
        <w:tblLook w:val="04A0" w:firstRow="1" w:lastRow="0" w:firstColumn="1" w:lastColumn="0" w:noHBand="0" w:noVBand="1"/>
      </w:tblPr>
      <w:tblGrid>
        <w:gridCol w:w="5292"/>
        <w:gridCol w:w="3948"/>
      </w:tblGrid>
      <w:tr w:rsidR="002B0DBA" w:rsidRPr="00FE4699" w14:paraId="7F99C627" w14:textId="77777777" w:rsidTr="002B0DBA">
        <w:trPr>
          <w:cantSplit/>
        </w:trPr>
        <w:tc>
          <w:tcPr>
            <w:tcW w:w="9240" w:type="dxa"/>
            <w:gridSpan w:val="2"/>
            <w:tcBorders>
              <w:top w:val="single" w:sz="6" w:space="0" w:color="808080"/>
              <w:left w:val="single" w:sz="6" w:space="0" w:color="808080"/>
              <w:bottom w:val="single" w:sz="6" w:space="0" w:color="808080"/>
              <w:right w:val="single" w:sz="6" w:space="0" w:color="808080"/>
            </w:tcBorders>
            <w:shd w:val="pct12" w:color="000000" w:fill="FFFFFF"/>
            <w:hideMark/>
          </w:tcPr>
          <w:p w14:paraId="3319CB52" w14:textId="77777777" w:rsidR="002B0DBA" w:rsidRPr="00FE4699" w:rsidRDefault="002B0DBA" w:rsidP="002B0DBA">
            <w:pPr>
              <w:spacing w:before="40" w:after="60"/>
              <w:outlineLvl w:val="0"/>
              <w:rPr>
                <w:b/>
                <w:bCs/>
                <w:kern w:val="28"/>
                <w:lang w:val="es-ES"/>
              </w:rPr>
            </w:pPr>
            <w:r w:rsidRPr="00FE4699">
              <w:rPr>
                <w:b/>
                <w:bCs/>
                <w:kern w:val="28"/>
                <w:lang w:val="es-ES"/>
              </w:rPr>
              <w:br w:type="page"/>
            </w:r>
            <w:r w:rsidRPr="00FE4699">
              <w:rPr>
                <w:b/>
                <w:bCs/>
                <w:snapToGrid w:val="0"/>
                <w:kern w:val="28"/>
                <w:lang w:val="es-ES"/>
              </w:rPr>
              <w:br w:type="page"/>
            </w:r>
            <w:r w:rsidRPr="00FE4699">
              <w:rPr>
                <w:b/>
                <w:bCs/>
                <w:kern w:val="28"/>
                <w:lang w:val="es-ES"/>
              </w:rPr>
              <w:br w:type="page"/>
            </w:r>
            <w:r w:rsidRPr="00FE4699">
              <w:rPr>
                <w:b/>
                <w:bCs/>
                <w:kern w:val="28"/>
                <w:lang w:val="es-ES"/>
              </w:rPr>
              <w:br w:type="page"/>
            </w:r>
            <w:r w:rsidRPr="00FE4699">
              <w:rPr>
                <w:b/>
                <w:bCs/>
                <w:kern w:val="28"/>
                <w:lang w:val="es-ES"/>
              </w:rPr>
              <w:br w:type="page"/>
              <w:t>Anexo 3 – Direcciones de las autoridades nacionales designadas</w:t>
            </w:r>
          </w:p>
        </w:tc>
      </w:tr>
      <w:tr w:rsidR="002B0DBA" w:rsidRPr="00FE4699" w14:paraId="2C922BFC" w14:textId="77777777" w:rsidTr="002B0DBA">
        <w:trPr>
          <w:cantSplit/>
        </w:trPr>
        <w:tc>
          <w:tcPr>
            <w:tcW w:w="9240" w:type="dxa"/>
            <w:gridSpan w:val="2"/>
            <w:tcBorders>
              <w:top w:val="single" w:sz="6" w:space="0" w:color="auto"/>
              <w:left w:val="single" w:sz="6" w:space="0" w:color="auto"/>
              <w:bottom w:val="single" w:sz="6" w:space="0" w:color="auto"/>
              <w:right w:val="single" w:sz="6" w:space="0" w:color="auto"/>
            </w:tcBorders>
            <w:hideMark/>
          </w:tcPr>
          <w:p w14:paraId="4953BD4E" w14:textId="77777777" w:rsidR="002B0DBA" w:rsidRPr="00FE4699" w:rsidRDefault="002B0DBA" w:rsidP="002B0DBA">
            <w:pPr>
              <w:widowControl w:val="0"/>
              <w:spacing w:before="80"/>
              <w:rPr>
                <w:b/>
                <w:bCs/>
                <w:i/>
                <w:snapToGrid w:val="0"/>
              </w:rPr>
            </w:pPr>
            <w:r w:rsidRPr="00FE4699">
              <w:rPr>
                <w:b/>
                <w:bCs/>
                <w:i/>
                <w:snapToGrid w:val="0"/>
              </w:rPr>
              <w:t>BRAZIL</w:t>
            </w:r>
          </w:p>
        </w:tc>
      </w:tr>
      <w:tr w:rsidR="002B0DBA" w:rsidRPr="00FE4699" w14:paraId="623DC861" w14:textId="77777777" w:rsidTr="002B0DBA">
        <w:trPr>
          <w:cantSplit/>
        </w:trPr>
        <w:tc>
          <w:tcPr>
            <w:tcW w:w="5292" w:type="dxa"/>
            <w:tcBorders>
              <w:top w:val="nil"/>
              <w:left w:val="nil"/>
              <w:bottom w:val="nil"/>
              <w:right w:val="single" w:sz="4" w:space="0" w:color="auto"/>
            </w:tcBorders>
          </w:tcPr>
          <w:p w14:paraId="7EAE236E" w14:textId="77777777" w:rsidR="002B0DBA" w:rsidRPr="00FE4699" w:rsidRDefault="002B0DBA" w:rsidP="002B0DBA">
            <w:r w:rsidRPr="00FE4699">
              <w:t>Role: DNA CP*</w:t>
            </w:r>
          </w:p>
          <w:p w14:paraId="79923EB3" w14:textId="77777777" w:rsidR="002B0DBA" w:rsidRPr="00FE4699" w:rsidRDefault="002B0DBA" w:rsidP="002B0DBA">
            <w:r w:rsidRPr="00FE4699">
              <w:t xml:space="preserve">Name: Mr. Reinaldo Salgado </w:t>
            </w:r>
          </w:p>
          <w:p w14:paraId="7A7C5016" w14:textId="77777777" w:rsidR="002B0DBA" w:rsidRPr="00FE4699" w:rsidRDefault="002B0DBA" w:rsidP="002B0DBA">
            <w:r w:rsidRPr="00FE4699">
              <w:t xml:space="preserve">Job title: Director </w:t>
            </w:r>
          </w:p>
          <w:p w14:paraId="0E194DF6" w14:textId="77777777" w:rsidR="002B0DBA" w:rsidRPr="00FE4699" w:rsidRDefault="002B0DBA" w:rsidP="002B0DBA">
            <w:r w:rsidRPr="00FE4699">
              <w:t xml:space="preserve">Department: Department for Environmental Sustainability </w:t>
            </w:r>
          </w:p>
          <w:p w14:paraId="7BD0947B" w14:textId="77777777" w:rsidR="002B0DBA" w:rsidRPr="00FE4699" w:rsidRDefault="002B0DBA" w:rsidP="002B0DBA">
            <w:r w:rsidRPr="00FE4699">
              <w:t xml:space="preserve">Institution: Ministry of Foreign Affairs </w:t>
            </w:r>
          </w:p>
          <w:p w14:paraId="0BDD22C8" w14:textId="77777777" w:rsidR="002B0DBA" w:rsidRPr="00FE4699" w:rsidRDefault="002B0DBA" w:rsidP="002B0DBA">
            <w:pPr>
              <w:rPr>
                <w:lang w:val="es-ES"/>
              </w:rPr>
            </w:pPr>
            <w:r w:rsidRPr="00FE4699">
              <w:rPr>
                <w:lang w:val="es-ES"/>
              </w:rPr>
              <w:t>Postal address: Esplanada dos Ministerios</w:t>
            </w:r>
          </w:p>
          <w:p w14:paraId="3D8BFBF1" w14:textId="77777777" w:rsidR="002B0DBA" w:rsidRPr="00FE4699" w:rsidRDefault="002B0DBA" w:rsidP="002B0DBA">
            <w:pPr>
              <w:rPr>
                <w:lang w:val="pt-BR"/>
              </w:rPr>
            </w:pPr>
            <w:r w:rsidRPr="00FE4699">
              <w:rPr>
                <w:lang w:val="pt-BR"/>
              </w:rPr>
              <w:t>Bloco H, Anexo II, Sala 204</w:t>
            </w:r>
          </w:p>
          <w:p w14:paraId="3E4D299D" w14:textId="77777777" w:rsidR="002B0DBA" w:rsidRPr="00FE4699" w:rsidRDefault="002B0DBA" w:rsidP="002B0DBA">
            <w:r w:rsidRPr="00FE4699">
              <w:t>70170-900 Brasilia D.F.</w:t>
            </w:r>
          </w:p>
          <w:p w14:paraId="31423671" w14:textId="77777777" w:rsidR="002B0DBA" w:rsidRPr="00FE4699" w:rsidRDefault="002B0DBA" w:rsidP="002B0DBA">
            <w:pPr>
              <w:spacing w:after="120"/>
            </w:pPr>
            <w:r w:rsidRPr="00FE4699">
              <w:t xml:space="preserve">Brazil </w:t>
            </w:r>
          </w:p>
        </w:tc>
        <w:tc>
          <w:tcPr>
            <w:tcW w:w="3948" w:type="dxa"/>
            <w:tcBorders>
              <w:top w:val="nil"/>
              <w:left w:val="single" w:sz="4" w:space="0" w:color="auto"/>
              <w:bottom w:val="nil"/>
              <w:right w:val="nil"/>
            </w:tcBorders>
          </w:tcPr>
          <w:p w14:paraId="542F4EB0" w14:textId="77777777" w:rsidR="002B0DBA" w:rsidRPr="00FE4699" w:rsidRDefault="002B0DBA" w:rsidP="002B0DBA">
            <w:pPr>
              <w:rPr>
                <w:lang w:val="fr-FR"/>
              </w:rPr>
            </w:pPr>
            <w:r w:rsidRPr="00FE4699">
              <w:rPr>
                <w:lang w:val="fr-FR"/>
              </w:rPr>
              <w:t xml:space="preserve">Phone: +55 61 2030 9644 </w:t>
            </w:r>
          </w:p>
          <w:p w14:paraId="35EA9446" w14:textId="77777777" w:rsidR="002B0DBA" w:rsidRPr="00FE4699" w:rsidRDefault="002B0DBA" w:rsidP="002B0DBA">
            <w:pPr>
              <w:rPr>
                <w:lang w:val="fr-FR"/>
              </w:rPr>
            </w:pPr>
          </w:p>
          <w:p w14:paraId="03470F36" w14:textId="77777777" w:rsidR="002B0DBA" w:rsidRPr="00FE4699" w:rsidRDefault="002B0DBA" w:rsidP="002B0DBA">
            <w:pPr>
              <w:rPr>
                <w:lang w:val="fr-FR"/>
              </w:rPr>
            </w:pPr>
            <w:r w:rsidRPr="00FE4699">
              <w:rPr>
                <w:lang w:val="fr-FR"/>
              </w:rPr>
              <w:t xml:space="preserve">Fax: +55 61 2030 5102 </w:t>
            </w:r>
          </w:p>
          <w:p w14:paraId="581F2C8F" w14:textId="77777777" w:rsidR="002B0DBA" w:rsidRPr="00FE4699" w:rsidRDefault="002B0DBA" w:rsidP="002B0DBA">
            <w:pPr>
              <w:rPr>
                <w:lang w:val="fr-FR"/>
              </w:rPr>
            </w:pPr>
          </w:p>
          <w:p w14:paraId="3EFD4EA8" w14:textId="77777777" w:rsidR="002B0DBA" w:rsidRPr="00FE4699" w:rsidRDefault="002B0DBA" w:rsidP="002B0DBA">
            <w:pPr>
              <w:rPr>
                <w:lang w:val="fr-FR"/>
              </w:rPr>
            </w:pPr>
            <w:r w:rsidRPr="00FE4699">
              <w:rPr>
                <w:lang w:val="fr-FR"/>
              </w:rPr>
              <w:t xml:space="preserve">Email: dips@itamaraty.gov.br, delbrasgen@itamaraty.gov.br, gsq@mma.gov.br </w:t>
            </w:r>
          </w:p>
          <w:p w14:paraId="16BF524F" w14:textId="77777777" w:rsidR="002B0DBA" w:rsidRPr="00FE4699" w:rsidRDefault="002B0DBA" w:rsidP="002B0DBA">
            <w:pPr>
              <w:rPr>
                <w:lang w:val="fr-FR"/>
              </w:rPr>
            </w:pPr>
          </w:p>
          <w:p w14:paraId="44C55AEB" w14:textId="77777777" w:rsidR="002B0DBA" w:rsidRPr="00FE4699" w:rsidRDefault="002B0DBA" w:rsidP="002B0DBA">
            <w:pPr>
              <w:rPr>
                <w:lang w:val="fr-FR"/>
              </w:rPr>
            </w:pPr>
          </w:p>
        </w:tc>
      </w:tr>
      <w:tr w:rsidR="002B0DBA" w:rsidRPr="00FE4699" w14:paraId="5CC151A4" w14:textId="77777777" w:rsidTr="002B0DBA">
        <w:trPr>
          <w:cantSplit/>
        </w:trPr>
        <w:tc>
          <w:tcPr>
            <w:tcW w:w="5292" w:type="dxa"/>
            <w:tcBorders>
              <w:top w:val="nil"/>
              <w:left w:val="nil"/>
              <w:bottom w:val="nil"/>
              <w:right w:val="single" w:sz="4" w:space="0" w:color="auto"/>
            </w:tcBorders>
          </w:tcPr>
          <w:p w14:paraId="773D175D" w14:textId="77777777" w:rsidR="002B0DBA" w:rsidRPr="00FE4699" w:rsidRDefault="002B0DBA" w:rsidP="002B0DBA">
            <w:r w:rsidRPr="00FE4699">
              <w:t>Role(s): DNA CP*</w:t>
            </w:r>
          </w:p>
          <w:p w14:paraId="7DB63AB9" w14:textId="77777777" w:rsidR="002B0DBA" w:rsidRPr="00FE4699" w:rsidRDefault="002B0DBA" w:rsidP="002B0DBA">
            <w:r w:rsidRPr="00FE4699">
              <w:t>Job title: Director</w:t>
            </w:r>
          </w:p>
          <w:p w14:paraId="52F7D9CB" w14:textId="77777777" w:rsidR="002B0DBA" w:rsidRPr="00FE4699" w:rsidRDefault="002B0DBA" w:rsidP="002B0DBA">
            <w:r w:rsidRPr="00FE4699">
              <w:t xml:space="preserve">Department: Department of Environmental Quality (DIQUA) </w:t>
            </w:r>
          </w:p>
          <w:p w14:paraId="096B3410" w14:textId="77777777" w:rsidR="002B0DBA" w:rsidRPr="00FE4699" w:rsidRDefault="002B0DBA" w:rsidP="002B0DBA">
            <w:r w:rsidRPr="00FE4699">
              <w:t xml:space="preserve">Institution: Brazilian Institute for the Environment and the Renewable Resources (IBAMA) </w:t>
            </w:r>
          </w:p>
          <w:p w14:paraId="70B91231" w14:textId="77777777" w:rsidR="002B0DBA" w:rsidRPr="00FE4699" w:rsidRDefault="002B0DBA" w:rsidP="002B0DBA">
            <w:pPr>
              <w:rPr>
                <w:lang w:val="es-ES"/>
              </w:rPr>
            </w:pPr>
            <w:r w:rsidRPr="00FE4699">
              <w:rPr>
                <w:lang w:val="es-ES"/>
              </w:rPr>
              <w:t>Postal address: SCEN - Trecho 2 - Edificio Sede do IBAMA</w:t>
            </w:r>
          </w:p>
          <w:p w14:paraId="06FBCD7A" w14:textId="77777777" w:rsidR="002B0DBA" w:rsidRPr="00FE4699" w:rsidRDefault="002B0DBA" w:rsidP="002B0DBA">
            <w:r w:rsidRPr="00FE4699">
              <w:t>70818-900 Brasilia D.F.</w:t>
            </w:r>
          </w:p>
          <w:p w14:paraId="0506758D" w14:textId="77777777" w:rsidR="002B0DBA" w:rsidRPr="00FE4699" w:rsidRDefault="002B0DBA" w:rsidP="002B0DBA">
            <w:pPr>
              <w:spacing w:after="120"/>
            </w:pPr>
            <w:r w:rsidRPr="00FE4699">
              <w:t xml:space="preserve">Brazil </w:t>
            </w:r>
          </w:p>
        </w:tc>
        <w:tc>
          <w:tcPr>
            <w:tcW w:w="3948" w:type="dxa"/>
            <w:tcBorders>
              <w:top w:val="nil"/>
              <w:left w:val="single" w:sz="4" w:space="0" w:color="auto"/>
              <w:bottom w:val="nil"/>
              <w:right w:val="nil"/>
            </w:tcBorders>
          </w:tcPr>
          <w:p w14:paraId="63D8467C" w14:textId="77777777" w:rsidR="002B0DBA" w:rsidRPr="00FE4699" w:rsidRDefault="002B0DBA" w:rsidP="002B0DBA">
            <w:pPr>
              <w:rPr>
                <w:lang w:val="fr-FR"/>
              </w:rPr>
            </w:pPr>
            <w:r w:rsidRPr="00FE4699">
              <w:rPr>
                <w:lang w:val="fr-FR"/>
              </w:rPr>
              <w:t xml:space="preserve">Phone: +55 61 3316 1592 </w:t>
            </w:r>
          </w:p>
          <w:p w14:paraId="7B14FFF3" w14:textId="77777777" w:rsidR="002B0DBA" w:rsidRPr="00FE4699" w:rsidRDefault="002B0DBA" w:rsidP="002B0DBA">
            <w:pPr>
              <w:rPr>
                <w:lang w:val="fr-FR"/>
              </w:rPr>
            </w:pPr>
          </w:p>
          <w:p w14:paraId="6FAC059C" w14:textId="77777777" w:rsidR="002B0DBA" w:rsidRPr="00FE4699" w:rsidRDefault="002B0DBA" w:rsidP="002B0DBA">
            <w:pPr>
              <w:rPr>
                <w:lang w:val="fr-FR"/>
              </w:rPr>
            </w:pPr>
            <w:r w:rsidRPr="00FE4699">
              <w:rPr>
                <w:lang w:val="fr-FR"/>
              </w:rPr>
              <w:t xml:space="preserve">Fax: +55 61 3316 1347 </w:t>
            </w:r>
          </w:p>
          <w:p w14:paraId="35602716" w14:textId="77777777" w:rsidR="002B0DBA" w:rsidRPr="00FE4699" w:rsidRDefault="002B0DBA" w:rsidP="002B0DBA">
            <w:pPr>
              <w:rPr>
                <w:lang w:val="fr-FR"/>
              </w:rPr>
            </w:pPr>
          </w:p>
          <w:p w14:paraId="44C842BF" w14:textId="77777777" w:rsidR="002B0DBA" w:rsidRPr="00FE4699" w:rsidRDefault="002B0DBA" w:rsidP="002B0DBA">
            <w:pPr>
              <w:rPr>
                <w:lang w:val="fr-FR"/>
              </w:rPr>
            </w:pPr>
            <w:r w:rsidRPr="00FE4699">
              <w:rPr>
                <w:lang w:val="fr-FR"/>
              </w:rPr>
              <w:t xml:space="preserve">Email: diqua.sede@ibama.gov.br </w:t>
            </w:r>
          </w:p>
          <w:p w14:paraId="51B5655D" w14:textId="77777777" w:rsidR="002B0DBA" w:rsidRPr="00FE4699" w:rsidRDefault="002B0DBA" w:rsidP="002B0DBA">
            <w:pPr>
              <w:rPr>
                <w:lang w:val="fr-FR"/>
              </w:rPr>
            </w:pPr>
          </w:p>
          <w:p w14:paraId="36FE81AB" w14:textId="77777777" w:rsidR="002B0DBA" w:rsidRPr="00FE4699" w:rsidRDefault="002B0DBA" w:rsidP="002B0DBA">
            <w:pPr>
              <w:rPr>
                <w:lang w:val="fr-FR"/>
              </w:rPr>
            </w:pPr>
          </w:p>
        </w:tc>
      </w:tr>
      <w:tr w:rsidR="002B0DBA" w:rsidRPr="00FE4699" w14:paraId="3ECDBB0A" w14:textId="77777777" w:rsidTr="002B0DBA">
        <w:trPr>
          <w:cantSplit/>
        </w:trPr>
        <w:tc>
          <w:tcPr>
            <w:tcW w:w="5292" w:type="dxa"/>
            <w:tcBorders>
              <w:top w:val="nil"/>
              <w:left w:val="nil"/>
              <w:bottom w:val="nil"/>
              <w:right w:val="single" w:sz="4" w:space="0" w:color="auto"/>
            </w:tcBorders>
          </w:tcPr>
          <w:p w14:paraId="7F65D638" w14:textId="77777777" w:rsidR="002B0DBA" w:rsidRPr="00FE4699" w:rsidRDefault="002B0DBA" w:rsidP="002B0DBA">
            <w:r w:rsidRPr="00FE4699">
              <w:t>Role(s): DNA CP*</w:t>
            </w:r>
          </w:p>
          <w:p w14:paraId="00D813CA" w14:textId="77777777" w:rsidR="002B0DBA" w:rsidRPr="00FE4699" w:rsidRDefault="002B0DBA" w:rsidP="002B0DBA">
            <w:r w:rsidRPr="00FE4699">
              <w:t xml:space="preserve">Job title: Director - Secretariat of Climate Change and Environmental Quality </w:t>
            </w:r>
          </w:p>
          <w:p w14:paraId="7C7BE028" w14:textId="77777777" w:rsidR="002B0DBA" w:rsidRPr="00FE4699" w:rsidRDefault="002B0DBA" w:rsidP="002B0DBA">
            <w:r w:rsidRPr="00FE4699">
              <w:t xml:space="preserve">Department: Department of Environmental Quality in Industry </w:t>
            </w:r>
          </w:p>
          <w:p w14:paraId="37534C14" w14:textId="77777777" w:rsidR="002B0DBA" w:rsidRPr="00FE4699" w:rsidRDefault="002B0DBA" w:rsidP="002B0DBA">
            <w:r w:rsidRPr="00FE4699">
              <w:t xml:space="preserve">Institution: Ministry of Environment </w:t>
            </w:r>
          </w:p>
          <w:p w14:paraId="119A6FB7" w14:textId="77777777" w:rsidR="002B0DBA" w:rsidRPr="00FE4699" w:rsidRDefault="002B0DBA" w:rsidP="002B0DBA">
            <w:r w:rsidRPr="00FE4699">
              <w:t>Postal address: SEPN 505, Bloco B</w:t>
            </w:r>
          </w:p>
          <w:p w14:paraId="6CBC67CA" w14:textId="77777777" w:rsidR="002B0DBA" w:rsidRPr="00FE4699" w:rsidRDefault="002B0DBA" w:rsidP="002B0DBA">
            <w:r w:rsidRPr="00FE4699">
              <w:t>70730-542 Brasilia D.F.</w:t>
            </w:r>
          </w:p>
          <w:p w14:paraId="12E6A5F3" w14:textId="77777777" w:rsidR="002B0DBA" w:rsidRPr="00FE4699" w:rsidRDefault="002B0DBA" w:rsidP="002B0DBA">
            <w:pPr>
              <w:spacing w:after="120"/>
            </w:pPr>
            <w:r w:rsidRPr="00FE4699">
              <w:t xml:space="preserve">Brazil </w:t>
            </w:r>
          </w:p>
        </w:tc>
        <w:tc>
          <w:tcPr>
            <w:tcW w:w="3948" w:type="dxa"/>
            <w:tcBorders>
              <w:top w:val="nil"/>
              <w:left w:val="single" w:sz="4" w:space="0" w:color="auto"/>
              <w:bottom w:val="nil"/>
              <w:right w:val="nil"/>
            </w:tcBorders>
          </w:tcPr>
          <w:p w14:paraId="35790E9B" w14:textId="77777777" w:rsidR="002B0DBA" w:rsidRPr="00FE4699" w:rsidRDefault="002B0DBA" w:rsidP="002B0DBA">
            <w:pPr>
              <w:rPr>
                <w:lang w:val="fr-FR"/>
              </w:rPr>
            </w:pPr>
            <w:r w:rsidRPr="00FE4699">
              <w:rPr>
                <w:lang w:val="fr-FR"/>
              </w:rPr>
              <w:t xml:space="preserve">Phone: +55 61 2028 2355 </w:t>
            </w:r>
          </w:p>
          <w:p w14:paraId="0032140C" w14:textId="77777777" w:rsidR="002B0DBA" w:rsidRPr="00FE4699" w:rsidRDefault="002B0DBA" w:rsidP="002B0DBA">
            <w:pPr>
              <w:rPr>
                <w:lang w:val="fr-FR"/>
              </w:rPr>
            </w:pPr>
          </w:p>
          <w:p w14:paraId="1C37CBA1" w14:textId="77777777" w:rsidR="002B0DBA" w:rsidRPr="00FE4699" w:rsidRDefault="002B0DBA" w:rsidP="002B0DBA">
            <w:pPr>
              <w:rPr>
                <w:lang w:val="fr-FR"/>
              </w:rPr>
            </w:pPr>
            <w:r w:rsidRPr="00FE4699">
              <w:rPr>
                <w:lang w:val="fr-FR"/>
              </w:rPr>
              <w:t xml:space="preserve">Fax: +55 61 2028 2073 </w:t>
            </w:r>
          </w:p>
          <w:p w14:paraId="238BACF8" w14:textId="77777777" w:rsidR="002B0DBA" w:rsidRPr="00FE4699" w:rsidRDefault="002B0DBA" w:rsidP="002B0DBA">
            <w:pPr>
              <w:rPr>
                <w:lang w:val="fr-FR"/>
              </w:rPr>
            </w:pPr>
          </w:p>
          <w:p w14:paraId="407760EA" w14:textId="77777777" w:rsidR="002B0DBA" w:rsidRPr="00FE4699" w:rsidRDefault="002B0DBA" w:rsidP="002B0DBA">
            <w:pPr>
              <w:rPr>
                <w:lang w:val="fr-FR"/>
              </w:rPr>
            </w:pPr>
            <w:r w:rsidRPr="00FE4699">
              <w:rPr>
                <w:lang w:val="fr-FR"/>
              </w:rPr>
              <w:t>Email: gsq@mma.gov.br</w:t>
            </w:r>
          </w:p>
        </w:tc>
      </w:tr>
    </w:tbl>
    <w:p w14:paraId="758D33CA" w14:textId="77777777" w:rsidR="002B0DBA" w:rsidRPr="00183AE4" w:rsidRDefault="002B0DBA" w:rsidP="002B0DBA">
      <w:pPr>
        <w:rPr>
          <w:sz w:val="18"/>
          <w:szCs w:val="18"/>
          <w:lang w:val="fr-FR"/>
        </w:rPr>
      </w:pPr>
    </w:p>
    <w:tbl>
      <w:tblPr>
        <w:tblW w:w="9240" w:type="dxa"/>
        <w:tblInd w:w="108" w:type="dxa"/>
        <w:tblLayout w:type="fixed"/>
        <w:tblLook w:val="04A0" w:firstRow="1" w:lastRow="0" w:firstColumn="1" w:lastColumn="0" w:noHBand="0" w:noVBand="1"/>
      </w:tblPr>
      <w:tblGrid>
        <w:gridCol w:w="5352"/>
        <w:gridCol w:w="3888"/>
      </w:tblGrid>
      <w:tr w:rsidR="002B0DBA" w:rsidRPr="00183AE4" w14:paraId="7BA09F34" w14:textId="77777777" w:rsidTr="002B0DBA">
        <w:trPr>
          <w:cantSplit/>
        </w:trPr>
        <w:tc>
          <w:tcPr>
            <w:tcW w:w="9240" w:type="dxa"/>
            <w:gridSpan w:val="2"/>
            <w:tcBorders>
              <w:top w:val="single" w:sz="6" w:space="0" w:color="auto"/>
              <w:left w:val="single" w:sz="6" w:space="0" w:color="auto"/>
              <w:bottom w:val="single" w:sz="6" w:space="0" w:color="auto"/>
              <w:right w:val="single" w:sz="6" w:space="0" w:color="auto"/>
            </w:tcBorders>
            <w:hideMark/>
          </w:tcPr>
          <w:p w14:paraId="4508BF53" w14:textId="77777777" w:rsidR="002B0DBA" w:rsidRPr="00183AE4" w:rsidRDefault="002B0DBA" w:rsidP="002B0DBA">
            <w:pPr>
              <w:widowControl w:val="0"/>
              <w:spacing w:before="80"/>
              <w:rPr>
                <w:b/>
                <w:bCs/>
                <w:i/>
                <w:snapToGrid w:val="0"/>
                <w:sz w:val="18"/>
                <w:szCs w:val="18"/>
              </w:rPr>
            </w:pPr>
            <w:r w:rsidRPr="00183AE4">
              <w:rPr>
                <w:b/>
                <w:bCs/>
                <w:i/>
                <w:snapToGrid w:val="0"/>
                <w:sz w:val="18"/>
                <w:szCs w:val="18"/>
              </w:rPr>
              <w:t>CANADA</w:t>
            </w:r>
          </w:p>
        </w:tc>
      </w:tr>
      <w:tr w:rsidR="002B0DBA" w:rsidRPr="00183AE4" w14:paraId="6F63B3AA" w14:textId="77777777" w:rsidTr="002B0DBA">
        <w:trPr>
          <w:cantSplit/>
        </w:trPr>
        <w:tc>
          <w:tcPr>
            <w:tcW w:w="5352" w:type="dxa"/>
            <w:tcBorders>
              <w:top w:val="nil"/>
              <w:left w:val="nil"/>
              <w:bottom w:val="nil"/>
              <w:right w:val="single" w:sz="4" w:space="0" w:color="auto"/>
            </w:tcBorders>
          </w:tcPr>
          <w:p w14:paraId="5C0875BD" w14:textId="77777777" w:rsidR="002B0DBA" w:rsidRPr="00183AE4" w:rsidRDefault="002B0DBA" w:rsidP="002B0DBA">
            <w:pPr>
              <w:rPr>
                <w:sz w:val="18"/>
                <w:szCs w:val="18"/>
              </w:rPr>
            </w:pPr>
            <w:r w:rsidRPr="00183AE4">
              <w:rPr>
                <w:sz w:val="18"/>
                <w:szCs w:val="18"/>
              </w:rPr>
              <w:t>Role(s): DNA P*</w:t>
            </w:r>
          </w:p>
          <w:p w14:paraId="4B99CA92" w14:textId="77777777" w:rsidR="002B0DBA" w:rsidRPr="00183AE4" w:rsidRDefault="002B0DBA" w:rsidP="002B0DBA">
            <w:pPr>
              <w:rPr>
                <w:sz w:val="18"/>
                <w:szCs w:val="18"/>
              </w:rPr>
            </w:pPr>
            <w:r w:rsidRPr="00183AE4">
              <w:rPr>
                <w:sz w:val="18"/>
                <w:szCs w:val="18"/>
              </w:rPr>
              <w:t xml:space="preserve">Name: Mr. Jason Flint </w:t>
            </w:r>
          </w:p>
          <w:p w14:paraId="65FD26FE" w14:textId="77777777" w:rsidR="002B0DBA" w:rsidRPr="00183AE4" w:rsidRDefault="002B0DBA" w:rsidP="002B0DBA">
            <w:pPr>
              <w:rPr>
                <w:sz w:val="18"/>
                <w:szCs w:val="18"/>
              </w:rPr>
            </w:pPr>
            <w:r w:rsidRPr="00183AE4">
              <w:rPr>
                <w:sz w:val="18"/>
                <w:szCs w:val="18"/>
              </w:rPr>
              <w:t xml:space="preserve">Job title: Director General </w:t>
            </w:r>
          </w:p>
          <w:p w14:paraId="3BCDC3F4" w14:textId="77777777" w:rsidR="002B0DBA" w:rsidRPr="00183AE4" w:rsidRDefault="002B0DBA" w:rsidP="002B0DBA">
            <w:pPr>
              <w:rPr>
                <w:sz w:val="18"/>
                <w:szCs w:val="18"/>
              </w:rPr>
            </w:pPr>
            <w:r w:rsidRPr="00183AE4">
              <w:rPr>
                <w:sz w:val="18"/>
                <w:szCs w:val="18"/>
              </w:rPr>
              <w:t xml:space="preserve">Department: Policy, Communications and Regulatory Affairs </w:t>
            </w:r>
          </w:p>
          <w:p w14:paraId="5FE32DC6" w14:textId="77777777" w:rsidR="002B0DBA" w:rsidRPr="00183AE4" w:rsidRDefault="002B0DBA" w:rsidP="002B0DBA">
            <w:pPr>
              <w:rPr>
                <w:sz w:val="18"/>
                <w:szCs w:val="18"/>
              </w:rPr>
            </w:pPr>
            <w:r w:rsidRPr="00183AE4">
              <w:rPr>
                <w:sz w:val="18"/>
                <w:szCs w:val="18"/>
              </w:rPr>
              <w:t xml:space="preserve">Institution: Pest Management Regulatory Agency </w:t>
            </w:r>
          </w:p>
          <w:p w14:paraId="295FDF5F" w14:textId="77777777" w:rsidR="002B0DBA" w:rsidRPr="00183AE4" w:rsidRDefault="002B0DBA" w:rsidP="002B0DBA">
            <w:pPr>
              <w:rPr>
                <w:sz w:val="18"/>
                <w:szCs w:val="18"/>
              </w:rPr>
            </w:pPr>
            <w:r w:rsidRPr="00183AE4">
              <w:rPr>
                <w:sz w:val="18"/>
                <w:szCs w:val="18"/>
              </w:rPr>
              <w:t>Postal address: 2720 Riverside Drive</w:t>
            </w:r>
          </w:p>
          <w:p w14:paraId="5E08FC34" w14:textId="77777777" w:rsidR="002B0DBA" w:rsidRPr="00183AE4" w:rsidRDefault="002B0DBA" w:rsidP="002B0DBA">
            <w:pPr>
              <w:rPr>
                <w:sz w:val="18"/>
                <w:szCs w:val="18"/>
              </w:rPr>
            </w:pPr>
            <w:r w:rsidRPr="00183AE4">
              <w:rPr>
                <w:sz w:val="18"/>
                <w:szCs w:val="18"/>
              </w:rPr>
              <w:t>K1A 0K9 Ottawa</w:t>
            </w:r>
          </w:p>
          <w:p w14:paraId="19C035AD" w14:textId="77777777" w:rsidR="002B0DBA" w:rsidRPr="00183AE4" w:rsidRDefault="002B0DBA" w:rsidP="002B0DBA">
            <w:pPr>
              <w:rPr>
                <w:sz w:val="18"/>
                <w:szCs w:val="18"/>
              </w:rPr>
            </w:pPr>
            <w:r w:rsidRPr="00183AE4">
              <w:rPr>
                <w:sz w:val="18"/>
                <w:szCs w:val="18"/>
              </w:rPr>
              <w:t>Quebec</w:t>
            </w:r>
          </w:p>
          <w:p w14:paraId="7DD7FF11" w14:textId="77777777" w:rsidR="002B0DBA" w:rsidRPr="00183AE4" w:rsidRDefault="002B0DBA" w:rsidP="002B0DBA">
            <w:pPr>
              <w:spacing w:after="120"/>
              <w:rPr>
                <w:sz w:val="18"/>
                <w:szCs w:val="18"/>
              </w:rPr>
            </w:pPr>
            <w:r w:rsidRPr="00183AE4">
              <w:rPr>
                <w:sz w:val="18"/>
                <w:szCs w:val="18"/>
              </w:rPr>
              <w:t xml:space="preserve">Canada </w:t>
            </w:r>
          </w:p>
        </w:tc>
        <w:tc>
          <w:tcPr>
            <w:tcW w:w="3888" w:type="dxa"/>
            <w:tcBorders>
              <w:top w:val="nil"/>
              <w:left w:val="single" w:sz="4" w:space="0" w:color="auto"/>
              <w:bottom w:val="nil"/>
              <w:right w:val="nil"/>
            </w:tcBorders>
          </w:tcPr>
          <w:p w14:paraId="62612B7B" w14:textId="77777777" w:rsidR="002B0DBA" w:rsidRPr="00183AE4" w:rsidRDefault="002B0DBA" w:rsidP="002B0DBA">
            <w:pPr>
              <w:rPr>
                <w:sz w:val="18"/>
                <w:szCs w:val="18"/>
                <w:lang w:val="fr-FR"/>
              </w:rPr>
            </w:pPr>
            <w:r w:rsidRPr="00183AE4">
              <w:rPr>
                <w:sz w:val="18"/>
                <w:szCs w:val="18"/>
                <w:lang w:val="fr-FR"/>
              </w:rPr>
              <w:t xml:space="preserve">Phone: +1 613 736 3660 </w:t>
            </w:r>
          </w:p>
          <w:p w14:paraId="44CDF4B6" w14:textId="77777777" w:rsidR="002B0DBA" w:rsidRPr="00183AE4" w:rsidRDefault="002B0DBA" w:rsidP="002B0DBA">
            <w:pPr>
              <w:rPr>
                <w:sz w:val="18"/>
                <w:szCs w:val="18"/>
                <w:lang w:val="fr-FR"/>
              </w:rPr>
            </w:pPr>
          </w:p>
          <w:p w14:paraId="2C31BA97" w14:textId="77777777" w:rsidR="002B0DBA" w:rsidRPr="00183AE4" w:rsidRDefault="002B0DBA" w:rsidP="002B0DBA">
            <w:pPr>
              <w:rPr>
                <w:sz w:val="18"/>
                <w:szCs w:val="18"/>
                <w:lang w:val="fr-FR"/>
              </w:rPr>
            </w:pPr>
            <w:r w:rsidRPr="00183AE4">
              <w:rPr>
                <w:sz w:val="18"/>
                <w:szCs w:val="18"/>
                <w:lang w:val="fr-FR"/>
              </w:rPr>
              <w:t xml:space="preserve">Fax: +1 613 736 3695 </w:t>
            </w:r>
          </w:p>
          <w:p w14:paraId="0AD00FD8" w14:textId="77777777" w:rsidR="002B0DBA" w:rsidRPr="00183AE4" w:rsidRDefault="002B0DBA" w:rsidP="002B0DBA">
            <w:pPr>
              <w:rPr>
                <w:sz w:val="18"/>
                <w:szCs w:val="18"/>
                <w:lang w:val="fr-FR"/>
              </w:rPr>
            </w:pPr>
          </w:p>
          <w:p w14:paraId="6AFC94E7" w14:textId="77777777" w:rsidR="002B0DBA" w:rsidRPr="00183AE4" w:rsidRDefault="002B0DBA" w:rsidP="002B0DBA">
            <w:pPr>
              <w:rPr>
                <w:sz w:val="18"/>
                <w:szCs w:val="18"/>
                <w:lang w:val="fr-FR"/>
              </w:rPr>
            </w:pPr>
            <w:r w:rsidRPr="00183AE4">
              <w:rPr>
                <w:sz w:val="18"/>
                <w:szCs w:val="18"/>
                <w:lang w:val="fr-FR"/>
              </w:rPr>
              <w:t xml:space="preserve">Email: jason.flint@canada.ca </w:t>
            </w:r>
          </w:p>
          <w:p w14:paraId="76E94E09" w14:textId="77777777" w:rsidR="002B0DBA" w:rsidRPr="00183AE4" w:rsidRDefault="002B0DBA" w:rsidP="002B0DBA">
            <w:pPr>
              <w:rPr>
                <w:sz w:val="18"/>
                <w:szCs w:val="18"/>
                <w:lang w:val="fr-FR"/>
              </w:rPr>
            </w:pPr>
          </w:p>
        </w:tc>
      </w:tr>
      <w:tr w:rsidR="002B0DBA" w:rsidRPr="00183AE4" w14:paraId="0CE5D56B" w14:textId="77777777" w:rsidTr="002B0DBA">
        <w:trPr>
          <w:cantSplit/>
        </w:trPr>
        <w:tc>
          <w:tcPr>
            <w:tcW w:w="5352" w:type="dxa"/>
            <w:tcBorders>
              <w:top w:val="nil"/>
              <w:left w:val="nil"/>
              <w:bottom w:val="nil"/>
              <w:right w:val="single" w:sz="4" w:space="0" w:color="auto"/>
            </w:tcBorders>
          </w:tcPr>
          <w:p w14:paraId="5EF07F76" w14:textId="77777777" w:rsidR="002B0DBA" w:rsidRPr="00183AE4" w:rsidRDefault="002B0DBA" w:rsidP="002B0DBA">
            <w:pPr>
              <w:rPr>
                <w:sz w:val="18"/>
                <w:szCs w:val="18"/>
                <w:lang w:val="de-DE"/>
              </w:rPr>
            </w:pPr>
            <w:r w:rsidRPr="00183AE4">
              <w:rPr>
                <w:sz w:val="18"/>
                <w:szCs w:val="18"/>
                <w:lang w:val="de-DE"/>
              </w:rPr>
              <w:t>Role: DNA C*</w:t>
            </w:r>
          </w:p>
          <w:p w14:paraId="4B56B1B3" w14:textId="77777777" w:rsidR="002B0DBA" w:rsidRPr="00183AE4" w:rsidRDefault="002B0DBA" w:rsidP="002B0DBA">
            <w:pPr>
              <w:rPr>
                <w:sz w:val="18"/>
                <w:szCs w:val="18"/>
                <w:lang w:val="de-DE"/>
              </w:rPr>
            </w:pPr>
            <w:r w:rsidRPr="00183AE4">
              <w:rPr>
                <w:sz w:val="18"/>
                <w:szCs w:val="18"/>
                <w:lang w:val="de-DE"/>
              </w:rPr>
              <w:t xml:space="preserve">Name: Ms. Nathalie Morin </w:t>
            </w:r>
          </w:p>
          <w:p w14:paraId="57EC0614" w14:textId="77777777" w:rsidR="002B0DBA" w:rsidRPr="00183AE4" w:rsidRDefault="002B0DBA" w:rsidP="002B0DBA">
            <w:pPr>
              <w:rPr>
                <w:sz w:val="18"/>
                <w:szCs w:val="18"/>
              </w:rPr>
            </w:pPr>
            <w:r w:rsidRPr="00183AE4">
              <w:rPr>
                <w:sz w:val="18"/>
                <w:szCs w:val="18"/>
              </w:rPr>
              <w:t xml:space="preserve">Job title: Director </w:t>
            </w:r>
          </w:p>
          <w:p w14:paraId="14B2163E" w14:textId="77777777" w:rsidR="002B0DBA" w:rsidRPr="00183AE4" w:rsidRDefault="002B0DBA" w:rsidP="002B0DBA">
            <w:pPr>
              <w:rPr>
                <w:sz w:val="18"/>
                <w:szCs w:val="18"/>
              </w:rPr>
            </w:pPr>
            <w:r w:rsidRPr="00183AE4">
              <w:rPr>
                <w:sz w:val="18"/>
                <w:szCs w:val="18"/>
              </w:rPr>
              <w:t xml:space="preserve">Department: Chemical Production Division </w:t>
            </w:r>
          </w:p>
          <w:p w14:paraId="0F0C0E5C" w14:textId="77777777" w:rsidR="002B0DBA" w:rsidRPr="00183AE4" w:rsidRDefault="002B0DBA" w:rsidP="002B0DBA">
            <w:pPr>
              <w:rPr>
                <w:sz w:val="18"/>
                <w:szCs w:val="18"/>
              </w:rPr>
            </w:pPr>
            <w:r w:rsidRPr="00183AE4">
              <w:rPr>
                <w:sz w:val="18"/>
                <w:szCs w:val="18"/>
              </w:rPr>
              <w:t xml:space="preserve">Institution: Environment and Climate Change Canada </w:t>
            </w:r>
          </w:p>
          <w:p w14:paraId="5C8F9DFC" w14:textId="77777777" w:rsidR="002B0DBA" w:rsidRPr="00183AE4" w:rsidRDefault="002B0DBA" w:rsidP="002B0DBA">
            <w:pPr>
              <w:rPr>
                <w:sz w:val="18"/>
                <w:szCs w:val="18"/>
              </w:rPr>
            </w:pPr>
            <w:r w:rsidRPr="00183AE4">
              <w:rPr>
                <w:sz w:val="18"/>
                <w:szCs w:val="18"/>
              </w:rPr>
              <w:t>Postal address: 351 St. Joseph Boulevard</w:t>
            </w:r>
          </w:p>
          <w:p w14:paraId="0CACC017" w14:textId="77777777" w:rsidR="002B0DBA" w:rsidRPr="00183AE4" w:rsidRDefault="002B0DBA" w:rsidP="002B0DBA">
            <w:pPr>
              <w:rPr>
                <w:sz w:val="18"/>
                <w:szCs w:val="18"/>
              </w:rPr>
            </w:pPr>
            <w:r w:rsidRPr="00183AE4">
              <w:rPr>
                <w:sz w:val="18"/>
                <w:szCs w:val="18"/>
              </w:rPr>
              <w:t>K1A OH3 Gatineau</w:t>
            </w:r>
          </w:p>
          <w:p w14:paraId="5A51E947" w14:textId="77777777" w:rsidR="002B0DBA" w:rsidRPr="00183AE4" w:rsidRDefault="002B0DBA" w:rsidP="002B0DBA">
            <w:pPr>
              <w:rPr>
                <w:sz w:val="18"/>
                <w:szCs w:val="18"/>
              </w:rPr>
            </w:pPr>
            <w:r w:rsidRPr="00183AE4">
              <w:rPr>
                <w:sz w:val="18"/>
                <w:szCs w:val="18"/>
              </w:rPr>
              <w:t>Québec</w:t>
            </w:r>
          </w:p>
          <w:p w14:paraId="136F281B" w14:textId="77777777" w:rsidR="002B0DBA" w:rsidRPr="00183AE4" w:rsidRDefault="002B0DBA" w:rsidP="002B0DBA">
            <w:pPr>
              <w:spacing w:after="120"/>
              <w:rPr>
                <w:sz w:val="18"/>
                <w:szCs w:val="18"/>
              </w:rPr>
            </w:pPr>
            <w:r w:rsidRPr="00183AE4">
              <w:rPr>
                <w:sz w:val="18"/>
                <w:szCs w:val="18"/>
              </w:rPr>
              <w:t xml:space="preserve">Canada </w:t>
            </w:r>
          </w:p>
        </w:tc>
        <w:tc>
          <w:tcPr>
            <w:tcW w:w="3888" w:type="dxa"/>
            <w:tcBorders>
              <w:top w:val="nil"/>
              <w:left w:val="single" w:sz="4" w:space="0" w:color="auto"/>
              <w:bottom w:val="nil"/>
              <w:right w:val="nil"/>
            </w:tcBorders>
          </w:tcPr>
          <w:p w14:paraId="2A624916" w14:textId="77777777" w:rsidR="002B0DBA" w:rsidRPr="00183AE4" w:rsidRDefault="002B0DBA" w:rsidP="002B0DBA">
            <w:pPr>
              <w:rPr>
                <w:sz w:val="18"/>
                <w:szCs w:val="18"/>
                <w:lang w:val="fr-FR"/>
              </w:rPr>
            </w:pPr>
            <w:r w:rsidRPr="00183AE4">
              <w:rPr>
                <w:sz w:val="18"/>
                <w:szCs w:val="18"/>
                <w:lang w:val="fr-FR"/>
              </w:rPr>
              <w:t xml:space="preserve">Phone: +1 819 420 8047 </w:t>
            </w:r>
          </w:p>
          <w:p w14:paraId="179A8A17" w14:textId="77777777" w:rsidR="002B0DBA" w:rsidRPr="00183AE4" w:rsidRDefault="002B0DBA" w:rsidP="002B0DBA">
            <w:pPr>
              <w:rPr>
                <w:sz w:val="18"/>
                <w:szCs w:val="18"/>
                <w:lang w:val="fr-FR"/>
              </w:rPr>
            </w:pPr>
          </w:p>
          <w:p w14:paraId="1EB05792" w14:textId="77777777" w:rsidR="002B0DBA" w:rsidRPr="00183AE4" w:rsidRDefault="002B0DBA" w:rsidP="002B0DBA">
            <w:pPr>
              <w:rPr>
                <w:sz w:val="18"/>
                <w:szCs w:val="18"/>
                <w:lang w:val="fr-FR"/>
              </w:rPr>
            </w:pPr>
            <w:r w:rsidRPr="00183AE4">
              <w:rPr>
                <w:sz w:val="18"/>
                <w:szCs w:val="18"/>
                <w:lang w:val="fr-FR"/>
              </w:rPr>
              <w:t xml:space="preserve">Fax: +1 819 938 4218 </w:t>
            </w:r>
          </w:p>
          <w:p w14:paraId="6E1C2CE4" w14:textId="77777777" w:rsidR="002B0DBA" w:rsidRPr="00183AE4" w:rsidRDefault="002B0DBA" w:rsidP="002B0DBA">
            <w:pPr>
              <w:rPr>
                <w:sz w:val="18"/>
                <w:szCs w:val="18"/>
                <w:lang w:val="fr-FR"/>
              </w:rPr>
            </w:pPr>
          </w:p>
          <w:p w14:paraId="49F31127" w14:textId="77777777" w:rsidR="002B0DBA" w:rsidRPr="00183AE4" w:rsidRDefault="002B0DBA" w:rsidP="002B0DBA">
            <w:pPr>
              <w:rPr>
                <w:sz w:val="18"/>
                <w:szCs w:val="18"/>
                <w:lang w:val="fr-FR"/>
              </w:rPr>
            </w:pPr>
            <w:r w:rsidRPr="00183AE4">
              <w:rPr>
                <w:sz w:val="18"/>
                <w:szCs w:val="18"/>
                <w:lang w:val="fr-FR"/>
              </w:rPr>
              <w:t>Email: nathalie.morin4@canada.ca</w:t>
            </w:r>
          </w:p>
        </w:tc>
      </w:tr>
    </w:tbl>
    <w:p w14:paraId="683931F3" w14:textId="77777777" w:rsidR="002B0DBA" w:rsidRPr="00183AE4" w:rsidRDefault="002B0DBA" w:rsidP="002B0DBA">
      <w:pPr>
        <w:autoSpaceDE w:val="0"/>
        <w:autoSpaceDN w:val="0"/>
        <w:adjustRightInd w:val="0"/>
        <w:spacing w:before="60"/>
        <w:ind w:left="624" w:hanging="482"/>
        <w:rPr>
          <w:sz w:val="17"/>
          <w:szCs w:val="17"/>
        </w:rPr>
      </w:pPr>
      <w:r w:rsidRPr="00183AE4">
        <w:rPr>
          <w:b/>
          <w:sz w:val="17"/>
          <w:szCs w:val="17"/>
        </w:rPr>
        <w:t xml:space="preserve">*C </w:t>
      </w:r>
      <w:r w:rsidRPr="00183AE4">
        <w:rPr>
          <w:sz w:val="17"/>
          <w:szCs w:val="17"/>
        </w:rPr>
        <w:t>Industrial chemicals</w:t>
      </w:r>
    </w:p>
    <w:p w14:paraId="753E2D70" w14:textId="77777777" w:rsidR="002B0DBA" w:rsidRPr="00183AE4" w:rsidRDefault="002B0DBA" w:rsidP="002B0DBA">
      <w:pPr>
        <w:autoSpaceDE w:val="0"/>
        <w:autoSpaceDN w:val="0"/>
        <w:adjustRightInd w:val="0"/>
        <w:ind w:left="624" w:hanging="482"/>
        <w:rPr>
          <w:sz w:val="17"/>
          <w:szCs w:val="17"/>
        </w:rPr>
      </w:pPr>
      <w:r w:rsidRPr="00183AE4">
        <w:rPr>
          <w:b/>
          <w:sz w:val="17"/>
          <w:szCs w:val="17"/>
        </w:rPr>
        <w:t>CP</w:t>
      </w:r>
      <w:r w:rsidRPr="00183AE4">
        <w:rPr>
          <w:sz w:val="17"/>
          <w:szCs w:val="17"/>
        </w:rPr>
        <w:t xml:space="preserve"> Pesticides and industrial chemicals</w:t>
      </w:r>
    </w:p>
    <w:p w14:paraId="6D620CAF" w14:textId="77777777" w:rsidR="002B0DBA" w:rsidRPr="00183AE4" w:rsidRDefault="002B0DBA" w:rsidP="002B0DBA">
      <w:pPr>
        <w:autoSpaceDE w:val="0"/>
        <w:autoSpaceDN w:val="0"/>
        <w:adjustRightInd w:val="0"/>
        <w:ind w:left="624" w:hanging="482"/>
        <w:rPr>
          <w:b/>
          <w:sz w:val="17"/>
          <w:szCs w:val="17"/>
        </w:rPr>
      </w:pPr>
      <w:r w:rsidRPr="00183AE4">
        <w:rPr>
          <w:b/>
          <w:sz w:val="17"/>
          <w:szCs w:val="17"/>
        </w:rPr>
        <w:t xml:space="preserve">P </w:t>
      </w:r>
      <w:r w:rsidRPr="00183AE4">
        <w:rPr>
          <w:sz w:val="17"/>
          <w:szCs w:val="17"/>
        </w:rPr>
        <w:t>Pesticides</w:t>
      </w:r>
    </w:p>
    <w:p w14:paraId="658D7E19" w14:textId="77777777" w:rsidR="002B0DBA" w:rsidRPr="000303FF" w:rsidRDefault="002B0DBA" w:rsidP="002B0DBA">
      <w:pPr>
        <w:tabs>
          <w:tab w:val="left" w:pos="-720"/>
          <w:tab w:val="left" w:pos="0"/>
          <w:tab w:val="left" w:pos="720"/>
        </w:tabs>
        <w:suppressAutoHyphens/>
        <w:rPr>
          <w:sz w:val="10"/>
          <w:szCs w:val="10"/>
        </w:rPr>
      </w:pPr>
      <w:r w:rsidRPr="000303FF">
        <w:rPr>
          <w:sz w:val="10"/>
          <w:szCs w:val="10"/>
        </w:rPr>
        <w:br w:type="page"/>
      </w:r>
    </w:p>
    <w:tbl>
      <w:tblPr>
        <w:tblW w:w="9348" w:type="dxa"/>
        <w:tblBorders>
          <w:top w:val="single" w:sz="6" w:space="0" w:color="808080"/>
          <w:left w:val="single" w:sz="6" w:space="0" w:color="808080"/>
          <w:bottom w:val="single" w:sz="6" w:space="0" w:color="808080"/>
          <w:right w:val="single" w:sz="6" w:space="0" w:color="808080"/>
        </w:tblBorders>
        <w:tblLayout w:type="fixed"/>
        <w:tblLook w:val="04A0" w:firstRow="1" w:lastRow="0" w:firstColumn="1" w:lastColumn="0" w:noHBand="0" w:noVBand="1"/>
      </w:tblPr>
      <w:tblGrid>
        <w:gridCol w:w="9348"/>
      </w:tblGrid>
      <w:tr w:rsidR="002B0DBA" w:rsidRPr="007D21D4" w14:paraId="1D243B8B" w14:textId="77777777" w:rsidTr="002B0DBA">
        <w:trPr>
          <w:cantSplit/>
        </w:trPr>
        <w:tc>
          <w:tcPr>
            <w:tcW w:w="9348" w:type="dxa"/>
            <w:tcBorders>
              <w:top w:val="single" w:sz="6" w:space="0" w:color="808080"/>
              <w:left w:val="single" w:sz="6" w:space="0" w:color="808080"/>
              <w:bottom w:val="single" w:sz="6" w:space="0" w:color="808080"/>
              <w:right w:val="single" w:sz="6" w:space="0" w:color="808080"/>
            </w:tcBorders>
            <w:shd w:val="pct12" w:color="000000" w:fill="FFFFFF"/>
            <w:hideMark/>
          </w:tcPr>
          <w:p w14:paraId="002B6DE9" w14:textId="77777777" w:rsidR="002B0DBA" w:rsidRPr="007D21D4" w:rsidRDefault="002B0DBA" w:rsidP="007D21D4">
            <w:pPr>
              <w:pStyle w:val="Style1"/>
              <w:rPr>
                <w:lang w:val="es-ES"/>
              </w:rPr>
            </w:pPr>
            <w:r w:rsidRPr="007D21D4">
              <w:rPr>
                <w:b w:val="0"/>
                <w:lang w:val="es-ES"/>
              </w:rPr>
              <w:br w:type="page"/>
            </w:r>
            <w:r w:rsidRPr="007D21D4">
              <w:rPr>
                <w:b w:val="0"/>
                <w:lang w:val="es-ES"/>
              </w:rPr>
              <w:br w:type="page"/>
            </w:r>
            <w:r w:rsidRPr="007D21D4">
              <w:rPr>
                <w:b w:val="0"/>
                <w:lang w:val="es-ES"/>
              </w:rPr>
              <w:br w:type="page"/>
            </w:r>
            <w:r w:rsidRPr="007D21D4">
              <w:rPr>
                <w:b w:val="0"/>
                <w:lang w:val="es-ES"/>
              </w:rPr>
              <w:br w:type="page"/>
            </w:r>
            <w:r w:rsidRPr="007D21D4">
              <w:rPr>
                <w:lang w:val="es-ES"/>
              </w:rPr>
              <w:t xml:space="preserve">Anexo 4 – Referencias </w:t>
            </w:r>
          </w:p>
        </w:tc>
      </w:tr>
    </w:tbl>
    <w:p w14:paraId="120D0A4F" w14:textId="77777777" w:rsidR="002B0DBA" w:rsidRPr="00183AE4" w:rsidRDefault="002B0DBA" w:rsidP="00183AE4">
      <w:pPr>
        <w:pStyle w:val="Style1"/>
        <w:spacing w:before="240" w:after="120"/>
        <w:rPr>
          <w:bCs/>
          <w:lang w:val="es-ES"/>
        </w:rPr>
      </w:pPr>
      <w:r w:rsidRPr="00183AE4">
        <w:rPr>
          <w:bCs/>
          <w:lang w:val="es-ES"/>
        </w:rPr>
        <w:t>Regulatory actions</w:t>
      </w:r>
    </w:p>
    <w:p w14:paraId="19512D27" w14:textId="77777777" w:rsidR="002B0DBA" w:rsidRPr="00183AE4" w:rsidRDefault="002B0DBA" w:rsidP="00183AE4">
      <w:pPr>
        <w:pStyle w:val="Style1"/>
        <w:spacing w:before="240" w:after="120"/>
        <w:rPr>
          <w:bCs/>
          <w:snapToGrid w:val="0"/>
          <w:color w:val="000000"/>
          <w:u w:val="single"/>
          <w:lang w:val="es-ES"/>
        </w:rPr>
      </w:pPr>
      <w:r w:rsidRPr="00183AE4">
        <w:rPr>
          <w:bCs/>
          <w:snapToGrid w:val="0"/>
          <w:color w:val="000000"/>
          <w:u w:val="single"/>
          <w:lang w:val="es-ES"/>
        </w:rPr>
        <w:t>Brazil:</w:t>
      </w:r>
    </w:p>
    <w:p w14:paraId="5A3DEA56" w14:textId="77777777" w:rsidR="002B0DBA" w:rsidRPr="00AB7E72" w:rsidRDefault="002B0DBA" w:rsidP="00183AE4">
      <w:pPr>
        <w:pStyle w:val="Style1"/>
        <w:spacing w:before="0" w:after="120"/>
        <w:rPr>
          <w:b w:val="0"/>
        </w:rPr>
      </w:pPr>
      <w:r w:rsidRPr="00AB7E72">
        <w:rPr>
          <w:b w:val="0"/>
        </w:rPr>
        <w:t>The National Health Surveillance Agency (ANVISA) (2015): Resolution RDC No 12 of March 13, 2015, Document UNEP/FAO/RC/CRC.13/INF/27.pdf</w:t>
      </w:r>
    </w:p>
    <w:p w14:paraId="1453D5CA" w14:textId="77777777" w:rsidR="002B0DBA" w:rsidRPr="00AB7E72" w:rsidRDefault="002B0DBA" w:rsidP="00183AE4">
      <w:pPr>
        <w:pStyle w:val="Style1"/>
        <w:spacing w:before="240" w:after="120"/>
        <w:rPr>
          <w:bCs/>
          <w:snapToGrid w:val="0"/>
          <w:color w:val="000000"/>
          <w:u w:val="single"/>
        </w:rPr>
      </w:pPr>
      <w:r w:rsidRPr="00AB7E72">
        <w:rPr>
          <w:bCs/>
          <w:snapToGrid w:val="0"/>
          <w:color w:val="000000"/>
          <w:u w:val="single"/>
        </w:rPr>
        <w:t>Canada:</w:t>
      </w:r>
    </w:p>
    <w:p w14:paraId="6F3D531D" w14:textId="77777777" w:rsidR="002B0DBA" w:rsidRPr="00AB7E72" w:rsidRDefault="002B0DBA" w:rsidP="00183AE4">
      <w:pPr>
        <w:pStyle w:val="Style1"/>
        <w:spacing w:before="0" w:after="120"/>
        <w:rPr>
          <w:b w:val="0"/>
        </w:rPr>
      </w:pPr>
      <w:r w:rsidRPr="00AB7E72">
        <w:rPr>
          <w:b w:val="0"/>
        </w:rPr>
        <w:t>Health Canada (2007): Re-evaluation Note REV2007-07: Update of the Use of Phorate on Potatoes. Pest Management Regulatory Agency, 5 June 2007, Document UNEP/FAO/RC/CRC.5/9/Add.1</w:t>
      </w:r>
    </w:p>
    <w:p w14:paraId="1EAA6A3C" w14:textId="77777777" w:rsidR="002B0DBA" w:rsidRPr="00AB7E72" w:rsidRDefault="002B0DBA" w:rsidP="00183AE4">
      <w:pPr>
        <w:pStyle w:val="Style1"/>
        <w:spacing w:before="0" w:after="120"/>
        <w:rPr>
          <w:b w:val="0"/>
        </w:rPr>
      </w:pPr>
      <w:r w:rsidRPr="00AB7E72">
        <w:rPr>
          <w:b w:val="0"/>
        </w:rPr>
        <w:t>Health Canada (2004): Re-evaluation Decision Document RRD2004-11: Phorate. Pest Management Regulatory Agency, 13 May 2004, Document UNEP/FAO/RC/CRC.5/9/Add.1</w:t>
      </w:r>
    </w:p>
    <w:p w14:paraId="0ABA4C74" w14:textId="77777777" w:rsidR="002B0DBA" w:rsidRPr="00AB7E72" w:rsidRDefault="002B0DBA" w:rsidP="00183AE4">
      <w:pPr>
        <w:pStyle w:val="Style1"/>
        <w:spacing w:before="0" w:after="120"/>
        <w:rPr>
          <w:b w:val="0"/>
        </w:rPr>
      </w:pPr>
      <w:r w:rsidRPr="00AB7E72">
        <w:rPr>
          <w:b w:val="0"/>
        </w:rPr>
        <w:t>Health Canada (2003): Proposed acceptability for continued registration PACR 2003-01: Re-evaluation of Phorate. Pest Management Regulatory Agency, 25 January 2003, Document UNEP/FAO/RC/CRC.5/9/Add.1</w:t>
      </w:r>
    </w:p>
    <w:p w14:paraId="2813AAA6" w14:textId="77777777" w:rsidR="002B0DBA" w:rsidRPr="00AB7E72" w:rsidRDefault="002B0DBA" w:rsidP="00A63813">
      <w:pPr>
        <w:pStyle w:val="Style1"/>
        <w:spacing w:before="240" w:after="120"/>
        <w:rPr>
          <w:bCs/>
          <w:snapToGrid w:val="0"/>
          <w:color w:val="000000"/>
        </w:rPr>
      </w:pPr>
      <w:r w:rsidRPr="00AB7E72">
        <w:rPr>
          <w:bCs/>
          <w:snapToGrid w:val="0"/>
          <w:color w:val="000000"/>
        </w:rPr>
        <w:t>Supporting documentation provided by Brazil:</w:t>
      </w:r>
    </w:p>
    <w:p w14:paraId="1586781A" w14:textId="77777777" w:rsidR="002B0DBA" w:rsidRPr="00A63813" w:rsidRDefault="002B0DBA" w:rsidP="00A63813">
      <w:pPr>
        <w:spacing w:after="120"/>
      </w:pPr>
      <w:r w:rsidRPr="00A63813">
        <w:t>Brazil (2017): Focused summary of the Notification of Final Regulatory Action for Phorate - Brazil. Document UNEP/FAO/RC/CRC.13/INF/29.pdf.</w:t>
      </w:r>
    </w:p>
    <w:p w14:paraId="62BA3018" w14:textId="5BD46280" w:rsidR="002B0DBA" w:rsidRPr="00A63813" w:rsidRDefault="002B0DBA" w:rsidP="00A63813">
      <w:pPr>
        <w:spacing w:after="120"/>
      </w:pPr>
      <w:r w:rsidRPr="00A63813">
        <w:t>Technical notes on the toxicological revaluation on the active ingredient phorate –prepared by National Health Surveillance Agency (ANVISA) with collaboration of</w:t>
      </w:r>
      <w:r w:rsidR="005D7543" w:rsidRPr="00A63813">
        <w:t xml:space="preserve"> </w:t>
      </w:r>
      <w:r w:rsidRPr="00A63813">
        <w:t>Oswaldo Cruz Foundation (FIOCRUZ). Document UNEP/FAO/RC/CRC.13/INF/29.pdf (in Portuguese)</w:t>
      </w:r>
    </w:p>
    <w:p w14:paraId="1BD400D5" w14:textId="17DFBDA0" w:rsidR="002B0DBA" w:rsidRPr="00A63813" w:rsidRDefault="002B0DBA" w:rsidP="00A63813">
      <w:pPr>
        <w:spacing w:after="120"/>
      </w:pPr>
      <w:r w:rsidRPr="00A63813">
        <w:t>Usha and Harikrishnan (2004): Documentation of Pesticide Poisoning in Kerala</w:t>
      </w:r>
      <w:r w:rsidR="005D7543" w:rsidRPr="00A63813">
        <w:t xml:space="preserve"> </w:t>
      </w:r>
      <w:r w:rsidRPr="00A63813">
        <w:t>and its Implications on Health and Agriculture Planning and Policy. Kerala Research</w:t>
      </w:r>
      <w:r w:rsidR="005D7543" w:rsidRPr="00A63813">
        <w:t xml:space="preserve"> </w:t>
      </w:r>
      <w:r w:rsidRPr="00A63813">
        <w:t>Programme on Local Level Development Centre for Development StudiesThiruvananthapuram. 2004.96p. As cited in UNEP/FAO/RC/CRC.13/INF/29.pdf.</w:t>
      </w:r>
    </w:p>
    <w:p w14:paraId="2F30A560" w14:textId="4EC5C3DC" w:rsidR="002B0DBA" w:rsidRPr="00A63813" w:rsidRDefault="002B0DBA" w:rsidP="00A63813">
      <w:pPr>
        <w:spacing w:after="120"/>
      </w:pPr>
      <w:r w:rsidRPr="00A63813">
        <w:t>Mission</w:t>
      </w:r>
      <w:r w:rsidR="0074086C">
        <w:t xml:space="preserve"> </w:t>
      </w:r>
      <w:r w:rsidRPr="00A63813">
        <w:t xml:space="preserve">(2006): Pesticide Spray Proves Disastrous In Salkiana Village, Jalandhar.2006. </w:t>
      </w:r>
      <w:hyperlink r:id="rId25" w:history="1">
        <w:r w:rsidRPr="00A63813">
          <w:t>http://www.worldproutassembly.org/archives/2006/08/pesticide_spray.html</w:t>
        </w:r>
      </w:hyperlink>
      <w:r w:rsidRPr="00A63813">
        <w:t>. As cited in UNEP/FAO/RC/CRC.13/INF/29.pdf</w:t>
      </w:r>
    </w:p>
    <w:p w14:paraId="78451DFA" w14:textId="77777777" w:rsidR="002B0DBA" w:rsidRPr="00AB7E72" w:rsidRDefault="002B0DBA" w:rsidP="007D21D4">
      <w:pPr>
        <w:pStyle w:val="Style1"/>
        <w:rPr>
          <w:b w:val="0"/>
        </w:rPr>
      </w:pPr>
      <w:r w:rsidRPr="007D21D4">
        <w:rPr>
          <w:b w:val="0"/>
          <w:lang w:val="es-ES"/>
        </w:rPr>
        <w:t xml:space="preserve">Waichman (2008): Uma proposta de avaliação integrada de risco do uso deagrotóxicos no estado do Amazonas, Brasil. </w:t>
      </w:r>
      <w:r w:rsidRPr="00AB7E72">
        <w:rPr>
          <w:b w:val="0"/>
        </w:rPr>
        <w:t>Acta Amazônica, v. 38, n. 1, p. 45-51,2008. As cited in UNEP/FAO/RC/CRC.13/INF/29.pdf.</w:t>
      </w:r>
    </w:p>
    <w:p w14:paraId="0E9BF250" w14:textId="77777777" w:rsidR="002B0DBA" w:rsidRPr="00AF76DA" w:rsidRDefault="002B0DBA" w:rsidP="00AF76DA">
      <w:pPr>
        <w:pStyle w:val="Style1"/>
        <w:spacing w:before="240" w:after="120"/>
        <w:rPr>
          <w:bCs/>
          <w:snapToGrid w:val="0"/>
          <w:color w:val="000000"/>
          <w:lang w:val="en-US"/>
        </w:rPr>
      </w:pPr>
      <w:r w:rsidRPr="00AF76DA">
        <w:rPr>
          <w:bCs/>
          <w:snapToGrid w:val="0"/>
          <w:color w:val="000000"/>
          <w:lang w:val="en-US"/>
        </w:rPr>
        <w:t>Supporting documentation provided by Canada:</w:t>
      </w:r>
    </w:p>
    <w:p w14:paraId="0FABAF85" w14:textId="77777777" w:rsidR="002B0DBA" w:rsidRPr="00AB7E72" w:rsidRDefault="002B0DBA" w:rsidP="00AF76DA">
      <w:pPr>
        <w:pStyle w:val="Style1"/>
        <w:spacing w:before="0" w:after="120"/>
        <w:rPr>
          <w:b w:val="0"/>
        </w:rPr>
      </w:pPr>
      <w:r w:rsidRPr="00AB7E72">
        <w:rPr>
          <w:b w:val="0"/>
        </w:rPr>
        <w:t xml:space="preserve">Health Canada (2008): Re-evaluation Note REV2008-05: Update of the Use of Phorate on Potatoes. </w:t>
      </w:r>
    </w:p>
    <w:p w14:paraId="48794D98" w14:textId="77777777" w:rsidR="002B0DBA" w:rsidRPr="00AB7E72" w:rsidRDefault="002B0DBA" w:rsidP="00AF76DA">
      <w:pPr>
        <w:pStyle w:val="Style1"/>
        <w:spacing w:before="0" w:after="120"/>
        <w:rPr>
          <w:b w:val="0"/>
        </w:rPr>
      </w:pPr>
      <w:r w:rsidRPr="00AB7E72">
        <w:rPr>
          <w:b w:val="0"/>
        </w:rPr>
        <w:t xml:space="preserve">Pest Management Regulatory Agency, 26 March 2008 </w:t>
      </w:r>
    </w:p>
    <w:p w14:paraId="70A2969C" w14:textId="77777777" w:rsidR="002B0DBA" w:rsidRPr="00AB7E72" w:rsidRDefault="002B0DBA" w:rsidP="00AF76DA">
      <w:pPr>
        <w:pStyle w:val="Style1"/>
        <w:spacing w:before="0" w:after="120"/>
        <w:rPr>
          <w:b w:val="0"/>
        </w:rPr>
      </w:pPr>
      <w:r w:rsidRPr="00AB7E72">
        <w:rPr>
          <w:b w:val="0"/>
        </w:rPr>
        <w:t xml:space="preserve">Health Canada (2012): Re-evaluation Note REV2012-01: Update of the Use of Phorate on Potatoes. Pest Management Regulatory Agency, 28 May 2012. </w:t>
      </w:r>
    </w:p>
    <w:p w14:paraId="2878C912" w14:textId="35116CDF" w:rsidR="002B0DBA" w:rsidRPr="00AB7E72" w:rsidRDefault="002B0DBA" w:rsidP="00AF76DA">
      <w:pPr>
        <w:pStyle w:val="Style1"/>
        <w:spacing w:before="0" w:after="120"/>
        <w:rPr>
          <w:b w:val="0"/>
        </w:rPr>
      </w:pPr>
      <w:r w:rsidRPr="00AB7E72">
        <w:rPr>
          <w:b w:val="0"/>
        </w:rPr>
        <w:t xml:space="preserve">To access these documents, they must be requested at the following link: </w:t>
      </w:r>
      <w:hyperlink r:id="rId26" w:anchor="revnote" w:history="1">
        <w:r w:rsidRPr="00AB7E72">
          <w:rPr>
            <w:rStyle w:val="Hyperlink"/>
            <w:b w:val="0"/>
            <w:lang w:val="en-GB"/>
          </w:rPr>
          <w:t>https://www.canada.ca/en/</w:t>
        </w:r>
        <w:r w:rsidRPr="00AB7E72">
          <w:rPr>
            <w:rStyle w:val="Hyperlink"/>
            <w:b w:val="0"/>
            <w:lang w:val="en-GB"/>
          </w:rPr>
          <w:br/>
          <w:t>health-canada/services/consumer-product-safety/reports-publications/pesticides-pest-management/decisions-updates.html#revnote</w:t>
        </w:r>
      </w:hyperlink>
      <w:r w:rsidRPr="00AB7E72">
        <w:rPr>
          <w:b w:val="0"/>
        </w:rPr>
        <w:t>.</w:t>
      </w:r>
    </w:p>
    <w:p w14:paraId="3CC68EAE" w14:textId="77777777" w:rsidR="002B0DBA" w:rsidRPr="00AB7E72" w:rsidRDefault="002B0DBA" w:rsidP="007D21D4">
      <w:pPr>
        <w:pStyle w:val="Style1"/>
        <w:rPr>
          <w:b w:val="0"/>
        </w:rPr>
      </w:pPr>
      <w:r w:rsidRPr="00AB7E72">
        <w:rPr>
          <w:b w:val="0"/>
        </w:rPr>
        <w:t>It is noted that an excerpt for Phorate from re-evaluation summary table is not available online but is provided in Document UNEP/FAO/RC/CRC.5/9/Add.1</w:t>
      </w:r>
    </w:p>
    <w:p w14:paraId="285C8C91" w14:textId="77777777" w:rsidR="002B0DBA" w:rsidRPr="00AB7E72" w:rsidRDefault="002B0DBA" w:rsidP="006D614C">
      <w:pPr>
        <w:pStyle w:val="Style1"/>
        <w:spacing w:before="0" w:after="120"/>
        <w:rPr>
          <w:b w:val="0"/>
        </w:rPr>
      </w:pPr>
      <w:r w:rsidRPr="00AB7E72">
        <w:rPr>
          <w:b w:val="0"/>
        </w:rPr>
        <w:t>Pesticide Manual 11th Edition: Extract on Phorate. As cited in: UNEP/FAO/RC/CRC.5/9/Add.1</w:t>
      </w:r>
    </w:p>
    <w:p w14:paraId="01896AF9" w14:textId="77777777" w:rsidR="002B0DBA" w:rsidRPr="00AB7E72" w:rsidRDefault="002B0DBA" w:rsidP="00AF595D">
      <w:pPr>
        <w:pStyle w:val="Style1"/>
        <w:spacing w:before="240" w:after="120"/>
      </w:pPr>
      <w:r w:rsidRPr="00AB7E72">
        <w:t>Other Documents</w:t>
      </w:r>
    </w:p>
    <w:p w14:paraId="521A65EA" w14:textId="77777777" w:rsidR="00AF595D" w:rsidRPr="00AF595D" w:rsidRDefault="002B0DBA" w:rsidP="00AF595D">
      <w:pPr>
        <w:pStyle w:val="Style1"/>
        <w:spacing w:before="0" w:after="120"/>
        <w:rPr>
          <w:b w:val="0"/>
          <w:lang w:val="en-US"/>
        </w:rPr>
      </w:pPr>
      <w:r w:rsidRPr="00AF595D">
        <w:rPr>
          <w:b w:val="0"/>
          <w:lang w:val="en-US"/>
        </w:rPr>
        <w:t xml:space="preserve">E-World Trade Fair (2017): </w:t>
      </w:r>
      <w:hyperlink r:id="rId27" w:history="1">
        <w:r w:rsidRPr="00AF595D">
          <w:rPr>
            <w:b w:val="0"/>
            <w:lang w:val="en-US"/>
          </w:rPr>
          <w:t>http://www.eworldtradefair.com/phorate-manufacturers-india.html</w:t>
        </w:r>
      </w:hyperlink>
      <w:r w:rsidRPr="00AF595D">
        <w:rPr>
          <w:b w:val="0"/>
          <w:lang w:val="en-US"/>
        </w:rPr>
        <w:t xml:space="preserve"> , access date 13 December 2017.</w:t>
      </w:r>
    </w:p>
    <w:p w14:paraId="0FD99333" w14:textId="6C31EB3D" w:rsidR="002B0DBA" w:rsidRPr="00AF595D" w:rsidRDefault="002B0DBA" w:rsidP="00AF595D">
      <w:pPr>
        <w:pStyle w:val="Style1"/>
        <w:spacing w:before="0" w:after="120"/>
        <w:rPr>
          <w:b w:val="0"/>
          <w:lang w:val="en-US"/>
        </w:rPr>
      </w:pPr>
      <w:r w:rsidRPr="00AF595D">
        <w:rPr>
          <w:b w:val="0"/>
          <w:lang w:val="en-US"/>
        </w:rPr>
        <w:t xml:space="preserve">Extoxnet (1996): Extension Toxicology Network, Pesticide Information Profiles: </w:t>
      </w:r>
      <w:hyperlink r:id="rId28" w:history="1">
        <w:r w:rsidRPr="00AF595D">
          <w:rPr>
            <w:rStyle w:val="Hyperlink"/>
            <w:b w:val="0"/>
            <w:lang w:val="en-US"/>
          </w:rPr>
          <w:t>http://extoxnet.orst.edu/pips/phorate.htm</w:t>
        </w:r>
      </w:hyperlink>
    </w:p>
    <w:p w14:paraId="28F0BC9C" w14:textId="77777777" w:rsidR="002B0DBA" w:rsidRPr="00AB7E72" w:rsidRDefault="002B0DBA" w:rsidP="00AF595D">
      <w:pPr>
        <w:pStyle w:val="Style1"/>
        <w:spacing w:before="0" w:after="120"/>
        <w:rPr>
          <w:b w:val="0"/>
        </w:rPr>
      </w:pPr>
      <w:r w:rsidRPr="00AB7E72">
        <w:rPr>
          <w:b w:val="0"/>
        </w:rPr>
        <w:t xml:space="preserve">Extoxnet (2017): </w:t>
      </w:r>
      <w:hyperlink r:id="rId29" w:history="1">
        <w:r w:rsidRPr="00AB7E72">
          <w:rPr>
            <w:b w:val="0"/>
          </w:rPr>
          <w:t>http://pmep.</w:t>
        </w:r>
        <w:r w:rsidRPr="00AF595D">
          <w:rPr>
            <w:b w:val="0"/>
            <w:lang w:val="en-US"/>
          </w:rPr>
          <w:t>cce</w:t>
        </w:r>
        <w:r w:rsidRPr="00AB7E72">
          <w:rPr>
            <w:b w:val="0"/>
          </w:rPr>
          <w:t>.cornell.edu/profiles/extoxnet/metiram-propoxur/phorate-ext.html</w:t>
        </w:r>
      </w:hyperlink>
      <w:r w:rsidRPr="00AB7E72">
        <w:rPr>
          <w:b w:val="0"/>
        </w:rPr>
        <w:t>, access date 13 December 2017</w:t>
      </w:r>
    </w:p>
    <w:p w14:paraId="36806AAD" w14:textId="77777777" w:rsidR="002B0DBA" w:rsidRPr="00AB7E72" w:rsidRDefault="002B0DBA" w:rsidP="00AF595D">
      <w:pPr>
        <w:pStyle w:val="Style1"/>
        <w:spacing w:before="0" w:after="120"/>
        <w:rPr>
          <w:b w:val="0"/>
        </w:rPr>
      </w:pPr>
      <w:r w:rsidRPr="00AB7E72">
        <w:rPr>
          <w:b w:val="0"/>
        </w:rPr>
        <w:t xml:space="preserve">FAO (2015): Guidelines </w:t>
      </w:r>
      <w:r w:rsidRPr="00AF595D">
        <w:rPr>
          <w:b w:val="0"/>
          <w:lang w:val="en-US"/>
        </w:rPr>
        <w:t>on</w:t>
      </w:r>
      <w:r w:rsidRPr="00AB7E72">
        <w:rPr>
          <w:b w:val="0"/>
        </w:rPr>
        <w:t xml:space="preserve"> Good Labelling Practice for Pesticides (revised). International Code of Conduct on Pesticides. Food and Agriculture Organisation of the United Nations and World Health Organisation. </w:t>
      </w:r>
      <w:hyperlink r:id="rId30" w:history="1">
        <w:r w:rsidRPr="00AB7E72">
          <w:rPr>
            <w:rStyle w:val="Hyperlink"/>
            <w:b w:val="0"/>
            <w:lang w:val="en-GB"/>
          </w:rPr>
          <w:t>http://www.schc.org/index.php?option=com_content&amp;view=article&amp;id=309:revised-guidelines-on-good-labelling-practice-for-pesticides--2015-&amp;catid=25:</w:t>
        </w:r>
        <w:r w:rsidRPr="004E05F3">
          <w:rPr>
            <w:b w:val="0"/>
            <w:lang w:val="en-US"/>
          </w:rPr>
          <w:t>newsworthy</w:t>
        </w:r>
        <w:r w:rsidRPr="00AB7E72">
          <w:rPr>
            <w:rStyle w:val="Hyperlink"/>
            <w:b w:val="0"/>
            <w:lang w:val="en-GB"/>
          </w:rPr>
          <w:t>&amp;Itemid=199</w:t>
        </w:r>
      </w:hyperlink>
    </w:p>
    <w:p w14:paraId="7789414E" w14:textId="77777777" w:rsidR="002B0DBA" w:rsidRPr="00AB7E72" w:rsidRDefault="002B0DBA" w:rsidP="004E05F3">
      <w:pPr>
        <w:pStyle w:val="Style1"/>
        <w:spacing w:before="0" w:after="120"/>
        <w:rPr>
          <w:b w:val="0"/>
        </w:rPr>
      </w:pPr>
      <w:r w:rsidRPr="00AB7E72">
        <w:rPr>
          <w:b w:val="0"/>
        </w:rPr>
        <w:t xml:space="preserve">IPCS INCHEM (undated), </w:t>
      </w:r>
      <w:r w:rsidRPr="00AB7E72">
        <w:rPr>
          <w:rStyle w:val="Hyperlink"/>
          <w:b w:val="0"/>
          <w:lang w:val="en-GB"/>
        </w:rPr>
        <w:t>PHORATE</w:t>
      </w:r>
    </w:p>
    <w:p w14:paraId="679B3662" w14:textId="77777777" w:rsidR="002B0DBA" w:rsidRPr="00AB7E72" w:rsidRDefault="00DA4ED9" w:rsidP="004E05F3">
      <w:pPr>
        <w:pStyle w:val="Style1"/>
        <w:spacing w:before="0" w:after="120"/>
        <w:rPr>
          <w:b w:val="0"/>
        </w:rPr>
      </w:pPr>
      <w:hyperlink r:id="rId31" w:history="1">
        <w:r w:rsidR="002B0DBA" w:rsidRPr="00AB7E72">
          <w:rPr>
            <w:b w:val="0"/>
          </w:rPr>
          <w:t>http://www.inchem.org/documents/jmpr/</w:t>
        </w:r>
        <w:r w:rsidR="002B0DBA" w:rsidRPr="00AB7E72">
          <w:rPr>
            <w:rStyle w:val="Hyperlink"/>
            <w:b w:val="0"/>
            <w:lang w:val="en-GB"/>
          </w:rPr>
          <w:t>jmpmono</w:t>
        </w:r>
        <w:r w:rsidR="002B0DBA" w:rsidRPr="00AB7E72">
          <w:rPr>
            <w:b w:val="0"/>
          </w:rPr>
          <w:t>/v94pr08.htm</w:t>
        </w:r>
      </w:hyperlink>
    </w:p>
    <w:p w14:paraId="488240EA" w14:textId="43D9E0F2" w:rsidR="002B0DBA" w:rsidRPr="00AB7E72" w:rsidRDefault="002B0DBA" w:rsidP="004E05F3">
      <w:pPr>
        <w:pStyle w:val="Style1"/>
        <w:spacing w:before="0" w:after="120"/>
        <w:rPr>
          <w:b w:val="0"/>
        </w:rPr>
      </w:pPr>
      <w:r w:rsidRPr="00AB7E72">
        <w:rPr>
          <w:b w:val="0"/>
        </w:rPr>
        <w:t>JMPR Report 2012: Food and Agriculture Organisation of United Nations (FAO) and World Health Organisation (WHO), Pesticide Residues in Food 2012. Joint FAO/WHO Meeting on Pesticide Residues. FAO Plant Production and Protection Paper</w:t>
      </w:r>
      <w:r w:rsidR="00985D51" w:rsidRPr="00AB7E72">
        <w:rPr>
          <w:b w:val="0"/>
        </w:rPr>
        <w:t> </w:t>
      </w:r>
      <w:r w:rsidRPr="00AB7E72">
        <w:rPr>
          <w:b w:val="0"/>
        </w:rPr>
        <w:t>215:</w:t>
      </w:r>
      <w:r w:rsidR="00985D51" w:rsidRPr="00AB7E72">
        <w:rPr>
          <w:b w:val="0"/>
        </w:rPr>
        <w:t xml:space="preserve"> </w:t>
      </w:r>
      <w:hyperlink r:id="rId32" w:history="1">
        <w:r w:rsidR="007D21D4" w:rsidRPr="00AB7E72">
          <w:rPr>
            <w:rStyle w:val="Hyperlink"/>
            <w:b w:val="0"/>
            <w:spacing w:val="-2"/>
            <w:lang w:val="en-GB"/>
          </w:rPr>
          <w:t>http://www.fao.org/fileadmin/templates/agphome/documents/Pests_Pesticides/JMPR/Report12/JMPR_2012_Report.pdf</w:t>
        </w:r>
      </w:hyperlink>
    </w:p>
    <w:p w14:paraId="48013FC0" w14:textId="77777777" w:rsidR="002B0DBA" w:rsidRPr="00AB7E72" w:rsidRDefault="002B0DBA" w:rsidP="00DD0036">
      <w:pPr>
        <w:pStyle w:val="Style1"/>
        <w:spacing w:before="0" w:after="120"/>
        <w:rPr>
          <w:b w:val="0"/>
        </w:rPr>
      </w:pPr>
      <w:r w:rsidRPr="00AB7E72">
        <w:rPr>
          <w:b w:val="0"/>
        </w:rPr>
        <w:t xml:space="preserve">JMPR Report 2004: Food and Agriculture Organisation of United Nations (FAO) and World Health Organisation (WHO), Pesticide Residues in Food 2004. Joint FAO/WHO Meeting on Pesticide Residues. FAO Plant Production and Protection Paper 178: </w:t>
      </w:r>
    </w:p>
    <w:p w14:paraId="72F7946B" w14:textId="0CEB5CF5" w:rsidR="002B0DBA" w:rsidRPr="00AB7E72" w:rsidRDefault="00DA4ED9" w:rsidP="00DD0036">
      <w:pPr>
        <w:pStyle w:val="Style1"/>
        <w:spacing w:before="0" w:after="120"/>
        <w:rPr>
          <w:b w:val="0"/>
        </w:rPr>
      </w:pPr>
      <w:hyperlink r:id="rId33" w:history="1">
        <w:r w:rsidR="00DD0036" w:rsidRPr="00AB7E72">
          <w:rPr>
            <w:rStyle w:val="Hyperlink"/>
            <w:b w:val="0"/>
            <w:lang w:val="en-GB"/>
          </w:rPr>
          <w:t>http://www.fao.org/fileadmin/templates/agphome/documents/Pests_Pesticides/JMPR/Reports</w:t>
        </w:r>
        <w:r w:rsidR="00DD0036" w:rsidRPr="00AB7E72" w:rsidDel="00305082">
          <w:rPr>
            <w:rStyle w:val="Hyperlink"/>
            <w:b w:val="0"/>
            <w:lang w:val="en-GB"/>
          </w:rPr>
          <w:t>_</w:t>
        </w:r>
        <w:r w:rsidR="00DD0036" w:rsidRPr="00AB7E72">
          <w:rPr>
            <w:rStyle w:val="Hyperlink"/>
            <w:b w:val="0"/>
            <w:lang w:val="en-GB"/>
          </w:rPr>
          <w:t>1991-2006/report2004jmpr.pdf</w:t>
        </w:r>
      </w:hyperlink>
    </w:p>
    <w:p w14:paraId="1F05CDC0" w14:textId="3E81B749" w:rsidR="002B0DBA" w:rsidRPr="00AB7E72" w:rsidRDefault="002B0DBA" w:rsidP="00DD0036">
      <w:pPr>
        <w:pStyle w:val="Style1"/>
        <w:spacing w:before="0" w:after="120"/>
        <w:rPr>
          <w:b w:val="0"/>
        </w:rPr>
      </w:pPr>
      <w:r w:rsidRPr="00AB7E72">
        <w:rPr>
          <w:b w:val="0"/>
        </w:rPr>
        <w:t xml:space="preserve">NIOSH (2000): International Chemical Safety Cards: Phorate. </w:t>
      </w:r>
      <w:hyperlink r:id="rId34" w:history="1">
        <w:r w:rsidR="007D21D4" w:rsidRPr="00AB7E72">
          <w:rPr>
            <w:rStyle w:val="Hyperlink"/>
            <w:b w:val="0"/>
            <w:lang w:val="en-GB"/>
          </w:rPr>
          <w:t>https://www.cdc.gov/niosh/ipcsneng/neng1060.html</w:t>
        </w:r>
      </w:hyperlink>
      <w:r w:rsidRPr="00AB7E72">
        <w:rPr>
          <w:b w:val="0"/>
        </w:rPr>
        <w:t>, accessed 13 December, 2017.</w:t>
      </w:r>
    </w:p>
    <w:p w14:paraId="3CB30269" w14:textId="77777777" w:rsidR="002B0DBA" w:rsidRPr="00AB7E72" w:rsidRDefault="002B0DBA" w:rsidP="00DD0036">
      <w:pPr>
        <w:pStyle w:val="Style1"/>
        <w:spacing w:before="0" w:after="120"/>
        <w:rPr>
          <w:b w:val="0"/>
        </w:rPr>
      </w:pPr>
      <w:r w:rsidRPr="00AB7E72">
        <w:rPr>
          <w:b w:val="0"/>
        </w:rPr>
        <w:t xml:space="preserve">PMRA: Evaluation Report to Register a new granular insecticide end-use product. </w:t>
      </w:r>
      <w:hyperlink r:id="rId35" w:history="1">
        <w:r w:rsidRPr="00AB7E72">
          <w:rPr>
            <w:b w:val="0"/>
          </w:rPr>
          <w:t>http://pr-rp.hc-sc.gc.ca/1_1/view_label?p_ukid=96999729</w:t>
        </w:r>
      </w:hyperlink>
    </w:p>
    <w:p w14:paraId="3A7050CF" w14:textId="77777777" w:rsidR="002B0DBA" w:rsidRPr="00AB7E72" w:rsidRDefault="002B0DBA" w:rsidP="007D21D4">
      <w:pPr>
        <w:pStyle w:val="Style1"/>
        <w:rPr>
          <w:b w:val="0"/>
        </w:rPr>
      </w:pPr>
      <w:r w:rsidRPr="00AB7E72">
        <w:rPr>
          <w:b w:val="0"/>
        </w:rPr>
        <w:t xml:space="preserve">PPDB (2018) Pesticide Properties DataBasephorate (Ref: ENT 24042), </w:t>
      </w:r>
      <w:hyperlink r:id="rId36" w:history="1">
        <w:r w:rsidRPr="00AB7E72">
          <w:rPr>
            <w:rStyle w:val="Hyperlink"/>
            <w:b w:val="0"/>
            <w:lang w:val="en-GB"/>
          </w:rPr>
          <w:t>http://sitem.herts.ac.uk/aeru/ppdb/en/Reports/519.htm</w:t>
        </w:r>
      </w:hyperlink>
    </w:p>
    <w:p w14:paraId="01D8E6CD" w14:textId="77777777" w:rsidR="002B0DBA" w:rsidRPr="00AB7E72" w:rsidRDefault="002B0DBA" w:rsidP="00DD0036">
      <w:pPr>
        <w:pStyle w:val="Style1"/>
        <w:spacing w:before="0" w:after="120"/>
        <w:rPr>
          <w:b w:val="0"/>
        </w:rPr>
      </w:pPr>
      <w:r w:rsidRPr="00AB7E72">
        <w:rPr>
          <w:b w:val="0"/>
        </w:rPr>
        <w:t>PubChem (2017a): PubChem database, Compound Summary for CID 4790, phorate. National Institute of Health, Open Chemistry Database,</w:t>
      </w:r>
      <w:hyperlink r:id="rId37" w:anchor="section=First-Aid-Measures" w:history="1">
        <w:r w:rsidRPr="00AB7E72">
          <w:rPr>
            <w:rStyle w:val="Hyperlink"/>
            <w:b w:val="0"/>
            <w:lang w:val="en-GB"/>
          </w:rPr>
          <w:t>https://PubChem.ncbi.nlm.nih.gov/compound/phorate#section=First-Aid-Measures</w:t>
        </w:r>
      </w:hyperlink>
      <w:r w:rsidRPr="00AB7E72">
        <w:rPr>
          <w:b w:val="0"/>
        </w:rPr>
        <w:t xml:space="preserve">. </w:t>
      </w:r>
    </w:p>
    <w:p w14:paraId="791AF287" w14:textId="77777777" w:rsidR="002B0DBA" w:rsidRPr="00AB7E72" w:rsidRDefault="002B0DBA" w:rsidP="00DD0036">
      <w:pPr>
        <w:pStyle w:val="Style1"/>
        <w:spacing w:before="0" w:after="120"/>
        <w:rPr>
          <w:b w:val="0"/>
        </w:rPr>
      </w:pPr>
      <w:r w:rsidRPr="00AB7E72">
        <w:rPr>
          <w:b w:val="0"/>
        </w:rPr>
        <w:t xml:space="preserve">PubChem (2017b): PubChem database, Compound Summary for CID 4790, phorate. Disposal methods. National Institute of Health, Open Chemistry Database </w:t>
      </w:r>
      <w:hyperlink r:id="rId38" w:anchor="section=Disposal-Methods" w:history="1">
        <w:r w:rsidRPr="00AB7E72">
          <w:rPr>
            <w:rStyle w:val="Hyperlink"/>
            <w:b w:val="0"/>
            <w:lang w:val="en-GB"/>
          </w:rPr>
          <w:t>https://PubChem.ncbi.nlm.nih.gov/compound/phorate#section=Disposal-Methods</w:t>
        </w:r>
      </w:hyperlink>
    </w:p>
    <w:p w14:paraId="19D71DC2" w14:textId="77777777" w:rsidR="002B0DBA" w:rsidRPr="00AB7E72" w:rsidRDefault="002B0DBA" w:rsidP="00DD0036">
      <w:pPr>
        <w:pStyle w:val="Style1"/>
        <w:spacing w:before="0" w:after="120"/>
        <w:rPr>
          <w:b w:val="0"/>
        </w:rPr>
      </w:pPr>
      <w:r w:rsidRPr="00AB7E72">
        <w:rPr>
          <w:rFonts w:eastAsia="SimSun"/>
          <w:b w:val="0"/>
          <w:lang w:eastAsia="zh-CN"/>
        </w:rPr>
        <w:t>PubChem (2017c</w:t>
      </w:r>
      <w:r w:rsidRPr="00AB7E72">
        <w:rPr>
          <w:b w:val="0"/>
        </w:rPr>
        <w:t xml:space="preserve">): PubChem database, Compound Summary for CID 4790, phorate. National Institute of Health, Open Chemistry Database, </w:t>
      </w:r>
      <w:hyperlink r:id="rId39" w:anchor="section=Top" w:history="1">
        <w:r w:rsidRPr="00AB7E72">
          <w:rPr>
            <w:rStyle w:val="Hyperlink"/>
            <w:b w:val="0"/>
            <w:lang w:val="en-GB"/>
          </w:rPr>
          <w:t>https://PubChem.ncbi.nlm.nih.gov/compound/phorate#section=Top</w:t>
        </w:r>
      </w:hyperlink>
    </w:p>
    <w:p w14:paraId="6C9D577E" w14:textId="77777777" w:rsidR="002B0DBA" w:rsidRPr="00AB7E72" w:rsidRDefault="002B0DBA" w:rsidP="00DD0036">
      <w:pPr>
        <w:pStyle w:val="Style1"/>
        <w:spacing w:before="0" w:after="120"/>
        <w:rPr>
          <w:b w:val="0"/>
        </w:rPr>
      </w:pPr>
      <w:r w:rsidRPr="00AB7E72">
        <w:rPr>
          <w:b w:val="0"/>
        </w:rPr>
        <w:t xml:space="preserve">TOXNET (2017): </w:t>
      </w:r>
      <w:hyperlink r:id="rId40" w:history="1">
        <w:r w:rsidRPr="00AB7E72">
          <w:rPr>
            <w:rStyle w:val="Hyperlink"/>
            <w:b w:val="0"/>
            <w:lang w:val="en-GB"/>
          </w:rPr>
          <w:t>https://toxnet.nlm.nih.gov/cgi-bin/sis/search2/r?dbs+hsdb:@term+@rn+@rel+298-02-2</w:t>
        </w:r>
      </w:hyperlink>
      <w:r w:rsidRPr="00AB7E72">
        <w:rPr>
          <w:b w:val="0"/>
        </w:rPr>
        <w:t>, access date 13 December 2017.</w:t>
      </w:r>
    </w:p>
    <w:p w14:paraId="6B326991" w14:textId="77777777" w:rsidR="002B0DBA" w:rsidRPr="00AB7E72" w:rsidRDefault="002B0DBA" w:rsidP="00E500D6">
      <w:pPr>
        <w:pStyle w:val="Style1"/>
        <w:spacing w:before="240" w:after="120"/>
      </w:pPr>
      <w:r w:rsidRPr="00AB7E72">
        <w:t>National or industrial Safety Data Sheets (non-exhaustive):</w:t>
      </w:r>
    </w:p>
    <w:p w14:paraId="0808D5FE" w14:textId="77777777" w:rsidR="002B0DBA" w:rsidRPr="00AB7E72" w:rsidRDefault="002B0DBA" w:rsidP="007D21D4">
      <w:pPr>
        <w:pStyle w:val="Style1"/>
        <w:rPr>
          <w:b w:val="0"/>
        </w:rPr>
      </w:pPr>
      <w:r w:rsidRPr="00AB7E72">
        <w:rPr>
          <w:b w:val="0"/>
        </w:rPr>
        <w:t>Central Pollution Control Board of India (2017): Material Safety Data Sheets, 490, accessed 13 December, 2017.</w:t>
      </w:r>
    </w:p>
    <w:p w14:paraId="56061D8E" w14:textId="77777777" w:rsidR="002B0DBA" w:rsidRPr="00AB7E72" w:rsidRDefault="00DA4ED9" w:rsidP="007D21D4">
      <w:pPr>
        <w:pStyle w:val="Style1"/>
        <w:rPr>
          <w:b w:val="0"/>
        </w:rPr>
      </w:pPr>
      <w:hyperlink r:id="rId41" w:history="1">
        <w:r w:rsidR="002B0DBA" w:rsidRPr="00AB7E72">
          <w:rPr>
            <w:rStyle w:val="Hyperlink"/>
            <w:b w:val="0"/>
            <w:lang w:val="en-GB"/>
          </w:rPr>
          <w:t>http://cpcb.nic.in/divisionsofheadoffice/pci-ssi/MATERIAL_SAFETY-DATABASE/MSDS2008/490.pdf</w:t>
        </w:r>
      </w:hyperlink>
    </w:p>
    <w:p w14:paraId="43A8B7D6" w14:textId="77777777" w:rsidR="002B0DBA" w:rsidRPr="00AB7E72" w:rsidRDefault="002B0DBA" w:rsidP="007D21D4">
      <w:pPr>
        <w:pStyle w:val="Style1"/>
        <w:rPr>
          <w:b w:val="0"/>
        </w:rPr>
      </w:pPr>
      <w:r w:rsidRPr="00AB7E72">
        <w:rPr>
          <w:b w:val="0"/>
        </w:rPr>
        <w:t xml:space="preserve">Sigma Aldrich (2015): Safety Datasheet, Phorate. Date: 8 April 2015. </w:t>
      </w:r>
      <w:hyperlink r:id="rId42" w:history="1">
        <w:r w:rsidRPr="00AB7E72">
          <w:rPr>
            <w:rStyle w:val="Hyperlink"/>
            <w:b w:val="0"/>
            <w:lang w:val="en-GB"/>
          </w:rPr>
          <w:t>https://www.sigmaaldrich.com/MSDS/MSDS/DisplayMSDSPage.do?country=PL&amp;language=EN-generic&amp;productNumber=33388&amp;brand=SIAL&amp;PageToGoToURL=https%3A%2F%2Fwww.sigmaaldrich.com%2Fcatalog%2Fproduct%2Fsial%2F33388%3Flang%3Dpl</w:t>
        </w:r>
      </w:hyperlink>
      <w:r w:rsidRPr="00AB7E72">
        <w:rPr>
          <w:b w:val="0"/>
        </w:rPr>
        <w:t>. Access date 13 December 2017.</w:t>
      </w:r>
    </w:p>
    <w:p w14:paraId="3AA1721F" w14:textId="77777777" w:rsidR="002B0DBA" w:rsidRPr="00AB7E72" w:rsidRDefault="002B0DBA" w:rsidP="00E500D6">
      <w:pPr>
        <w:pStyle w:val="Style1"/>
        <w:spacing w:before="240" w:after="120"/>
        <w:rPr>
          <w:bCs/>
          <w:snapToGrid w:val="0"/>
          <w:szCs w:val="22"/>
        </w:rPr>
      </w:pPr>
      <w:r w:rsidRPr="00AB7E72">
        <w:rPr>
          <w:bCs/>
          <w:snapToGrid w:val="0"/>
          <w:szCs w:val="22"/>
        </w:rPr>
        <w:t xml:space="preserve">Relevant guidelines and </w:t>
      </w:r>
      <w:r w:rsidRPr="00AB7E72">
        <w:t>reference</w:t>
      </w:r>
      <w:r w:rsidRPr="00AB7E72">
        <w:rPr>
          <w:bCs/>
          <w:snapToGrid w:val="0"/>
          <w:szCs w:val="22"/>
        </w:rPr>
        <w:t xml:space="preserve"> documents</w:t>
      </w:r>
    </w:p>
    <w:p w14:paraId="5EA3DFE2" w14:textId="77777777" w:rsidR="002B0DBA" w:rsidRPr="00AB7E72" w:rsidRDefault="002B0DBA" w:rsidP="00E25070">
      <w:pPr>
        <w:pStyle w:val="Style1"/>
        <w:spacing w:before="0" w:after="120"/>
        <w:rPr>
          <w:b w:val="0"/>
        </w:rPr>
      </w:pPr>
      <w:r w:rsidRPr="00AB7E72">
        <w:rPr>
          <w:b w:val="0"/>
        </w:rPr>
        <w:t xml:space="preserve">Basel Convention on the Control of Transboundary Movements of Hazardous Wastes and their Disposal 1996. Available at: </w:t>
      </w:r>
      <w:hyperlink r:id="rId43" w:history="1">
        <w:r w:rsidRPr="00AB7E72">
          <w:rPr>
            <w:rStyle w:val="Hyperlink"/>
            <w:b w:val="0"/>
            <w:lang w:val="en-GB"/>
          </w:rPr>
          <w:t>www.basel.int</w:t>
        </w:r>
      </w:hyperlink>
    </w:p>
    <w:p w14:paraId="4FD0CC06" w14:textId="77777777" w:rsidR="002B0DBA" w:rsidRPr="00AB7E72" w:rsidRDefault="002B0DBA" w:rsidP="00E25070">
      <w:pPr>
        <w:pStyle w:val="Style1"/>
        <w:spacing w:before="0" w:after="120"/>
        <w:rPr>
          <w:b w:val="0"/>
        </w:rPr>
      </w:pPr>
      <w:r w:rsidRPr="00AB7E72">
        <w:rPr>
          <w:b w:val="0"/>
        </w:rPr>
        <w:t>FAO (1995a): Guidelines on Good Labelling Practice for Pesticides. Rome. Available at: http://www.fao.org/fileadmin/templates/agphome/documents/Pests_Pesticides/Code/Old_guidelines/label.pdf</w:t>
      </w:r>
    </w:p>
    <w:p w14:paraId="182FE3BD" w14:textId="77777777" w:rsidR="002B0DBA" w:rsidRPr="00AB7E72" w:rsidRDefault="002B0DBA" w:rsidP="00E25070">
      <w:pPr>
        <w:pStyle w:val="Style1"/>
        <w:spacing w:before="0" w:after="120"/>
        <w:rPr>
          <w:b w:val="0"/>
        </w:rPr>
      </w:pPr>
      <w:r w:rsidRPr="00AB7E72">
        <w:rPr>
          <w:b w:val="0"/>
        </w:rPr>
        <w:t xml:space="preserve">FAO (1995b): Guidelines on Prevention of Accumulation of Obsolete Pesticide Stocks. FAO, Rome. Available at: http://www.fao.org/3/a-v7460e.pdf </w:t>
      </w:r>
    </w:p>
    <w:p w14:paraId="0040902C" w14:textId="77777777" w:rsidR="002B0DBA" w:rsidRPr="00AB7E72" w:rsidRDefault="002B0DBA" w:rsidP="00E25070">
      <w:pPr>
        <w:pStyle w:val="Style1"/>
        <w:spacing w:before="0" w:after="120"/>
        <w:rPr>
          <w:b w:val="0"/>
        </w:rPr>
      </w:pPr>
      <w:r w:rsidRPr="00AB7E72">
        <w:rPr>
          <w:b w:val="0"/>
        </w:rPr>
        <w:t>FAO (1996a): The Pesticide Storage and Stock</w:t>
      </w:r>
      <w:r w:rsidRPr="00AB7E72">
        <w:rPr>
          <w:b w:val="0"/>
          <w:bCs/>
          <w:iCs/>
        </w:rPr>
        <w:t xml:space="preserve"> Control Manual, </w:t>
      </w:r>
      <w:r w:rsidRPr="00AB7E72">
        <w:rPr>
          <w:b w:val="0"/>
        </w:rPr>
        <w:t xml:space="preserve">Rome. Available at: </w:t>
      </w:r>
      <w:hyperlink r:id="rId44" w:history="1">
        <w:r w:rsidRPr="00AB7E72">
          <w:rPr>
            <w:rStyle w:val="Hyperlink"/>
            <w:b w:val="0"/>
            <w:lang w:val="en-GB"/>
          </w:rPr>
          <w:t>http://www.fao.org/</w:t>
        </w:r>
        <w:r w:rsidRPr="009B7DBD">
          <w:rPr>
            <w:b w:val="0"/>
          </w:rPr>
          <w:t>agriculture</w:t>
        </w:r>
        <w:r w:rsidRPr="00AB7E72">
          <w:rPr>
            <w:rStyle w:val="Hyperlink"/>
            <w:b w:val="0"/>
            <w:lang w:val="en-GB"/>
          </w:rPr>
          <w:t>/crops/obsolete-pesticides/resources0/en/</w:t>
        </w:r>
      </w:hyperlink>
    </w:p>
    <w:p w14:paraId="47E7988A" w14:textId="77777777" w:rsidR="002B0DBA" w:rsidRPr="00AB7E72" w:rsidRDefault="002B0DBA" w:rsidP="00E25070">
      <w:pPr>
        <w:pStyle w:val="Style1"/>
        <w:spacing w:before="0" w:after="120"/>
        <w:rPr>
          <w:b w:val="0"/>
        </w:rPr>
      </w:pPr>
      <w:r w:rsidRPr="00AB7E72">
        <w:rPr>
          <w:b w:val="0"/>
        </w:rPr>
        <w:t xml:space="preserve">FAO (1996b): Technical guidelines on disposal of bulk quantities of obsolete pesticides in developing countries. Available at: </w:t>
      </w:r>
      <w:hyperlink r:id="rId45" w:history="1">
        <w:r w:rsidRPr="00AB7E72">
          <w:rPr>
            <w:rStyle w:val="Hyperlink"/>
            <w:b w:val="0"/>
            <w:lang w:val="en-GB"/>
          </w:rPr>
          <w:t>http://www.fao.org/agriculture/crops/thematic-sitemap/theme/pests/code/list-guide-new/en/</w:t>
        </w:r>
      </w:hyperlink>
    </w:p>
    <w:p w14:paraId="1AD3B496" w14:textId="77777777" w:rsidR="002B0DBA" w:rsidRPr="00AB7E72" w:rsidRDefault="002B0DBA" w:rsidP="00E25070">
      <w:pPr>
        <w:pStyle w:val="Style1"/>
        <w:spacing w:before="0" w:after="120"/>
        <w:rPr>
          <w:b w:val="0"/>
        </w:rPr>
      </w:pPr>
      <w:r w:rsidRPr="00AB7E72">
        <w:rPr>
          <w:b w:val="0"/>
        </w:rPr>
        <w:t>FAO (1999):</w:t>
      </w:r>
      <w:r w:rsidRPr="00AB7E72">
        <w:rPr>
          <w:b w:val="0"/>
          <w:bCs/>
          <w:iCs/>
        </w:rPr>
        <w:t xml:space="preserve"> Guidelines for the management of small quantities of unwanted and obsolete pesticides, Rome. </w:t>
      </w:r>
      <w:r w:rsidRPr="00AB7E72">
        <w:rPr>
          <w:b w:val="0"/>
        </w:rPr>
        <w:t xml:space="preserve">Available at: </w:t>
      </w:r>
      <w:hyperlink r:id="rId46" w:history="1">
        <w:r w:rsidRPr="00AB7E72">
          <w:rPr>
            <w:rStyle w:val="Hyperlink"/>
            <w:b w:val="0"/>
            <w:lang w:val="en-GB"/>
          </w:rPr>
          <w:t>http://www.fao.org/agriculture/crops/thematic-sitemap/theme/pests/code/list-guide-new/en/</w:t>
        </w:r>
      </w:hyperlink>
    </w:p>
    <w:p w14:paraId="2AC3011B" w14:textId="03F62A1F" w:rsidR="00627C26" w:rsidRPr="007D21D4" w:rsidRDefault="00FE4699" w:rsidP="00FE4699">
      <w:pPr>
        <w:pStyle w:val="Style1"/>
        <w:jc w:val="center"/>
        <w:rPr>
          <w:b w:val="0"/>
        </w:rPr>
      </w:pPr>
      <w:r>
        <w:rPr>
          <w:b w:val="0"/>
        </w:rPr>
        <w:t>_________________</w:t>
      </w:r>
    </w:p>
    <w:sectPr w:rsidR="00627C26" w:rsidRPr="007D21D4" w:rsidSect="006E6722">
      <w:headerReference w:type="even" r:id="rId47"/>
      <w:headerReference w:type="default" r:id="rId48"/>
      <w:footerReference w:type="even" r:id="rId49"/>
      <w:footerReference w:type="default" r:id="rId50"/>
      <w:footerReference w:type="first" r:id="rId51"/>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C408" w14:textId="77777777" w:rsidR="00CA084C" w:rsidRDefault="00CA084C">
      <w:r>
        <w:separator/>
      </w:r>
    </w:p>
  </w:endnote>
  <w:endnote w:type="continuationSeparator" w:id="0">
    <w:p w14:paraId="046E4F87" w14:textId="77777777" w:rsidR="00CA084C" w:rsidRDefault="00CA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EC86" w14:textId="2D869AB0" w:rsidR="00C47EF7" w:rsidRDefault="00C47EF7">
    <w:pPr>
      <w:pStyle w:val="Footer"/>
    </w:pPr>
    <w:r>
      <w:rPr>
        <w:rStyle w:val="PageNumber"/>
      </w:rPr>
      <w:fldChar w:fldCharType="begin"/>
    </w:r>
    <w:r>
      <w:rPr>
        <w:rStyle w:val="PageNumber"/>
      </w:rPr>
      <w:instrText xml:space="preserve"> PAGE </w:instrText>
    </w:r>
    <w:r>
      <w:rPr>
        <w:rStyle w:val="PageNumber"/>
      </w:rPr>
      <w:fldChar w:fldCharType="separate"/>
    </w:r>
    <w:r w:rsidR="00D76A2E">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0AE6" w14:textId="1E2E66D6" w:rsidR="00C47EF7" w:rsidRDefault="00C47EF7"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D76A2E">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EE93" w14:textId="1F623CD9" w:rsidR="00C47EF7" w:rsidRPr="00A35330" w:rsidRDefault="00C47EF7">
    <w:pPr>
      <w:pStyle w:val="Footer"/>
      <w:rPr>
        <w:sz w:val="20"/>
      </w:rPr>
    </w:pPr>
    <w:r>
      <w:rPr>
        <w:sz w:val="20"/>
      </w:rPr>
      <w:t>K1902508</w:t>
    </w:r>
    <w:r>
      <w:rPr>
        <w:sz w:val="20"/>
      </w:rPr>
      <w:tab/>
      <w:t>2</w:t>
    </w:r>
    <w:r w:rsidR="00D76A2E">
      <w:rPr>
        <w:sz w:val="20"/>
      </w:rPr>
      <w:t>1</w:t>
    </w:r>
    <w:r>
      <w:rPr>
        <w:sz w:val="20"/>
      </w:rPr>
      <w:t>0619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F8A25" w14:textId="77777777" w:rsidR="00CA084C" w:rsidRPr="00A35330" w:rsidRDefault="00CA084C" w:rsidP="001946EF">
      <w:pPr>
        <w:spacing w:before="20" w:after="40"/>
        <w:ind w:left="624"/>
        <w:rPr>
          <w:sz w:val="18"/>
          <w:szCs w:val="18"/>
        </w:rPr>
      </w:pPr>
      <w:r w:rsidRPr="00A35330">
        <w:rPr>
          <w:sz w:val="18"/>
          <w:szCs w:val="18"/>
        </w:rPr>
        <w:separator/>
      </w:r>
    </w:p>
  </w:footnote>
  <w:footnote w:type="continuationSeparator" w:id="0">
    <w:p w14:paraId="14F2B26B" w14:textId="77777777" w:rsidR="00CA084C" w:rsidRDefault="00CA084C">
      <w:r>
        <w:continuationSeparator/>
      </w:r>
    </w:p>
  </w:footnote>
  <w:footnote w:id="1">
    <w:p w14:paraId="648757AA" w14:textId="77777777" w:rsidR="00C47EF7" w:rsidRPr="003D20AE" w:rsidRDefault="00C47EF7" w:rsidP="002B0DBA">
      <w:pPr>
        <w:pStyle w:val="FootnoteText"/>
        <w:rPr>
          <w:szCs w:val="18"/>
          <w:lang w:val="es-AR"/>
        </w:rPr>
      </w:pPr>
      <w:r w:rsidRPr="003D20AE">
        <w:rPr>
          <w:rStyle w:val="FootnoteReference"/>
          <w:lang w:val="es-ES"/>
        </w:rPr>
        <w:footnoteRef/>
      </w:r>
      <w:r>
        <w:rPr>
          <w:szCs w:val="18"/>
          <w:lang w:val="es-ES"/>
        </w:rPr>
        <w:t xml:space="preserve"> </w:t>
      </w:r>
      <w:r w:rsidRPr="003D20AE">
        <w:rPr>
          <w:szCs w:val="18"/>
          <w:lang w:val="es-ES"/>
        </w:rPr>
        <w:t>Conforme al Convenio, se entiende por “producto químico” toda sustancia, sola o en forma de mezcla o preparación, fuere fabricada u obtenida de la naturaleza, excluidos los organismos vivos. El término comprende las siguientes categorías: plaguicidas (incluidas las formulaciones plaguicidas extremadamente peligrosas) y productos químicos industriales.</w:t>
      </w:r>
    </w:p>
  </w:footnote>
  <w:footnote w:id="2">
    <w:p w14:paraId="373B0DFE" w14:textId="77777777" w:rsidR="00C47EF7" w:rsidRPr="003D20AE" w:rsidRDefault="00C47EF7" w:rsidP="002B0DBA">
      <w:pPr>
        <w:pStyle w:val="FootnoteText"/>
        <w:rPr>
          <w:szCs w:val="18"/>
          <w:lang w:val="es-AR"/>
        </w:rPr>
      </w:pPr>
      <w:r w:rsidRPr="003D20AE">
        <w:rPr>
          <w:rStyle w:val="FootnoteReference"/>
          <w:lang w:val="es-ES"/>
        </w:rPr>
        <w:footnoteRef/>
      </w:r>
      <w:r>
        <w:rPr>
          <w:szCs w:val="18"/>
          <w:lang w:val="es-ES"/>
        </w:rPr>
        <w:t xml:space="preserve"> </w:t>
      </w:r>
      <w:r w:rsidRPr="003D20AE">
        <w:rPr>
          <w:szCs w:val="18"/>
          <w:lang w:val="es-ES"/>
        </w:rPr>
        <w:t>Conforme al Convenio, se entiende por “Parte” un Estado u organización de integración económica regional que haya consentido a someterse a las obligaciones establecidas en el presente Convenio y en los que el Convenio esté en vigor.</w:t>
      </w:r>
    </w:p>
  </w:footnote>
  <w:footnote w:id="3">
    <w:p w14:paraId="6F949F10" w14:textId="77777777" w:rsidR="00C47EF7" w:rsidRPr="003D20AE" w:rsidRDefault="00C47EF7" w:rsidP="002B0DBA">
      <w:pPr>
        <w:pStyle w:val="FootnoteText"/>
        <w:rPr>
          <w:i/>
          <w:color w:val="000000"/>
          <w:szCs w:val="18"/>
          <w:lang w:val="es-AR"/>
        </w:rPr>
      </w:pPr>
      <w:r w:rsidRPr="003D20AE">
        <w:rPr>
          <w:rStyle w:val="FootnoteReference"/>
          <w:i/>
          <w:lang w:val="es-ES"/>
        </w:rPr>
        <w:footnoteRef/>
      </w:r>
      <w:r>
        <w:rPr>
          <w:i/>
          <w:szCs w:val="18"/>
          <w:lang w:val="es-ES"/>
        </w:rPr>
        <w:t xml:space="preserve"> </w:t>
      </w:r>
      <w:r w:rsidRPr="003D20AE">
        <w:rPr>
          <w:i/>
          <w:szCs w:val="18"/>
          <w:lang w:val="es-ES"/>
        </w:rPr>
        <w:t>La presente lista básica debe servir de fundamento para los documentos de orientación para la adopción de decisiones sobre productos químicos industriales, plaguicidas y formulaciones plaguicidas extremadamente peligrosas. Se debe aumentar mediante abreviaturas utilizadas en cada documento de orientación para la adopción de decisiones correspondiente al producto químico o los productos químicos de que se trate.</w:t>
      </w:r>
    </w:p>
    <w:p w14:paraId="33A72831" w14:textId="77777777" w:rsidR="00C47EF7" w:rsidRPr="003D20AE" w:rsidRDefault="00C47EF7" w:rsidP="002B0DBA">
      <w:pPr>
        <w:pStyle w:val="FootnoteText"/>
        <w:rPr>
          <w:i/>
          <w:color w:val="000000"/>
          <w:szCs w:val="18"/>
          <w:lang w:val="es-AR"/>
        </w:rPr>
      </w:pPr>
      <w:r w:rsidRPr="003D20AE">
        <w:rPr>
          <w:i/>
          <w:szCs w:val="18"/>
          <w:lang w:val="es-ES"/>
        </w:rPr>
        <w:t>En la medida de lo posible, las definiciones y la ortografía deben regirse por los glosarios de la Unión Internacional de Química Pura y Aplicada (UICPA) sobre términos de toxicología y sobre términos relativos a plaguicidas, ambos en sus ediciones vigentes.</w:t>
      </w:r>
    </w:p>
    <w:p w14:paraId="2EBDB18D" w14:textId="77777777" w:rsidR="00C47EF7" w:rsidRPr="003D20AE" w:rsidRDefault="00C47EF7" w:rsidP="002B0DBA">
      <w:pPr>
        <w:pStyle w:val="FootnoteText"/>
        <w:rPr>
          <w:i/>
          <w:szCs w:val="18"/>
          <w:lang w:val="es-AR"/>
        </w:rPr>
      </w:pPr>
      <w:r w:rsidRPr="003D20AE">
        <w:rPr>
          <w:i/>
          <w:iCs/>
          <w:szCs w:val="18"/>
          <w:lang w:val="es-ES"/>
        </w:rPr>
        <w:t>Por regla general, es preferible que los acrónimos que se empleen únicamente una vez en el texto se escriban enteramente en lugar de incluirse en la lista de abreviaturas.</w:t>
      </w:r>
    </w:p>
  </w:footnote>
  <w:footnote w:id="4">
    <w:p w14:paraId="3E512838" w14:textId="0B181820" w:rsidR="00C47EF7" w:rsidRPr="003D20AE" w:rsidRDefault="00C47EF7" w:rsidP="002B0DBA">
      <w:pPr>
        <w:pStyle w:val="FootnoteText"/>
        <w:rPr>
          <w:szCs w:val="18"/>
          <w:lang w:val="es-AR"/>
        </w:rPr>
      </w:pPr>
      <w:r w:rsidRPr="003D20AE">
        <w:rPr>
          <w:rStyle w:val="FootnoteReference"/>
          <w:lang w:val="es-ES"/>
        </w:rPr>
        <w:footnoteRef/>
      </w:r>
      <w:r>
        <w:rPr>
          <w:szCs w:val="18"/>
          <w:lang w:val="es-ES"/>
        </w:rPr>
        <w:t xml:space="preserve"> </w:t>
      </w:r>
      <w:r w:rsidRPr="003D20AE">
        <w:rPr>
          <w:szCs w:val="18"/>
          <w:lang w:val="es-ES"/>
        </w:rPr>
        <w:t>Nota: la referencia original indica “</w:t>
      </w:r>
      <w:proofErr w:type="spellStart"/>
      <w:r w:rsidRPr="003D20AE">
        <w:rPr>
          <w:szCs w:val="18"/>
          <w:lang w:val="es-ES"/>
        </w:rPr>
        <w:t>NaIICO</w:t>
      </w:r>
      <w:proofErr w:type="spellEnd"/>
      <w:r w:rsidRPr="003D20AE">
        <w:rPr>
          <w:szCs w:val="18"/>
          <w:lang w:val="es-ES"/>
        </w:rPr>
        <w:t>”, pero el CRC no lo consideró plausible y en el texto se suministró</w:t>
      </w:r>
      <w:r>
        <w:rPr>
          <w:szCs w:val="18"/>
          <w:lang w:val="es-ES"/>
        </w:rPr>
        <w:t> </w:t>
      </w:r>
      <w:r w:rsidRPr="003D20AE">
        <w:rPr>
          <w:szCs w:val="18"/>
          <w:lang w:val="es-ES"/>
        </w:rPr>
        <w:t>la composición química correcta en este contexto</w:t>
      </w:r>
      <w:r w:rsidRPr="00A14196">
        <w:rPr>
          <w:lang w:val="es-ES"/>
        </w:rPr>
        <w:t>.</w:t>
      </w:r>
    </w:p>
  </w:footnote>
  <w:footnote w:id="5">
    <w:p w14:paraId="4A80B673" w14:textId="77777777" w:rsidR="00C47EF7" w:rsidRPr="003D20AE" w:rsidRDefault="00C47EF7" w:rsidP="002B0DBA">
      <w:pPr>
        <w:pStyle w:val="CommentText"/>
        <w:spacing w:before="20" w:after="40"/>
        <w:ind w:left="1247"/>
        <w:rPr>
          <w:sz w:val="18"/>
          <w:szCs w:val="18"/>
          <w:lang w:val="es-AR"/>
        </w:rPr>
      </w:pPr>
      <w:r w:rsidRPr="003D20AE">
        <w:rPr>
          <w:rStyle w:val="FootnoteReference"/>
          <w:sz w:val="18"/>
          <w:lang w:val="es-ES"/>
        </w:rPr>
        <w:footnoteRef/>
      </w:r>
      <w:r>
        <w:rPr>
          <w:sz w:val="18"/>
          <w:szCs w:val="18"/>
          <w:lang w:val="es-ES"/>
        </w:rPr>
        <w:t xml:space="preserve"> </w:t>
      </w:r>
      <w:r w:rsidRPr="003D20AE">
        <w:rPr>
          <w:sz w:val="18"/>
          <w:szCs w:val="18"/>
          <w:lang w:val="es-ES"/>
        </w:rPr>
        <w:t>http://www.fao.org/fileadmin/templates/agphome/documents/Pests_Pesticides/JMPR/Reports_1991-2006/report2004jmpr.pdf.</w:t>
      </w:r>
    </w:p>
  </w:footnote>
  <w:footnote w:id="6">
    <w:p w14:paraId="46E425E8" w14:textId="77777777" w:rsidR="00C47EF7" w:rsidRPr="00914210" w:rsidRDefault="00C47EF7" w:rsidP="002B0DBA">
      <w:pPr>
        <w:pStyle w:val="CommentText"/>
        <w:spacing w:before="20" w:after="40"/>
        <w:ind w:left="1247"/>
        <w:rPr>
          <w:sz w:val="18"/>
          <w:lang w:val="fr-CH"/>
        </w:rPr>
      </w:pPr>
      <w:r w:rsidRPr="003D20AE">
        <w:rPr>
          <w:rStyle w:val="FootnoteReference"/>
          <w:sz w:val="18"/>
          <w:lang w:val="es-ES"/>
        </w:rPr>
        <w:footnoteRef/>
      </w:r>
      <w:r w:rsidRPr="00914210">
        <w:rPr>
          <w:sz w:val="18"/>
          <w:szCs w:val="18"/>
          <w:lang w:val="fr-CH"/>
        </w:rPr>
        <w:t xml:space="preserve"> </w:t>
      </w:r>
      <w:r w:rsidRPr="00914210">
        <w:rPr>
          <w:sz w:val="18"/>
          <w:lang w:val="fr-CH"/>
        </w:rPr>
        <w:t>http://www.fao.org/fileadmin/templates/agphome/documents/Pests_Pesticides/JMPR/Report12/ JMPR_2012_Report.pdf.</w:t>
      </w:r>
    </w:p>
  </w:footnote>
  <w:footnote w:id="7">
    <w:p w14:paraId="398EFDBD" w14:textId="77777777" w:rsidR="00C47EF7" w:rsidRPr="003D20AE" w:rsidRDefault="00C47EF7" w:rsidP="002B0DBA">
      <w:pPr>
        <w:pStyle w:val="FootnoteText"/>
        <w:rPr>
          <w:szCs w:val="18"/>
          <w:lang w:val="es-AR"/>
        </w:rPr>
      </w:pPr>
      <w:r w:rsidRPr="003D20AE">
        <w:rPr>
          <w:rStyle w:val="FootnoteReference"/>
          <w:lang w:val="es-ES"/>
        </w:rPr>
        <w:footnoteRef/>
      </w:r>
      <w:r>
        <w:rPr>
          <w:szCs w:val="18"/>
          <w:lang w:val="es-ES"/>
        </w:rPr>
        <w:t xml:space="preserve"> </w:t>
      </w:r>
      <w:r w:rsidRPr="003D20AE">
        <w:rPr>
          <w:szCs w:val="18"/>
          <w:lang w:val="es-ES"/>
        </w:rPr>
        <w:t>Notificación canadiense y documentación probatoria</w:t>
      </w:r>
      <w:r>
        <w:rPr>
          <w:szCs w:val="18"/>
          <w:lang w:val="es-ES"/>
        </w:rPr>
        <w:t>.</w:t>
      </w:r>
    </w:p>
  </w:footnote>
  <w:footnote w:id="8">
    <w:p w14:paraId="3DA907F0" w14:textId="77777777" w:rsidR="00C47EF7" w:rsidRPr="003D20AE" w:rsidRDefault="00C47EF7" w:rsidP="002B0DBA">
      <w:pPr>
        <w:pStyle w:val="CommentText"/>
        <w:spacing w:before="20" w:after="40"/>
        <w:ind w:left="1247"/>
        <w:rPr>
          <w:sz w:val="18"/>
          <w:szCs w:val="18"/>
          <w:lang w:val="es-AR"/>
        </w:rPr>
      </w:pPr>
      <w:r w:rsidRPr="003D20AE">
        <w:rPr>
          <w:rStyle w:val="FootnoteReference"/>
          <w:sz w:val="18"/>
          <w:lang w:val="es-ES"/>
        </w:rPr>
        <w:footnoteRef/>
      </w:r>
      <w:r>
        <w:rPr>
          <w:sz w:val="18"/>
          <w:szCs w:val="18"/>
          <w:lang w:val="es-ES"/>
        </w:rPr>
        <w:t xml:space="preserve"> </w:t>
      </w:r>
      <w:r w:rsidRPr="003D20AE">
        <w:rPr>
          <w:sz w:val="18"/>
          <w:szCs w:val="18"/>
          <w:lang w:val="es-ES"/>
        </w:rPr>
        <w:t>Posteriormente se extendió su uso en cultivos de patatas hasta agosto de 2015. Por lo demás, conviene señalar que en el año 2015, se registró un nuevo producto forato, combinado con un equipo de aplicación destinado a reducir la exposición ambiental.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0A40" w14:textId="64F43E58" w:rsidR="00C47EF7" w:rsidRPr="00C87F42" w:rsidRDefault="00C47EF7" w:rsidP="001946E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8BD57" w14:textId="090890B6" w:rsidR="00C47EF7" w:rsidRPr="00A35330" w:rsidRDefault="00C47EF7" w:rsidP="001946EF">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11E0"/>
    <w:multiLevelType w:val="hybridMultilevel"/>
    <w:tmpl w:val="1CBA6AEE"/>
    <w:lvl w:ilvl="0" w:tplc="EE700884">
      <w:start w:val="1"/>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A1783"/>
    <w:multiLevelType w:val="hybridMultilevel"/>
    <w:tmpl w:val="743E1192"/>
    <w:lvl w:ilvl="0" w:tplc="437C8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1515F"/>
    <w:multiLevelType w:val="hybridMultilevel"/>
    <w:tmpl w:val="9E70CBEC"/>
    <w:lvl w:ilvl="0" w:tplc="437C82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31C3085"/>
    <w:multiLevelType w:val="singleLevel"/>
    <w:tmpl w:val="BFA0F994"/>
    <w:lvl w:ilvl="0">
      <w:start w:val="1"/>
      <w:numFmt w:val="lowerLetter"/>
      <w:pStyle w:val="Level2"/>
      <w:lvlText w:val="(%1)"/>
      <w:lvlJc w:val="left"/>
      <w:pPr>
        <w:tabs>
          <w:tab w:val="num" w:pos="938"/>
        </w:tabs>
        <w:ind w:left="0" w:firstLine="578"/>
      </w:p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2291BF8"/>
    <w:multiLevelType w:val="multilevel"/>
    <w:tmpl w:val="D07A6E4C"/>
    <w:numStyleLink w:val="Normallist"/>
  </w:abstractNum>
  <w:abstractNum w:abstractNumId="9" w15:restartNumberingAfterBreak="0">
    <w:nsid w:val="6847368E"/>
    <w:multiLevelType w:val="multilevel"/>
    <w:tmpl w:val="51323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8"/>
  </w:num>
  <w:num w:numId="5">
    <w:abstractNumId w:val="3"/>
  </w:num>
  <w:num w:numId="6">
    <w:abstractNumId w:val="6"/>
  </w:num>
  <w:num w:numId="7">
    <w:abstractNumId w:val="7"/>
  </w:num>
  <w:num w:numId="8">
    <w:abstractNumId w:val="8"/>
  </w:num>
  <w:num w:numId="9">
    <w:abstractNumId w:val="3"/>
  </w:num>
  <w:num w:numId="10">
    <w:abstractNumId w:val="6"/>
  </w:num>
  <w:num w:numId="11">
    <w:abstractNumId w:val="7"/>
  </w:num>
  <w:num w:numId="12">
    <w:abstractNumId w:val="8"/>
  </w:num>
  <w:num w:numId="13">
    <w:abstractNumId w:val="7"/>
  </w:num>
  <w:num w:numId="14">
    <w:abstractNumId w:val="8"/>
  </w:num>
  <w:num w:numId="15">
    <w:abstractNumId w:val="3"/>
  </w:num>
  <w:num w:numId="16">
    <w:abstractNumId w:val="6"/>
  </w:num>
  <w:num w:numId="17">
    <w:abstractNumId w:val="7"/>
  </w:num>
  <w:num w:numId="18">
    <w:abstractNumId w:val="8"/>
  </w:num>
  <w:num w:numId="19">
    <w:abstractNumId w:val="3"/>
  </w:num>
  <w:num w:numId="20">
    <w:abstractNumId w:val="6"/>
  </w:num>
  <w:num w:numId="21">
    <w:abstractNumId w:val="7"/>
  </w:num>
  <w:num w:numId="22">
    <w:abstractNumId w:val="8"/>
  </w:num>
  <w:num w:numId="23">
    <w:abstractNumId w:val="3"/>
  </w:num>
  <w:num w:numId="24">
    <w:abstractNumId w:val="6"/>
  </w:num>
  <w:num w:numId="25">
    <w:abstractNumId w:val="7"/>
  </w:num>
  <w:num w:numId="26">
    <w:abstractNumId w:val="8"/>
  </w:num>
  <w:num w:numId="27">
    <w:abstractNumId w:val="3"/>
  </w:num>
  <w:num w:numId="28">
    <w:abstractNumId w:val="6"/>
  </w:num>
  <w:num w:numId="29">
    <w:abstractNumId w:val="7"/>
  </w:num>
  <w:num w:numId="30">
    <w:abstractNumId w:val="8"/>
  </w:num>
  <w:num w:numId="31">
    <w:abstractNumId w:val="3"/>
  </w:num>
  <w:num w:numId="32">
    <w:abstractNumId w:val="6"/>
  </w:num>
  <w:num w:numId="33">
    <w:abstractNumId w:val="7"/>
  </w:num>
  <w:num w:numId="34">
    <w:abstractNumId w:val="8"/>
  </w:num>
  <w:num w:numId="35">
    <w:abstractNumId w:val="7"/>
  </w:num>
  <w:num w:numId="36">
    <w:abstractNumId w:val="8"/>
  </w:num>
  <w:num w:numId="37">
    <w:abstractNumId w:val="7"/>
  </w:num>
  <w:num w:numId="38">
    <w:abstractNumId w:val="7"/>
  </w:num>
  <w:num w:numId="39">
    <w:abstractNumId w:val="7"/>
  </w:num>
  <w:num w:numId="40">
    <w:abstractNumId w:val="7"/>
  </w:num>
  <w:num w:numId="41">
    <w:abstractNumId w:val="7"/>
  </w:num>
  <w:num w:numId="42">
    <w:abstractNumId w:val="7"/>
  </w:num>
  <w:num w:numId="43">
    <w:abstractNumId w:val="5"/>
  </w:num>
  <w:num w:numId="44">
    <w:abstractNumId w:val="2"/>
    <w:lvlOverride w:ilvl="0">
      <w:lvl w:ilvl="0" w:tplc="437C8250">
        <w:start w:val="1"/>
        <w:numFmt w:val="bullet"/>
        <w:lvlText w:val=""/>
        <w:lvlJc w:val="left"/>
        <w:pPr>
          <w:ind w:left="360" w:hanging="360"/>
        </w:pPr>
        <w:rPr>
          <w:rFonts w:ascii="Symbol" w:hAnsi="Symbol" w:hint="default"/>
        </w:rPr>
      </w:lvl>
    </w:lvlOverride>
    <w:lvlOverride w:ilvl="1">
      <w:lvl w:ilvl="1" w:tplc="04150003" w:tentative="1">
        <w:start w:val="1"/>
        <w:numFmt w:val="bullet"/>
        <w:lvlText w:val="o"/>
        <w:lvlJc w:val="left"/>
        <w:pPr>
          <w:ind w:left="1080" w:hanging="360"/>
        </w:pPr>
        <w:rPr>
          <w:rFonts w:ascii="Courier New" w:hAnsi="Courier New" w:cs="Courier New" w:hint="default"/>
        </w:rPr>
      </w:lvl>
    </w:lvlOverride>
    <w:lvlOverride w:ilvl="2">
      <w:lvl w:ilvl="2" w:tplc="04150005" w:tentative="1">
        <w:start w:val="1"/>
        <w:numFmt w:val="bullet"/>
        <w:lvlText w:val=""/>
        <w:lvlJc w:val="left"/>
        <w:pPr>
          <w:ind w:left="1800" w:hanging="360"/>
        </w:pPr>
        <w:rPr>
          <w:rFonts w:ascii="Wingdings" w:hAnsi="Wingdings" w:hint="default"/>
        </w:rPr>
      </w:lvl>
    </w:lvlOverride>
    <w:lvlOverride w:ilvl="3">
      <w:lvl w:ilvl="3" w:tplc="04150001" w:tentative="1">
        <w:start w:val="1"/>
        <w:numFmt w:val="bullet"/>
        <w:lvlText w:val=""/>
        <w:lvlJc w:val="left"/>
        <w:pPr>
          <w:ind w:left="2520" w:hanging="360"/>
        </w:pPr>
        <w:rPr>
          <w:rFonts w:ascii="Symbol" w:hAnsi="Symbol" w:hint="default"/>
        </w:rPr>
      </w:lvl>
    </w:lvlOverride>
    <w:lvlOverride w:ilvl="4">
      <w:lvl w:ilvl="4" w:tplc="04150003" w:tentative="1">
        <w:start w:val="1"/>
        <w:numFmt w:val="bullet"/>
        <w:lvlText w:val="o"/>
        <w:lvlJc w:val="left"/>
        <w:pPr>
          <w:ind w:left="3240" w:hanging="360"/>
        </w:pPr>
        <w:rPr>
          <w:rFonts w:ascii="Courier New" w:hAnsi="Courier New" w:cs="Courier New" w:hint="default"/>
        </w:rPr>
      </w:lvl>
    </w:lvlOverride>
    <w:lvlOverride w:ilvl="5">
      <w:lvl w:ilvl="5" w:tplc="04150005" w:tentative="1">
        <w:start w:val="1"/>
        <w:numFmt w:val="bullet"/>
        <w:lvlText w:val=""/>
        <w:lvlJc w:val="left"/>
        <w:pPr>
          <w:ind w:left="3960" w:hanging="360"/>
        </w:pPr>
        <w:rPr>
          <w:rFonts w:ascii="Wingdings" w:hAnsi="Wingdings" w:hint="default"/>
        </w:rPr>
      </w:lvl>
    </w:lvlOverride>
    <w:lvlOverride w:ilvl="6">
      <w:lvl w:ilvl="6" w:tplc="04150001" w:tentative="1">
        <w:start w:val="1"/>
        <w:numFmt w:val="bullet"/>
        <w:lvlText w:val=""/>
        <w:lvlJc w:val="left"/>
        <w:pPr>
          <w:ind w:left="4680" w:hanging="360"/>
        </w:pPr>
        <w:rPr>
          <w:rFonts w:ascii="Symbol" w:hAnsi="Symbol" w:hint="default"/>
        </w:rPr>
      </w:lvl>
    </w:lvlOverride>
    <w:lvlOverride w:ilvl="7">
      <w:lvl w:ilvl="7" w:tplc="04150003" w:tentative="1">
        <w:start w:val="1"/>
        <w:numFmt w:val="bullet"/>
        <w:lvlText w:val="o"/>
        <w:lvlJc w:val="left"/>
        <w:pPr>
          <w:ind w:left="5400" w:hanging="360"/>
        </w:pPr>
        <w:rPr>
          <w:rFonts w:ascii="Courier New" w:hAnsi="Courier New" w:cs="Courier New" w:hint="default"/>
        </w:rPr>
      </w:lvl>
    </w:lvlOverride>
    <w:lvlOverride w:ilvl="8">
      <w:lvl w:ilvl="8" w:tplc="04150005" w:tentative="1">
        <w:start w:val="1"/>
        <w:numFmt w:val="bullet"/>
        <w:lvlText w:val=""/>
        <w:lvlJc w:val="left"/>
        <w:pPr>
          <w:ind w:left="6120" w:hanging="360"/>
        </w:pPr>
        <w:rPr>
          <w:rFonts w:ascii="Wingdings" w:hAnsi="Wingdings" w:hint="default"/>
        </w:rPr>
      </w:lvl>
    </w:lvlOverride>
  </w:num>
  <w:num w:numId="45">
    <w:abstractNumId w:val="9"/>
  </w:num>
  <w:num w:numId="46">
    <w:abstractNumId w:val="0"/>
  </w:num>
  <w:num w:numId="47">
    <w:abstractNumId w:val="4"/>
  </w:num>
  <w:num w:numId="48">
    <w:abstractNumId w:val="1"/>
  </w:num>
  <w:num w:numId="49">
    <w:abstractNumId w:val="8"/>
    <w:lvlOverride w:ilvl="0">
      <w:lvl w:ilvl="0">
        <w:start w:val="1"/>
        <w:numFmt w:val="decimal"/>
        <w:lvlText w:val="%1."/>
        <w:lvlJc w:val="left"/>
        <w:pPr>
          <w:tabs>
            <w:tab w:val="num" w:pos="567"/>
          </w:tabs>
          <w:ind w:left="1247" w:firstLine="0"/>
        </w:pPr>
        <w:rPr>
          <w:rFonts w:hint="default"/>
        </w:rPr>
      </w:lvl>
    </w:lvlOverride>
  </w:num>
  <w:num w:numId="50">
    <w:abstractNumId w:val="2"/>
    <w:lvlOverride w:ilvl="0">
      <w:lvl w:ilvl="0" w:tplc="437C8250">
        <w:start w:val="1"/>
        <w:numFmt w:val="bullet"/>
        <w:lvlText w:val=""/>
        <w:lvlJc w:val="left"/>
        <w:pPr>
          <w:ind w:left="360"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FR" w:vendorID="64" w:dllVersion="0" w:nlCheck="1" w:checkStyle="0"/>
  <w:activeWritingStyle w:appName="MSWord" w:lang="en-US" w:vendorID="64" w:dllVersion="0" w:nlCheck="1" w:checkStyle="0"/>
  <w:activeWritingStyle w:appName="MSWord" w:lang="en-GB"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42"/>
    <w:rsid w:val="000149E6"/>
    <w:rsid w:val="000247B0"/>
    <w:rsid w:val="00026997"/>
    <w:rsid w:val="00033E0B"/>
    <w:rsid w:val="00035EDE"/>
    <w:rsid w:val="000509B4"/>
    <w:rsid w:val="00051413"/>
    <w:rsid w:val="0006035B"/>
    <w:rsid w:val="00071886"/>
    <w:rsid w:val="000742BC"/>
    <w:rsid w:val="00082A0C"/>
    <w:rsid w:val="00083504"/>
    <w:rsid w:val="0009640C"/>
    <w:rsid w:val="000A1776"/>
    <w:rsid w:val="000B22A2"/>
    <w:rsid w:val="000C2A52"/>
    <w:rsid w:val="000D33C0"/>
    <w:rsid w:val="000D6941"/>
    <w:rsid w:val="0011215B"/>
    <w:rsid w:val="001202E3"/>
    <w:rsid w:val="00123699"/>
    <w:rsid w:val="0013059D"/>
    <w:rsid w:val="0014036A"/>
    <w:rsid w:val="00141A55"/>
    <w:rsid w:val="001446A3"/>
    <w:rsid w:val="00145467"/>
    <w:rsid w:val="00155395"/>
    <w:rsid w:val="00160D74"/>
    <w:rsid w:val="0016510A"/>
    <w:rsid w:val="00167D02"/>
    <w:rsid w:val="00181EC8"/>
    <w:rsid w:val="00183AE4"/>
    <w:rsid w:val="00184349"/>
    <w:rsid w:val="001946EF"/>
    <w:rsid w:val="00195F33"/>
    <w:rsid w:val="001A4874"/>
    <w:rsid w:val="001B1617"/>
    <w:rsid w:val="001B1C76"/>
    <w:rsid w:val="001B504B"/>
    <w:rsid w:val="001D3874"/>
    <w:rsid w:val="001D7E75"/>
    <w:rsid w:val="001E56D2"/>
    <w:rsid w:val="001E7D56"/>
    <w:rsid w:val="001F75DE"/>
    <w:rsid w:val="00200D58"/>
    <w:rsid w:val="002013BE"/>
    <w:rsid w:val="002063A4"/>
    <w:rsid w:val="0021145B"/>
    <w:rsid w:val="00217363"/>
    <w:rsid w:val="00233860"/>
    <w:rsid w:val="00243D36"/>
    <w:rsid w:val="00247707"/>
    <w:rsid w:val="00247F62"/>
    <w:rsid w:val="0026018E"/>
    <w:rsid w:val="00286740"/>
    <w:rsid w:val="002929D8"/>
    <w:rsid w:val="002A237D"/>
    <w:rsid w:val="002A4C53"/>
    <w:rsid w:val="002B0672"/>
    <w:rsid w:val="002B0DBA"/>
    <w:rsid w:val="002B247F"/>
    <w:rsid w:val="002C145D"/>
    <w:rsid w:val="002C2C3E"/>
    <w:rsid w:val="002C533E"/>
    <w:rsid w:val="002C53D4"/>
    <w:rsid w:val="002C568E"/>
    <w:rsid w:val="002D027F"/>
    <w:rsid w:val="002D7A85"/>
    <w:rsid w:val="002D7B60"/>
    <w:rsid w:val="002E70A9"/>
    <w:rsid w:val="002F4761"/>
    <w:rsid w:val="002F5C79"/>
    <w:rsid w:val="003019E2"/>
    <w:rsid w:val="00305082"/>
    <w:rsid w:val="0031413F"/>
    <w:rsid w:val="003148BB"/>
    <w:rsid w:val="00317976"/>
    <w:rsid w:val="00336B9A"/>
    <w:rsid w:val="00353101"/>
    <w:rsid w:val="00355EA9"/>
    <w:rsid w:val="003578DE"/>
    <w:rsid w:val="00396257"/>
    <w:rsid w:val="00397EB8"/>
    <w:rsid w:val="003A0F26"/>
    <w:rsid w:val="003A4FD0"/>
    <w:rsid w:val="003A604D"/>
    <w:rsid w:val="003A69D1"/>
    <w:rsid w:val="003A7705"/>
    <w:rsid w:val="003A77F1"/>
    <w:rsid w:val="003B1545"/>
    <w:rsid w:val="003C409D"/>
    <w:rsid w:val="003C5BA6"/>
    <w:rsid w:val="003F0E85"/>
    <w:rsid w:val="00410C55"/>
    <w:rsid w:val="00416854"/>
    <w:rsid w:val="00417725"/>
    <w:rsid w:val="00432727"/>
    <w:rsid w:val="00437F26"/>
    <w:rsid w:val="00444097"/>
    <w:rsid w:val="00445487"/>
    <w:rsid w:val="0045388D"/>
    <w:rsid w:val="00454769"/>
    <w:rsid w:val="00466991"/>
    <w:rsid w:val="0047064C"/>
    <w:rsid w:val="004843DB"/>
    <w:rsid w:val="004A42E1"/>
    <w:rsid w:val="004B162C"/>
    <w:rsid w:val="004C3DBE"/>
    <w:rsid w:val="004C4741"/>
    <w:rsid w:val="004C5C96"/>
    <w:rsid w:val="004D06A4"/>
    <w:rsid w:val="004E05F3"/>
    <w:rsid w:val="004F1A81"/>
    <w:rsid w:val="005218D9"/>
    <w:rsid w:val="0052252C"/>
    <w:rsid w:val="00536186"/>
    <w:rsid w:val="0053633C"/>
    <w:rsid w:val="00544CBB"/>
    <w:rsid w:val="0055669C"/>
    <w:rsid w:val="0057315F"/>
    <w:rsid w:val="00576104"/>
    <w:rsid w:val="005C574A"/>
    <w:rsid w:val="005C67C8"/>
    <w:rsid w:val="005D0249"/>
    <w:rsid w:val="005D6E8C"/>
    <w:rsid w:val="005D7543"/>
    <w:rsid w:val="005F100C"/>
    <w:rsid w:val="005F68DA"/>
    <w:rsid w:val="0060773B"/>
    <w:rsid w:val="006157B5"/>
    <w:rsid w:val="00626FC6"/>
    <w:rsid w:val="00627C26"/>
    <w:rsid w:val="006303B4"/>
    <w:rsid w:val="00633664"/>
    <w:rsid w:val="00633D3D"/>
    <w:rsid w:val="00641703"/>
    <w:rsid w:val="006431A6"/>
    <w:rsid w:val="006459F6"/>
    <w:rsid w:val="006501AD"/>
    <w:rsid w:val="00651BFA"/>
    <w:rsid w:val="00654475"/>
    <w:rsid w:val="00665A4B"/>
    <w:rsid w:val="006764CE"/>
    <w:rsid w:val="00692E2A"/>
    <w:rsid w:val="006A5D75"/>
    <w:rsid w:val="006A6965"/>
    <w:rsid w:val="006A76F2"/>
    <w:rsid w:val="006D614C"/>
    <w:rsid w:val="006D7EFB"/>
    <w:rsid w:val="006E6672"/>
    <w:rsid w:val="006E6722"/>
    <w:rsid w:val="007027B9"/>
    <w:rsid w:val="00715E88"/>
    <w:rsid w:val="00723E1D"/>
    <w:rsid w:val="00727E28"/>
    <w:rsid w:val="00734CAA"/>
    <w:rsid w:val="0074086C"/>
    <w:rsid w:val="00745FE7"/>
    <w:rsid w:val="0075533C"/>
    <w:rsid w:val="00757581"/>
    <w:rsid w:val="007611A0"/>
    <w:rsid w:val="00796D3F"/>
    <w:rsid w:val="007A1683"/>
    <w:rsid w:val="007A5C12"/>
    <w:rsid w:val="007A7CB0"/>
    <w:rsid w:val="007B68A3"/>
    <w:rsid w:val="007C2541"/>
    <w:rsid w:val="007C27AF"/>
    <w:rsid w:val="007D21D4"/>
    <w:rsid w:val="007D66A8"/>
    <w:rsid w:val="007E003F"/>
    <w:rsid w:val="008164F2"/>
    <w:rsid w:val="00821395"/>
    <w:rsid w:val="00830E26"/>
    <w:rsid w:val="00843576"/>
    <w:rsid w:val="00843B64"/>
    <w:rsid w:val="008478FC"/>
    <w:rsid w:val="0085304B"/>
    <w:rsid w:val="00867BFF"/>
    <w:rsid w:val="0088480A"/>
    <w:rsid w:val="0088757A"/>
    <w:rsid w:val="008957DD"/>
    <w:rsid w:val="00897D98"/>
    <w:rsid w:val="008A6DF2"/>
    <w:rsid w:val="008A7807"/>
    <w:rsid w:val="008B4CC9"/>
    <w:rsid w:val="008D7C99"/>
    <w:rsid w:val="008E0FCB"/>
    <w:rsid w:val="0092178C"/>
    <w:rsid w:val="00930B88"/>
    <w:rsid w:val="00940DCC"/>
    <w:rsid w:val="0094179A"/>
    <w:rsid w:val="0094459E"/>
    <w:rsid w:val="00944DBC"/>
    <w:rsid w:val="00947BC1"/>
    <w:rsid w:val="00950977"/>
    <w:rsid w:val="00951A7B"/>
    <w:rsid w:val="009564A6"/>
    <w:rsid w:val="00967621"/>
    <w:rsid w:val="00967E6A"/>
    <w:rsid w:val="009762AD"/>
    <w:rsid w:val="00985D51"/>
    <w:rsid w:val="009A213F"/>
    <w:rsid w:val="009B4A0F"/>
    <w:rsid w:val="009B760B"/>
    <w:rsid w:val="009B7DBD"/>
    <w:rsid w:val="009C11D2"/>
    <w:rsid w:val="009C6C70"/>
    <w:rsid w:val="009D0B63"/>
    <w:rsid w:val="009E307E"/>
    <w:rsid w:val="00A07870"/>
    <w:rsid w:val="00A07F19"/>
    <w:rsid w:val="00A1348D"/>
    <w:rsid w:val="00A232EE"/>
    <w:rsid w:val="00A35330"/>
    <w:rsid w:val="00A4087D"/>
    <w:rsid w:val="00A4175F"/>
    <w:rsid w:val="00A42952"/>
    <w:rsid w:val="00A44411"/>
    <w:rsid w:val="00A469FA"/>
    <w:rsid w:val="00A5083D"/>
    <w:rsid w:val="00A55B01"/>
    <w:rsid w:val="00A56B5B"/>
    <w:rsid w:val="00A603FF"/>
    <w:rsid w:val="00A634DE"/>
    <w:rsid w:val="00A63813"/>
    <w:rsid w:val="00A657DD"/>
    <w:rsid w:val="00A666A6"/>
    <w:rsid w:val="00A675FD"/>
    <w:rsid w:val="00A70DBF"/>
    <w:rsid w:val="00A72437"/>
    <w:rsid w:val="00A80611"/>
    <w:rsid w:val="00AB5340"/>
    <w:rsid w:val="00AB7E72"/>
    <w:rsid w:val="00AC0A89"/>
    <w:rsid w:val="00AC7C96"/>
    <w:rsid w:val="00AE0F64"/>
    <w:rsid w:val="00AE237D"/>
    <w:rsid w:val="00AE502A"/>
    <w:rsid w:val="00AF595D"/>
    <w:rsid w:val="00AF76DA"/>
    <w:rsid w:val="00AF7C07"/>
    <w:rsid w:val="00B22C93"/>
    <w:rsid w:val="00B2714B"/>
    <w:rsid w:val="00B27589"/>
    <w:rsid w:val="00B405B7"/>
    <w:rsid w:val="00B52222"/>
    <w:rsid w:val="00B54FE7"/>
    <w:rsid w:val="00B66901"/>
    <w:rsid w:val="00B71E6D"/>
    <w:rsid w:val="00B72070"/>
    <w:rsid w:val="00B779E1"/>
    <w:rsid w:val="00B91EE1"/>
    <w:rsid w:val="00BA0090"/>
    <w:rsid w:val="00BA1A67"/>
    <w:rsid w:val="00BE5B5F"/>
    <w:rsid w:val="00C05C56"/>
    <w:rsid w:val="00C12EE5"/>
    <w:rsid w:val="00C26F55"/>
    <w:rsid w:val="00C30C63"/>
    <w:rsid w:val="00C36682"/>
    <w:rsid w:val="00C36B8B"/>
    <w:rsid w:val="00C415C1"/>
    <w:rsid w:val="00C47DBF"/>
    <w:rsid w:val="00C47EF7"/>
    <w:rsid w:val="00C549ED"/>
    <w:rsid w:val="00C552FF"/>
    <w:rsid w:val="00C558DA"/>
    <w:rsid w:val="00C55AF3"/>
    <w:rsid w:val="00C77D29"/>
    <w:rsid w:val="00C84759"/>
    <w:rsid w:val="00C87F42"/>
    <w:rsid w:val="00C950DD"/>
    <w:rsid w:val="00CA084C"/>
    <w:rsid w:val="00CA6C7F"/>
    <w:rsid w:val="00CB3B88"/>
    <w:rsid w:val="00CC10A6"/>
    <w:rsid w:val="00CD47C0"/>
    <w:rsid w:val="00CD5EB8"/>
    <w:rsid w:val="00CD7044"/>
    <w:rsid w:val="00CE08B9"/>
    <w:rsid w:val="00CE524C"/>
    <w:rsid w:val="00CF141F"/>
    <w:rsid w:val="00CF1F5A"/>
    <w:rsid w:val="00CF4777"/>
    <w:rsid w:val="00D067BB"/>
    <w:rsid w:val="00D1352A"/>
    <w:rsid w:val="00D15666"/>
    <w:rsid w:val="00D169AF"/>
    <w:rsid w:val="00D25249"/>
    <w:rsid w:val="00D26FEF"/>
    <w:rsid w:val="00D30ABE"/>
    <w:rsid w:val="00D44172"/>
    <w:rsid w:val="00D63B8C"/>
    <w:rsid w:val="00D739CC"/>
    <w:rsid w:val="00D76A2E"/>
    <w:rsid w:val="00D8093D"/>
    <w:rsid w:val="00D8108C"/>
    <w:rsid w:val="00D81B39"/>
    <w:rsid w:val="00D842AE"/>
    <w:rsid w:val="00D9211C"/>
    <w:rsid w:val="00D92DE0"/>
    <w:rsid w:val="00D92FEF"/>
    <w:rsid w:val="00D93A0F"/>
    <w:rsid w:val="00DA1BCA"/>
    <w:rsid w:val="00DC46FF"/>
    <w:rsid w:val="00DC5254"/>
    <w:rsid w:val="00DD0036"/>
    <w:rsid w:val="00DD1A4F"/>
    <w:rsid w:val="00DD3107"/>
    <w:rsid w:val="00DD7C2C"/>
    <w:rsid w:val="00E06797"/>
    <w:rsid w:val="00E1265B"/>
    <w:rsid w:val="00E13B48"/>
    <w:rsid w:val="00E1404F"/>
    <w:rsid w:val="00E21C83"/>
    <w:rsid w:val="00E24ADA"/>
    <w:rsid w:val="00E25070"/>
    <w:rsid w:val="00E32F59"/>
    <w:rsid w:val="00E35E93"/>
    <w:rsid w:val="00E46D9A"/>
    <w:rsid w:val="00E500D6"/>
    <w:rsid w:val="00E565FF"/>
    <w:rsid w:val="00E65388"/>
    <w:rsid w:val="00E66DA9"/>
    <w:rsid w:val="00E85B7D"/>
    <w:rsid w:val="00E9121B"/>
    <w:rsid w:val="00E91FD4"/>
    <w:rsid w:val="00EA0AE2"/>
    <w:rsid w:val="00EA0E38"/>
    <w:rsid w:val="00EA39E5"/>
    <w:rsid w:val="00EB416C"/>
    <w:rsid w:val="00EC5A46"/>
    <w:rsid w:val="00EC63E2"/>
    <w:rsid w:val="00EF22B3"/>
    <w:rsid w:val="00EF610F"/>
    <w:rsid w:val="00F03B69"/>
    <w:rsid w:val="00F07A50"/>
    <w:rsid w:val="00F113DA"/>
    <w:rsid w:val="00F127A0"/>
    <w:rsid w:val="00F15E4D"/>
    <w:rsid w:val="00F37DC8"/>
    <w:rsid w:val="00F439B3"/>
    <w:rsid w:val="00F650C3"/>
    <w:rsid w:val="00F65D85"/>
    <w:rsid w:val="00F8091E"/>
    <w:rsid w:val="00F8615C"/>
    <w:rsid w:val="00F969E5"/>
    <w:rsid w:val="00FA1168"/>
    <w:rsid w:val="00FA2BA1"/>
    <w:rsid w:val="00FA6BB0"/>
    <w:rsid w:val="00FB2763"/>
    <w:rsid w:val="00FD5860"/>
    <w:rsid w:val="00FE352D"/>
    <w:rsid w:val="00FE40EB"/>
    <w:rsid w:val="00FE4699"/>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E33195"/>
  <w15:docId w15:val="{F3993A52-38A0-4AA9-AD8F-299A3490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7F42"/>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aliases w:val="Sec"/>
    <w:basedOn w:val="Normal"/>
    <w:next w:val="Normalnumber"/>
    <w:qFormat/>
    <w:rsid w:val="000D6941"/>
    <w:pPr>
      <w:spacing w:after="120"/>
      <w:ind w:left="1247" w:hanging="680"/>
      <w:outlineLvl w:val="2"/>
    </w:pPr>
    <w:rPr>
      <w:b/>
    </w:rPr>
  </w:style>
  <w:style w:type="paragraph" w:styleId="Heading4">
    <w:name w:val="heading 4"/>
    <w:aliases w:val="MainPara"/>
    <w:basedOn w:val="Heading3"/>
    <w:next w:val="Normalnumber"/>
    <w:qFormat/>
    <w:rsid w:val="000D6941"/>
    <w:pPr>
      <w:keepNext/>
      <w:outlineLvl w:val="3"/>
    </w:pPr>
  </w:style>
  <w:style w:type="paragraph" w:styleId="Heading5">
    <w:name w:val="heading 5"/>
    <w:aliases w:val="Subpara 2"/>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
    <w:basedOn w:val="DefaultParagraphFont"/>
    <w:semiHidden/>
    <w:rsid w:val="000D6941"/>
    <w:rPr>
      <w:rFonts w:ascii="Times New Roman" w:hAnsi="Times New Roman"/>
      <w:color w:val="auto"/>
      <w:sz w:val="20"/>
      <w:szCs w:val="18"/>
      <w:vertAlign w:val="superscript"/>
    </w:rPr>
  </w:style>
  <w:style w:type="paragraph" w:styleId="FootnoteText">
    <w:name w:val="footnote text"/>
    <w:aliases w:val="Geneva 9,Font: Geneva 9,Boston 10,f,DNV-FT"/>
    <w:basedOn w:val="Normalpool"/>
    <w:link w:val="FootnoteTextChar"/>
    <w:semiHidden/>
    <w:rsid w:val="000D6941"/>
    <w:pPr>
      <w:spacing w:before="20" w:after="40"/>
      <w:ind w:left="1247"/>
    </w:pPr>
    <w:rPr>
      <w:sz w:val="18"/>
    </w:rPr>
  </w:style>
  <w:style w:type="character" w:customStyle="1" w:styleId="FootnoteTextChar">
    <w:name w:val="Footnote Text Char"/>
    <w:aliases w:val="Geneva 9 Char,Font: Geneva 9 Char,Boston 10 Char,f Char,DNV-FT Char"/>
    <w:link w:val="FootnoteText"/>
    <w:semiHidden/>
    <w:locked/>
    <w:rsid w:val="00C87F42"/>
    <w:rPr>
      <w:sz w:val="18"/>
      <w:lang w:val="fr-FR" w:eastAsia="en-US"/>
    </w:rPr>
  </w:style>
  <w:style w:type="character" w:customStyle="1" w:styleId="NormalNonumberChar">
    <w:name w:val="Normal_No_number Char"/>
    <w:link w:val="NormalNonumber"/>
    <w:locked/>
    <w:rsid w:val="00C87F42"/>
    <w:rPr>
      <w:lang w:eastAsia="en-US"/>
    </w:rPr>
  </w:style>
  <w:style w:type="paragraph" w:styleId="BalloonText">
    <w:name w:val="Balloon Text"/>
    <w:basedOn w:val="Normal"/>
    <w:link w:val="BalloonTextChar"/>
    <w:rsid w:val="00C87F42"/>
    <w:rPr>
      <w:rFonts w:ascii="Segoe UI" w:hAnsi="Segoe UI" w:cs="Segoe UI"/>
      <w:sz w:val="18"/>
      <w:szCs w:val="18"/>
    </w:rPr>
  </w:style>
  <w:style w:type="character" w:customStyle="1" w:styleId="BalloonTextChar">
    <w:name w:val="Balloon Text Char"/>
    <w:basedOn w:val="DefaultParagraphFont"/>
    <w:link w:val="BalloonText"/>
    <w:rsid w:val="00C87F42"/>
    <w:rPr>
      <w:rFonts w:ascii="Segoe UI" w:hAnsi="Segoe UI" w:cs="Segoe UI"/>
      <w:sz w:val="18"/>
      <w:szCs w:val="18"/>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42"/>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styleId="CommentReference">
    <w:name w:val="annotation reference"/>
    <w:basedOn w:val="DefaultParagraphFont"/>
    <w:rsid w:val="004843DB"/>
    <w:rPr>
      <w:sz w:val="16"/>
      <w:szCs w:val="16"/>
    </w:rPr>
  </w:style>
  <w:style w:type="paragraph" w:styleId="CommentText">
    <w:name w:val="annotation text"/>
    <w:basedOn w:val="Normal"/>
    <w:link w:val="CommentTextChar"/>
    <w:uiPriority w:val="99"/>
    <w:rsid w:val="004843DB"/>
  </w:style>
  <w:style w:type="character" w:customStyle="1" w:styleId="CommentTextChar">
    <w:name w:val="Comment Text Char"/>
    <w:basedOn w:val="DefaultParagraphFont"/>
    <w:link w:val="CommentText"/>
    <w:uiPriority w:val="99"/>
    <w:rsid w:val="004843DB"/>
    <w:rPr>
      <w:lang w:eastAsia="en-US"/>
    </w:rPr>
  </w:style>
  <w:style w:type="paragraph" w:styleId="CommentSubject">
    <w:name w:val="annotation subject"/>
    <w:basedOn w:val="CommentText"/>
    <w:next w:val="CommentText"/>
    <w:link w:val="CommentSubjectChar"/>
    <w:uiPriority w:val="99"/>
    <w:rsid w:val="004843DB"/>
    <w:rPr>
      <w:b/>
      <w:bCs/>
    </w:rPr>
  </w:style>
  <w:style w:type="character" w:customStyle="1" w:styleId="CommentSubjectChar">
    <w:name w:val="Comment Subject Char"/>
    <w:basedOn w:val="CommentTextChar"/>
    <w:link w:val="CommentSubject"/>
    <w:uiPriority w:val="99"/>
    <w:rsid w:val="004843DB"/>
    <w:rPr>
      <w:b/>
      <w:bCs/>
      <w:lang w:eastAsia="en-US"/>
    </w:rPr>
  </w:style>
  <w:style w:type="table" w:styleId="TableGrid">
    <w:name w:val="Table Grid"/>
    <w:basedOn w:val="TableNormal"/>
    <w:rsid w:val="0062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basedOn w:val="DefaultParagraphFont"/>
    <w:link w:val="Heading2"/>
    <w:rsid w:val="00C77D29"/>
    <w:rPr>
      <w:b/>
      <w:sz w:val="24"/>
      <w:szCs w:val="24"/>
      <w:lang w:eastAsia="en-US"/>
    </w:rPr>
  </w:style>
  <w:style w:type="table" w:customStyle="1" w:styleId="TableNormal1">
    <w:name w:val="Table Normal1"/>
    <w:next w:val="TableNormal"/>
    <w:semiHidden/>
    <w:rsid w:val="002B0DBA"/>
    <w:rPr>
      <w:lang w:val="en-US" w:eastAsia="zh-CN"/>
    </w:rPr>
    <w:tblPr>
      <w:tblInd w:w="0" w:type="dxa"/>
      <w:tblCellMar>
        <w:top w:w="0" w:type="dxa"/>
        <w:left w:w="108" w:type="dxa"/>
        <w:bottom w:w="0" w:type="dxa"/>
        <w:right w:w="108" w:type="dxa"/>
      </w:tblCellMar>
    </w:tblPr>
  </w:style>
  <w:style w:type="numbering" w:customStyle="1" w:styleId="NoList1">
    <w:name w:val="No List1"/>
    <w:next w:val="NoList"/>
    <w:semiHidden/>
    <w:rsid w:val="002B0DBA"/>
  </w:style>
  <w:style w:type="paragraph" w:customStyle="1" w:styleId="Spacer">
    <w:name w:val="Spacer"/>
    <w:basedOn w:val="Normal"/>
    <w:rsid w:val="002B0DBA"/>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2B0DBA"/>
    <w:pPr>
      <w:tabs>
        <w:tab w:val="clear" w:pos="1247"/>
        <w:tab w:val="clear" w:pos="1814"/>
        <w:tab w:val="clear" w:pos="2381"/>
        <w:tab w:val="clear" w:pos="2948"/>
        <w:tab w:val="clear" w:pos="3515"/>
      </w:tabs>
    </w:pPr>
    <w:rPr>
      <w:b/>
      <w:bCs/>
    </w:rPr>
  </w:style>
  <w:style w:type="paragraph" w:customStyle="1" w:styleId="Listings">
    <w:name w:val="Listings"/>
    <w:basedOn w:val="Normal"/>
    <w:rsid w:val="002B0DBA"/>
    <w:pPr>
      <w:tabs>
        <w:tab w:val="clear" w:pos="1247"/>
        <w:tab w:val="clear" w:pos="1814"/>
        <w:tab w:val="clear" w:pos="2381"/>
        <w:tab w:val="clear" w:pos="2948"/>
        <w:tab w:val="clear" w:pos="3515"/>
      </w:tabs>
      <w:spacing w:after="40"/>
    </w:pPr>
  </w:style>
  <w:style w:type="paragraph" w:customStyle="1" w:styleId="ListBold">
    <w:name w:val="ListBold"/>
    <w:basedOn w:val="Listings"/>
    <w:rsid w:val="002B0DBA"/>
    <w:rPr>
      <w:b/>
      <w:bCs/>
    </w:rPr>
  </w:style>
  <w:style w:type="paragraph" w:customStyle="1" w:styleId="ListAD">
    <w:name w:val="ListAD"/>
    <w:basedOn w:val="Listings"/>
    <w:rsid w:val="002B0DBA"/>
    <w:pPr>
      <w:spacing w:after="0"/>
    </w:pPr>
  </w:style>
  <w:style w:type="paragraph" w:customStyle="1" w:styleId="Substance">
    <w:name w:val="Substance"/>
    <w:basedOn w:val="Heading1"/>
    <w:rsid w:val="002B0DBA"/>
    <w:pPr>
      <w:tabs>
        <w:tab w:val="clear" w:pos="1247"/>
        <w:tab w:val="clear" w:pos="1814"/>
        <w:tab w:val="clear" w:pos="2381"/>
        <w:tab w:val="clear" w:pos="2948"/>
        <w:tab w:val="clear" w:pos="3515"/>
      </w:tabs>
      <w:spacing w:before="160" w:after="160"/>
      <w:ind w:left="0" w:firstLine="0"/>
      <w:outlineLvl w:val="9"/>
    </w:pPr>
    <w:rPr>
      <w:bCs/>
      <w:kern w:val="28"/>
      <w:sz w:val="48"/>
      <w:szCs w:val="48"/>
    </w:rPr>
  </w:style>
  <w:style w:type="paragraph" w:customStyle="1" w:styleId="RefNo">
    <w:name w:val="RefNo"/>
    <w:basedOn w:val="Listings"/>
    <w:rsid w:val="002B0DBA"/>
    <w:pPr>
      <w:spacing w:after="0"/>
      <w:jc w:val="right"/>
    </w:pPr>
    <w:rPr>
      <w:i/>
      <w:iCs/>
    </w:rPr>
  </w:style>
  <w:style w:type="paragraph" w:customStyle="1" w:styleId="Ripeat">
    <w:name w:val="Ripeat"/>
    <w:basedOn w:val="Normal"/>
    <w:next w:val="Normal"/>
    <w:rsid w:val="002B0DBA"/>
    <w:pPr>
      <w:tabs>
        <w:tab w:val="clear" w:pos="1247"/>
        <w:tab w:val="clear" w:pos="1814"/>
        <w:tab w:val="clear" w:pos="2381"/>
        <w:tab w:val="clear" w:pos="2948"/>
        <w:tab w:val="clear" w:pos="3515"/>
      </w:tabs>
    </w:pPr>
    <w:rPr>
      <w:i/>
      <w:iCs/>
    </w:rPr>
  </w:style>
  <w:style w:type="paragraph" w:styleId="DocumentMap">
    <w:name w:val="Document Map"/>
    <w:basedOn w:val="Normal"/>
    <w:link w:val="DocumentMapChar"/>
    <w:semiHidden/>
    <w:rsid w:val="002B0DBA"/>
    <w:pPr>
      <w:shd w:val="clear" w:color="auto" w:fill="000080"/>
      <w:tabs>
        <w:tab w:val="clear" w:pos="1247"/>
        <w:tab w:val="clear" w:pos="1814"/>
        <w:tab w:val="clear" w:pos="2381"/>
        <w:tab w:val="clear" w:pos="2948"/>
        <w:tab w:val="clear" w:pos="3515"/>
      </w:tabs>
    </w:pPr>
    <w:rPr>
      <w:rFonts w:ascii="Tahoma" w:hAnsi="Tahoma" w:cs="Tahoma"/>
    </w:rPr>
  </w:style>
  <w:style w:type="character" w:customStyle="1" w:styleId="DocumentMapChar">
    <w:name w:val="Document Map Char"/>
    <w:basedOn w:val="DefaultParagraphFont"/>
    <w:link w:val="DocumentMap"/>
    <w:semiHidden/>
    <w:rsid w:val="002B0DBA"/>
    <w:rPr>
      <w:rFonts w:ascii="Tahoma" w:hAnsi="Tahoma" w:cs="Tahoma"/>
      <w:shd w:val="clear" w:color="auto" w:fill="000080"/>
      <w:lang w:eastAsia="en-US"/>
    </w:rPr>
  </w:style>
  <w:style w:type="character" w:styleId="FollowedHyperlink">
    <w:name w:val="FollowedHyperlink"/>
    <w:rsid w:val="002B0DBA"/>
    <w:rPr>
      <w:color w:val="800080"/>
      <w:u w:val="single"/>
    </w:rPr>
  </w:style>
  <w:style w:type="paragraph" w:customStyle="1" w:styleId="Annex">
    <w:name w:val="Annex"/>
    <w:basedOn w:val="Normal"/>
    <w:next w:val="Normal"/>
    <w:autoRedefine/>
    <w:rsid w:val="002B0DBA"/>
    <w:pPr>
      <w:tabs>
        <w:tab w:val="clear" w:pos="1247"/>
        <w:tab w:val="clear" w:pos="1814"/>
        <w:tab w:val="clear" w:pos="2381"/>
        <w:tab w:val="clear" w:pos="2948"/>
        <w:tab w:val="clear" w:pos="3515"/>
      </w:tabs>
    </w:pPr>
    <w:rPr>
      <w:smallCaps/>
      <w:sz w:val="22"/>
      <w:szCs w:val="22"/>
    </w:rPr>
  </w:style>
  <w:style w:type="paragraph" w:customStyle="1" w:styleId="ca">
    <w:name w:val="ca"/>
    <w:basedOn w:val="Normal"/>
    <w:autoRedefine/>
    <w:rsid w:val="002B0DBA"/>
    <w:pPr>
      <w:widowControl w:val="0"/>
      <w:tabs>
        <w:tab w:val="clear" w:pos="1247"/>
        <w:tab w:val="clear" w:pos="1814"/>
        <w:tab w:val="clear" w:pos="2381"/>
        <w:tab w:val="clear" w:pos="2948"/>
        <w:tab w:val="clear" w:pos="3515"/>
      </w:tabs>
    </w:pPr>
    <w:rPr>
      <w:snapToGrid w:val="0"/>
      <w:color w:val="000000"/>
    </w:rPr>
  </w:style>
  <w:style w:type="paragraph" w:customStyle="1" w:styleId="biblio">
    <w:name w:val="biblio"/>
    <w:basedOn w:val="Normal"/>
    <w:rsid w:val="002B0DBA"/>
    <w:pPr>
      <w:widowControl w:val="0"/>
      <w:tabs>
        <w:tab w:val="clear" w:pos="1247"/>
        <w:tab w:val="clear" w:pos="1814"/>
        <w:tab w:val="clear" w:pos="2381"/>
        <w:tab w:val="clear" w:pos="2948"/>
        <w:tab w:val="clear" w:pos="3515"/>
        <w:tab w:val="left" w:pos="90"/>
      </w:tabs>
    </w:pPr>
    <w:rPr>
      <w:snapToGrid w:val="0"/>
      <w:color w:val="000000"/>
      <w:sz w:val="22"/>
      <w:szCs w:val="22"/>
    </w:rPr>
  </w:style>
  <w:style w:type="paragraph" w:styleId="Caption">
    <w:name w:val="caption"/>
    <w:basedOn w:val="Normal"/>
    <w:next w:val="Normal"/>
    <w:qFormat/>
    <w:rsid w:val="002B0DBA"/>
    <w:pPr>
      <w:widowControl w:val="0"/>
      <w:tabs>
        <w:tab w:val="clear" w:pos="1247"/>
        <w:tab w:val="clear" w:pos="1814"/>
        <w:tab w:val="clear" w:pos="2381"/>
        <w:tab w:val="clear" w:pos="2948"/>
        <w:tab w:val="clear" w:pos="3515"/>
      </w:tabs>
    </w:pPr>
    <w:rPr>
      <w:rFonts w:ascii="Arial" w:hAnsi="Arial" w:cs="Arial"/>
    </w:rPr>
  </w:style>
  <w:style w:type="paragraph" w:styleId="BodyTextIndent">
    <w:name w:val="Body Text Indent"/>
    <w:basedOn w:val="Normal"/>
    <w:link w:val="BodyTextIndentChar"/>
    <w:rsid w:val="002B0DBA"/>
    <w:pPr>
      <w:tabs>
        <w:tab w:val="clear" w:pos="1247"/>
        <w:tab w:val="clear" w:pos="1814"/>
        <w:tab w:val="clear" w:pos="2381"/>
        <w:tab w:val="clear" w:pos="2948"/>
        <w:tab w:val="clear" w:pos="3515"/>
      </w:tabs>
      <w:spacing w:line="240" w:lineRule="atLeast"/>
      <w:ind w:left="-143"/>
    </w:pPr>
    <w:rPr>
      <w:sz w:val="38"/>
      <w:szCs w:val="38"/>
    </w:rPr>
  </w:style>
  <w:style w:type="character" w:customStyle="1" w:styleId="BodyTextIndentChar">
    <w:name w:val="Body Text Indent Char"/>
    <w:basedOn w:val="DefaultParagraphFont"/>
    <w:link w:val="BodyTextIndent"/>
    <w:rsid w:val="002B0DBA"/>
    <w:rPr>
      <w:sz w:val="38"/>
      <w:szCs w:val="38"/>
      <w:lang w:eastAsia="en-US"/>
    </w:rPr>
  </w:style>
  <w:style w:type="paragraph" w:customStyle="1" w:styleId="ad">
    <w:name w:val="ad"/>
    <w:basedOn w:val="Normal"/>
    <w:rsid w:val="002B0DBA"/>
    <w:pPr>
      <w:widowControl w:val="0"/>
      <w:tabs>
        <w:tab w:val="clear" w:pos="1247"/>
        <w:tab w:val="clear" w:pos="1814"/>
        <w:tab w:val="clear" w:pos="2381"/>
        <w:tab w:val="clear" w:pos="2948"/>
        <w:tab w:val="clear" w:pos="3515"/>
        <w:tab w:val="left" w:pos="6480"/>
        <w:tab w:val="left" w:pos="7200"/>
      </w:tabs>
    </w:pPr>
    <w:rPr>
      <w:rFonts w:ascii="Abadi MT Condensed" w:hAnsi="Abadi MT Condensed"/>
      <w:snapToGrid w:val="0"/>
      <w:color w:val="000000"/>
    </w:rPr>
  </w:style>
  <w:style w:type="paragraph" w:customStyle="1" w:styleId="TH">
    <w:name w:val="TH"/>
    <w:basedOn w:val="ad"/>
    <w:next w:val="Normal"/>
    <w:rsid w:val="002B0DBA"/>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2B0DBA"/>
    <w:pPr>
      <w:tabs>
        <w:tab w:val="clear" w:pos="1247"/>
        <w:tab w:val="clear" w:pos="1814"/>
        <w:tab w:val="clear" w:pos="2381"/>
        <w:tab w:val="clear" w:pos="2948"/>
        <w:tab w:val="clear" w:pos="3515"/>
      </w:tabs>
    </w:pPr>
    <w:rPr>
      <w:sz w:val="28"/>
      <w:szCs w:val="28"/>
    </w:rPr>
  </w:style>
  <w:style w:type="character" w:customStyle="1" w:styleId="BodyTextChar">
    <w:name w:val="Body Text Char"/>
    <w:basedOn w:val="DefaultParagraphFont"/>
    <w:link w:val="BodyText"/>
    <w:rsid w:val="002B0DBA"/>
    <w:rPr>
      <w:sz w:val="28"/>
      <w:szCs w:val="28"/>
      <w:lang w:eastAsia="en-US"/>
    </w:rPr>
  </w:style>
  <w:style w:type="character" w:styleId="Strong">
    <w:name w:val="Strong"/>
    <w:uiPriority w:val="22"/>
    <w:qFormat/>
    <w:rsid w:val="002B0DBA"/>
    <w:rPr>
      <w:b/>
      <w:bCs/>
    </w:rPr>
  </w:style>
  <w:style w:type="character" w:styleId="Emphasis">
    <w:name w:val="Emphasis"/>
    <w:qFormat/>
    <w:rsid w:val="002B0DBA"/>
    <w:rPr>
      <w:i/>
      <w:iCs/>
    </w:rPr>
  </w:style>
  <w:style w:type="paragraph" w:styleId="BodyTextIndent2">
    <w:name w:val="Body Text Indent 2"/>
    <w:basedOn w:val="Normal"/>
    <w:link w:val="BodyTextIndent2Char"/>
    <w:rsid w:val="002B0DBA"/>
    <w:pPr>
      <w:tabs>
        <w:tab w:val="clear" w:pos="1247"/>
        <w:tab w:val="clear" w:pos="1814"/>
        <w:tab w:val="clear" w:pos="2381"/>
        <w:tab w:val="clear" w:pos="2948"/>
        <w:tab w:val="clear" w:pos="3515"/>
      </w:tabs>
      <w:ind w:left="2552"/>
    </w:pPr>
    <w:rPr>
      <w:lang w:val="it-IT"/>
    </w:rPr>
  </w:style>
  <w:style w:type="character" w:customStyle="1" w:styleId="BodyTextIndent2Char">
    <w:name w:val="Body Text Indent 2 Char"/>
    <w:basedOn w:val="DefaultParagraphFont"/>
    <w:link w:val="BodyTextIndent2"/>
    <w:rsid w:val="002B0DBA"/>
    <w:rPr>
      <w:lang w:val="it-IT" w:eastAsia="en-US"/>
    </w:rPr>
  </w:style>
  <w:style w:type="paragraph" w:styleId="BodyTextIndent3">
    <w:name w:val="Body Text Indent 3"/>
    <w:basedOn w:val="Normal"/>
    <w:link w:val="BodyTextIndent3Char"/>
    <w:rsid w:val="002B0DBA"/>
    <w:pPr>
      <w:tabs>
        <w:tab w:val="clear" w:pos="1247"/>
        <w:tab w:val="clear" w:pos="1814"/>
        <w:tab w:val="clear" w:pos="2381"/>
        <w:tab w:val="clear" w:pos="2948"/>
        <w:tab w:val="clear" w:pos="3515"/>
      </w:tabs>
      <w:ind w:left="567" w:hanging="567"/>
    </w:pPr>
    <w:rPr>
      <w:lang w:val="en-US"/>
    </w:rPr>
  </w:style>
  <w:style w:type="character" w:customStyle="1" w:styleId="BodyTextIndent3Char">
    <w:name w:val="Body Text Indent 3 Char"/>
    <w:basedOn w:val="DefaultParagraphFont"/>
    <w:link w:val="BodyTextIndent3"/>
    <w:rsid w:val="002B0DBA"/>
    <w:rPr>
      <w:lang w:val="en-US" w:eastAsia="en-US"/>
    </w:rPr>
  </w:style>
  <w:style w:type="paragraph" w:styleId="Subtitle">
    <w:name w:val="Subtitle"/>
    <w:basedOn w:val="Normal"/>
    <w:link w:val="SubtitleChar"/>
    <w:qFormat/>
    <w:rsid w:val="002B0DBA"/>
    <w:pPr>
      <w:widowControl w:val="0"/>
      <w:tabs>
        <w:tab w:val="clear" w:pos="1247"/>
        <w:tab w:val="clear" w:pos="1814"/>
        <w:tab w:val="clear" w:pos="2381"/>
        <w:tab w:val="clear" w:pos="2948"/>
        <w:tab w:val="clear" w:pos="3515"/>
        <w:tab w:val="left" w:pos="90"/>
      </w:tabs>
      <w:spacing w:before="175"/>
    </w:pPr>
    <w:rPr>
      <w:b/>
      <w:bCs/>
      <w:snapToGrid w:val="0"/>
      <w:color w:val="000000"/>
      <w:sz w:val="32"/>
      <w:szCs w:val="32"/>
      <w:lang w:val="en-US"/>
    </w:rPr>
  </w:style>
  <w:style w:type="character" w:customStyle="1" w:styleId="SubtitleChar">
    <w:name w:val="Subtitle Char"/>
    <w:basedOn w:val="DefaultParagraphFont"/>
    <w:link w:val="Subtitle"/>
    <w:rsid w:val="002B0DBA"/>
    <w:rPr>
      <w:b/>
      <w:bCs/>
      <w:snapToGrid w:val="0"/>
      <w:color w:val="000000"/>
      <w:sz w:val="32"/>
      <w:szCs w:val="32"/>
      <w:lang w:val="en-US" w:eastAsia="en-US"/>
    </w:rPr>
  </w:style>
  <w:style w:type="paragraph" w:styleId="Title">
    <w:name w:val="Title"/>
    <w:basedOn w:val="Normal"/>
    <w:link w:val="TitleChar"/>
    <w:qFormat/>
    <w:rsid w:val="002B0DBA"/>
    <w:pPr>
      <w:tabs>
        <w:tab w:val="clear" w:pos="1247"/>
        <w:tab w:val="clear" w:pos="1814"/>
        <w:tab w:val="clear" w:pos="2381"/>
        <w:tab w:val="clear" w:pos="2948"/>
        <w:tab w:val="clear" w:pos="3515"/>
      </w:tabs>
      <w:jc w:val="center"/>
    </w:pPr>
    <w:rPr>
      <w:u w:val="single"/>
    </w:rPr>
  </w:style>
  <w:style w:type="character" w:customStyle="1" w:styleId="TitleChar">
    <w:name w:val="Title Char"/>
    <w:basedOn w:val="DefaultParagraphFont"/>
    <w:link w:val="Title"/>
    <w:rsid w:val="002B0DBA"/>
    <w:rPr>
      <w:u w:val="single"/>
      <w:lang w:eastAsia="en-US"/>
    </w:rPr>
  </w:style>
  <w:style w:type="paragraph" w:customStyle="1" w:styleId="mainpara">
    <w:name w:val="mainpara"/>
    <w:basedOn w:val="Normal"/>
    <w:rsid w:val="002B0DBA"/>
    <w:pPr>
      <w:numPr>
        <w:numId w:val="43"/>
      </w:numPr>
      <w:tabs>
        <w:tab w:val="clear" w:pos="473"/>
        <w:tab w:val="clear" w:pos="1247"/>
        <w:tab w:val="clear" w:pos="1814"/>
        <w:tab w:val="clear" w:pos="2381"/>
        <w:tab w:val="clear" w:pos="2948"/>
        <w:tab w:val="clear" w:pos="3515"/>
        <w:tab w:val="left" w:pos="720"/>
        <w:tab w:val="left" w:pos="1440"/>
      </w:tabs>
    </w:pPr>
    <w:rPr>
      <w:snapToGrid w:val="0"/>
      <w:sz w:val="22"/>
      <w:szCs w:val="22"/>
    </w:rPr>
  </w:style>
  <w:style w:type="paragraph" w:customStyle="1" w:styleId="Level1">
    <w:name w:val="Level1"/>
    <w:basedOn w:val="Normal"/>
    <w:rsid w:val="002B0DBA"/>
    <w:pPr>
      <w:tabs>
        <w:tab w:val="clear" w:pos="1247"/>
        <w:tab w:val="clear" w:pos="1814"/>
        <w:tab w:val="clear" w:pos="2381"/>
        <w:tab w:val="clear" w:pos="2948"/>
        <w:tab w:val="clear" w:pos="3515"/>
        <w:tab w:val="left" w:pos="578"/>
        <w:tab w:val="left" w:pos="1157"/>
      </w:tabs>
      <w:suppressAutoHyphens/>
      <w:spacing w:after="240"/>
    </w:pPr>
    <w:rPr>
      <w:sz w:val="22"/>
      <w:szCs w:val="22"/>
    </w:rPr>
  </w:style>
  <w:style w:type="character" w:customStyle="1" w:styleId="EmailStyle20">
    <w:name w:val="EmailStyle20"/>
    <w:rsid w:val="002B0DBA"/>
    <w:rPr>
      <w:rFonts w:ascii="Arial" w:hAnsi="Arial" w:cs="Arial"/>
      <w:color w:val="000000"/>
      <w:sz w:val="20"/>
      <w:szCs w:val="20"/>
    </w:rPr>
  </w:style>
  <w:style w:type="paragraph" w:styleId="BodyText2">
    <w:name w:val="Body Text 2"/>
    <w:basedOn w:val="Normal"/>
    <w:link w:val="BodyText2Char"/>
    <w:rsid w:val="002B0DBA"/>
    <w:pPr>
      <w:tabs>
        <w:tab w:val="clear" w:pos="1247"/>
        <w:tab w:val="clear" w:pos="1814"/>
        <w:tab w:val="clear" w:pos="2381"/>
        <w:tab w:val="clear" w:pos="2948"/>
        <w:tab w:val="clear" w:pos="3515"/>
      </w:tabs>
    </w:pPr>
    <w:rPr>
      <w:color w:val="FF0000"/>
      <w:sz w:val="18"/>
      <w:szCs w:val="18"/>
    </w:rPr>
  </w:style>
  <w:style w:type="character" w:customStyle="1" w:styleId="BodyText2Char">
    <w:name w:val="Body Text 2 Char"/>
    <w:basedOn w:val="DefaultParagraphFont"/>
    <w:link w:val="BodyText2"/>
    <w:rsid w:val="002B0DBA"/>
    <w:rPr>
      <w:color w:val="FF0000"/>
      <w:sz w:val="18"/>
      <w:szCs w:val="18"/>
      <w:lang w:eastAsia="en-US"/>
    </w:rPr>
  </w:style>
  <w:style w:type="paragraph" w:styleId="BodyText3">
    <w:name w:val="Body Text 3"/>
    <w:basedOn w:val="Normal"/>
    <w:link w:val="BodyText3Char"/>
    <w:rsid w:val="002B0DBA"/>
    <w:pPr>
      <w:tabs>
        <w:tab w:val="clear" w:pos="1247"/>
        <w:tab w:val="clear" w:pos="1814"/>
        <w:tab w:val="clear" w:pos="2381"/>
        <w:tab w:val="clear" w:pos="2948"/>
        <w:tab w:val="clear" w:pos="3515"/>
      </w:tabs>
    </w:pPr>
    <w:rPr>
      <w:b/>
      <w:bCs/>
      <w:i/>
      <w:iCs/>
    </w:rPr>
  </w:style>
  <w:style w:type="character" w:customStyle="1" w:styleId="BodyText3Char">
    <w:name w:val="Body Text 3 Char"/>
    <w:basedOn w:val="DefaultParagraphFont"/>
    <w:link w:val="BodyText3"/>
    <w:rsid w:val="002B0DBA"/>
    <w:rPr>
      <w:b/>
      <w:bCs/>
      <w:i/>
      <w:iCs/>
      <w:lang w:eastAsia="en-US"/>
    </w:rPr>
  </w:style>
  <w:style w:type="paragraph" w:styleId="EndnoteText">
    <w:name w:val="endnote text"/>
    <w:basedOn w:val="Normal"/>
    <w:link w:val="EndnoteTextChar"/>
    <w:semiHidden/>
    <w:rsid w:val="002B0DBA"/>
    <w:pPr>
      <w:tabs>
        <w:tab w:val="clear" w:pos="1247"/>
        <w:tab w:val="clear" w:pos="1814"/>
        <w:tab w:val="clear" w:pos="2381"/>
        <w:tab w:val="clear" w:pos="2948"/>
        <w:tab w:val="clear" w:pos="3515"/>
      </w:tabs>
    </w:pPr>
  </w:style>
  <w:style w:type="character" w:customStyle="1" w:styleId="EndnoteTextChar">
    <w:name w:val="Endnote Text Char"/>
    <w:basedOn w:val="DefaultParagraphFont"/>
    <w:link w:val="EndnoteText"/>
    <w:semiHidden/>
    <w:rsid w:val="002B0DBA"/>
    <w:rPr>
      <w:lang w:eastAsia="en-US"/>
    </w:rPr>
  </w:style>
  <w:style w:type="character" w:styleId="EndnoteReference">
    <w:name w:val="endnote reference"/>
    <w:semiHidden/>
    <w:rsid w:val="002B0DBA"/>
    <w:rPr>
      <w:vertAlign w:val="superscript"/>
    </w:rPr>
  </w:style>
  <w:style w:type="character" w:customStyle="1" w:styleId="emailstyle15">
    <w:name w:val="emailstyle15"/>
    <w:rsid w:val="002B0DBA"/>
    <w:rPr>
      <w:rFonts w:ascii="Arial" w:hAnsi="Arial" w:cs="Arial"/>
      <w:color w:val="000000"/>
      <w:sz w:val="20"/>
      <w:szCs w:val="20"/>
    </w:rPr>
  </w:style>
  <w:style w:type="paragraph" w:customStyle="1" w:styleId="Default">
    <w:name w:val="Default"/>
    <w:rsid w:val="002B0DBA"/>
    <w:pPr>
      <w:autoSpaceDE w:val="0"/>
      <w:autoSpaceDN w:val="0"/>
      <w:adjustRightInd w:val="0"/>
    </w:pPr>
    <w:rPr>
      <w:rFonts w:eastAsia="SimSun"/>
      <w:color w:val="000000"/>
      <w:sz w:val="24"/>
      <w:szCs w:val="24"/>
      <w:lang w:val="pl-PL" w:eastAsia="pl-PL"/>
    </w:rPr>
  </w:style>
  <w:style w:type="paragraph" w:styleId="NoSpacing">
    <w:name w:val="No Spacing"/>
    <w:uiPriority w:val="1"/>
    <w:qFormat/>
    <w:rsid w:val="002B0DBA"/>
    <w:rPr>
      <w:rFonts w:eastAsia="PMingLiU"/>
      <w:sz w:val="24"/>
      <w:szCs w:val="24"/>
      <w:lang w:eastAsia="zh-TW"/>
    </w:rPr>
  </w:style>
  <w:style w:type="paragraph" w:customStyle="1" w:styleId="Style38">
    <w:name w:val="Style38"/>
    <w:basedOn w:val="Normal"/>
    <w:uiPriority w:val="99"/>
    <w:rsid w:val="002B0DBA"/>
    <w:pPr>
      <w:widowControl w:val="0"/>
      <w:tabs>
        <w:tab w:val="clear" w:pos="1247"/>
        <w:tab w:val="clear" w:pos="1814"/>
        <w:tab w:val="clear" w:pos="2381"/>
        <w:tab w:val="clear" w:pos="2948"/>
        <w:tab w:val="clear" w:pos="3515"/>
      </w:tabs>
      <w:autoSpaceDE w:val="0"/>
      <w:autoSpaceDN w:val="0"/>
      <w:adjustRightInd w:val="0"/>
      <w:spacing w:line="230" w:lineRule="exact"/>
    </w:pPr>
    <w:rPr>
      <w:rFonts w:ascii="Arial" w:hAnsi="Arial" w:cs="Arial"/>
      <w:sz w:val="24"/>
      <w:szCs w:val="24"/>
      <w:lang w:val="pl-PL" w:eastAsia="pl-PL"/>
    </w:rPr>
  </w:style>
  <w:style w:type="character" w:customStyle="1" w:styleId="FontStyle56">
    <w:name w:val="Font Style56"/>
    <w:uiPriority w:val="99"/>
    <w:rsid w:val="002B0DBA"/>
    <w:rPr>
      <w:rFonts w:ascii="Times New Roman" w:hAnsi="Times New Roman" w:cs="Times New Roman"/>
      <w:b/>
      <w:bCs/>
      <w:sz w:val="20"/>
      <w:szCs w:val="20"/>
    </w:rPr>
  </w:style>
  <w:style w:type="character" w:customStyle="1" w:styleId="FontStyle64">
    <w:name w:val="Font Style64"/>
    <w:uiPriority w:val="99"/>
    <w:rsid w:val="002B0DBA"/>
    <w:rPr>
      <w:rFonts w:ascii="Times New Roman" w:hAnsi="Times New Roman" w:cs="Times New Roman"/>
      <w:sz w:val="20"/>
      <w:szCs w:val="20"/>
    </w:rPr>
  </w:style>
  <w:style w:type="paragraph" w:customStyle="1" w:styleId="Style21">
    <w:name w:val="Style21"/>
    <w:basedOn w:val="Normal"/>
    <w:uiPriority w:val="99"/>
    <w:rsid w:val="002B0DBA"/>
    <w:pPr>
      <w:widowControl w:val="0"/>
      <w:tabs>
        <w:tab w:val="clear" w:pos="1247"/>
        <w:tab w:val="clear" w:pos="1814"/>
        <w:tab w:val="clear" w:pos="2381"/>
        <w:tab w:val="clear" w:pos="2948"/>
        <w:tab w:val="clear" w:pos="3515"/>
      </w:tabs>
      <w:autoSpaceDE w:val="0"/>
      <w:autoSpaceDN w:val="0"/>
      <w:adjustRightInd w:val="0"/>
      <w:spacing w:line="259" w:lineRule="exact"/>
    </w:pPr>
    <w:rPr>
      <w:rFonts w:ascii="Arial" w:hAnsi="Arial" w:cs="Arial"/>
      <w:sz w:val="24"/>
      <w:szCs w:val="24"/>
      <w:lang w:val="pl-PL" w:eastAsia="pl-PL"/>
    </w:rPr>
  </w:style>
  <w:style w:type="character" w:customStyle="1" w:styleId="FontStyle85">
    <w:name w:val="Font Style85"/>
    <w:uiPriority w:val="99"/>
    <w:rsid w:val="002B0DBA"/>
    <w:rPr>
      <w:rFonts w:ascii="Times New Roman" w:hAnsi="Times New Roman" w:cs="Times New Roman"/>
      <w:sz w:val="20"/>
      <w:szCs w:val="20"/>
    </w:rPr>
  </w:style>
  <w:style w:type="character" w:customStyle="1" w:styleId="FontStyle95">
    <w:name w:val="Font Style95"/>
    <w:uiPriority w:val="99"/>
    <w:rsid w:val="002B0DBA"/>
    <w:rPr>
      <w:rFonts w:ascii="Times New Roman" w:hAnsi="Times New Roman" w:cs="Times New Roman"/>
      <w:i/>
      <w:iCs/>
      <w:sz w:val="20"/>
      <w:szCs w:val="20"/>
    </w:rPr>
  </w:style>
  <w:style w:type="paragraph" w:customStyle="1" w:styleId="Style40">
    <w:name w:val="Style40"/>
    <w:basedOn w:val="Normal"/>
    <w:uiPriority w:val="99"/>
    <w:rsid w:val="002B0DBA"/>
    <w:pPr>
      <w:widowControl w:val="0"/>
      <w:tabs>
        <w:tab w:val="clear" w:pos="1247"/>
        <w:tab w:val="clear" w:pos="1814"/>
        <w:tab w:val="clear" w:pos="2381"/>
        <w:tab w:val="clear" w:pos="2948"/>
        <w:tab w:val="clear" w:pos="3515"/>
      </w:tabs>
      <w:autoSpaceDE w:val="0"/>
      <w:autoSpaceDN w:val="0"/>
      <w:adjustRightInd w:val="0"/>
      <w:spacing w:line="240" w:lineRule="exact"/>
    </w:pPr>
    <w:rPr>
      <w:rFonts w:ascii="Arial" w:hAnsi="Arial" w:cs="Arial"/>
      <w:sz w:val="24"/>
      <w:szCs w:val="24"/>
      <w:lang w:val="pl-PL" w:eastAsia="pl-PL"/>
    </w:rPr>
  </w:style>
  <w:style w:type="character" w:customStyle="1" w:styleId="FontStyle59">
    <w:name w:val="Font Style59"/>
    <w:uiPriority w:val="99"/>
    <w:rsid w:val="002B0DBA"/>
    <w:rPr>
      <w:rFonts w:ascii="Times New Roman" w:hAnsi="Times New Roman" w:cs="Times New Roman"/>
      <w:b/>
      <w:bCs/>
      <w:sz w:val="20"/>
      <w:szCs w:val="20"/>
    </w:rPr>
  </w:style>
  <w:style w:type="character" w:customStyle="1" w:styleId="FontStyle96">
    <w:name w:val="Font Style96"/>
    <w:uiPriority w:val="99"/>
    <w:rsid w:val="002B0DBA"/>
    <w:rPr>
      <w:rFonts w:ascii="Times New Roman" w:hAnsi="Times New Roman" w:cs="Times New Roman"/>
      <w:sz w:val="22"/>
      <w:szCs w:val="22"/>
    </w:rPr>
  </w:style>
  <w:style w:type="character" w:customStyle="1" w:styleId="print-only">
    <w:name w:val="print-only"/>
    <w:rsid w:val="002B0DBA"/>
  </w:style>
  <w:style w:type="character" w:customStyle="1" w:styleId="st1">
    <w:name w:val="st1"/>
    <w:rsid w:val="002B0DBA"/>
  </w:style>
  <w:style w:type="character" w:customStyle="1" w:styleId="breakword">
    <w:name w:val="breakword"/>
    <w:rsid w:val="002B0DBA"/>
  </w:style>
  <w:style w:type="character" w:customStyle="1" w:styleId="btn-text1">
    <w:name w:val="btn-text1"/>
    <w:rsid w:val="002B0DBA"/>
    <w:rPr>
      <w:rFonts w:ascii="Segoe UI" w:hAnsi="Segoe UI" w:cs="Segoe UI" w:hint="default"/>
    </w:rPr>
  </w:style>
  <w:style w:type="paragraph" w:styleId="HTMLPreformatted">
    <w:name w:val="HTML Preformatted"/>
    <w:basedOn w:val="Normal"/>
    <w:link w:val="HTMLPreformattedChar"/>
    <w:uiPriority w:val="99"/>
    <w:unhideWhenUsed/>
    <w:rsid w:val="002B0DBA"/>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eastAsia="pl-PL"/>
    </w:rPr>
  </w:style>
  <w:style w:type="character" w:customStyle="1" w:styleId="HTMLPreformattedChar">
    <w:name w:val="HTML Preformatted Char"/>
    <w:basedOn w:val="DefaultParagraphFont"/>
    <w:link w:val="HTMLPreformatted"/>
    <w:uiPriority w:val="99"/>
    <w:rsid w:val="002B0DBA"/>
    <w:rPr>
      <w:rFonts w:ascii="Courier New" w:hAnsi="Courier New" w:cs="Courier New"/>
      <w:lang w:val="pl-PL" w:eastAsia="pl-PL"/>
    </w:rPr>
  </w:style>
  <w:style w:type="paragraph" w:customStyle="1" w:styleId="Style34">
    <w:name w:val="Style34"/>
    <w:basedOn w:val="Normal"/>
    <w:uiPriority w:val="99"/>
    <w:rsid w:val="002B0DBA"/>
    <w:pPr>
      <w:widowControl w:val="0"/>
      <w:tabs>
        <w:tab w:val="clear" w:pos="1247"/>
        <w:tab w:val="clear" w:pos="1814"/>
        <w:tab w:val="clear" w:pos="2381"/>
        <w:tab w:val="clear" w:pos="2948"/>
        <w:tab w:val="clear" w:pos="3515"/>
      </w:tabs>
      <w:autoSpaceDE w:val="0"/>
      <w:autoSpaceDN w:val="0"/>
      <w:adjustRightInd w:val="0"/>
      <w:spacing w:line="240" w:lineRule="exact"/>
    </w:pPr>
    <w:rPr>
      <w:rFonts w:ascii="Arial" w:hAnsi="Arial" w:cs="Arial"/>
      <w:sz w:val="24"/>
      <w:szCs w:val="24"/>
      <w:lang w:val="pl-PL" w:eastAsia="pl-PL"/>
    </w:rPr>
  </w:style>
  <w:style w:type="paragraph" w:customStyle="1" w:styleId="Style11">
    <w:name w:val="Style11"/>
    <w:basedOn w:val="Normal"/>
    <w:uiPriority w:val="99"/>
    <w:rsid w:val="002B0DBA"/>
    <w:pPr>
      <w:widowControl w:val="0"/>
      <w:tabs>
        <w:tab w:val="clear" w:pos="1247"/>
        <w:tab w:val="clear" w:pos="1814"/>
        <w:tab w:val="clear" w:pos="2381"/>
        <w:tab w:val="clear" w:pos="2948"/>
        <w:tab w:val="clear" w:pos="3515"/>
      </w:tabs>
      <w:autoSpaceDE w:val="0"/>
      <w:autoSpaceDN w:val="0"/>
      <w:adjustRightInd w:val="0"/>
      <w:spacing w:line="245" w:lineRule="exact"/>
      <w:jc w:val="both"/>
    </w:pPr>
    <w:rPr>
      <w:rFonts w:ascii="Arial" w:hAnsi="Arial" w:cs="Arial"/>
      <w:sz w:val="24"/>
      <w:szCs w:val="24"/>
      <w:lang w:val="pl-PL" w:eastAsia="pl-PL"/>
    </w:rPr>
  </w:style>
  <w:style w:type="paragraph" w:customStyle="1" w:styleId="Style3">
    <w:name w:val="Style3"/>
    <w:basedOn w:val="Normal"/>
    <w:uiPriority w:val="99"/>
    <w:rsid w:val="002B0DBA"/>
    <w:pPr>
      <w:widowControl w:val="0"/>
      <w:tabs>
        <w:tab w:val="clear" w:pos="1247"/>
        <w:tab w:val="clear" w:pos="1814"/>
        <w:tab w:val="clear" w:pos="2381"/>
        <w:tab w:val="clear" w:pos="2948"/>
        <w:tab w:val="clear" w:pos="3515"/>
      </w:tabs>
      <w:autoSpaceDE w:val="0"/>
      <w:autoSpaceDN w:val="0"/>
      <w:adjustRightInd w:val="0"/>
      <w:spacing w:line="514" w:lineRule="exact"/>
    </w:pPr>
    <w:rPr>
      <w:rFonts w:ascii="Arial" w:hAnsi="Arial" w:cs="Arial"/>
      <w:sz w:val="24"/>
      <w:szCs w:val="24"/>
      <w:lang w:val="pl-PL" w:eastAsia="pl-PL"/>
    </w:rPr>
  </w:style>
  <w:style w:type="character" w:customStyle="1" w:styleId="FontStyle76">
    <w:name w:val="Font Style76"/>
    <w:uiPriority w:val="99"/>
    <w:rsid w:val="002B0DBA"/>
    <w:rPr>
      <w:rFonts w:ascii="Times New Roman" w:hAnsi="Times New Roman" w:cs="Times New Roman"/>
      <w:b/>
      <w:bCs/>
      <w:sz w:val="20"/>
      <w:szCs w:val="20"/>
    </w:rPr>
  </w:style>
  <w:style w:type="character" w:customStyle="1" w:styleId="FontStyle89">
    <w:name w:val="Font Style89"/>
    <w:uiPriority w:val="99"/>
    <w:rsid w:val="002B0DBA"/>
    <w:rPr>
      <w:rFonts w:ascii="Times New Roman" w:hAnsi="Times New Roman" w:cs="Times New Roman"/>
      <w:sz w:val="18"/>
      <w:szCs w:val="18"/>
    </w:rPr>
  </w:style>
  <w:style w:type="paragraph" w:styleId="Revision">
    <w:name w:val="Revision"/>
    <w:hidden/>
    <w:uiPriority w:val="99"/>
    <w:semiHidden/>
    <w:rsid w:val="002B0DBA"/>
    <w:rPr>
      <w:rFonts w:eastAsia="SimSun"/>
      <w:sz w:val="24"/>
      <w:szCs w:val="24"/>
      <w:lang w:eastAsia="zh-CN"/>
    </w:rPr>
  </w:style>
  <w:style w:type="paragraph" w:customStyle="1" w:styleId="Level2">
    <w:name w:val="Level2"/>
    <w:basedOn w:val="Normal"/>
    <w:rsid w:val="002B0DBA"/>
    <w:pPr>
      <w:numPr>
        <w:numId w:val="47"/>
      </w:numPr>
      <w:tabs>
        <w:tab w:val="clear" w:pos="1247"/>
        <w:tab w:val="clear" w:pos="1814"/>
        <w:tab w:val="clear" w:pos="2381"/>
        <w:tab w:val="clear" w:pos="2948"/>
        <w:tab w:val="clear" w:pos="3515"/>
        <w:tab w:val="left" w:pos="578"/>
        <w:tab w:val="left" w:pos="1157"/>
      </w:tabs>
      <w:suppressAutoHyphens/>
      <w:spacing w:after="240"/>
    </w:pPr>
    <w:rPr>
      <w:sz w:val="22"/>
    </w:rPr>
  </w:style>
  <w:style w:type="paragraph" w:styleId="NormalWeb">
    <w:name w:val="Normal (Web)"/>
    <w:basedOn w:val="Normal"/>
    <w:uiPriority w:val="99"/>
    <w:semiHidden/>
    <w:unhideWhenUsed/>
    <w:rsid w:val="002B0DBA"/>
    <w:pPr>
      <w:tabs>
        <w:tab w:val="clear" w:pos="1247"/>
        <w:tab w:val="clear" w:pos="1814"/>
        <w:tab w:val="clear" w:pos="2381"/>
        <w:tab w:val="clear" w:pos="2948"/>
        <w:tab w:val="clear" w:pos="3515"/>
      </w:tabs>
      <w:spacing w:before="100" w:beforeAutospacing="1" w:after="100" w:afterAutospacing="1"/>
    </w:pPr>
    <w:rPr>
      <w:sz w:val="24"/>
      <w:szCs w:val="24"/>
      <w:lang w:val="en-AU" w:eastAsia="en-AU"/>
    </w:rPr>
  </w:style>
  <w:style w:type="character" w:customStyle="1" w:styleId="NormalnumberChar">
    <w:name w:val="Normal_number Char"/>
    <w:link w:val="Normalnumber"/>
    <w:rsid w:val="002B0DBA"/>
    <w:rPr>
      <w:lang w:eastAsia="en-US"/>
    </w:rPr>
  </w:style>
  <w:style w:type="character" w:customStyle="1" w:styleId="BBTitleChar">
    <w:name w:val="BB_Title Char"/>
    <w:link w:val="BBTitle"/>
    <w:rsid w:val="002B0DBA"/>
    <w:rPr>
      <w:b/>
      <w:sz w:val="28"/>
      <w:szCs w:val="28"/>
      <w:lang w:eastAsia="en-US"/>
    </w:rPr>
  </w:style>
  <w:style w:type="character" w:customStyle="1" w:styleId="CH2Char">
    <w:name w:val="CH2 Char"/>
    <w:link w:val="CH2"/>
    <w:rsid w:val="002B0DBA"/>
    <w:rPr>
      <w:b/>
      <w:sz w:val="24"/>
      <w:szCs w:val="24"/>
      <w:lang w:eastAsia="en-US"/>
    </w:rPr>
  </w:style>
  <w:style w:type="character" w:customStyle="1" w:styleId="HeaderChar">
    <w:name w:val="Header Char"/>
    <w:link w:val="Header"/>
    <w:rsid w:val="002B0DBA"/>
    <w:rPr>
      <w:b/>
      <w:sz w:val="18"/>
      <w:lang w:eastAsia="en-US"/>
    </w:rPr>
  </w:style>
  <w:style w:type="character" w:customStyle="1" w:styleId="FooterChar">
    <w:name w:val="Footer Char"/>
    <w:basedOn w:val="DefaultParagraphFont"/>
    <w:link w:val="Footer"/>
    <w:uiPriority w:val="99"/>
    <w:rsid w:val="002B0DBA"/>
    <w:rPr>
      <w:sz w:val="18"/>
      <w:lang w:eastAsia="en-US"/>
    </w:rPr>
  </w:style>
  <w:style w:type="paragraph" w:styleId="ListParagraph">
    <w:name w:val="List Paragraph"/>
    <w:basedOn w:val="Normal"/>
    <w:uiPriority w:val="34"/>
    <w:qFormat/>
    <w:rsid w:val="002B0DBA"/>
    <w:pPr>
      <w:tabs>
        <w:tab w:val="clear" w:pos="1247"/>
        <w:tab w:val="clear" w:pos="1814"/>
        <w:tab w:val="clear" w:pos="2381"/>
        <w:tab w:val="clear" w:pos="2948"/>
        <w:tab w:val="clear" w:pos="3515"/>
      </w:tabs>
      <w:ind w:left="720"/>
      <w:contextualSpacing/>
    </w:pPr>
    <w:rPr>
      <w:rFonts w:eastAsia="SimSun"/>
      <w:sz w:val="24"/>
      <w:szCs w:val="24"/>
      <w:lang w:eastAsia="zh-CN"/>
    </w:rPr>
  </w:style>
  <w:style w:type="character" w:customStyle="1" w:styleId="UnresolvedMention1">
    <w:name w:val="Unresolved Mention1"/>
    <w:basedOn w:val="DefaultParagraphFont"/>
    <w:uiPriority w:val="99"/>
    <w:semiHidden/>
    <w:unhideWhenUsed/>
    <w:rsid w:val="002B0DBA"/>
    <w:rPr>
      <w:color w:val="605E5C"/>
      <w:shd w:val="clear" w:color="auto" w:fill="E1DFDD"/>
    </w:rPr>
  </w:style>
  <w:style w:type="character" w:customStyle="1" w:styleId="UnresolvedMention2">
    <w:name w:val="Unresolved Mention2"/>
    <w:basedOn w:val="DefaultParagraphFont"/>
    <w:uiPriority w:val="99"/>
    <w:semiHidden/>
    <w:unhideWhenUsed/>
    <w:rsid w:val="002B0DBA"/>
    <w:rPr>
      <w:color w:val="605E5C"/>
      <w:shd w:val="clear" w:color="auto" w:fill="E1DFDD"/>
    </w:rPr>
  </w:style>
  <w:style w:type="paragraph" w:customStyle="1" w:styleId="Style1">
    <w:name w:val="Style1"/>
    <w:basedOn w:val="Normal"/>
    <w:rsid w:val="007D21D4"/>
    <w:pPr>
      <w:spacing w:before="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file:///C:\Users\vallejoj\Downloads\&#205;NDICE%20IDLH%20(https:\www.cdc.gov\niosh\idlh\intridl4.html)" TargetMode="External"/><Relationship Id="rId26" Type="http://schemas.openxmlformats.org/officeDocument/2006/relationships/hyperlink" Target="https://www.canada.ca/en/health-canada/services/consumer-product-safety/reports-publications/pesticides-pest-management/decisions-updates.html" TargetMode="External"/><Relationship Id="rId39" Type="http://schemas.openxmlformats.org/officeDocument/2006/relationships/hyperlink" Target="https://pubchem.ncbi.nlm.nih.gov/compound/phorate" TargetMode="External"/><Relationship Id="rId3" Type="http://schemas.openxmlformats.org/officeDocument/2006/relationships/styles" Target="styles.xml"/><Relationship Id="rId21" Type="http://schemas.openxmlformats.org/officeDocument/2006/relationships/hyperlink" Target="http://www.imo.org/en/OurWork/Legal/HNS/Documents/IMDG%20Code%201996_searchable.pdf" TargetMode="External"/><Relationship Id="rId34" Type="http://schemas.openxmlformats.org/officeDocument/2006/relationships/hyperlink" Target="https://www.cdc.gov/niosh/ipcsneng/neng1060.html" TargetMode="External"/><Relationship Id="rId42" Type="http://schemas.openxmlformats.org/officeDocument/2006/relationships/hyperlink" Target="https://www.sigmaaldrich.com/MSDS/MSDS/DisplayMSDSPage.do?country=PL&amp;language=EN-generic&amp;productNumber=33388&amp;brand=SIAL&amp;PageToGoToURL=https%3A%2F%2Fwww.sigmaaldrich.com%2Fcatalog%2Fproduct%2Fsial%2F33388%3Flang%3Dp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panap.net/2015/11/replacing-chemicals-biology-phasing-highly-hazardous-pesticides-agroecology/" TargetMode="External"/><Relationship Id="rId25" Type="http://schemas.openxmlformats.org/officeDocument/2006/relationships/hyperlink" Target="http://www.worldproutassembly.org/archives/2006/08/pesticide_spray.html" TargetMode="External"/><Relationship Id="rId33" Type="http://schemas.openxmlformats.org/officeDocument/2006/relationships/hyperlink" Target="http://www.fao.org/fileadmin/templates/agphome/documents/Pests_Pesticides/JMPR/Reports_1991-2006/report2004jmpr.pdf" TargetMode="External"/><Relationship Id="rId38" Type="http://schemas.openxmlformats.org/officeDocument/2006/relationships/hyperlink" Target="https://pubchem.ncbi.nlm.nih.gov/compound/phorate" TargetMode="External"/><Relationship Id="rId46" Type="http://schemas.openxmlformats.org/officeDocument/2006/relationships/hyperlink" Target="http://www.fao.org/agriculture/crops/thematic-sitemap/theme/pests/code/list-guide-new/en/" TargetMode="External"/><Relationship Id="rId2" Type="http://schemas.openxmlformats.org/officeDocument/2006/relationships/numbering" Target="numbering.xml"/><Relationship Id="rId16" Type="http://schemas.openxmlformats.org/officeDocument/2006/relationships/hyperlink" Target="http://www.oisat.org/" TargetMode="External"/><Relationship Id="rId20" Type="http://schemas.openxmlformats.org/officeDocument/2006/relationships/hyperlink" Target="http://ec.europa.eu/food/plant/pesticides/eu-pesticides-database/public/?event=pesticide.residue.CurrentMRL&amp;language=EN&amp;pestResidueId=179" TargetMode="External"/><Relationship Id="rId29" Type="http://schemas.openxmlformats.org/officeDocument/2006/relationships/hyperlink" Target="http://pmep.cce.cornell.edu/profiles/extoxnet/metiram-propoxur/phorate-ext.html" TargetMode="External"/><Relationship Id="rId41" Type="http://schemas.openxmlformats.org/officeDocument/2006/relationships/hyperlink" Target="http://cpcb.nic.in/divisionsofheadoffice/pci-ssi/MATERIAL_SAFETY-DATABASE/MSDS2008/4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extoxnet.orst.edu/pips/phorate.htm" TargetMode="External"/><Relationship Id="rId32" Type="http://schemas.openxmlformats.org/officeDocument/2006/relationships/hyperlink" Target="http://www.fao.org/fileadmin/templates/agphome/documents/Pests_Pesticides/JMPR/Report12/JMPR_2012_Report.pdf" TargetMode="External"/><Relationship Id="rId37" Type="http://schemas.openxmlformats.org/officeDocument/2006/relationships/hyperlink" Target="https://pubchem.ncbi.nlm.nih.gov/compound/phorate" TargetMode="External"/><Relationship Id="rId40" Type="http://schemas.openxmlformats.org/officeDocument/2006/relationships/hyperlink" Target="https://toxnet.nlm.nih.gov/cgi-bin/sis/search2/r?dbs+hsdb:@term+@rn+@rel+298-02-2" TargetMode="External"/><Relationship Id="rId45" Type="http://schemas.openxmlformats.org/officeDocument/2006/relationships/hyperlink" Target="http://www.fao.org/agriculture/crops/thematic-sitemap/theme/pests/code/list-guide-new/e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pamglobal.org/" TargetMode="External"/><Relationship Id="rId23" Type="http://schemas.openxmlformats.org/officeDocument/2006/relationships/hyperlink" Target="https://www.sigmaaldrich.com/MSDS/MSDS/DisplayMSDSPage.do?country=PL&amp;language=EN-generic&amp;productNumber=33388&amp;brand=SIAL&amp;PageToGoToURL=https%3A%2F%2Fwww.sigmaaldrich.com%2Fcatalog%2Fproduct%2Fsial%2F33388%3Flang%3Dpl" TargetMode="External"/><Relationship Id="rId28" Type="http://schemas.openxmlformats.org/officeDocument/2006/relationships/hyperlink" Target="http://extoxnet.orst.edu/pips/phorate.htm" TargetMode="External"/><Relationship Id="rId36" Type="http://schemas.openxmlformats.org/officeDocument/2006/relationships/hyperlink" Target="http://sitem.herts.ac.uk/aeru/ppdb/en/Reports/519.htm" TargetMode="External"/><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www.canada.ca/content/dam/hc-sc/migration/hc-sc/cps-spc/alt_formats/pdf/pest/part/consultations/_pmrl2015-47/pmrl2015-47-eng.pdf" TargetMode="External"/><Relationship Id="rId31" Type="http://schemas.openxmlformats.org/officeDocument/2006/relationships/hyperlink" Target="http://www.inchem.org/documents/jmpr/jmpmono/v94pr08.htm" TargetMode="External"/><Relationship Id="rId44" Type="http://schemas.openxmlformats.org/officeDocument/2006/relationships/hyperlink" Target="http://www.fao.org/agriculture/crops/obsolete-pesticides/resources0/e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o.org/agroecology/en/" TargetMode="External"/><Relationship Id="rId22" Type="http://schemas.openxmlformats.org/officeDocument/2006/relationships/hyperlink" Target="http://www.inchem.org/documents/icsc/icsc/eics1060.htm" TargetMode="External"/><Relationship Id="rId27" Type="http://schemas.openxmlformats.org/officeDocument/2006/relationships/hyperlink" Target="http://www.eworldtradefair.com/phorate-manufacturers-india.html" TargetMode="External"/><Relationship Id="rId30" Type="http://schemas.openxmlformats.org/officeDocument/2006/relationships/hyperlink" Target="http://www.schc.org/index.php?option=com_content&amp;view=article&amp;id=309:revised-guidelines-on-good-labelling-practice-for-pesticides--2015-&amp;catid=25:newsworthy&amp;Itemid=199" TargetMode="External"/><Relationship Id="rId35" Type="http://schemas.openxmlformats.org/officeDocument/2006/relationships/hyperlink" Target="http://pr-rp.hc-sc.gc.ca/1_1/view_label?p_ukid=96999729" TargetMode="External"/><Relationship Id="rId43" Type="http://schemas.openxmlformats.org/officeDocument/2006/relationships/hyperlink" Target="http://www.basel.int/"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2CDB-833A-40AF-B028-6D7FB665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16116</Words>
  <Characters>95186</Characters>
  <Application>Microsoft Office Word</Application>
  <DocSecurity>0</DocSecurity>
  <Lines>793</Lines>
  <Paragraphs>222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Silvia Serrano</cp:lastModifiedBy>
  <cp:revision>2</cp:revision>
  <cp:lastPrinted>2010-07-07T11:56:00Z</cp:lastPrinted>
  <dcterms:created xsi:type="dcterms:W3CDTF">2019-06-21T10:40:00Z</dcterms:created>
  <dcterms:modified xsi:type="dcterms:W3CDTF">2019-06-21T10:40:00Z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joan.trujillo</vt:lpwstr>
  </property>
  <property fmtid="{D5CDD505-2E9C-101B-9397-08002B2CF9AE}" pid="4" name="GeneratedDate">
    <vt:lpwstr>1/7/2019 6:16:40 AM</vt:lpwstr>
  </property>
  <property fmtid="{D5CDD505-2E9C-101B-9397-08002B2CF9AE}" pid="5" name="OriginalDocID">
    <vt:lpwstr>60aa3fe9-46c9-46e0-b5ba-9b2c04f87e88</vt:lpwstr>
  </property>
</Properties>
</file>