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right"/>
        <w:tblLayout w:type="fixed"/>
        <w:tblLook w:val="0000" w:firstRow="0" w:lastRow="0" w:firstColumn="0" w:lastColumn="0" w:noHBand="0" w:noVBand="0"/>
      </w:tblPr>
      <w:tblGrid>
        <w:gridCol w:w="1506"/>
        <w:gridCol w:w="4890"/>
        <w:gridCol w:w="1727"/>
        <w:gridCol w:w="1373"/>
      </w:tblGrid>
      <w:tr w:rsidR="00772E66" w14:paraId="3A06152E" w14:textId="77777777" w:rsidTr="00F0067A">
        <w:trPr>
          <w:cantSplit/>
          <w:trHeight w:val="1079"/>
          <w:jc w:val="right"/>
        </w:trPr>
        <w:tc>
          <w:tcPr>
            <w:tcW w:w="1538" w:type="dxa"/>
          </w:tcPr>
          <w:p w14:paraId="03A578DC" w14:textId="77777777" w:rsidR="00772E66" w:rsidRPr="00C07C6B" w:rsidRDefault="00772E66" w:rsidP="00F0067A">
            <w:pPr>
              <w:pStyle w:val="Heading2"/>
              <w:spacing w:before="40" w:after="0"/>
              <w:ind w:left="0" w:firstLine="0"/>
              <w:rPr>
                <w:b w:val="0"/>
                <w:sz w:val="27"/>
                <w:szCs w:val="27"/>
              </w:rPr>
            </w:pPr>
            <w:r w:rsidRPr="00B766C7">
              <w:rPr>
                <w:rFonts w:ascii="Arial" w:hAnsi="Arial" w:cs="Arial"/>
                <w:noProof/>
                <w:sz w:val="27"/>
                <w:szCs w:val="27"/>
              </w:rPr>
              <w:t>UNITED</w:t>
            </w:r>
            <w:r>
              <w:rPr>
                <w:rFonts w:ascii="Arial" w:hAnsi="Arial" w:cs="Arial"/>
                <w:noProof/>
                <w:sz w:val="27"/>
                <w:szCs w:val="27"/>
              </w:rPr>
              <w:t xml:space="preserve"> </w:t>
            </w:r>
            <w:r>
              <w:rPr>
                <w:rFonts w:ascii="Arial" w:hAnsi="Arial" w:cs="Arial"/>
                <w:noProof/>
                <w:sz w:val="27"/>
                <w:szCs w:val="27"/>
              </w:rPr>
              <w:br/>
            </w:r>
            <w:r w:rsidRPr="003A075F">
              <w:rPr>
                <w:rFonts w:ascii="Arial" w:hAnsi="Arial" w:cs="Arial"/>
                <w:noProof/>
                <w:sz w:val="27"/>
                <w:szCs w:val="27"/>
              </w:rPr>
              <w:t>NATIONS</w:t>
            </w:r>
          </w:p>
        </w:tc>
        <w:tc>
          <w:tcPr>
            <w:tcW w:w="6773" w:type="dxa"/>
            <w:gridSpan w:val="2"/>
            <w:tcBorders>
              <w:left w:val="nil"/>
            </w:tcBorders>
          </w:tcPr>
          <w:p w14:paraId="7E1A547A" w14:textId="77777777" w:rsidR="00772E66" w:rsidRPr="00401DA6" w:rsidRDefault="00772E66" w:rsidP="00F0067A">
            <w:pPr>
              <w:spacing w:before="40"/>
            </w:pPr>
            <w:r>
              <w:rPr>
                <w:noProof/>
                <w:lang w:val="it-IT" w:eastAsia="zh-CN"/>
              </w:rPr>
              <w:drawing>
                <wp:inline distT="0" distB="0" distL="0" distR="0" wp14:anchorId="1E3B2044" wp14:editId="5D51969C">
                  <wp:extent cx="584835" cy="551815"/>
                  <wp:effectExtent l="0" t="0" r="5715" b="635"/>
                  <wp:docPr id="8" name="Picture 1" descr="!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4835" cy="551815"/>
                          </a:xfrm>
                          <a:prstGeom prst="rect">
                            <a:avLst/>
                          </a:prstGeom>
                          <a:noFill/>
                          <a:ln>
                            <a:noFill/>
                          </a:ln>
                        </pic:spPr>
                      </pic:pic>
                    </a:graphicData>
                  </a:graphic>
                </wp:inline>
              </w:drawing>
            </w:r>
            <w:r>
              <w:rPr>
                <w:noProof/>
                <w:lang w:val="it-IT" w:eastAsia="zh-CN"/>
              </w:rPr>
              <w:drawing>
                <wp:inline distT="0" distB="0" distL="0" distR="0" wp14:anchorId="1E0BCA92" wp14:editId="45670C18">
                  <wp:extent cx="510540" cy="560070"/>
                  <wp:effectExtent l="0" t="0" r="3810" b="0"/>
                  <wp:docPr id="7" name="Picture 2"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0540" cy="560070"/>
                          </a:xfrm>
                          <a:prstGeom prst="rect">
                            <a:avLst/>
                          </a:prstGeom>
                          <a:noFill/>
                          <a:ln>
                            <a:noFill/>
                          </a:ln>
                        </pic:spPr>
                      </pic:pic>
                    </a:graphicData>
                  </a:graphic>
                </wp:inline>
              </w:drawing>
            </w:r>
            <w:r>
              <w:rPr>
                <w:noProof/>
                <w:sz w:val="16"/>
                <w:szCs w:val="16"/>
                <w:lang w:val="it-IT" w:eastAsia="zh-CN"/>
              </w:rPr>
              <w:drawing>
                <wp:inline distT="0" distB="0" distL="0" distR="0" wp14:anchorId="1D47D262" wp14:editId="675EAF06">
                  <wp:extent cx="2026285" cy="576580"/>
                  <wp:effectExtent l="0" t="0" r="0" b="0"/>
                  <wp:docPr id="6" name="Image 2" descr="Description: FAO_logo_Black_3lines_en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Description: FAO_logo_Black_3lines_en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26285" cy="576580"/>
                          </a:xfrm>
                          <a:prstGeom prst="rect">
                            <a:avLst/>
                          </a:prstGeom>
                          <a:noFill/>
                          <a:ln>
                            <a:noFill/>
                          </a:ln>
                        </pic:spPr>
                      </pic:pic>
                    </a:graphicData>
                  </a:graphic>
                </wp:inline>
              </w:drawing>
            </w:r>
          </w:p>
        </w:tc>
        <w:tc>
          <w:tcPr>
            <w:tcW w:w="1401" w:type="dxa"/>
          </w:tcPr>
          <w:p w14:paraId="5327D43D" w14:textId="77777777" w:rsidR="00772E66" w:rsidRPr="003A075F" w:rsidRDefault="00772E66" w:rsidP="00F0067A">
            <w:pPr>
              <w:pStyle w:val="Heading2"/>
              <w:spacing w:before="40" w:after="0"/>
              <w:ind w:left="0" w:firstLine="0"/>
              <w:jc w:val="right"/>
              <w:rPr>
                <w:rFonts w:ascii="Arial" w:hAnsi="Arial" w:cs="Arial"/>
                <w:sz w:val="64"/>
                <w:szCs w:val="64"/>
              </w:rPr>
            </w:pPr>
            <w:r w:rsidRPr="003A075F">
              <w:rPr>
                <w:rFonts w:ascii="Arial" w:hAnsi="Arial" w:cs="Arial"/>
                <w:sz w:val="64"/>
                <w:szCs w:val="64"/>
              </w:rPr>
              <w:t>RC</w:t>
            </w:r>
          </w:p>
        </w:tc>
      </w:tr>
      <w:tr w:rsidR="00772E66" w:rsidRPr="007D4CC8" w14:paraId="4AE14F29" w14:textId="77777777" w:rsidTr="00F0067A">
        <w:trPr>
          <w:cantSplit/>
          <w:trHeight w:val="282"/>
          <w:jc w:val="right"/>
        </w:trPr>
        <w:tc>
          <w:tcPr>
            <w:tcW w:w="1538" w:type="dxa"/>
            <w:tcBorders>
              <w:bottom w:val="single" w:sz="2" w:space="0" w:color="auto"/>
            </w:tcBorders>
          </w:tcPr>
          <w:p w14:paraId="16676A91" w14:textId="77777777" w:rsidR="00772E66" w:rsidRDefault="00772E66" w:rsidP="00F0067A">
            <w:pPr>
              <w:rPr>
                <w:noProof/>
              </w:rPr>
            </w:pPr>
          </w:p>
        </w:tc>
        <w:tc>
          <w:tcPr>
            <w:tcW w:w="5004" w:type="dxa"/>
            <w:tcBorders>
              <w:bottom w:val="single" w:sz="2" w:space="0" w:color="auto"/>
            </w:tcBorders>
          </w:tcPr>
          <w:p w14:paraId="187002E3" w14:textId="77777777" w:rsidR="00772E66" w:rsidRDefault="00772E66" w:rsidP="00F0067A">
            <w:pPr>
              <w:rPr>
                <w:rFonts w:ascii="Univers" w:hAnsi="Univers"/>
                <w:b/>
                <w:sz w:val="24"/>
              </w:rPr>
            </w:pPr>
          </w:p>
        </w:tc>
        <w:tc>
          <w:tcPr>
            <w:tcW w:w="3170" w:type="dxa"/>
            <w:gridSpan w:val="2"/>
            <w:tcBorders>
              <w:bottom w:val="single" w:sz="2" w:space="0" w:color="auto"/>
            </w:tcBorders>
          </w:tcPr>
          <w:p w14:paraId="1C2B7983" w14:textId="1784D6ED" w:rsidR="00772E66" w:rsidRPr="00C07C6B" w:rsidRDefault="00772E66" w:rsidP="00F0067A">
            <w:pPr>
              <w:rPr>
                <w:b/>
                <w:sz w:val="24"/>
                <w:szCs w:val="24"/>
              </w:rPr>
            </w:pPr>
            <w:r w:rsidRPr="00C07C6B">
              <w:rPr>
                <w:b/>
                <w:sz w:val="28"/>
              </w:rPr>
              <w:t>UNEP/FAO</w:t>
            </w:r>
            <w:r w:rsidRPr="00C07C6B">
              <w:t>/RC/</w:t>
            </w:r>
            <w:r w:rsidR="00201A2E">
              <w:t>E</w:t>
            </w:r>
            <w:r w:rsidR="00A26071">
              <w:t>FF</w:t>
            </w:r>
            <w:r w:rsidR="00201A2E">
              <w:t>.1</w:t>
            </w:r>
            <w:r w:rsidRPr="00C07C6B">
              <w:t>/</w:t>
            </w:r>
            <w:r w:rsidR="0030499E">
              <w:t>3</w:t>
            </w:r>
          </w:p>
        </w:tc>
      </w:tr>
      <w:tr w:rsidR="00772E66" w14:paraId="40591E69" w14:textId="77777777" w:rsidTr="00F0067A">
        <w:trPr>
          <w:cantSplit/>
          <w:trHeight w:val="1472"/>
          <w:jc w:val="right"/>
        </w:trPr>
        <w:tc>
          <w:tcPr>
            <w:tcW w:w="1538" w:type="dxa"/>
            <w:tcBorders>
              <w:top w:val="single" w:sz="2" w:space="0" w:color="auto"/>
              <w:bottom w:val="single" w:sz="24" w:space="0" w:color="auto"/>
            </w:tcBorders>
          </w:tcPr>
          <w:p w14:paraId="40A6B70E" w14:textId="77777777" w:rsidR="00772E66" w:rsidRDefault="00772E66" w:rsidP="00F0067A">
            <w:pPr>
              <w:spacing w:before="240"/>
            </w:pPr>
            <w:r>
              <w:rPr>
                <w:noProof/>
                <w:lang w:val="it-IT" w:eastAsia="zh-CN"/>
              </w:rPr>
              <w:drawing>
                <wp:inline distT="0" distB="0" distL="0" distR="0" wp14:anchorId="366D6693" wp14:editId="1E04F6BD">
                  <wp:extent cx="584835" cy="510540"/>
                  <wp:effectExtent l="0" t="0" r="5715" b="3810"/>
                  <wp:docPr id="5" name="Picture 4" descr="ste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ell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4835" cy="510540"/>
                          </a:xfrm>
                          <a:prstGeom prst="rect">
                            <a:avLst/>
                          </a:prstGeom>
                          <a:noFill/>
                          <a:ln>
                            <a:noFill/>
                          </a:ln>
                        </pic:spPr>
                      </pic:pic>
                    </a:graphicData>
                  </a:graphic>
                </wp:inline>
              </w:drawing>
            </w:r>
          </w:p>
        </w:tc>
        <w:tc>
          <w:tcPr>
            <w:tcW w:w="5004" w:type="dxa"/>
            <w:tcBorders>
              <w:top w:val="single" w:sz="2" w:space="0" w:color="auto"/>
              <w:bottom w:val="single" w:sz="24" w:space="0" w:color="auto"/>
            </w:tcBorders>
          </w:tcPr>
          <w:p w14:paraId="56C961C9" w14:textId="77777777" w:rsidR="00772E66" w:rsidRPr="005C0767" w:rsidRDefault="00772E66" w:rsidP="00F0067A">
            <w:pPr>
              <w:spacing w:before="240" w:after="240"/>
              <w:rPr>
                <w:rFonts w:ascii="Arial" w:hAnsi="Arial" w:cs="Arial"/>
                <w:b/>
                <w:sz w:val="28"/>
                <w:szCs w:val="28"/>
              </w:rPr>
            </w:pPr>
            <w:r w:rsidRPr="00F14DD5">
              <w:rPr>
                <w:rFonts w:ascii="Arial" w:hAnsi="Arial" w:cs="Arial"/>
                <w:b/>
                <w:sz w:val="28"/>
                <w:szCs w:val="28"/>
              </w:rPr>
              <w:t>Rotterdam Convention on the Prior Informed Consent Procedure for Certain Hazardous Chemicals and Pesticides in International Trade</w:t>
            </w:r>
          </w:p>
        </w:tc>
        <w:tc>
          <w:tcPr>
            <w:tcW w:w="3170" w:type="dxa"/>
            <w:gridSpan w:val="2"/>
            <w:tcBorders>
              <w:top w:val="single" w:sz="2" w:space="0" w:color="auto"/>
              <w:bottom w:val="single" w:sz="24" w:space="0" w:color="auto"/>
            </w:tcBorders>
          </w:tcPr>
          <w:p w14:paraId="06B943B9" w14:textId="77777777" w:rsidR="00772E66" w:rsidRDefault="00772E66" w:rsidP="00F0067A">
            <w:pPr>
              <w:spacing w:before="120"/>
            </w:pPr>
            <w:r>
              <w:t>Distr.: General</w:t>
            </w:r>
          </w:p>
          <w:p w14:paraId="0C67D2AC" w14:textId="213157A0" w:rsidR="00772E66" w:rsidRPr="00411C21" w:rsidRDefault="00C87E80" w:rsidP="00F0067A">
            <w:r>
              <w:t>30</w:t>
            </w:r>
            <w:r w:rsidR="00ED39BC">
              <w:t xml:space="preserve"> </w:t>
            </w:r>
            <w:r>
              <w:t>April</w:t>
            </w:r>
            <w:r w:rsidR="00285C19">
              <w:t xml:space="preserve"> 2018</w:t>
            </w:r>
          </w:p>
          <w:p w14:paraId="0609C862" w14:textId="557375B8" w:rsidR="00772E66" w:rsidRDefault="002626E5" w:rsidP="00F0067A">
            <w:pPr>
              <w:spacing w:before="120" w:after="120"/>
            </w:pPr>
            <w:r>
              <w:t>English only</w:t>
            </w:r>
          </w:p>
        </w:tc>
      </w:tr>
    </w:tbl>
    <w:p w14:paraId="233553BA" w14:textId="77777777" w:rsidR="008E7C6C" w:rsidRDefault="00201A2E" w:rsidP="00F92B93">
      <w:pPr>
        <w:pStyle w:val="AATitle"/>
        <w:tabs>
          <w:tab w:val="clear" w:pos="1247"/>
          <w:tab w:val="clear" w:pos="1814"/>
          <w:tab w:val="clear" w:pos="2381"/>
          <w:tab w:val="clear" w:pos="2948"/>
          <w:tab w:val="clear" w:pos="3515"/>
          <w:tab w:val="clear" w:pos="4082"/>
        </w:tabs>
        <w:ind w:right="4393"/>
        <w:rPr>
          <w:rFonts w:cs="Tahoma"/>
        </w:rPr>
      </w:pPr>
      <w:r>
        <w:rPr>
          <w:rFonts w:cs="Tahoma"/>
        </w:rPr>
        <w:t>W</w:t>
      </w:r>
      <w:r w:rsidRPr="00512D68">
        <w:rPr>
          <w:rFonts w:cs="Tahoma"/>
        </w:rPr>
        <w:t xml:space="preserve">orking group </w:t>
      </w:r>
      <w:r>
        <w:rPr>
          <w:rFonts w:cs="Tahoma"/>
        </w:rPr>
        <w:t xml:space="preserve">on enhancing the </w:t>
      </w:r>
    </w:p>
    <w:p w14:paraId="35F06E93" w14:textId="61CA2689" w:rsidR="00772E66" w:rsidRPr="00772E66" w:rsidRDefault="00201A2E" w:rsidP="00F92B93">
      <w:pPr>
        <w:pStyle w:val="AATitle"/>
        <w:tabs>
          <w:tab w:val="clear" w:pos="1247"/>
          <w:tab w:val="clear" w:pos="1814"/>
          <w:tab w:val="clear" w:pos="2381"/>
          <w:tab w:val="clear" w:pos="2948"/>
          <w:tab w:val="clear" w:pos="3515"/>
          <w:tab w:val="clear" w:pos="4082"/>
        </w:tabs>
        <w:ind w:right="4393"/>
      </w:pPr>
      <w:r>
        <w:rPr>
          <w:rFonts w:cs="Tahoma"/>
        </w:rPr>
        <w:t xml:space="preserve">effectiveness of the </w:t>
      </w:r>
      <w:r w:rsidR="00F9184D">
        <w:rPr>
          <w:rFonts w:cs="Tahoma"/>
        </w:rPr>
        <w:t xml:space="preserve">Rotterdam </w:t>
      </w:r>
      <w:r>
        <w:rPr>
          <w:rFonts w:cs="Tahoma"/>
        </w:rPr>
        <w:t xml:space="preserve">Convention </w:t>
      </w:r>
    </w:p>
    <w:p w14:paraId="63CEBB5E" w14:textId="77777777" w:rsidR="00772E66" w:rsidRPr="00772E66" w:rsidRDefault="00201A2E" w:rsidP="00F92B93">
      <w:pPr>
        <w:pStyle w:val="AATitle"/>
        <w:tabs>
          <w:tab w:val="clear" w:pos="1247"/>
          <w:tab w:val="clear" w:pos="1814"/>
          <w:tab w:val="clear" w:pos="2381"/>
          <w:tab w:val="clear" w:pos="2948"/>
          <w:tab w:val="clear" w:pos="3515"/>
          <w:tab w:val="clear" w:pos="4082"/>
        </w:tabs>
        <w:ind w:right="4393"/>
      </w:pPr>
      <w:r>
        <w:t>First</w:t>
      </w:r>
      <w:r w:rsidR="00772E66" w:rsidRPr="00772E66">
        <w:t xml:space="preserve"> meeting</w:t>
      </w:r>
    </w:p>
    <w:p w14:paraId="0CF6E74F" w14:textId="7568432F" w:rsidR="00772E66" w:rsidRDefault="00201A2E" w:rsidP="00F92B93">
      <w:pPr>
        <w:pStyle w:val="AATitle"/>
        <w:keepNext w:val="0"/>
        <w:keepLines w:val="0"/>
        <w:tabs>
          <w:tab w:val="clear" w:pos="1247"/>
          <w:tab w:val="clear" w:pos="1814"/>
          <w:tab w:val="clear" w:pos="2381"/>
          <w:tab w:val="clear" w:pos="2948"/>
        </w:tabs>
        <w:ind w:right="4393"/>
        <w:rPr>
          <w:b w:val="0"/>
        </w:rPr>
      </w:pPr>
      <w:r>
        <w:rPr>
          <w:b w:val="0"/>
        </w:rPr>
        <w:t>Riga, Latvia</w:t>
      </w:r>
      <w:r w:rsidR="00772E66" w:rsidRPr="00CE564E">
        <w:rPr>
          <w:b w:val="0"/>
        </w:rPr>
        <w:t xml:space="preserve">, </w:t>
      </w:r>
      <w:r>
        <w:rPr>
          <w:b w:val="0"/>
        </w:rPr>
        <w:t>4</w:t>
      </w:r>
      <w:r w:rsidR="00772E66" w:rsidRPr="00CE564E">
        <w:rPr>
          <w:b w:val="0"/>
        </w:rPr>
        <w:t>–</w:t>
      </w:r>
      <w:r>
        <w:rPr>
          <w:b w:val="0"/>
        </w:rPr>
        <w:t>6</w:t>
      </w:r>
      <w:r w:rsidR="00772E66" w:rsidRPr="00CE564E">
        <w:rPr>
          <w:b w:val="0"/>
        </w:rPr>
        <w:t xml:space="preserve"> </w:t>
      </w:r>
      <w:r>
        <w:rPr>
          <w:b w:val="0"/>
        </w:rPr>
        <w:t xml:space="preserve">June </w:t>
      </w:r>
      <w:r w:rsidR="00772E66" w:rsidRPr="00CE564E">
        <w:rPr>
          <w:b w:val="0"/>
        </w:rPr>
        <w:t>201</w:t>
      </w:r>
      <w:r w:rsidR="00550F54">
        <w:rPr>
          <w:b w:val="0"/>
        </w:rPr>
        <w:t>8</w:t>
      </w:r>
    </w:p>
    <w:p w14:paraId="1F0A1A8F" w14:textId="6C79DC39" w:rsidR="00B12D3F" w:rsidRDefault="00B12D3F" w:rsidP="00F92B93">
      <w:pPr>
        <w:pStyle w:val="AATitle"/>
        <w:keepNext w:val="0"/>
        <w:keepLines w:val="0"/>
        <w:tabs>
          <w:tab w:val="clear" w:pos="1247"/>
          <w:tab w:val="clear" w:pos="1814"/>
          <w:tab w:val="clear" w:pos="2381"/>
          <w:tab w:val="clear" w:pos="2948"/>
        </w:tabs>
        <w:ind w:right="4393"/>
        <w:rPr>
          <w:b w:val="0"/>
        </w:rPr>
        <w:sectPr w:rsidR="00B12D3F" w:rsidSect="006E6722">
          <w:headerReference w:type="even" r:id="rId12"/>
          <w:headerReference w:type="default" r:id="rId13"/>
          <w:footerReference w:type="even" r:id="rId14"/>
          <w:footerReference w:type="default" r:id="rId15"/>
          <w:headerReference w:type="first" r:id="rId16"/>
          <w:footerReference w:type="first" r:id="rId17"/>
          <w:footnotePr>
            <w:numFmt w:val="chicago"/>
          </w:footnotePr>
          <w:type w:val="continuous"/>
          <w:pgSz w:w="11906" w:h="16838" w:code="9"/>
          <w:pgMar w:top="907" w:right="992" w:bottom="1418" w:left="1418" w:header="539" w:footer="975" w:gutter="0"/>
          <w:cols w:space="539"/>
          <w:titlePg/>
          <w:docGrid w:linePitch="360"/>
        </w:sectPr>
      </w:pPr>
      <w:r>
        <w:rPr>
          <w:b w:val="0"/>
        </w:rPr>
        <w:t>Item 4 (</w:t>
      </w:r>
      <w:r w:rsidR="00775F87">
        <w:rPr>
          <w:b w:val="0"/>
        </w:rPr>
        <w:t>b</w:t>
      </w:r>
      <w:r>
        <w:rPr>
          <w:b w:val="0"/>
        </w:rPr>
        <w:t>) of the provisional agenda</w:t>
      </w:r>
      <w:r w:rsidRPr="006273B7">
        <w:rPr>
          <w:rStyle w:val="FootnoteReference"/>
          <w:b w:val="0"/>
          <w:bCs/>
          <w:sz w:val="24"/>
          <w:szCs w:val="24"/>
        </w:rPr>
        <w:footnoteReference w:id="1"/>
      </w:r>
    </w:p>
    <w:p w14:paraId="5957733C" w14:textId="77777777" w:rsidR="008E7C6C" w:rsidRDefault="00F114BA" w:rsidP="00DD071D">
      <w:pPr>
        <w:pStyle w:val="AATitle2"/>
        <w:tabs>
          <w:tab w:val="left" w:pos="3969"/>
        </w:tabs>
        <w:spacing w:before="60" w:after="0"/>
        <w:ind w:right="5528"/>
      </w:pPr>
      <w:r>
        <w:t xml:space="preserve">Recommendations for enhancing the effectiveness of the Convention: </w:t>
      </w:r>
    </w:p>
    <w:p w14:paraId="3BE6511E" w14:textId="7CFB4779" w:rsidR="00B12D3F" w:rsidRPr="002626E5" w:rsidRDefault="008E7C6C" w:rsidP="00DD071D">
      <w:pPr>
        <w:pStyle w:val="AATitle2"/>
        <w:tabs>
          <w:tab w:val="left" w:pos="3969"/>
        </w:tabs>
        <w:spacing w:before="0"/>
        <w:ind w:right="5528"/>
      </w:pPr>
      <w:r>
        <w:t>d</w:t>
      </w:r>
      <w:r w:rsidR="00775F87">
        <w:t>evelopment of a set of prioritized recommendations for enhancing the effectiveness of the Convention</w:t>
      </w:r>
      <w:r w:rsidR="002626E5" w:rsidRPr="00DE6A3D">
        <w:t xml:space="preserve"> </w:t>
      </w:r>
    </w:p>
    <w:p w14:paraId="77147339" w14:textId="63601EC4" w:rsidR="00772E66" w:rsidRPr="002626E5" w:rsidRDefault="002626E5" w:rsidP="002626E5">
      <w:pPr>
        <w:pStyle w:val="BBTitle"/>
        <w:tabs>
          <w:tab w:val="clear" w:pos="1247"/>
          <w:tab w:val="clear" w:pos="4082"/>
        </w:tabs>
        <w:ind w:right="284"/>
        <w:rPr>
          <w:lang w:val="en-US"/>
        </w:rPr>
      </w:pPr>
      <w:r w:rsidRPr="002626E5">
        <w:rPr>
          <w:lang w:val="en-US"/>
        </w:rPr>
        <w:t xml:space="preserve">Overview of priority actions </w:t>
      </w:r>
      <w:r w:rsidR="00522673" w:rsidRPr="009B1638">
        <w:t>to enhance the effectiveness of the Rotterdam Convention</w:t>
      </w:r>
      <w:r w:rsidR="00522673" w:rsidRPr="002626E5">
        <w:rPr>
          <w:lang w:val="en-US"/>
        </w:rPr>
        <w:t xml:space="preserve"> </w:t>
      </w:r>
    </w:p>
    <w:p w14:paraId="2FE0B690" w14:textId="643118CD" w:rsidR="002626E5" w:rsidRPr="002626E5" w:rsidRDefault="002626E5" w:rsidP="00DD071D">
      <w:pPr>
        <w:pStyle w:val="BBTitle"/>
        <w:spacing w:before="240" w:after="120"/>
        <w:rPr>
          <w:sz w:val="24"/>
          <w:szCs w:val="24"/>
        </w:rPr>
      </w:pPr>
      <w:r w:rsidRPr="002626E5">
        <w:rPr>
          <w:sz w:val="24"/>
          <w:szCs w:val="24"/>
        </w:rPr>
        <w:t xml:space="preserve">Note by the Secretariat </w:t>
      </w:r>
    </w:p>
    <w:p w14:paraId="5080BCF6" w14:textId="270C20C7" w:rsidR="004B36CA" w:rsidRDefault="00124C5D" w:rsidP="00124C5D">
      <w:pPr>
        <w:pStyle w:val="Normalnumber"/>
      </w:pPr>
      <w:r w:rsidRPr="00124C5D">
        <w:t>By decision RC-8/8, the Conference of the Parties to the Rotterdam Convention</w:t>
      </w:r>
      <w:r w:rsidR="00B35C96" w:rsidRPr="00B35C96">
        <w:t xml:space="preserve"> </w:t>
      </w:r>
      <w:r w:rsidR="004B36CA" w:rsidRPr="00600C4D">
        <w:t xml:space="preserve">on the Prior Informed Consent Procedure for Certain Hazardous Chemicals and Pesticides in International Trade </w:t>
      </w:r>
      <w:r w:rsidR="00B35C96">
        <w:t>at its</w:t>
      </w:r>
      <w:r w:rsidR="00B35C96" w:rsidRPr="00124C5D">
        <w:t xml:space="preserve"> eighth meeting</w:t>
      </w:r>
      <w:r w:rsidRPr="00124C5D">
        <w:t xml:space="preserve"> (COP-8) invited Parties to </w:t>
      </w:r>
      <w:r w:rsidR="004B36CA">
        <w:t xml:space="preserve">submit information, through an online survey, on </w:t>
      </w:r>
      <w:r w:rsidR="004B36CA" w:rsidRPr="00124C5D">
        <w:t xml:space="preserve"> </w:t>
      </w:r>
      <w:r w:rsidRPr="00124C5D">
        <w:t>priority actions to enhance the effectiveness of the Convention</w:t>
      </w:r>
      <w:r w:rsidR="00EF61CC">
        <w:t xml:space="preserve"> </w:t>
      </w:r>
      <w:r w:rsidR="004B36CA">
        <w:t>and key information gaps related to such actions,</w:t>
      </w:r>
      <w:r w:rsidR="004B36CA" w:rsidDel="004B36CA">
        <w:t xml:space="preserve"> </w:t>
      </w:r>
      <w:r w:rsidRPr="00124C5D">
        <w:t>and requested the Secretariat to prepare a report analysing the legal and operational implications of the proposed priority actions.</w:t>
      </w:r>
    </w:p>
    <w:p w14:paraId="7CC67E47" w14:textId="7A8BCE58" w:rsidR="00001E2E" w:rsidRDefault="002E5D4F" w:rsidP="00001E2E">
      <w:pPr>
        <w:pStyle w:val="Normalnumber"/>
        <w:sectPr w:rsidR="00001E2E" w:rsidSect="006E6722">
          <w:footnotePr>
            <w:numRestart w:val="eachSect"/>
          </w:footnotePr>
          <w:type w:val="continuous"/>
          <w:pgSz w:w="11906" w:h="16838" w:code="9"/>
          <w:pgMar w:top="907" w:right="992" w:bottom="1418" w:left="1418" w:header="539" w:footer="975" w:gutter="0"/>
          <w:cols w:space="539"/>
          <w:titlePg/>
          <w:docGrid w:linePitch="360"/>
        </w:sectPr>
      </w:pPr>
      <w:r>
        <w:t xml:space="preserve">A compilation of proposed priority actions </w:t>
      </w:r>
      <w:r w:rsidRPr="002E5D4F">
        <w:t>to enhance the effectiveness of the Convention</w:t>
      </w:r>
      <w:r w:rsidR="00B35C96">
        <w:t xml:space="preserve"> submitted by Parties’</w:t>
      </w:r>
      <w:r w:rsidRPr="002E5D4F">
        <w:t xml:space="preserve"> </w:t>
      </w:r>
      <w:r>
        <w:t>is available on the Rotterdam Convention website</w:t>
      </w:r>
      <w:r w:rsidR="00001E2E">
        <w:t>.</w:t>
      </w:r>
      <w:r w:rsidR="00001E2E">
        <w:rPr>
          <w:rStyle w:val="FootnoteReference"/>
        </w:rPr>
        <w:footnoteReference w:id="2"/>
      </w:r>
      <w:r w:rsidR="00001E2E">
        <w:t xml:space="preserve"> </w:t>
      </w:r>
      <w:r w:rsidR="004B36CA">
        <w:t xml:space="preserve">As per decision RC-8/8, the Secretariat prepared a </w:t>
      </w:r>
      <w:r w:rsidR="00001E2E">
        <w:t xml:space="preserve">report analysing the legal and operational implications of the priority actions </w:t>
      </w:r>
      <w:r w:rsidR="004B36CA">
        <w:t>(</w:t>
      </w:r>
      <w:r w:rsidR="00001E2E" w:rsidRPr="00124C5D">
        <w:t>UNEP/FAO/RC/EFF.1/</w:t>
      </w:r>
      <w:r w:rsidR="00001E2E">
        <w:t>2</w:t>
      </w:r>
      <w:r w:rsidR="004B36CA">
        <w:t xml:space="preserve">) and </w:t>
      </w:r>
      <w:r w:rsidR="00001E2E">
        <w:t>made</w:t>
      </w:r>
      <w:r w:rsidR="004B36CA">
        <w:t xml:space="preserve"> it</w:t>
      </w:r>
      <w:r w:rsidR="00001E2E">
        <w:t xml:space="preserve"> available to Parties and </w:t>
      </w:r>
      <w:r w:rsidR="00A709C6">
        <w:t xml:space="preserve">others </w:t>
      </w:r>
      <w:r w:rsidR="00001E2E">
        <w:t xml:space="preserve">for comments </w:t>
      </w:r>
      <w:r w:rsidR="00001E2E" w:rsidRPr="00001E2E">
        <w:rPr>
          <w:rFonts w:cs="Helvetica"/>
        </w:rPr>
        <w:t>between 15</w:t>
      </w:r>
      <w:r w:rsidR="00C87E80">
        <w:rPr>
          <w:rFonts w:cs="Helvetica"/>
        </w:rPr>
        <w:t> </w:t>
      </w:r>
      <w:r w:rsidR="00001E2E" w:rsidRPr="00001E2E">
        <w:rPr>
          <w:rFonts w:cs="Helvetica"/>
        </w:rPr>
        <w:t>January and 31 March 2018</w:t>
      </w:r>
      <w:r w:rsidR="00001E2E">
        <w:rPr>
          <w:rFonts w:cs="Helvetica"/>
        </w:rPr>
        <w:t>.</w:t>
      </w:r>
      <w:r w:rsidR="004B36CA">
        <w:rPr>
          <w:rStyle w:val="FootnoteReference"/>
          <w:rFonts w:cs="Helvetica"/>
        </w:rPr>
        <w:footnoteReference w:id="3"/>
      </w:r>
      <w:r w:rsidR="00001E2E">
        <w:rPr>
          <w:rFonts w:cs="Helvetica"/>
        </w:rPr>
        <w:t xml:space="preserve"> </w:t>
      </w:r>
    </w:p>
    <w:p w14:paraId="6B2347D2" w14:textId="7718DD29" w:rsidR="00F114BA" w:rsidRPr="00387593" w:rsidRDefault="00124C5D" w:rsidP="001170B7">
      <w:pPr>
        <w:pStyle w:val="Normalnumber"/>
      </w:pPr>
      <w:r w:rsidRPr="00F114BA">
        <w:rPr>
          <w:rFonts w:cs="Helvetica"/>
        </w:rPr>
        <w:t xml:space="preserve">The annex to the present note contains an overview </w:t>
      </w:r>
      <w:r w:rsidR="00F114BA" w:rsidRPr="00F114BA">
        <w:rPr>
          <w:rFonts w:cs="Helvetica"/>
        </w:rPr>
        <w:t xml:space="preserve">table </w:t>
      </w:r>
      <w:r w:rsidRPr="00F114BA">
        <w:rPr>
          <w:rFonts w:cs="Helvetica"/>
        </w:rPr>
        <w:t>of the priority actions to enhance the effectiveness of the Rotterdam Convention</w:t>
      </w:r>
      <w:r w:rsidR="00EF61CC">
        <w:rPr>
          <w:rFonts w:cs="Helvetica"/>
        </w:rPr>
        <w:t xml:space="preserve"> as submitted by Parties through the online survey. Additional proposals made by Parties and others through comments on the above-mentioned report are also taken into account</w:t>
      </w:r>
      <w:r w:rsidR="002E5D4F" w:rsidRPr="00F114BA">
        <w:rPr>
          <w:rFonts w:cs="Helvetica"/>
        </w:rPr>
        <w:t xml:space="preserve">. </w:t>
      </w:r>
      <w:r w:rsidR="00F114BA" w:rsidRPr="00F114BA">
        <w:rPr>
          <w:rFonts w:cs="Helvetica"/>
        </w:rPr>
        <w:t xml:space="preserve">The table </w:t>
      </w:r>
      <w:r w:rsidR="001170B7">
        <w:rPr>
          <w:rFonts w:cs="Helvetica"/>
        </w:rPr>
        <w:t>clusters</w:t>
      </w:r>
      <w:r w:rsidR="001170B7" w:rsidRPr="00F114BA">
        <w:rPr>
          <w:rFonts w:cs="Helvetica"/>
        </w:rPr>
        <w:t xml:space="preserve"> </w:t>
      </w:r>
      <w:r w:rsidR="00F114BA" w:rsidRPr="00F114BA">
        <w:rPr>
          <w:rFonts w:cs="Helvetica"/>
        </w:rPr>
        <w:t>the</w:t>
      </w:r>
      <w:r w:rsidR="001170B7">
        <w:rPr>
          <w:rFonts w:cs="Helvetica"/>
        </w:rPr>
        <w:t>se</w:t>
      </w:r>
      <w:r w:rsidR="00F114BA" w:rsidRPr="00F114BA">
        <w:rPr>
          <w:rFonts w:cs="Helvetica"/>
        </w:rPr>
        <w:t xml:space="preserve"> priority actions</w:t>
      </w:r>
      <w:r w:rsidR="001170B7">
        <w:rPr>
          <w:rFonts w:cs="Helvetica"/>
        </w:rPr>
        <w:t>, which are</w:t>
      </w:r>
      <w:r w:rsidR="00F114BA" w:rsidRPr="00F114BA">
        <w:rPr>
          <w:rFonts w:cs="Helvetica"/>
        </w:rPr>
        <w:t xml:space="preserve"> described in more detail in </w:t>
      </w:r>
      <w:r w:rsidR="004B36CA">
        <w:rPr>
          <w:rFonts w:cs="Helvetica"/>
        </w:rPr>
        <w:t>the report analysing the legal and operational implications of the priority actions</w:t>
      </w:r>
      <w:r w:rsidR="001170B7">
        <w:t>,</w:t>
      </w:r>
      <w:r w:rsidR="00F114BA">
        <w:t xml:space="preserve"> </w:t>
      </w:r>
      <w:r w:rsidR="001170B7">
        <w:rPr>
          <w:rFonts w:cs="Helvetica"/>
        </w:rPr>
        <w:t xml:space="preserve">in four areas and indicates </w:t>
      </w:r>
      <w:r w:rsidR="00441171">
        <w:rPr>
          <w:rFonts w:cs="Helvetica"/>
        </w:rPr>
        <w:t xml:space="preserve">at which level activities would be implemented, </w:t>
      </w:r>
      <w:r w:rsidR="001170B7">
        <w:rPr>
          <w:rFonts w:cs="Helvetica"/>
        </w:rPr>
        <w:t xml:space="preserve">budgetary implications and a possible approach for implementation by respective actors. </w:t>
      </w:r>
      <w:r w:rsidR="00F114BA" w:rsidRPr="00F114BA">
        <w:rPr>
          <w:rFonts w:cs="Helvetica"/>
        </w:rPr>
        <w:t>Th</w:t>
      </w:r>
      <w:bookmarkStart w:id="0" w:name="_GoBack"/>
      <w:bookmarkEnd w:id="0"/>
      <w:r w:rsidR="00F114BA" w:rsidRPr="00F114BA">
        <w:rPr>
          <w:rFonts w:cs="Helvetica"/>
        </w:rPr>
        <w:t>e priority actions have been grouped with a view to facilitating next steps, in particular the development of a set of prioritized recommendations on enhancing the effectiveness of the Convention and a report identifying further steps for consideration by the ninth meeting of the Conference of the Parties</w:t>
      </w:r>
      <w:r w:rsidR="00F114BA">
        <w:rPr>
          <w:rFonts w:cs="Helvetica"/>
        </w:rPr>
        <w:t xml:space="preserve">. </w:t>
      </w:r>
    </w:p>
    <w:p w14:paraId="716EC4D8" w14:textId="4F9229B1" w:rsidR="00361B0F" w:rsidRPr="00C52B3B" w:rsidRDefault="00361B0F" w:rsidP="00361B0F">
      <w:pPr>
        <w:pStyle w:val="Normalnumber"/>
      </w:pPr>
      <w:r>
        <w:lastRenderedPageBreak/>
        <w:t xml:space="preserve">The working group may wish to take the information set out in the present note into consideration in the development </w:t>
      </w:r>
      <w:r w:rsidR="00C43A26">
        <w:t>of</w:t>
      </w:r>
      <w:r w:rsidRPr="00512D68">
        <w:rPr>
          <w:rFonts w:cs="Tahoma"/>
        </w:rPr>
        <w:t xml:space="preserve"> prioritized recommendations for enhancing the effectiveness of the Convention</w:t>
      </w:r>
      <w:r>
        <w:rPr>
          <w:rFonts w:cs="Tahoma"/>
        </w:rPr>
        <w:t xml:space="preserve">. </w:t>
      </w:r>
    </w:p>
    <w:p w14:paraId="7C4A4F62" w14:textId="1317A4BF" w:rsidR="00F114BA" w:rsidRDefault="00394CFB">
      <w:pPr>
        <w:pStyle w:val="Normalnumber"/>
      </w:pPr>
      <w:r w:rsidRPr="00F114BA">
        <w:rPr>
          <w:rFonts w:cs="Helvetica"/>
        </w:rPr>
        <w:t xml:space="preserve">The present note, including its annex, has not been formally edited. </w:t>
      </w:r>
    </w:p>
    <w:p w14:paraId="7D11CA54" w14:textId="77777777" w:rsidR="004B36CA" w:rsidRDefault="004B36CA">
      <w:pPr>
        <w:tabs>
          <w:tab w:val="clear" w:pos="1247"/>
          <w:tab w:val="clear" w:pos="1814"/>
          <w:tab w:val="clear" w:pos="2381"/>
          <w:tab w:val="clear" w:pos="2948"/>
          <w:tab w:val="clear" w:pos="3515"/>
        </w:tabs>
        <w:rPr>
          <w:b/>
          <w:bCs/>
          <w:sz w:val="28"/>
          <w:szCs w:val="22"/>
        </w:rPr>
      </w:pPr>
      <w:r>
        <w:br w:type="page"/>
      </w:r>
    </w:p>
    <w:p w14:paraId="29BE33EA" w14:textId="36051C0C" w:rsidR="00F114BA" w:rsidRPr="00A66B99" w:rsidRDefault="00F114BA" w:rsidP="00F114BA">
      <w:pPr>
        <w:pStyle w:val="ZZAnxheader"/>
      </w:pPr>
      <w:r w:rsidRPr="00A66B99">
        <w:lastRenderedPageBreak/>
        <w:t>Annex</w:t>
      </w:r>
    </w:p>
    <w:p w14:paraId="66811E56" w14:textId="01ADA54B" w:rsidR="006B611C" w:rsidRPr="00A66B99" w:rsidRDefault="006B611C" w:rsidP="00181A88">
      <w:pPr>
        <w:pStyle w:val="ZZAnxtitle"/>
        <w:spacing w:before="240"/>
      </w:pPr>
      <w:r>
        <w:t>Overview of p</w:t>
      </w:r>
      <w:r w:rsidRPr="0036506C">
        <w:t>riority actions to enhance the effectiveness of the Rotterdam Convention</w:t>
      </w:r>
      <w:r w:rsidR="00F114BA" w:rsidRPr="00A66B99">
        <w:t xml:space="preserve"> </w:t>
      </w:r>
    </w:p>
    <w:p w14:paraId="2B8FE31C" w14:textId="4B6AAE68" w:rsidR="006B611C" w:rsidRPr="001934CE" w:rsidRDefault="006B611C" w:rsidP="00C87E80">
      <w:pPr>
        <w:pStyle w:val="ListParagraph"/>
        <w:keepNext/>
        <w:numPr>
          <w:ilvl w:val="0"/>
          <w:numId w:val="10"/>
        </w:numPr>
        <w:ind w:left="709" w:firstLine="0"/>
        <w:rPr>
          <w:rFonts w:ascii="Times New Roman" w:hAnsi="Times New Roman" w:cs="Times New Roman"/>
          <w:b/>
          <w:sz w:val="24"/>
          <w:szCs w:val="24"/>
        </w:rPr>
      </w:pPr>
      <w:r w:rsidRPr="001934CE">
        <w:rPr>
          <w:rFonts w:ascii="Times New Roman" w:hAnsi="Times New Roman" w:cs="Times New Roman"/>
          <w:b/>
          <w:sz w:val="24"/>
          <w:szCs w:val="24"/>
        </w:rPr>
        <w:t xml:space="preserve">Priority actions related to the process of listing chemicals in Annex III </w:t>
      </w:r>
    </w:p>
    <w:tbl>
      <w:tblPr>
        <w:tblStyle w:val="TableGrid"/>
        <w:tblW w:w="9510" w:type="dxa"/>
        <w:tblInd w:w="-5" w:type="dxa"/>
        <w:tblLayout w:type="fixed"/>
        <w:tblCellMar>
          <w:left w:w="85" w:type="dxa"/>
          <w:right w:w="85" w:type="dxa"/>
        </w:tblCellMar>
        <w:tblLook w:val="04A0" w:firstRow="1" w:lastRow="0" w:firstColumn="1" w:lastColumn="0" w:noHBand="0" w:noVBand="1"/>
      </w:tblPr>
      <w:tblGrid>
        <w:gridCol w:w="630"/>
        <w:gridCol w:w="4048"/>
        <w:gridCol w:w="1278"/>
        <w:gridCol w:w="1275"/>
        <w:gridCol w:w="2279"/>
      </w:tblGrid>
      <w:tr w:rsidR="006B611C" w:rsidRPr="006B611C" w14:paraId="70194447" w14:textId="77777777" w:rsidTr="00172CA2">
        <w:tc>
          <w:tcPr>
            <w:tcW w:w="630" w:type="dxa"/>
            <w:shd w:val="clear" w:color="auto" w:fill="D9D9D9" w:themeFill="background1" w:themeFillShade="D9"/>
          </w:tcPr>
          <w:p w14:paraId="4A0881D0" w14:textId="77777777" w:rsidR="006B611C" w:rsidRPr="006B611C" w:rsidRDefault="006B611C" w:rsidP="00F0067A">
            <w:pPr>
              <w:keepNext/>
              <w:rPr>
                <w:b/>
              </w:rPr>
            </w:pPr>
            <w:r w:rsidRPr="006B611C">
              <w:rPr>
                <w:b/>
              </w:rPr>
              <w:t>Ref</w:t>
            </w:r>
          </w:p>
        </w:tc>
        <w:tc>
          <w:tcPr>
            <w:tcW w:w="4048" w:type="dxa"/>
            <w:shd w:val="clear" w:color="auto" w:fill="D9D9D9" w:themeFill="background1" w:themeFillShade="D9"/>
          </w:tcPr>
          <w:p w14:paraId="4368DDD5" w14:textId="77777777" w:rsidR="006B611C" w:rsidRPr="006B611C" w:rsidRDefault="006B611C" w:rsidP="00F0067A">
            <w:pPr>
              <w:keepNext/>
              <w:rPr>
                <w:b/>
              </w:rPr>
            </w:pPr>
            <w:r w:rsidRPr="006B611C">
              <w:rPr>
                <w:b/>
              </w:rPr>
              <w:t>Proposed priority action</w:t>
            </w:r>
          </w:p>
        </w:tc>
        <w:tc>
          <w:tcPr>
            <w:tcW w:w="1278" w:type="dxa"/>
            <w:shd w:val="clear" w:color="auto" w:fill="D9D9D9" w:themeFill="background1" w:themeFillShade="D9"/>
          </w:tcPr>
          <w:p w14:paraId="291302FB" w14:textId="2140B9D3" w:rsidR="006B611C" w:rsidRPr="006B611C" w:rsidRDefault="008E32C9" w:rsidP="00F0067A">
            <w:pPr>
              <w:keepNext/>
              <w:rPr>
                <w:b/>
              </w:rPr>
            </w:pPr>
            <w:r>
              <w:rPr>
                <w:b/>
              </w:rPr>
              <w:t>Level</w:t>
            </w:r>
          </w:p>
        </w:tc>
        <w:tc>
          <w:tcPr>
            <w:tcW w:w="1275" w:type="dxa"/>
            <w:shd w:val="clear" w:color="auto" w:fill="D9D9D9" w:themeFill="background1" w:themeFillShade="D9"/>
          </w:tcPr>
          <w:p w14:paraId="59661F6A" w14:textId="07010505" w:rsidR="006B611C" w:rsidRPr="006B611C" w:rsidRDefault="006B611C" w:rsidP="00F0067A">
            <w:pPr>
              <w:keepNext/>
              <w:rPr>
                <w:b/>
              </w:rPr>
            </w:pPr>
            <w:r w:rsidRPr="006B611C">
              <w:rPr>
                <w:b/>
              </w:rPr>
              <w:t>Budgetary implication</w:t>
            </w:r>
            <w:r w:rsidR="008E7C6C">
              <w:rPr>
                <w:rStyle w:val="FootnoteReference"/>
                <w:b/>
              </w:rPr>
              <w:footnoteReference w:id="4"/>
            </w:r>
            <w:r w:rsidRPr="006B611C">
              <w:rPr>
                <w:b/>
              </w:rPr>
              <w:t xml:space="preserve"> </w:t>
            </w:r>
          </w:p>
        </w:tc>
        <w:tc>
          <w:tcPr>
            <w:tcW w:w="2279" w:type="dxa"/>
            <w:shd w:val="clear" w:color="auto" w:fill="D9D9D9" w:themeFill="background1" w:themeFillShade="D9"/>
          </w:tcPr>
          <w:p w14:paraId="3DD0033E" w14:textId="41BD7F9D" w:rsidR="006B611C" w:rsidRPr="006B611C" w:rsidRDefault="006B611C" w:rsidP="00F0067A">
            <w:pPr>
              <w:keepNext/>
              <w:rPr>
                <w:b/>
              </w:rPr>
            </w:pPr>
            <w:r w:rsidRPr="006B611C">
              <w:rPr>
                <w:b/>
              </w:rPr>
              <w:t>Possible approach</w:t>
            </w:r>
            <w:r w:rsidR="008E32C9">
              <w:rPr>
                <w:b/>
              </w:rPr>
              <w:t>(</w:t>
            </w:r>
            <w:proofErr w:type="spellStart"/>
            <w:r w:rsidR="008E32C9">
              <w:rPr>
                <w:b/>
              </w:rPr>
              <w:t>es</w:t>
            </w:r>
            <w:proofErr w:type="spellEnd"/>
            <w:r w:rsidR="008E32C9">
              <w:rPr>
                <w:b/>
              </w:rPr>
              <w:t>)</w:t>
            </w:r>
            <w:r w:rsidRPr="006B611C">
              <w:rPr>
                <w:b/>
              </w:rPr>
              <w:t xml:space="preserve"> </w:t>
            </w:r>
            <w:r w:rsidR="00857376">
              <w:rPr>
                <w:b/>
              </w:rPr>
              <w:t>incl. actor(s)</w:t>
            </w:r>
          </w:p>
        </w:tc>
      </w:tr>
      <w:tr w:rsidR="00C250BE" w:rsidRPr="006B611C" w14:paraId="4F1C8E14" w14:textId="77777777" w:rsidTr="00172CA2">
        <w:trPr>
          <w:trHeight w:val="380"/>
        </w:trPr>
        <w:tc>
          <w:tcPr>
            <w:tcW w:w="630" w:type="dxa"/>
            <w:vMerge w:val="restart"/>
          </w:tcPr>
          <w:p w14:paraId="145D4112" w14:textId="77777777" w:rsidR="00C250BE" w:rsidRPr="006B611C" w:rsidRDefault="00C250BE" w:rsidP="00F0067A">
            <w:r w:rsidRPr="006B611C">
              <w:t>122</w:t>
            </w:r>
          </w:p>
        </w:tc>
        <w:tc>
          <w:tcPr>
            <w:tcW w:w="4048" w:type="dxa"/>
            <w:vMerge w:val="restart"/>
          </w:tcPr>
          <w:p w14:paraId="58960AF5" w14:textId="6C1D1EAF" w:rsidR="00C250BE" w:rsidRPr="006B611C" w:rsidRDefault="00C250BE" w:rsidP="00F0067A">
            <w:r w:rsidRPr="006B611C">
              <w:t xml:space="preserve">Establish expert team to assist </w:t>
            </w:r>
            <w:r>
              <w:t xml:space="preserve">Parties </w:t>
            </w:r>
            <w:r w:rsidRPr="006B611C">
              <w:t xml:space="preserve">with </w:t>
            </w:r>
            <w:r>
              <w:t xml:space="preserve">the </w:t>
            </w:r>
            <w:r w:rsidRPr="006B611C">
              <w:t xml:space="preserve">submission </w:t>
            </w:r>
            <w:r>
              <w:t>of final regulatory action</w:t>
            </w:r>
          </w:p>
        </w:tc>
        <w:tc>
          <w:tcPr>
            <w:tcW w:w="1278" w:type="dxa"/>
            <w:vMerge w:val="restart"/>
          </w:tcPr>
          <w:p w14:paraId="0CC328D9" w14:textId="6C85D219" w:rsidR="00C250BE" w:rsidRDefault="00C250BE" w:rsidP="00F0067A">
            <w:r>
              <w:t>International</w:t>
            </w:r>
          </w:p>
          <w:p w14:paraId="767E1CCE" w14:textId="01245D5C" w:rsidR="00C250BE" w:rsidRPr="006B611C" w:rsidRDefault="00C250BE" w:rsidP="00F0067A"/>
          <w:p w14:paraId="0F2F346B" w14:textId="6345D295" w:rsidR="00C250BE" w:rsidRPr="006B611C" w:rsidRDefault="00C250BE" w:rsidP="00F0067A"/>
        </w:tc>
        <w:tc>
          <w:tcPr>
            <w:tcW w:w="1275" w:type="dxa"/>
          </w:tcPr>
          <w:p w14:paraId="20FAB76D" w14:textId="27B96382" w:rsidR="00C250BE" w:rsidRPr="006B611C" w:rsidRDefault="00C250BE" w:rsidP="00F0067A">
            <w:r w:rsidRPr="006B611C">
              <w:t>Yes</w:t>
            </w:r>
            <w:r>
              <w:t xml:space="preserve"> (core / voluntary)</w:t>
            </w:r>
          </w:p>
        </w:tc>
        <w:tc>
          <w:tcPr>
            <w:tcW w:w="2279" w:type="dxa"/>
          </w:tcPr>
          <w:p w14:paraId="4D5BA02C" w14:textId="0ADB9FEF" w:rsidR="00C250BE" w:rsidRPr="006B611C" w:rsidRDefault="00C250BE" w:rsidP="008E32C9">
            <w:r>
              <w:t>COP to set up expert team</w:t>
            </w:r>
          </w:p>
        </w:tc>
      </w:tr>
      <w:tr w:rsidR="00C250BE" w:rsidRPr="006B611C" w14:paraId="104F67B1" w14:textId="77777777" w:rsidTr="00172CA2">
        <w:trPr>
          <w:trHeight w:val="449"/>
        </w:trPr>
        <w:tc>
          <w:tcPr>
            <w:tcW w:w="630" w:type="dxa"/>
            <w:vMerge/>
          </w:tcPr>
          <w:p w14:paraId="4A46368C" w14:textId="77777777" w:rsidR="00C250BE" w:rsidRPr="006B611C" w:rsidRDefault="00C250BE" w:rsidP="00F0067A"/>
        </w:tc>
        <w:tc>
          <w:tcPr>
            <w:tcW w:w="4048" w:type="dxa"/>
            <w:vMerge/>
          </w:tcPr>
          <w:p w14:paraId="02A76571" w14:textId="77777777" w:rsidR="00C250BE" w:rsidRPr="006B611C" w:rsidRDefault="00C250BE" w:rsidP="00F0067A"/>
        </w:tc>
        <w:tc>
          <w:tcPr>
            <w:tcW w:w="1278" w:type="dxa"/>
            <w:vMerge/>
          </w:tcPr>
          <w:p w14:paraId="6AEB4596" w14:textId="77777777" w:rsidR="00C250BE" w:rsidRDefault="00C250BE" w:rsidP="00F0067A"/>
        </w:tc>
        <w:tc>
          <w:tcPr>
            <w:tcW w:w="1275" w:type="dxa"/>
          </w:tcPr>
          <w:p w14:paraId="5ED98BC5" w14:textId="72DEAD5B" w:rsidR="00C250BE" w:rsidRPr="006B611C" w:rsidRDefault="00C250BE" w:rsidP="00F0067A">
            <w:r>
              <w:t>Yes (voluntary)</w:t>
            </w:r>
          </w:p>
        </w:tc>
        <w:tc>
          <w:tcPr>
            <w:tcW w:w="2279" w:type="dxa"/>
          </w:tcPr>
          <w:p w14:paraId="5AD3F448" w14:textId="7BA6C702" w:rsidR="00C250BE" w:rsidRDefault="00C250BE" w:rsidP="009918A2">
            <w:r>
              <w:t xml:space="preserve">Secretariat to create an </w:t>
            </w:r>
            <w:r w:rsidRPr="006B611C">
              <w:t>expert roster</w:t>
            </w:r>
          </w:p>
        </w:tc>
      </w:tr>
      <w:tr w:rsidR="00065B14" w:rsidRPr="006B611C" w14:paraId="78F43B50" w14:textId="77777777" w:rsidTr="00172CA2">
        <w:trPr>
          <w:trHeight w:val="548"/>
        </w:trPr>
        <w:tc>
          <w:tcPr>
            <w:tcW w:w="630" w:type="dxa"/>
            <w:vMerge w:val="restart"/>
          </w:tcPr>
          <w:p w14:paraId="3A511AF7" w14:textId="5D7A9E2F" w:rsidR="00065B14" w:rsidRPr="006B611C" w:rsidRDefault="00FF56EE" w:rsidP="00F0067A">
            <w:r>
              <w:t xml:space="preserve">111, </w:t>
            </w:r>
            <w:r w:rsidR="00065B14" w:rsidRPr="006B611C">
              <w:t>141, 142, 143, 146</w:t>
            </w:r>
            <w:r w:rsidR="00065B14">
              <w:rPr>
                <w:rStyle w:val="FootnoteReference"/>
              </w:rPr>
              <w:footnoteReference w:id="5"/>
            </w:r>
          </w:p>
        </w:tc>
        <w:tc>
          <w:tcPr>
            <w:tcW w:w="4048" w:type="dxa"/>
          </w:tcPr>
          <w:p w14:paraId="54844EF8" w14:textId="342F0840" w:rsidR="00065B14" w:rsidRPr="006B611C" w:rsidRDefault="00065B14" w:rsidP="00F0067A">
            <w:r w:rsidRPr="006B611C">
              <w:t xml:space="preserve">Modify </w:t>
            </w:r>
            <w:r>
              <w:t>Chemical Review Committee</w:t>
            </w:r>
            <w:r w:rsidRPr="006B611C">
              <w:t xml:space="preserve"> </w:t>
            </w:r>
            <w:r>
              <w:t xml:space="preserve">(CRC) </w:t>
            </w:r>
            <w:r w:rsidRPr="006B611C">
              <w:t xml:space="preserve">operations and increase consistency: </w:t>
            </w:r>
          </w:p>
          <w:p w14:paraId="72D666BE" w14:textId="0B5C4FA7" w:rsidR="00065B14" w:rsidRPr="006B611C" w:rsidRDefault="00065B14" w:rsidP="006B611C">
            <w:pPr>
              <w:pStyle w:val="ListParagraph"/>
              <w:numPr>
                <w:ilvl w:val="0"/>
                <w:numId w:val="11"/>
              </w:numPr>
              <w:spacing w:after="0" w:line="240" w:lineRule="auto"/>
              <w:ind w:left="229" w:hanging="229"/>
              <w:rPr>
                <w:rFonts w:ascii="Times New Roman" w:hAnsi="Times New Roman" w:cs="Times New Roman"/>
                <w:sz w:val="20"/>
                <w:szCs w:val="20"/>
              </w:rPr>
            </w:pPr>
            <w:r w:rsidRPr="006B611C">
              <w:rPr>
                <w:rFonts w:ascii="Times New Roman" w:hAnsi="Times New Roman" w:cs="Times New Roman"/>
                <w:sz w:val="20"/>
                <w:szCs w:val="20"/>
              </w:rPr>
              <w:t xml:space="preserve">Increase number of </w:t>
            </w:r>
            <w:r>
              <w:rPr>
                <w:rFonts w:ascii="Times New Roman" w:hAnsi="Times New Roman" w:cs="Times New Roman"/>
                <w:sz w:val="20"/>
                <w:szCs w:val="20"/>
              </w:rPr>
              <w:t xml:space="preserve">Committee </w:t>
            </w:r>
            <w:r w:rsidRPr="006B611C">
              <w:rPr>
                <w:rFonts w:ascii="Times New Roman" w:hAnsi="Times New Roman" w:cs="Times New Roman"/>
                <w:sz w:val="20"/>
                <w:szCs w:val="20"/>
              </w:rPr>
              <w:t>members</w:t>
            </w:r>
          </w:p>
        </w:tc>
        <w:tc>
          <w:tcPr>
            <w:tcW w:w="1278" w:type="dxa"/>
            <w:vMerge w:val="restart"/>
          </w:tcPr>
          <w:p w14:paraId="2712D06B" w14:textId="3746396C" w:rsidR="00065B14" w:rsidRPr="006B611C" w:rsidRDefault="00065B14" w:rsidP="00F0067A">
            <w:r>
              <w:t>International</w:t>
            </w:r>
            <w:r w:rsidRPr="006B611C">
              <w:t xml:space="preserve"> </w:t>
            </w:r>
          </w:p>
          <w:p w14:paraId="17D271BD" w14:textId="1C15C438" w:rsidR="00065B14" w:rsidRPr="006B611C" w:rsidRDefault="00065B14" w:rsidP="00F0067A"/>
          <w:p w14:paraId="7F622377" w14:textId="0A1565F9" w:rsidR="00065B14" w:rsidRPr="006B611C" w:rsidRDefault="00065B14" w:rsidP="00F0067A">
            <w:pPr>
              <w:tabs>
                <w:tab w:val="left" w:pos="1050"/>
              </w:tabs>
            </w:pPr>
          </w:p>
          <w:p w14:paraId="72F79B31" w14:textId="71F5BBD3" w:rsidR="00065B14" w:rsidRPr="006B611C" w:rsidRDefault="00065B14" w:rsidP="00F0067A"/>
          <w:p w14:paraId="20099685" w14:textId="7B337A98" w:rsidR="00065B14" w:rsidRPr="006B611C" w:rsidRDefault="00065B14" w:rsidP="00F0067A"/>
          <w:p w14:paraId="4B5AC3E7" w14:textId="09C40EBE" w:rsidR="00065B14" w:rsidRPr="006B611C" w:rsidRDefault="00065B14" w:rsidP="00F0067A"/>
          <w:p w14:paraId="2DE057E8" w14:textId="71C51B74" w:rsidR="00065B14" w:rsidRPr="006B611C" w:rsidRDefault="00065B14" w:rsidP="00F0067A"/>
        </w:tc>
        <w:tc>
          <w:tcPr>
            <w:tcW w:w="1275" w:type="dxa"/>
          </w:tcPr>
          <w:p w14:paraId="129927D1" w14:textId="64075C3A" w:rsidR="00065B14" w:rsidRDefault="00065B14" w:rsidP="00F0067A"/>
          <w:p w14:paraId="096A19D4" w14:textId="77777777" w:rsidR="00065B14" w:rsidRPr="006B611C" w:rsidRDefault="00065B14" w:rsidP="00F0067A"/>
          <w:p w14:paraId="189929D0" w14:textId="666166C5" w:rsidR="00065B14" w:rsidRPr="006B611C" w:rsidRDefault="00065B14" w:rsidP="00F0067A">
            <w:pPr>
              <w:rPr>
                <w:lang w:val="es-ES_tradnl"/>
              </w:rPr>
            </w:pPr>
            <w:r w:rsidRPr="006B611C">
              <w:rPr>
                <w:lang w:val="es-ES_tradnl"/>
              </w:rPr>
              <w:t>Yes</w:t>
            </w:r>
            <w:r>
              <w:rPr>
                <w:lang w:val="es-ES_tradnl"/>
              </w:rPr>
              <w:t xml:space="preserve"> (</w:t>
            </w:r>
            <w:proofErr w:type="spellStart"/>
            <w:r>
              <w:rPr>
                <w:lang w:val="es-ES_tradnl"/>
              </w:rPr>
              <w:t>core</w:t>
            </w:r>
            <w:proofErr w:type="spellEnd"/>
            <w:r>
              <w:rPr>
                <w:lang w:val="es-ES_tradnl"/>
              </w:rPr>
              <w:t>)</w:t>
            </w:r>
          </w:p>
        </w:tc>
        <w:tc>
          <w:tcPr>
            <w:tcW w:w="2279" w:type="dxa"/>
            <w:vMerge w:val="restart"/>
          </w:tcPr>
          <w:p w14:paraId="0608A032" w14:textId="31BB2CEC" w:rsidR="00065B14" w:rsidRDefault="00065B14" w:rsidP="00F02510">
            <w:r w:rsidRPr="006B611C">
              <w:t xml:space="preserve">Some modifications could be accommodated within existing </w:t>
            </w:r>
            <w:r>
              <w:t>terms of reference and</w:t>
            </w:r>
            <w:r w:rsidRPr="006B611C">
              <w:t xml:space="preserve"> procedures of the </w:t>
            </w:r>
            <w:r>
              <w:t>Chemical Review Committee and managed by the Secretariat with the guidance of CRC</w:t>
            </w:r>
          </w:p>
          <w:p w14:paraId="46E5BC78" w14:textId="1AF61C84" w:rsidR="00065B14" w:rsidRPr="006B611C" w:rsidRDefault="00065B14" w:rsidP="00F02510">
            <w:r w:rsidRPr="006B611C">
              <w:t xml:space="preserve">for </w:t>
            </w:r>
            <w:r>
              <w:t>some proposals</w:t>
            </w:r>
            <w:r w:rsidRPr="006B611C">
              <w:t xml:space="preserve"> </w:t>
            </w:r>
            <w:r>
              <w:t xml:space="preserve">the terms of reference and/or procedures of the Committee would need to be revised </w:t>
            </w:r>
            <w:r w:rsidRPr="006B611C">
              <w:t xml:space="preserve"> </w:t>
            </w:r>
          </w:p>
          <w:p w14:paraId="767C325D" w14:textId="77777777" w:rsidR="00065B14" w:rsidRPr="006B611C" w:rsidRDefault="00065B14" w:rsidP="00F0067A"/>
          <w:p w14:paraId="7A3D096F" w14:textId="77777777" w:rsidR="00065B14" w:rsidRDefault="00065B14" w:rsidP="00F0067A"/>
          <w:p w14:paraId="7C888B3B" w14:textId="77777777" w:rsidR="00065B14" w:rsidRDefault="00065B14" w:rsidP="00F0067A"/>
          <w:p w14:paraId="56396063" w14:textId="77777777" w:rsidR="004B36CA" w:rsidRDefault="004B36CA" w:rsidP="00F0067A"/>
          <w:p w14:paraId="15A513C5" w14:textId="4ECD2C6B" w:rsidR="00065B14" w:rsidRPr="006B611C" w:rsidRDefault="00065B14" w:rsidP="00F0067A">
            <w:r>
              <w:t xml:space="preserve">CRC orientation workshop is carried out every two years </w:t>
            </w:r>
          </w:p>
        </w:tc>
      </w:tr>
      <w:tr w:rsidR="00065B14" w:rsidRPr="006B611C" w14:paraId="2AB9D437" w14:textId="77777777" w:rsidTr="00172CA2">
        <w:trPr>
          <w:trHeight w:val="279"/>
        </w:trPr>
        <w:tc>
          <w:tcPr>
            <w:tcW w:w="630" w:type="dxa"/>
            <w:vMerge/>
          </w:tcPr>
          <w:p w14:paraId="4C946898" w14:textId="77777777" w:rsidR="00065B14" w:rsidRPr="006B611C" w:rsidRDefault="00065B14" w:rsidP="00F0067A"/>
        </w:tc>
        <w:tc>
          <w:tcPr>
            <w:tcW w:w="4048" w:type="dxa"/>
          </w:tcPr>
          <w:p w14:paraId="747D64DC" w14:textId="77777777" w:rsidR="00065B14" w:rsidRPr="006B611C" w:rsidRDefault="00065B14" w:rsidP="006B611C">
            <w:pPr>
              <w:pStyle w:val="ListParagraph"/>
              <w:numPr>
                <w:ilvl w:val="0"/>
                <w:numId w:val="11"/>
              </w:numPr>
              <w:spacing w:after="0" w:line="240" w:lineRule="auto"/>
              <w:ind w:left="229" w:hanging="229"/>
              <w:rPr>
                <w:rFonts w:ascii="Times New Roman" w:hAnsi="Times New Roman" w:cs="Times New Roman"/>
                <w:sz w:val="20"/>
                <w:szCs w:val="20"/>
              </w:rPr>
            </w:pPr>
            <w:r w:rsidRPr="006B611C">
              <w:rPr>
                <w:rFonts w:ascii="Times New Roman" w:hAnsi="Times New Roman" w:cs="Times New Roman"/>
                <w:sz w:val="20"/>
                <w:szCs w:val="20"/>
              </w:rPr>
              <w:t xml:space="preserve">Translate/interpret into 6 languages </w:t>
            </w:r>
          </w:p>
        </w:tc>
        <w:tc>
          <w:tcPr>
            <w:tcW w:w="1278" w:type="dxa"/>
            <w:vMerge/>
          </w:tcPr>
          <w:p w14:paraId="09933D5E" w14:textId="0B611943" w:rsidR="00065B14" w:rsidRPr="006B611C" w:rsidRDefault="00065B14" w:rsidP="00F0067A"/>
        </w:tc>
        <w:tc>
          <w:tcPr>
            <w:tcW w:w="1275" w:type="dxa"/>
          </w:tcPr>
          <w:p w14:paraId="70A5F2EC" w14:textId="0B667C01" w:rsidR="00065B14" w:rsidRPr="006B611C" w:rsidRDefault="00065B14" w:rsidP="00F0067A">
            <w:r w:rsidRPr="006B611C">
              <w:rPr>
                <w:lang w:val="es-ES_tradnl"/>
              </w:rPr>
              <w:t>Yes</w:t>
            </w:r>
            <w:r>
              <w:rPr>
                <w:lang w:val="es-ES_tradnl"/>
              </w:rPr>
              <w:t xml:space="preserve"> (</w:t>
            </w:r>
            <w:proofErr w:type="spellStart"/>
            <w:r>
              <w:rPr>
                <w:lang w:val="es-ES_tradnl"/>
              </w:rPr>
              <w:t>core</w:t>
            </w:r>
            <w:proofErr w:type="spellEnd"/>
            <w:r>
              <w:rPr>
                <w:lang w:val="es-ES_tradnl"/>
              </w:rPr>
              <w:t>)</w:t>
            </w:r>
          </w:p>
        </w:tc>
        <w:tc>
          <w:tcPr>
            <w:tcW w:w="2279" w:type="dxa"/>
            <w:vMerge/>
          </w:tcPr>
          <w:p w14:paraId="29653548" w14:textId="01ADA6BB" w:rsidR="00065B14" w:rsidRPr="006B611C" w:rsidRDefault="00065B14" w:rsidP="00F0067A"/>
        </w:tc>
      </w:tr>
      <w:tr w:rsidR="00065B14" w:rsidRPr="006B611C" w14:paraId="5C5C728C" w14:textId="77777777" w:rsidTr="00172CA2">
        <w:trPr>
          <w:trHeight w:val="270"/>
        </w:trPr>
        <w:tc>
          <w:tcPr>
            <w:tcW w:w="630" w:type="dxa"/>
            <w:vMerge/>
          </w:tcPr>
          <w:p w14:paraId="360EF947" w14:textId="77777777" w:rsidR="00065B14" w:rsidRPr="006B611C" w:rsidRDefault="00065B14" w:rsidP="00F0067A"/>
        </w:tc>
        <w:tc>
          <w:tcPr>
            <w:tcW w:w="4048" w:type="dxa"/>
          </w:tcPr>
          <w:p w14:paraId="777DF494" w14:textId="63DACEFA" w:rsidR="00065B14" w:rsidRPr="006B611C" w:rsidRDefault="00065B14" w:rsidP="006B611C">
            <w:pPr>
              <w:pStyle w:val="ListParagraph"/>
              <w:numPr>
                <w:ilvl w:val="0"/>
                <w:numId w:val="11"/>
              </w:numPr>
              <w:spacing w:after="0" w:line="240" w:lineRule="auto"/>
              <w:ind w:left="229" w:hanging="229"/>
              <w:rPr>
                <w:rFonts w:ascii="Times New Roman" w:hAnsi="Times New Roman" w:cs="Times New Roman"/>
                <w:sz w:val="20"/>
                <w:szCs w:val="20"/>
              </w:rPr>
            </w:pPr>
            <w:r w:rsidRPr="006B611C">
              <w:rPr>
                <w:rFonts w:ascii="Times New Roman" w:hAnsi="Times New Roman" w:cs="Times New Roman"/>
                <w:sz w:val="20"/>
                <w:szCs w:val="20"/>
              </w:rPr>
              <w:t xml:space="preserve">Involve observers more in </w:t>
            </w:r>
            <w:r>
              <w:rPr>
                <w:rFonts w:ascii="Times New Roman" w:hAnsi="Times New Roman" w:cs="Times New Roman"/>
                <w:sz w:val="20"/>
                <w:szCs w:val="20"/>
              </w:rPr>
              <w:t xml:space="preserve">Committee </w:t>
            </w:r>
            <w:r w:rsidRPr="006B611C">
              <w:rPr>
                <w:rFonts w:ascii="Times New Roman" w:hAnsi="Times New Roman" w:cs="Times New Roman"/>
                <w:sz w:val="20"/>
                <w:szCs w:val="20"/>
              </w:rPr>
              <w:t xml:space="preserve">work </w:t>
            </w:r>
          </w:p>
        </w:tc>
        <w:tc>
          <w:tcPr>
            <w:tcW w:w="1278" w:type="dxa"/>
            <w:vMerge/>
          </w:tcPr>
          <w:p w14:paraId="361CBF29" w14:textId="25F284BC" w:rsidR="00065B14" w:rsidRPr="006B611C" w:rsidRDefault="00065B14" w:rsidP="00F0067A"/>
        </w:tc>
        <w:tc>
          <w:tcPr>
            <w:tcW w:w="1275" w:type="dxa"/>
          </w:tcPr>
          <w:p w14:paraId="07DE693B" w14:textId="77777777" w:rsidR="00065B14" w:rsidRPr="006B611C" w:rsidRDefault="00065B14" w:rsidP="00F0067A">
            <w:pPr>
              <w:rPr>
                <w:lang w:val="es-ES_tradnl"/>
              </w:rPr>
            </w:pPr>
            <w:r w:rsidRPr="006B611C">
              <w:rPr>
                <w:lang w:val="es-ES_tradnl"/>
              </w:rPr>
              <w:t>No</w:t>
            </w:r>
          </w:p>
        </w:tc>
        <w:tc>
          <w:tcPr>
            <w:tcW w:w="2279" w:type="dxa"/>
            <w:vMerge/>
          </w:tcPr>
          <w:p w14:paraId="7A77AE08" w14:textId="3DDDA552" w:rsidR="00065B14" w:rsidRPr="006B611C" w:rsidRDefault="00065B14" w:rsidP="00F0067A"/>
        </w:tc>
      </w:tr>
      <w:tr w:rsidR="00065B14" w:rsidRPr="006B611C" w14:paraId="0E68E25A" w14:textId="77777777" w:rsidTr="00172CA2">
        <w:trPr>
          <w:trHeight w:val="417"/>
        </w:trPr>
        <w:tc>
          <w:tcPr>
            <w:tcW w:w="630" w:type="dxa"/>
            <w:vMerge/>
          </w:tcPr>
          <w:p w14:paraId="61A3589F" w14:textId="77777777" w:rsidR="00065B14" w:rsidRPr="006B611C" w:rsidRDefault="00065B14" w:rsidP="00F0067A"/>
        </w:tc>
        <w:tc>
          <w:tcPr>
            <w:tcW w:w="4048" w:type="dxa"/>
          </w:tcPr>
          <w:p w14:paraId="528BBDF4" w14:textId="1B0DE9D4" w:rsidR="00FF56EE" w:rsidRPr="006B611C" w:rsidRDefault="00065B14" w:rsidP="00FF56EE">
            <w:pPr>
              <w:pStyle w:val="ListParagraph"/>
              <w:numPr>
                <w:ilvl w:val="0"/>
                <w:numId w:val="11"/>
              </w:numPr>
              <w:spacing w:after="0" w:line="240" w:lineRule="auto"/>
              <w:ind w:left="229" w:hanging="229"/>
              <w:rPr>
                <w:rFonts w:ascii="Times New Roman" w:hAnsi="Times New Roman" w:cs="Times New Roman"/>
                <w:sz w:val="20"/>
                <w:szCs w:val="20"/>
              </w:rPr>
            </w:pPr>
            <w:r w:rsidRPr="006B611C">
              <w:rPr>
                <w:rFonts w:ascii="Times New Roman" w:hAnsi="Times New Roman" w:cs="Times New Roman"/>
                <w:sz w:val="20"/>
                <w:szCs w:val="20"/>
              </w:rPr>
              <w:t xml:space="preserve">Collect additional information from Parties that submitted </w:t>
            </w:r>
            <w:r w:rsidRPr="00350D3E">
              <w:rPr>
                <w:rFonts w:ascii="Times New Roman" w:hAnsi="Times New Roman" w:cs="Times New Roman"/>
                <w:sz w:val="20"/>
                <w:szCs w:val="20"/>
              </w:rPr>
              <w:t>final regulatory action</w:t>
            </w:r>
            <w:r>
              <w:rPr>
                <w:rFonts w:ascii="Times New Roman" w:hAnsi="Times New Roman" w:cs="Times New Roman"/>
                <w:sz w:val="20"/>
                <w:szCs w:val="20"/>
              </w:rPr>
              <w:t>s</w:t>
            </w:r>
            <w:r w:rsidR="00FF56EE">
              <w:rPr>
                <w:rFonts w:ascii="Times New Roman" w:hAnsi="Times New Roman" w:cs="Times New Roman"/>
                <w:sz w:val="20"/>
                <w:szCs w:val="20"/>
              </w:rPr>
              <w:t xml:space="preserve"> and/or other entities (as done for SHPF proposals)</w:t>
            </w:r>
          </w:p>
        </w:tc>
        <w:tc>
          <w:tcPr>
            <w:tcW w:w="1278" w:type="dxa"/>
            <w:vMerge/>
          </w:tcPr>
          <w:p w14:paraId="56030C96" w14:textId="6AA17560" w:rsidR="00065B14" w:rsidRPr="006B611C" w:rsidRDefault="00065B14" w:rsidP="00F0067A"/>
        </w:tc>
        <w:tc>
          <w:tcPr>
            <w:tcW w:w="1275" w:type="dxa"/>
          </w:tcPr>
          <w:p w14:paraId="4E06B341" w14:textId="77777777" w:rsidR="00065B14" w:rsidRPr="006B611C" w:rsidRDefault="00065B14" w:rsidP="00F0067A">
            <w:pPr>
              <w:rPr>
                <w:lang w:val="es-ES_tradnl"/>
              </w:rPr>
            </w:pPr>
            <w:r w:rsidRPr="006B611C">
              <w:rPr>
                <w:lang w:val="es-ES_tradnl"/>
              </w:rPr>
              <w:t>No</w:t>
            </w:r>
          </w:p>
        </w:tc>
        <w:tc>
          <w:tcPr>
            <w:tcW w:w="2279" w:type="dxa"/>
            <w:vMerge/>
          </w:tcPr>
          <w:p w14:paraId="72179981" w14:textId="24B27B28" w:rsidR="00065B14" w:rsidRPr="006B611C" w:rsidRDefault="00065B14" w:rsidP="00F0067A"/>
        </w:tc>
      </w:tr>
      <w:tr w:rsidR="00065B14" w:rsidRPr="006B611C" w14:paraId="73BB63FE" w14:textId="77777777" w:rsidTr="00172CA2">
        <w:trPr>
          <w:trHeight w:val="270"/>
        </w:trPr>
        <w:tc>
          <w:tcPr>
            <w:tcW w:w="630" w:type="dxa"/>
            <w:vMerge/>
          </w:tcPr>
          <w:p w14:paraId="68C04D2B" w14:textId="77777777" w:rsidR="00065B14" w:rsidRPr="006B611C" w:rsidRDefault="00065B14" w:rsidP="00F0067A"/>
        </w:tc>
        <w:tc>
          <w:tcPr>
            <w:tcW w:w="4048" w:type="dxa"/>
          </w:tcPr>
          <w:p w14:paraId="345D467C" w14:textId="176B505A" w:rsidR="00065B14" w:rsidRPr="006B611C" w:rsidRDefault="00065B14" w:rsidP="006B611C">
            <w:pPr>
              <w:pStyle w:val="ListParagraph"/>
              <w:numPr>
                <w:ilvl w:val="0"/>
                <w:numId w:val="11"/>
              </w:numPr>
              <w:spacing w:after="0" w:line="240" w:lineRule="auto"/>
              <w:ind w:left="229" w:hanging="229"/>
              <w:rPr>
                <w:rFonts w:ascii="Times New Roman" w:hAnsi="Times New Roman" w:cs="Times New Roman"/>
                <w:sz w:val="20"/>
                <w:szCs w:val="20"/>
              </w:rPr>
            </w:pPr>
            <w:r w:rsidRPr="006B611C">
              <w:rPr>
                <w:rFonts w:ascii="Times New Roman" w:hAnsi="Times New Roman" w:cs="Times New Roman"/>
                <w:sz w:val="20"/>
                <w:szCs w:val="20"/>
              </w:rPr>
              <w:t xml:space="preserve">Increase guidance on </w:t>
            </w:r>
            <w:r>
              <w:rPr>
                <w:rFonts w:ascii="Times New Roman" w:hAnsi="Times New Roman" w:cs="Times New Roman"/>
                <w:sz w:val="20"/>
                <w:szCs w:val="20"/>
              </w:rPr>
              <w:t>Committee</w:t>
            </w:r>
            <w:r w:rsidRPr="006B611C">
              <w:rPr>
                <w:rFonts w:ascii="Times New Roman" w:hAnsi="Times New Roman" w:cs="Times New Roman"/>
                <w:sz w:val="20"/>
                <w:szCs w:val="20"/>
              </w:rPr>
              <w:t xml:space="preserve"> procedures</w:t>
            </w:r>
          </w:p>
        </w:tc>
        <w:tc>
          <w:tcPr>
            <w:tcW w:w="1278" w:type="dxa"/>
            <w:vMerge/>
          </w:tcPr>
          <w:p w14:paraId="7965D10B" w14:textId="3C27B2A8" w:rsidR="00065B14" w:rsidRPr="006B611C" w:rsidRDefault="00065B14" w:rsidP="00F0067A"/>
        </w:tc>
        <w:tc>
          <w:tcPr>
            <w:tcW w:w="1275" w:type="dxa"/>
          </w:tcPr>
          <w:p w14:paraId="52119692" w14:textId="77777777" w:rsidR="00065B14" w:rsidRPr="006B611C" w:rsidRDefault="00065B14" w:rsidP="00F0067A">
            <w:pPr>
              <w:rPr>
                <w:lang w:val="es-ES_tradnl"/>
              </w:rPr>
            </w:pPr>
            <w:r w:rsidRPr="006B611C">
              <w:rPr>
                <w:lang w:val="es-ES_tradnl"/>
              </w:rPr>
              <w:t>No</w:t>
            </w:r>
          </w:p>
        </w:tc>
        <w:tc>
          <w:tcPr>
            <w:tcW w:w="2279" w:type="dxa"/>
            <w:vMerge/>
          </w:tcPr>
          <w:p w14:paraId="07CA3762" w14:textId="3F849237" w:rsidR="00065B14" w:rsidRPr="006B611C" w:rsidRDefault="00065B14" w:rsidP="00F0067A"/>
        </w:tc>
      </w:tr>
      <w:tr w:rsidR="00065B14" w:rsidRPr="006B611C" w14:paraId="52EEE73F" w14:textId="77777777" w:rsidTr="00172CA2">
        <w:trPr>
          <w:trHeight w:val="705"/>
        </w:trPr>
        <w:tc>
          <w:tcPr>
            <w:tcW w:w="630" w:type="dxa"/>
            <w:vMerge/>
          </w:tcPr>
          <w:p w14:paraId="76F80CB8" w14:textId="77777777" w:rsidR="00065B14" w:rsidRPr="006B611C" w:rsidRDefault="00065B14" w:rsidP="00F0067A"/>
        </w:tc>
        <w:tc>
          <w:tcPr>
            <w:tcW w:w="4048" w:type="dxa"/>
          </w:tcPr>
          <w:p w14:paraId="250CDC04" w14:textId="77777777" w:rsidR="00065B14" w:rsidRPr="006B611C" w:rsidRDefault="00065B14" w:rsidP="006B611C">
            <w:pPr>
              <w:pStyle w:val="ListParagraph"/>
              <w:numPr>
                <w:ilvl w:val="0"/>
                <w:numId w:val="11"/>
              </w:numPr>
              <w:spacing w:after="0" w:line="240" w:lineRule="auto"/>
              <w:ind w:left="229" w:hanging="229"/>
              <w:rPr>
                <w:rFonts w:ascii="Times New Roman" w:hAnsi="Times New Roman" w:cs="Times New Roman"/>
                <w:sz w:val="20"/>
                <w:szCs w:val="20"/>
              </w:rPr>
            </w:pPr>
            <w:r w:rsidRPr="006B611C">
              <w:rPr>
                <w:rFonts w:ascii="Times New Roman" w:hAnsi="Times New Roman" w:cs="Times New Roman"/>
                <w:sz w:val="20"/>
                <w:szCs w:val="20"/>
              </w:rPr>
              <w:t>Seek information from external experts, private sector and public interest bodies, non-member Parties</w:t>
            </w:r>
          </w:p>
        </w:tc>
        <w:tc>
          <w:tcPr>
            <w:tcW w:w="1278" w:type="dxa"/>
            <w:vMerge/>
          </w:tcPr>
          <w:p w14:paraId="69A21D38" w14:textId="17AAF3A2" w:rsidR="00065B14" w:rsidRPr="006B611C" w:rsidRDefault="00065B14" w:rsidP="00F0067A"/>
        </w:tc>
        <w:tc>
          <w:tcPr>
            <w:tcW w:w="1275" w:type="dxa"/>
          </w:tcPr>
          <w:p w14:paraId="0B47EBFA" w14:textId="77777777" w:rsidR="00065B14" w:rsidRPr="006B611C" w:rsidRDefault="00065B14" w:rsidP="00F0067A">
            <w:pPr>
              <w:rPr>
                <w:lang w:val="es-ES_tradnl"/>
              </w:rPr>
            </w:pPr>
            <w:r w:rsidRPr="006B611C">
              <w:rPr>
                <w:lang w:val="es-ES_tradnl"/>
              </w:rPr>
              <w:t xml:space="preserve">No </w:t>
            </w:r>
          </w:p>
          <w:p w14:paraId="6134883F" w14:textId="77777777" w:rsidR="00065B14" w:rsidRPr="006B611C" w:rsidRDefault="00065B14" w:rsidP="00F0067A">
            <w:pPr>
              <w:rPr>
                <w:lang w:val="es-ES_tradnl"/>
              </w:rPr>
            </w:pPr>
          </w:p>
          <w:p w14:paraId="375BBC18" w14:textId="77777777" w:rsidR="00065B14" w:rsidRPr="006B611C" w:rsidRDefault="00065B14" w:rsidP="00F0067A">
            <w:pPr>
              <w:rPr>
                <w:lang w:val="es-ES_tradnl"/>
              </w:rPr>
            </w:pPr>
          </w:p>
        </w:tc>
        <w:tc>
          <w:tcPr>
            <w:tcW w:w="2279" w:type="dxa"/>
            <w:vMerge/>
          </w:tcPr>
          <w:p w14:paraId="554BAB13" w14:textId="0DC39220" w:rsidR="00065B14" w:rsidRPr="006B611C" w:rsidRDefault="00065B14" w:rsidP="00F0067A"/>
        </w:tc>
      </w:tr>
      <w:tr w:rsidR="00065B14" w:rsidRPr="006B611C" w14:paraId="5146594B" w14:textId="77777777" w:rsidTr="00172CA2">
        <w:trPr>
          <w:trHeight w:val="525"/>
        </w:trPr>
        <w:tc>
          <w:tcPr>
            <w:tcW w:w="630" w:type="dxa"/>
            <w:vMerge/>
          </w:tcPr>
          <w:p w14:paraId="322A3294" w14:textId="77777777" w:rsidR="00065B14" w:rsidRPr="006B611C" w:rsidRDefault="00065B14" w:rsidP="00F0067A"/>
        </w:tc>
        <w:tc>
          <w:tcPr>
            <w:tcW w:w="4048" w:type="dxa"/>
          </w:tcPr>
          <w:p w14:paraId="17E337AD" w14:textId="0AF65C46" w:rsidR="00065B14" w:rsidRPr="006B611C" w:rsidRDefault="00065B14" w:rsidP="006B611C">
            <w:pPr>
              <w:pStyle w:val="ListParagraph"/>
              <w:numPr>
                <w:ilvl w:val="0"/>
                <w:numId w:val="11"/>
              </w:numPr>
              <w:spacing w:after="0" w:line="240" w:lineRule="auto"/>
              <w:ind w:left="229" w:hanging="229"/>
              <w:rPr>
                <w:rFonts w:ascii="Times New Roman" w:hAnsi="Times New Roman" w:cs="Times New Roman"/>
                <w:sz w:val="20"/>
                <w:szCs w:val="20"/>
              </w:rPr>
            </w:pPr>
            <w:r w:rsidRPr="006B611C">
              <w:rPr>
                <w:rFonts w:ascii="Times New Roman" w:hAnsi="Times New Roman" w:cs="Times New Roman"/>
                <w:sz w:val="20"/>
                <w:szCs w:val="20"/>
              </w:rPr>
              <w:t xml:space="preserve">Strengthen technical and scientific information on </w:t>
            </w:r>
            <w:r>
              <w:rPr>
                <w:rFonts w:ascii="Times New Roman" w:hAnsi="Times New Roman" w:cs="Times New Roman"/>
                <w:sz w:val="20"/>
                <w:szCs w:val="20"/>
              </w:rPr>
              <w:t xml:space="preserve">Committee </w:t>
            </w:r>
            <w:r w:rsidRPr="006B611C">
              <w:rPr>
                <w:rFonts w:ascii="Times New Roman" w:hAnsi="Times New Roman" w:cs="Times New Roman"/>
                <w:sz w:val="20"/>
                <w:szCs w:val="20"/>
              </w:rPr>
              <w:t>recommendations</w:t>
            </w:r>
          </w:p>
        </w:tc>
        <w:tc>
          <w:tcPr>
            <w:tcW w:w="1278" w:type="dxa"/>
            <w:vMerge/>
          </w:tcPr>
          <w:p w14:paraId="02DBAE82" w14:textId="2BA23E5E" w:rsidR="00065B14" w:rsidRPr="006B611C" w:rsidRDefault="00065B14" w:rsidP="00F0067A"/>
        </w:tc>
        <w:tc>
          <w:tcPr>
            <w:tcW w:w="1275" w:type="dxa"/>
          </w:tcPr>
          <w:p w14:paraId="40C26FB8" w14:textId="77777777" w:rsidR="00065B14" w:rsidRPr="006B611C" w:rsidRDefault="00065B14" w:rsidP="00F0067A">
            <w:pPr>
              <w:rPr>
                <w:lang w:val="es-ES_tradnl"/>
              </w:rPr>
            </w:pPr>
            <w:r w:rsidRPr="006B611C">
              <w:rPr>
                <w:lang w:val="es-ES_tradnl"/>
              </w:rPr>
              <w:t>No</w:t>
            </w:r>
          </w:p>
          <w:p w14:paraId="7E44AC0D" w14:textId="77777777" w:rsidR="00065B14" w:rsidRPr="006B611C" w:rsidRDefault="00065B14" w:rsidP="00F0067A">
            <w:pPr>
              <w:rPr>
                <w:lang w:val="es-ES_tradnl"/>
              </w:rPr>
            </w:pPr>
          </w:p>
        </w:tc>
        <w:tc>
          <w:tcPr>
            <w:tcW w:w="2279" w:type="dxa"/>
            <w:vMerge/>
          </w:tcPr>
          <w:p w14:paraId="2B896722" w14:textId="7DFA1EC9" w:rsidR="00065B14" w:rsidRPr="006B611C" w:rsidRDefault="00065B14" w:rsidP="00F0067A"/>
        </w:tc>
      </w:tr>
      <w:tr w:rsidR="00065B14" w:rsidRPr="006B611C" w14:paraId="3DA7EA00" w14:textId="77777777" w:rsidTr="00172CA2">
        <w:trPr>
          <w:trHeight w:val="333"/>
        </w:trPr>
        <w:tc>
          <w:tcPr>
            <w:tcW w:w="630" w:type="dxa"/>
            <w:vMerge/>
          </w:tcPr>
          <w:p w14:paraId="12DC7933" w14:textId="77777777" w:rsidR="00065B14" w:rsidRPr="006B611C" w:rsidRDefault="00065B14" w:rsidP="00F0067A"/>
        </w:tc>
        <w:tc>
          <w:tcPr>
            <w:tcW w:w="4048" w:type="dxa"/>
          </w:tcPr>
          <w:p w14:paraId="2F226309" w14:textId="283E9929" w:rsidR="00065B14" w:rsidRPr="006B611C" w:rsidRDefault="00065B14" w:rsidP="006B611C">
            <w:pPr>
              <w:pStyle w:val="ListParagraph"/>
              <w:numPr>
                <w:ilvl w:val="0"/>
                <w:numId w:val="11"/>
              </w:numPr>
              <w:spacing w:after="0" w:line="240" w:lineRule="auto"/>
              <w:ind w:left="229" w:hanging="229"/>
              <w:rPr>
                <w:rFonts w:ascii="Times New Roman" w:hAnsi="Times New Roman" w:cs="Times New Roman"/>
                <w:sz w:val="20"/>
                <w:szCs w:val="20"/>
              </w:rPr>
            </w:pPr>
            <w:r w:rsidRPr="006B611C">
              <w:rPr>
                <w:rFonts w:ascii="Times New Roman" w:hAnsi="Times New Roman" w:cs="Times New Roman"/>
                <w:sz w:val="20"/>
                <w:szCs w:val="20"/>
              </w:rPr>
              <w:t xml:space="preserve">Supplement information in </w:t>
            </w:r>
            <w:r>
              <w:rPr>
                <w:rFonts w:ascii="Times New Roman" w:hAnsi="Times New Roman" w:cs="Times New Roman"/>
                <w:sz w:val="20"/>
                <w:szCs w:val="20"/>
              </w:rPr>
              <w:t xml:space="preserve">decision guidance documents </w:t>
            </w:r>
          </w:p>
        </w:tc>
        <w:tc>
          <w:tcPr>
            <w:tcW w:w="1278" w:type="dxa"/>
            <w:vMerge/>
          </w:tcPr>
          <w:p w14:paraId="553E0B03" w14:textId="391D3229" w:rsidR="00065B14" w:rsidRPr="006B611C" w:rsidRDefault="00065B14" w:rsidP="00F0067A"/>
        </w:tc>
        <w:tc>
          <w:tcPr>
            <w:tcW w:w="1275" w:type="dxa"/>
          </w:tcPr>
          <w:p w14:paraId="48395B84" w14:textId="4A21DDF7" w:rsidR="00065B14" w:rsidRPr="006B611C" w:rsidRDefault="00065B14" w:rsidP="00F0067A">
            <w:pPr>
              <w:rPr>
                <w:lang w:val="es-ES_tradnl"/>
              </w:rPr>
            </w:pPr>
            <w:r w:rsidRPr="006B611C">
              <w:rPr>
                <w:lang w:val="es-ES_tradnl"/>
              </w:rPr>
              <w:t>Yes</w:t>
            </w:r>
            <w:r>
              <w:rPr>
                <w:lang w:val="es-ES_tradnl"/>
              </w:rPr>
              <w:t xml:space="preserve"> (</w:t>
            </w:r>
            <w:proofErr w:type="spellStart"/>
            <w:r>
              <w:rPr>
                <w:lang w:val="es-ES_tradnl"/>
              </w:rPr>
              <w:t>core</w:t>
            </w:r>
            <w:proofErr w:type="spellEnd"/>
            <w:r>
              <w:rPr>
                <w:lang w:val="es-ES_tradnl"/>
              </w:rPr>
              <w:t>)</w:t>
            </w:r>
          </w:p>
        </w:tc>
        <w:tc>
          <w:tcPr>
            <w:tcW w:w="2279" w:type="dxa"/>
            <w:vMerge/>
          </w:tcPr>
          <w:p w14:paraId="5B78A03B" w14:textId="12C0CBCB" w:rsidR="00065B14" w:rsidRPr="006B611C" w:rsidRDefault="00065B14" w:rsidP="00F0067A"/>
        </w:tc>
      </w:tr>
      <w:tr w:rsidR="00065B14" w:rsidRPr="006B611C" w14:paraId="1E6A8294" w14:textId="77777777" w:rsidTr="00172CA2">
        <w:tc>
          <w:tcPr>
            <w:tcW w:w="630" w:type="dxa"/>
            <w:vMerge/>
          </w:tcPr>
          <w:p w14:paraId="5EBF641C" w14:textId="77777777" w:rsidR="00065B14" w:rsidRPr="006B611C" w:rsidRDefault="00065B14" w:rsidP="00F0067A"/>
        </w:tc>
        <w:tc>
          <w:tcPr>
            <w:tcW w:w="4048" w:type="dxa"/>
          </w:tcPr>
          <w:p w14:paraId="6F707D61" w14:textId="04C2EB2C" w:rsidR="00065B14" w:rsidRPr="00DF5974" w:rsidRDefault="00065B14" w:rsidP="00DF5974">
            <w:pPr>
              <w:pStyle w:val="ListParagraph"/>
              <w:numPr>
                <w:ilvl w:val="0"/>
                <w:numId w:val="11"/>
              </w:numPr>
              <w:spacing w:after="0" w:line="240" w:lineRule="auto"/>
              <w:ind w:left="229" w:hanging="229"/>
              <w:rPr>
                <w:rFonts w:ascii="Times New Roman" w:hAnsi="Times New Roman" w:cs="Times New Roman"/>
                <w:sz w:val="20"/>
                <w:szCs w:val="20"/>
              </w:rPr>
            </w:pPr>
            <w:r>
              <w:rPr>
                <w:rFonts w:ascii="Times New Roman" w:hAnsi="Times New Roman" w:cs="Times New Roman"/>
                <w:sz w:val="20"/>
                <w:szCs w:val="20"/>
              </w:rPr>
              <w:t xml:space="preserve">CRC members </w:t>
            </w:r>
            <w:r w:rsidRPr="00DF5974">
              <w:rPr>
                <w:rFonts w:ascii="Times New Roman" w:hAnsi="Times New Roman" w:cs="Times New Roman"/>
                <w:sz w:val="20"/>
                <w:szCs w:val="20"/>
              </w:rPr>
              <w:t xml:space="preserve">to be trained on Convention and Committee </w:t>
            </w:r>
            <w:r>
              <w:rPr>
                <w:rFonts w:ascii="Times New Roman" w:hAnsi="Times New Roman" w:cs="Times New Roman"/>
                <w:sz w:val="20"/>
                <w:szCs w:val="20"/>
              </w:rPr>
              <w:t>operations</w:t>
            </w:r>
            <w:r w:rsidRPr="00DF5974">
              <w:rPr>
                <w:rFonts w:ascii="Times New Roman" w:hAnsi="Times New Roman" w:cs="Times New Roman"/>
                <w:sz w:val="20"/>
                <w:szCs w:val="20"/>
              </w:rPr>
              <w:t xml:space="preserve"> </w:t>
            </w:r>
          </w:p>
        </w:tc>
        <w:tc>
          <w:tcPr>
            <w:tcW w:w="1278" w:type="dxa"/>
            <w:vMerge/>
          </w:tcPr>
          <w:p w14:paraId="4986F211" w14:textId="77777777" w:rsidR="00065B14" w:rsidRPr="006B611C" w:rsidRDefault="00065B14" w:rsidP="00F0067A"/>
        </w:tc>
        <w:tc>
          <w:tcPr>
            <w:tcW w:w="1275" w:type="dxa"/>
          </w:tcPr>
          <w:p w14:paraId="59014B85" w14:textId="5066EFA6" w:rsidR="00065B14" w:rsidRPr="006B611C" w:rsidRDefault="00065B14" w:rsidP="00F0067A">
            <w:r>
              <w:t>Yes (voluntary)</w:t>
            </w:r>
          </w:p>
        </w:tc>
        <w:tc>
          <w:tcPr>
            <w:tcW w:w="2279" w:type="dxa"/>
            <w:vMerge/>
          </w:tcPr>
          <w:p w14:paraId="21BB02E3" w14:textId="272D0F70" w:rsidR="00065B14" w:rsidRDefault="00065B14" w:rsidP="00F0067A"/>
        </w:tc>
      </w:tr>
      <w:tr w:rsidR="00065B14" w:rsidRPr="006B611C" w14:paraId="5E4651D2" w14:textId="77777777" w:rsidTr="00172CA2">
        <w:tc>
          <w:tcPr>
            <w:tcW w:w="630" w:type="dxa"/>
            <w:vMerge/>
          </w:tcPr>
          <w:p w14:paraId="09F2F04C" w14:textId="77777777" w:rsidR="00065B14" w:rsidRPr="006B611C" w:rsidRDefault="00065B14" w:rsidP="00F0067A"/>
        </w:tc>
        <w:tc>
          <w:tcPr>
            <w:tcW w:w="4048" w:type="dxa"/>
          </w:tcPr>
          <w:p w14:paraId="47F9406B" w14:textId="4A8E269F" w:rsidR="00065B14" w:rsidRPr="00065B14" w:rsidRDefault="00065B14" w:rsidP="00065B14">
            <w:pPr>
              <w:pStyle w:val="ListParagraph"/>
              <w:numPr>
                <w:ilvl w:val="0"/>
                <w:numId w:val="11"/>
              </w:numPr>
              <w:spacing w:after="0" w:line="240" w:lineRule="auto"/>
              <w:ind w:left="229" w:hanging="229"/>
              <w:rPr>
                <w:rFonts w:ascii="Times New Roman" w:hAnsi="Times New Roman" w:cs="Times New Roman"/>
                <w:sz w:val="20"/>
                <w:szCs w:val="20"/>
              </w:rPr>
            </w:pPr>
            <w:r w:rsidRPr="00065B14">
              <w:rPr>
                <w:rFonts w:ascii="Times New Roman" w:hAnsi="Times New Roman" w:cs="Times New Roman"/>
                <w:sz w:val="20"/>
                <w:szCs w:val="20"/>
              </w:rPr>
              <w:t>Allow for more consultations and dialogue at CRC meetings (e.g. task group reports)</w:t>
            </w:r>
          </w:p>
        </w:tc>
        <w:tc>
          <w:tcPr>
            <w:tcW w:w="1278" w:type="dxa"/>
            <w:vMerge/>
          </w:tcPr>
          <w:p w14:paraId="4029142D" w14:textId="54A71750" w:rsidR="00065B14" w:rsidRPr="006B611C" w:rsidRDefault="00065B14" w:rsidP="00F0067A"/>
        </w:tc>
        <w:tc>
          <w:tcPr>
            <w:tcW w:w="1275" w:type="dxa"/>
          </w:tcPr>
          <w:p w14:paraId="02F7CAE2" w14:textId="1CE56AF0" w:rsidR="00065B14" w:rsidRPr="006B611C" w:rsidRDefault="00065B14" w:rsidP="00F0067A">
            <w:r>
              <w:t>No</w:t>
            </w:r>
          </w:p>
        </w:tc>
        <w:tc>
          <w:tcPr>
            <w:tcW w:w="2279" w:type="dxa"/>
            <w:vMerge/>
          </w:tcPr>
          <w:p w14:paraId="772EECFB" w14:textId="77777777" w:rsidR="00065B14" w:rsidRDefault="00065B14" w:rsidP="00F0067A"/>
        </w:tc>
      </w:tr>
      <w:tr w:rsidR="00065B14" w:rsidRPr="006B611C" w14:paraId="1448FE9E" w14:textId="77777777" w:rsidTr="00172CA2">
        <w:tc>
          <w:tcPr>
            <w:tcW w:w="630" w:type="dxa"/>
            <w:vMerge/>
          </w:tcPr>
          <w:p w14:paraId="14FD77A9" w14:textId="77777777" w:rsidR="00065B14" w:rsidRPr="006B611C" w:rsidRDefault="00065B14" w:rsidP="00065B14"/>
        </w:tc>
        <w:tc>
          <w:tcPr>
            <w:tcW w:w="4048" w:type="dxa"/>
          </w:tcPr>
          <w:p w14:paraId="5AE43E7F" w14:textId="20968C39" w:rsidR="00065B14" w:rsidRPr="00065B14" w:rsidRDefault="00065B14" w:rsidP="00065B14">
            <w:pPr>
              <w:pStyle w:val="ListParagraph"/>
              <w:numPr>
                <w:ilvl w:val="0"/>
                <w:numId w:val="11"/>
              </w:numPr>
              <w:spacing w:after="0" w:line="240" w:lineRule="auto"/>
              <w:ind w:left="229" w:hanging="229"/>
              <w:rPr>
                <w:rFonts w:ascii="Times New Roman" w:hAnsi="Times New Roman" w:cs="Times New Roman"/>
                <w:sz w:val="20"/>
                <w:szCs w:val="20"/>
              </w:rPr>
            </w:pPr>
            <w:r>
              <w:rPr>
                <w:rFonts w:ascii="Times New Roman" w:hAnsi="Times New Roman" w:cs="Times New Roman"/>
                <w:sz w:val="20"/>
                <w:szCs w:val="20"/>
              </w:rPr>
              <w:t xml:space="preserve">CRC members </w:t>
            </w:r>
            <w:r w:rsidRPr="00DF5974">
              <w:rPr>
                <w:rFonts w:ascii="Times New Roman" w:hAnsi="Times New Roman" w:cs="Times New Roman"/>
                <w:sz w:val="20"/>
                <w:szCs w:val="20"/>
              </w:rPr>
              <w:t xml:space="preserve">to dedicate sufficient time to </w:t>
            </w:r>
            <w:r>
              <w:rPr>
                <w:rFonts w:ascii="Times New Roman" w:hAnsi="Times New Roman" w:cs="Times New Roman"/>
                <w:sz w:val="20"/>
                <w:szCs w:val="20"/>
              </w:rPr>
              <w:t xml:space="preserve">prepare for and actively participate in </w:t>
            </w:r>
            <w:r w:rsidRPr="00DF5974">
              <w:rPr>
                <w:rFonts w:ascii="Times New Roman" w:hAnsi="Times New Roman" w:cs="Times New Roman"/>
                <w:sz w:val="20"/>
                <w:szCs w:val="20"/>
              </w:rPr>
              <w:t>Committee meetings</w:t>
            </w:r>
          </w:p>
        </w:tc>
        <w:tc>
          <w:tcPr>
            <w:tcW w:w="1278" w:type="dxa"/>
          </w:tcPr>
          <w:p w14:paraId="013E7F82" w14:textId="39480E5C" w:rsidR="00065B14" w:rsidRPr="006B611C" w:rsidRDefault="00065B14" w:rsidP="00065B14">
            <w:r>
              <w:t>National</w:t>
            </w:r>
          </w:p>
        </w:tc>
        <w:tc>
          <w:tcPr>
            <w:tcW w:w="1275" w:type="dxa"/>
          </w:tcPr>
          <w:p w14:paraId="55AE4AE2" w14:textId="1C5BB13F" w:rsidR="00065B14" w:rsidRPr="006B611C" w:rsidRDefault="00065B14" w:rsidP="00065B14">
            <w:r>
              <w:t>N/A</w:t>
            </w:r>
          </w:p>
        </w:tc>
        <w:tc>
          <w:tcPr>
            <w:tcW w:w="2279" w:type="dxa"/>
          </w:tcPr>
          <w:p w14:paraId="1A7BA3D6" w14:textId="6693C654" w:rsidR="00065B14" w:rsidRDefault="008755F7" w:rsidP="00065B14">
            <w:r>
              <w:t xml:space="preserve">Governments to take into account in nominating CRC members </w:t>
            </w:r>
          </w:p>
        </w:tc>
      </w:tr>
      <w:tr w:rsidR="00065B14" w:rsidRPr="006B611C" w14:paraId="74B63BB5" w14:textId="77777777" w:rsidTr="00172CA2">
        <w:tc>
          <w:tcPr>
            <w:tcW w:w="630" w:type="dxa"/>
          </w:tcPr>
          <w:p w14:paraId="2A3D68E6" w14:textId="77777777" w:rsidR="00065B14" w:rsidRPr="006B611C" w:rsidRDefault="00065B14" w:rsidP="00065B14">
            <w:r w:rsidRPr="006B611C">
              <w:t>145, 151</w:t>
            </w:r>
          </w:p>
        </w:tc>
        <w:tc>
          <w:tcPr>
            <w:tcW w:w="4048" w:type="dxa"/>
          </w:tcPr>
          <w:p w14:paraId="10EDFB80" w14:textId="382C587F" w:rsidR="00065B14" w:rsidRPr="006B611C" w:rsidRDefault="00065B14" w:rsidP="00065B14">
            <w:r w:rsidRPr="006B611C">
              <w:t xml:space="preserve">Create a framework for informing Parties about CRC work and discussing objections to listing prior to </w:t>
            </w:r>
            <w:r>
              <w:t>the meeting of the Conference of the Parties (COP)</w:t>
            </w:r>
            <w:r w:rsidRPr="006B611C">
              <w:t xml:space="preserve"> </w:t>
            </w:r>
          </w:p>
        </w:tc>
        <w:tc>
          <w:tcPr>
            <w:tcW w:w="1278" w:type="dxa"/>
          </w:tcPr>
          <w:p w14:paraId="14D61CF8" w14:textId="0D17DEA0" w:rsidR="00065B14" w:rsidRPr="006B611C" w:rsidRDefault="00065B14" w:rsidP="00065B14">
            <w:r>
              <w:t>International</w:t>
            </w:r>
          </w:p>
        </w:tc>
        <w:tc>
          <w:tcPr>
            <w:tcW w:w="1275" w:type="dxa"/>
          </w:tcPr>
          <w:p w14:paraId="752203CC" w14:textId="77777777" w:rsidR="00065B14" w:rsidRPr="006B611C" w:rsidRDefault="00065B14" w:rsidP="00065B14">
            <w:r w:rsidRPr="006B611C">
              <w:t xml:space="preserve">No </w:t>
            </w:r>
          </w:p>
        </w:tc>
        <w:tc>
          <w:tcPr>
            <w:tcW w:w="2279" w:type="dxa"/>
          </w:tcPr>
          <w:p w14:paraId="415F0100" w14:textId="33CAE66A" w:rsidR="00065B14" w:rsidRPr="006B611C" w:rsidRDefault="00065B14" w:rsidP="00065B14">
            <w:r>
              <w:t xml:space="preserve">COP to create framework </w:t>
            </w:r>
            <w:r w:rsidRPr="00BF544F">
              <w:rPr>
                <w:i/>
              </w:rPr>
              <w:t>Note: Currently, Parties are invited to submit comments on the amendment proposals, which are published prior to the COP as an INF document.</w:t>
            </w:r>
            <w:r w:rsidRPr="006B611C">
              <w:t xml:space="preserve"> </w:t>
            </w:r>
          </w:p>
        </w:tc>
      </w:tr>
      <w:tr w:rsidR="00C43A26" w:rsidRPr="006B611C" w14:paraId="09319C3F" w14:textId="77777777" w:rsidTr="00172CA2">
        <w:trPr>
          <w:trHeight w:val="704"/>
        </w:trPr>
        <w:tc>
          <w:tcPr>
            <w:tcW w:w="630" w:type="dxa"/>
          </w:tcPr>
          <w:p w14:paraId="177ED0C8" w14:textId="1B86CC92" w:rsidR="00C43A26" w:rsidRDefault="00C43A26" w:rsidP="00065B14">
            <w:r>
              <w:t>n/a</w:t>
            </w:r>
            <w:r>
              <w:rPr>
                <w:rStyle w:val="FootnoteReference"/>
              </w:rPr>
              <w:footnoteReference w:id="6"/>
            </w:r>
          </w:p>
        </w:tc>
        <w:tc>
          <w:tcPr>
            <w:tcW w:w="4048" w:type="dxa"/>
          </w:tcPr>
          <w:p w14:paraId="771C57ED" w14:textId="3F250D45" w:rsidR="00C43A26" w:rsidRDefault="00C43A26" w:rsidP="00065B14">
            <w:r>
              <w:t>U</w:t>
            </w:r>
            <w:r w:rsidRPr="00C43A26">
              <w:t xml:space="preserve">se of diplomatic channels to continue dialogue intersessionally to try to address any outstanding concerns Parties might have </w:t>
            </w:r>
          </w:p>
        </w:tc>
        <w:tc>
          <w:tcPr>
            <w:tcW w:w="1278" w:type="dxa"/>
          </w:tcPr>
          <w:p w14:paraId="1566260C" w14:textId="00EA9117" w:rsidR="00C43A26" w:rsidRDefault="00C43A26" w:rsidP="00065B14">
            <w:r>
              <w:t>Between Parties directly</w:t>
            </w:r>
          </w:p>
        </w:tc>
        <w:tc>
          <w:tcPr>
            <w:tcW w:w="1275" w:type="dxa"/>
          </w:tcPr>
          <w:p w14:paraId="0ACE5315" w14:textId="0DD62624" w:rsidR="00C43A26" w:rsidRDefault="00C43A26" w:rsidP="00065B14">
            <w:r>
              <w:t>No</w:t>
            </w:r>
          </w:p>
        </w:tc>
        <w:tc>
          <w:tcPr>
            <w:tcW w:w="2279" w:type="dxa"/>
          </w:tcPr>
          <w:p w14:paraId="2856135D" w14:textId="1BADE885" w:rsidR="00C43A26" w:rsidRDefault="00C43A26" w:rsidP="00065B14">
            <w:r>
              <w:t xml:space="preserve">Modalities to be determined. </w:t>
            </w:r>
          </w:p>
        </w:tc>
      </w:tr>
      <w:tr w:rsidR="00C330FA" w:rsidRPr="006B611C" w14:paraId="5762B3BE" w14:textId="77777777" w:rsidTr="00172CA2">
        <w:trPr>
          <w:trHeight w:val="704"/>
        </w:trPr>
        <w:tc>
          <w:tcPr>
            <w:tcW w:w="630" w:type="dxa"/>
          </w:tcPr>
          <w:p w14:paraId="3B7C7393" w14:textId="5A56C033" w:rsidR="00C330FA" w:rsidRPr="006B611C" w:rsidRDefault="00313D55" w:rsidP="00065B14">
            <w:r>
              <w:lastRenderedPageBreak/>
              <w:t>n</w:t>
            </w:r>
            <w:r w:rsidR="002759EE">
              <w:t>/</w:t>
            </w:r>
            <w:r>
              <w:t>a</w:t>
            </w:r>
            <w:r w:rsidR="00C330FA">
              <w:rPr>
                <w:rStyle w:val="FootnoteReference"/>
              </w:rPr>
              <w:footnoteReference w:id="7"/>
            </w:r>
          </w:p>
        </w:tc>
        <w:tc>
          <w:tcPr>
            <w:tcW w:w="4048" w:type="dxa"/>
          </w:tcPr>
          <w:p w14:paraId="306AA924" w14:textId="4C8E9DCE" w:rsidR="00C330FA" w:rsidRPr="006B611C" w:rsidRDefault="00C330FA" w:rsidP="00065B14">
            <w:r>
              <w:t xml:space="preserve">COP to request Parties opposing listing to provide scientific evidence </w:t>
            </w:r>
          </w:p>
        </w:tc>
        <w:tc>
          <w:tcPr>
            <w:tcW w:w="1278" w:type="dxa"/>
          </w:tcPr>
          <w:p w14:paraId="06E7A2A6" w14:textId="05053721" w:rsidR="00C330FA" w:rsidRDefault="00C330FA" w:rsidP="00065B14">
            <w:r>
              <w:t>International</w:t>
            </w:r>
          </w:p>
        </w:tc>
        <w:tc>
          <w:tcPr>
            <w:tcW w:w="1275" w:type="dxa"/>
          </w:tcPr>
          <w:p w14:paraId="7F57623D" w14:textId="7AAAA4EE" w:rsidR="00C330FA" w:rsidRPr="006B611C" w:rsidRDefault="00C330FA" w:rsidP="00065B14">
            <w:r>
              <w:t>No</w:t>
            </w:r>
          </w:p>
        </w:tc>
        <w:tc>
          <w:tcPr>
            <w:tcW w:w="2279" w:type="dxa"/>
          </w:tcPr>
          <w:p w14:paraId="5660B73E" w14:textId="65DD5DCA" w:rsidR="00C330FA" w:rsidRPr="006B611C" w:rsidRDefault="00313D55" w:rsidP="00065B14">
            <w:r>
              <w:t xml:space="preserve">COP decision </w:t>
            </w:r>
          </w:p>
        </w:tc>
      </w:tr>
      <w:tr w:rsidR="00D543B5" w:rsidRPr="006B611C" w14:paraId="525E92F8" w14:textId="77777777" w:rsidTr="00172CA2">
        <w:trPr>
          <w:trHeight w:val="704"/>
        </w:trPr>
        <w:tc>
          <w:tcPr>
            <w:tcW w:w="630" w:type="dxa"/>
          </w:tcPr>
          <w:p w14:paraId="68893C08" w14:textId="2517FB61" w:rsidR="00D543B5" w:rsidRDefault="00D543B5" w:rsidP="00065B14">
            <w:r>
              <w:t>n/a</w:t>
            </w:r>
            <w:r>
              <w:rPr>
                <w:rStyle w:val="FootnoteReference"/>
              </w:rPr>
              <w:footnoteReference w:id="8"/>
            </w:r>
          </w:p>
        </w:tc>
        <w:tc>
          <w:tcPr>
            <w:tcW w:w="4048" w:type="dxa"/>
          </w:tcPr>
          <w:p w14:paraId="73D0F0CB" w14:textId="722FD893" w:rsidR="00D543B5" w:rsidRDefault="00F9080E" w:rsidP="00065B14">
            <w:r>
              <w:t xml:space="preserve">Freeze discussions about chemicals for which consensus has not been achieved during several COPs, until new scientific evidence appears </w:t>
            </w:r>
          </w:p>
        </w:tc>
        <w:tc>
          <w:tcPr>
            <w:tcW w:w="1278" w:type="dxa"/>
          </w:tcPr>
          <w:p w14:paraId="31B29F8C" w14:textId="5FF83F43" w:rsidR="00D543B5" w:rsidRDefault="00F9080E" w:rsidP="00065B14">
            <w:r>
              <w:t>International</w:t>
            </w:r>
          </w:p>
        </w:tc>
        <w:tc>
          <w:tcPr>
            <w:tcW w:w="1275" w:type="dxa"/>
          </w:tcPr>
          <w:p w14:paraId="2C9F84D1" w14:textId="4589BF70" w:rsidR="00D543B5" w:rsidRDefault="00F9080E" w:rsidP="00065B14">
            <w:r>
              <w:t>No</w:t>
            </w:r>
          </w:p>
        </w:tc>
        <w:tc>
          <w:tcPr>
            <w:tcW w:w="2279" w:type="dxa"/>
          </w:tcPr>
          <w:p w14:paraId="7EB72049" w14:textId="5015EA49" w:rsidR="00D543B5" w:rsidRDefault="00744C1C" w:rsidP="00065B14">
            <w:r>
              <w:t xml:space="preserve">COP decision </w:t>
            </w:r>
          </w:p>
        </w:tc>
      </w:tr>
      <w:tr w:rsidR="00065B14" w:rsidRPr="006B611C" w14:paraId="59B03106" w14:textId="77777777" w:rsidTr="00172CA2">
        <w:trPr>
          <w:trHeight w:val="704"/>
        </w:trPr>
        <w:tc>
          <w:tcPr>
            <w:tcW w:w="630" w:type="dxa"/>
          </w:tcPr>
          <w:p w14:paraId="0E1D7F60" w14:textId="77777777" w:rsidR="00065B14" w:rsidRPr="006B611C" w:rsidRDefault="00065B14" w:rsidP="00065B14">
            <w:r w:rsidRPr="006B611C">
              <w:t>154</w:t>
            </w:r>
          </w:p>
        </w:tc>
        <w:tc>
          <w:tcPr>
            <w:tcW w:w="4048" w:type="dxa"/>
          </w:tcPr>
          <w:p w14:paraId="1CAC39A7" w14:textId="184BE1FF" w:rsidR="00065B14" w:rsidRPr="006B611C" w:rsidRDefault="00065B14" w:rsidP="00065B14">
            <w:r w:rsidRPr="006B611C">
              <w:t xml:space="preserve">Permit a flexible entry into force of the listing of new chemicals for individual Parties and/or “opt out” mechanism of listing </w:t>
            </w:r>
          </w:p>
        </w:tc>
        <w:tc>
          <w:tcPr>
            <w:tcW w:w="1278" w:type="dxa"/>
          </w:tcPr>
          <w:p w14:paraId="162C82DA" w14:textId="24B2F0E1" w:rsidR="00065B14" w:rsidRPr="006B611C" w:rsidRDefault="00065B14" w:rsidP="00065B14">
            <w:r>
              <w:t>International</w:t>
            </w:r>
          </w:p>
        </w:tc>
        <w:tc>
          <w:tcPr>
            <w:tcW w:w="1275" w:type="dxa"/>
          </w:tcPr>
          <w:p w14:paraId="44A4AE1A" w14:textId="77777777" w:rsidR="00065B14" w:rsidRPr="006B611C" w:rsidRDefault="00065B14" w:rsidP="00065B14">
            <w:r w:rsidRPr="006B611C">
              <w:t>No</w:t>
            </w:r>
          </w:p>
        </w:tc>
        <w:tc>
          <w:tcPr>
            <w:tcW w:w="2279" w:type="dxa"/>
          </w:tcPr>
          <w:p w14:paraId="36C5B4A7" w14:textId="3229AFA8" w:rsidR="00065B14" w:rsidRPr="006B611C" w:rsidRDefault="00065B14" w:rsidP="00065B14">
            <w:r w:rsidRPr="006B611C">
              <w:t>Amendment to the Convention (</w:t>
            </w:r>
            <w:r>
              <w:t xml:space="preserve">Pursuant to </w:t>
            </w:r>
            <w:r w:rsidRPr="006B611C">
              <w:t xml:space="preserve">Articles 21 and 22) </w:t>
            </w:r>
          </w:p>
        </w:tc>
      </w:tr>
      <w:tr w:rsidR="00065B14" w:rsidRPr="006B611C" w14:paraId="75106658" w14:textId="77777777" w:rsidTr="00172CA2">
        <w:tc>
          <w:tcPr>
            <w:tcW w:w="630" w:type="dxa"/>
          </w:tcPr>
          <w:p w14:paraId="5755A286" w14:textId="77777777" w:rsidR="00065B14" w:rsidRPr="006B611C" w:rsidRDefault="00065B14" w:rsidP="00065B14">
            <w:r w:rsidRPr="006B611C">
              <w:t>160</w:t>
            </w:r>
          </w:p>
        </w:tc>
        <w:tc>
          <w:tcPr>
            <w:tcW w:w="4048" w:type="dxa"/>
          </w:tcPr>
          <w:p w14:paraId="0B48C560" w14:textId="4B91F10C" w:rsidR="00065B14" w:rsidRPr="006B611C" w:rsidRDefault="00065B14" w:rsidP="00065B14">
            <w:r w:rsidRPr="006B611C">
              <w:t xml:space="preserve">Voluntary </w:t>
            </w:r>
            <w:r>
              <w:t>prior informed consent (</w:t>
            </w:r>
            <w:r w:rsidRPr="006B611C">
              <w:t>PIC</w:t>
            </w:r>
            <w:r>
              <w:t>)</w:t>
            </w:r>
            <w:r w:rsidRPr="006B611C">
              <w:t xml:space="preserve"> mechanism through individual or generic COP decision(s)</w:t>
            </w:r>
          </w:p>
        </w:tc>
        <w:tc>
          <w:tcPr>
            <w:tcW w:w="1278" w:type="dxa"/>
          </w:tcPr>
          <w:p w14:paraId="01C8AD6D" w14:textId="59A83CB9" w:rsidR="00065B14" w:rsidRPr="006B611C" w:rsidRDefault="00065B14" w:rsidP="00065B14">
            <w:r>
              <w:t xml:space="preserve"> International</w:t>
            </w:r>
          </w:p>
        </w:tc>
        <w:tc>
          <w:tcPr>
            <w:tcW w:w="1275" w:type="dxa"/>
          </w:tcPr>
          <w:p w14:paraId="0AB1CEE5" w14:textId="77777777" w:rsidR="00065B14" w:rsidRPr="006B611C" w:rsidRDefault="00065B14" w:rsidP="00065B14">
            <w:r w:rsidRPr="006B611C">
              <w:t>No</w:t>
            </w:r>
          </w:p>
        </w:tc>
        <w:tc>
          <w:tcPr>
            <w:tcW w:w="2279" w:type="dxa"/>
          </w:tcPr>
          <w:p w14:paraId="542A47C6" w14:textId="2B1608C7" w:rsidR="00065B14" w:rsidRPr="006B611C" w:rsidRDefault="00065B14" w:rsidP="00065B14">
            <w:r w:rsidRPr="00BF544F">
              <w:rPr>
                <w:i/>
              </w:rPr>
              <w:t>Note: Currently, COP decisions for chemicals for which no agreement on listing could be found invite Parties to share information</w:t>
            </w:r>
          </w:p>
        </w:tc>
      </w:tr>
      <w:tr w:rsidR="00065B14" w:rsidRPr="006B611C" w14:paraId="2F8AAA7D" w14:textId="77777777" w:rsidTr="00172CA2">
        <w:tc>
          <w:tcPr>
            <w:tcW w:w="630" w:type="dxa"/>
          </w:tcPr>
          <w:p w14:paraId="113341FF" w14:textId="77777777" w:rsidR="00065B14" w:rsidRPr="006B611C" w:rsidRDefault="00065B14" w:rsidP="00065B14">
            <w:r w:rsidRPr="006B611C">
              <w:t>160, 161</w:t>
            </w:r>
          </w:p>
        </w:tc>
        <w:tc>
          <w:tcPr>
            <w:tcW w:w="4048" w:type="dxa"/>
          </w:tcPr>
          <w:p w14:paraId="76778935" w14:textId="67C44C2E" w:rsidR="00065B14" w:rsidRPr="006B611C" w:rsidRDefault="00E1688E" w:rsidP="00065B14">
            <w:r>
              <w:t>Adopt</w:t>
            </w:r>
            <w:r w:rsidRPr="006B611C">
              <w:t xml:space="preserve"> </w:t>
            </w:r>
            <w:r w:rsidR="00065B14" w:rsidRPr="006B611C">
              <w:t xml:space="preserve">new Annex for voluntary PIC procedure </w:t>
            </w:r>
          </w:p>
        </w:tc>
        <w:tc>
          <w:tcPr>
            <w:tcW w:w="1278" w:type="dxa"/>
          </w:tcPr>
          <w:p w14:paraId="62D7B196" w14:textId="152E8C32" w:rsidR="00065B14" w:rsidRPr="006B611C" w:rsidRDefault="00065B14" w:rsidP="00065B14">
            <w:r>
              <w:t>International</w:t>
            </w:r>
          </w:p>
        </w:tc>
        <w:tc>
          <w:tcPr>
            <w:tcW w:w="1275" w:type="dxa"/>
          </w:tcPr>
          <w:p w14:paraId="07C4A0BC" w14:textId="77777777" w:rsidR="00065B14" w:rsidRPr="006B611C" w:rsidRDefault="00065B14" w:rsidP="00065B14">
            <w:r w:rsidRPr="006B611C">
              <w:t>No</w:t>
            </w:r>
          </w:p>
        </w:tc>
        <w:tc>
          <w:tcPr>
            <w:tcW w:w="2279" w:type="dxa"/>
          </w:tcPr>
          <w:p w14:paraId="1D570C96" w14:textId="5D39E264" w:rsidR="00065B14" w:rsidRPr="006B611C" w:rsidRDefault="00065B14" w:rsidP="00065B14">
            <w:r w:rsidRPr="006B611C">
              <w:t>Adoption of additional Annex (</w:t>
            </w:r>
            <w:r>
              <w:t xml:space="preserve">Pursuant to </w:t>
            </w:r>
            <w:r w:rsidRPr="006B611C">
              <w:t xml:space="preserve">Article 22, paragraph 3) </w:t>
            </w:r>
          </w:p>
        </w:tc>
      </w:tr>
      <w:tr w:rsidR="00E1688E" w:rsidRPr="006B611C" w14:paraId="067366F1" w14:textId="77777777" w:rsidTr="00172CA2">
        <w:tc>
          <w:tcPr>
            <w:tcW w:w="630" w:type="dxa"/>
          </w:tcPr>
          <w:p w14:paraId="3E3A820C" w14:textId="470DBEF3" w:rsidR="00E1688E" w:rsidRPr="006B611C" w:rsidRDefault="00E835B2" w:rsidP="00E1688E">
            <w:r>
              <w:t>n/a</w:t>
            </w:r>
            <w:r w:rsidR="00E1688E">
              <w:rPr>
                <w:rStyle w:val="FootnoteReference"/>
              </w:rPr>
              <w:footnoteReference w:id="9"/>
            </w:r>
          </w:p>
        </w:tc>
        <w:tc>
          <w:tcPr>
            <w:tcW w:w="4048" w:type="dxa"/>
          </w:tcPr>
          <w:p w14:paraId="659BD58E" w14:textId="0FE961E3" w:rsidR="00E1688E" w:rsidRPr="006B611C" w:rsidRDefault="00E1688E" w:rsidP="008E7C6C">
            <w:pPr>
              <w:jc w:val="both"/>
            </w:pPr>
            <w:r>
              <w:t xml:space="preserve">Adopt new Annex to allow for opt-out of PIC </w:t>
            </w:r>
            <w:r w:rsidR="00E835B2">
              <w:t>procedure</w:t>
            </w:r>
            <w:r>
              <w:t xml:space="preserve"> for chemicals </w:t>
            </w:r>
            <w:r w:rsidR="00E835B2">
              <w:t xml:space="preserve">listed in that Annex </w:t>
            </w:r>
            <w:r>
              <w:t>(</w:t>
            </w:r>
            <w:r w:rsidR="00E835B2">
              <w:t xml:space="preserve">obligations of chemicals listed in that Annex would </w:t>
            </w:r>
            <w:r>
              <w:t>either</w:t>
            </w:r>
            <w:r w:rsidR="00E835B2">
              <w:t xml:space="preserve"> be the </w:t>
            </w:r>
            <w:r>
              <w:t>same as</w:t>
            </w:r>
            <w:r w:rsidR="00E835B2">
              <w:t xml:space="preserve"> for</w:t>
            </w:r>
            <w:r>
              <w:t xml:space="preserve"> Annex III or different, such as promoting information exchange)</w:t>
            </w:r>
          </w:p>
        </w:tc>
        <w:tc>
          <w:tcPr>
            <w:tcW w:w="1278" w:type="dxa"/>
          </w:tcPr>
          <w:p w14:paraId="265CA891" w14:textId="32B3F057" w:rsidR="00E1688E" w:rsidRDefault="00E1688E" w:rsidP="00E1688E">
            <w:r>
              <w:t>International</w:t>
            </w:r>
          </w:p>
        </w:tc>
        <w:tc>
          <w:tcPr>
            <w:tcW w:w="1275" w:type="dxa"/>
          </w:tcPr>
          <w:p w14:paraId="4BBB7F71" w14:textId="723BF3B5" w:rsidR="00E1688E" w:rsidRPr="006B611C" w:rsidRDefault="00E1688E" w:rsidP="00E1688E">
            <w:r>
              <w:t>No</w:t>
            </w:r>
          </w:p>
        </w:tc>
        <w:tc>
          <w:tcPr>
            <w:tcW w:w="2279" w:type="dxa"/>
          </w:tcPr>
          <w:p w14:paraId="7314F7CD" w14:textId="1957E591" w:rsidR="00E1688E" w:rsidRPr="006B611C" w:rsidRDefault="00E1688E" w:rsidP="00E1688E">
            <w:r w:rsidRPr="006B611C">
              <w:t>Adoption of additional Annex (</w:t>
            </w:r>
            <w:r>
              <w:t xml:space="preserve">Pursuant to </w:t>
            </w:r>
            <w:r w:rsidRPr="006B611C">
              <w:t xml:space="preserve">Article 22, paragraph 3) </w:t>
            </w:r>
          </w:p>
        </w:tc>
      </w:tr>
      <w:tr w:rsidR="00E1688E" w:rsidRPr="006B611C" w14:paraId="5ACBD471" w14:textId="77777777" w:rsidTr="00172CA2">
        <w:tc>
          <w:tcPr>
            <w:tcW w:w="630" w:type="dxa"/>
          </w:tcPr>
          <w:p w14:paraId="75BB48A3" w14:textId="77777777" w:rsidR="00E1688E" w:rsidRPr="006B611C" w:rsidRDefault="00E1688E" w:rsidP="00E1688E">
            <w:r w:rsidRPr="006B611C">
              <w:t>161</w:t>
            </w:r>
          </w:p>
        </w:tc>
        <w:tc>
          <w:tcPr>
            <w:tcW w:w="4048" w:type="dxa"/>
          </w:tcPr>
          <w:p w14:paraId="2CDE7D24" w14:textId="77777777" w:rsidR="00E1688E" w:rsidRPr="006B611C" w:rsidRDefault="00E1688E" w:rsidP="00E1688E">
            <w:r w:rsidRPr="006B611C">
              <w:t xml:space="preserve">Amend the Convention to allow for voting on amending Annex III </w:t>
            </w:r>
          </w:p>
        </w:tc>
        <w:tc>
          <w:tcPr>
            <w:tcW w:w="1278" w:type="dxa"/>
          </w:tcPr>
          <w:p w14:paraId="6E73A584" w14:textId="031142CB" w:rsidR="00E1688E" w:rsidRPr="006B611C" w:rsidRDefault="00E1688E" w:rsidP="00E1688E">
            <w:r>
              <w:t>International</w:t>
            </w:r>
          </w:p>
        </w:tc>
        <w:tc>
          <w:tcPr>
            <w:tcW w:w="1275" w:type="dxa"/>
          </w:tcPr>
          <w:p w14:paraId="65A1B82E" w14:textId="77777777" w:rsidR="00E1688E" w:rsidRPr="006B611C" w:rsidRDefault="00E1688E" w:rsidP="00E1688E">
            <w:r w:rsidRPr="006B611C">
              <w:t>No</w:t>
            </w:r>
          </w:p>
        </w:tc>
        <w:tc>
          <w:tcPr>
            <w:tcW w:w="2279" w:type="dxa"/>
          </w:tcPr>
          <w:p w14:paraId="0823A70A" w14:textId="12DD9F43" w:rsidR="00E1688E" w:rsidRPr="006B611C" w:rsidRDefault="00E1688E" w:rsidP="00E1688E">
            <w:r w:rsidRPr="006B611C">
              <w:t>Amendment to the Convention (</w:t>
            </w:r>
            <w:r>
              <w:t xml:space="preserve">Pursuant to </w:t>
            </w:r>
            <w:r w:rsidRPr="006B611C">
              <w:t xml:space="preserve">Articles 21 and 22) </w:t>
            </w:r>
          </w:p>
        </w:tc>
      </w:tr>
      <w:tr w:rsidR="00E1688E" w:rsidRPr="006B611C" w14:paraId="5D49A50E" w14:textId="77777777" w:rsidTr="00172CA2">
        <w:tc>
          <w:tcPr>
            <w:tcW w:w="630" w:type="dxa"/>
          </w:tcPr>
          <w:p w14:paraId="58A1DA87" w14:textId="77777777" w:rsidR="00E1688E" w:rsidRPr="006B611C" w:rsidRDefault="00E1688E" w:rsidP="00E1688E">
            <w:r w:rsidRPr="006B611C">
              <w:t>162</w:t>
            </w:r>
          </w:p>
        </w:tc>
        <w:tc>
          <w:tcPr>
            <w:tcW w:w="4048" w:type="dxa"/>
          </w:tcPr>
          <w:p w14:paraId="544940F6" w14:textId="77777777" w:rsidR="00E1688E" w:rsidRPr="006B611C" w:rsidRDefault="00E1688E" w:rsidP="00E1688E">
            <w:r w:rsidRPr="006B611C">
              <w:t xml:space="preserve">Amend the Convention to allow for voting on amending Annex III in combination with “opt-out” possibility </w:t>
            </w:r>
          </w:p>
        </w:tc>
        <w:tc>
          <w:tcPr>
            <w:tcW w:w="1278" w:type="dxa"/>
          </w:tcPr>
          <w:p w14:paraId="194E07FE" w14:textId="7953764A" w:rsidR="00E1688E" w:rsidRPr="006B611C" w:rsidRDefault="00E1688E" w:rsidP="00E1688E">
            <w:r>
              <w:t>International</w:t>
            </w:r>
          </w:p>
        </w:tc>
        <w:tc>
          <w:tcPr>
            <w:tcW w:w="1275" w:type="dxa"/>
          </w:tcPr>
          <w:p w14:paraId="619560F4" w14:textId="77777777" w:rsidR="00E1688E" w:rsidRPr="006B611C" w:rsidRDefault="00E1688E" w:rsidP="00E1688E">
            <w:r w:rsidRPr="006B611C">
              <w:t>No</w:t>
            </w:r>
          </w:p>
        </w:tc>
        <w:tc>
          <w:tcPr>
            <w:tcW w:w="2279" w:type="dxa"/>
          </w:tcPr>
          <w:p w14:paraId="3AB56DFF" w14:textId="5321C581" w:rsidR="00E1688E" w:rsidRPr="006B611C" w:rsidRDefault="00E1688E" w:rsidP="00E1688E">
            <w:r w:rsidRPr="006B611C">
              <w:t>Amendment to the Convention (</w:t>
            </w:r>
            <w:r>
              <w:t xml:space="preserve">Pursuant to </w:t>
            </w:r>
            <w:r w:rsidRPr="006B611C">
              <w:t>Articles 21 and 22)</w:t>
            </w:r>
          </w:p>
        </w:tc>
      </w:tr>
      <w:tr w:rsidR="00E1688E" w:rsidRPr="006B611C" w14:paraId="37F5E582" w14:textId="77777777" w:rsidTr="00172CA2">
        <w:tc>
          <w:tcPr>
            <w:tcW w:w="630" w:type="dxa"/>
          </w:tcPr>
          <w:p w14:paraId="6D4DE69F" w14:textId="4B28D6A8" w:rsidR="00E1688E" w:rsidRPr="006B611C" w:rsidRDefault="00E1688E" w:rsidP="00E1688E">
            <w:r w:rsidRPr="006B611C">
              <w:t>151, 153</w:t>
            </w:r>
            <w:r w:rsidR="00A338C6">
              <w:rPr>
                <w:rStyle w:val="FootnoteReference"/>
              </w:rPr>
              <w:footnoteReference w:id="10"/>
            </w:r>
          </w:p>
        </w:tc>
        <w:tc>
          <w:tcPr>
            <w:tcW w:w="4048" w:type="dxa"/>
          </w:tcPr>
          <w:p w14:paraId="6095481D" w14:textId="77777777" w:rsidR="00E1688E" w:rsidRPr="006B611C" w:rsidRDefault="00E1688E" w:rsidP="00E1688E">
            <w:r w:rsidRPr="006B611C">
              <w:t xml:space="preserve">Examine further impacts of listing: </w:t>
            </w:r>
          </w:p>
          <w:p w14:paraId="59FC5F2B" w14:textId="77777777" w:rsidR="00E1688E" w:rsidRPr="006B611C" w:rsidRDefault="00E1688E" w:rsidP="00E1688E">
            <w:pPr>
              <w:pStyle w:val="ListParagraph"/>
              <w:numPr>
                <w:ilvl w:val="0"/>
                <w:numId w:val="11"/>
              </w:numPr>
              <w:spacing w:after="0" w:line="240" w:lineRule="auto"/>
              <w:ind w:left="229" w:hanging="229"/>
              <w:rPr>
                <w:rFonts w:ascii="Times New Roman" w:hAnsi="Times New Roman" w:cs="Times New Roman"/>
                <w:sz w:val="20"/>
                <w:szCs w:val="20"/>
              </w:rPr>
            </w:pPr>
            <w:r w:rsidRPr="006B611C">
              <w:rPr>
                <w:rFonts w:ascii="Times New Roman" w:hAnsi="Times New Roman" w:cs="Times New Roman"/>
                <w:sz w:val="20"/>
                <w:szCs w:val="20"/>
              </w:rPr>
              <w:t>Factors considered by Parties in making listing decisions</w:t>
            </w:r>
          </w:p>
          <w:p w14:paraId="41DBDE45" w14:textId="78906A32" w:rsidR="00E1688E" w:rsidRDefault="00E1688E" w:rsidP="00E1688E">
            <w:pPr>
              <w:pStyle w:val="ListParagraph"/>
              <w:numPr>
                <w:ilvl w:val="0"/>
                <w:numId w:val="11"/>
              </w:numPr>
              <w:spacing w:after="0" w:line="240" w:lineRule="auto"/>
              <w:ind w:left="229" w:hanging="229"/>
              <w:rPr>
                <w:rFonts w:ascii="Times New Roman" w:hAnsi="Times New Roman" w:cs="Times New Roman"/>
                <w:sz w:val="20"/>
                <w:szCs w:val="20"/>
              </w:rPr>
            </w:pPr>
            <w:r w:rsidRPr="006B611C">
              <w:rPr>
                <w:rFonts w:ascii="Times New Roman" w:hAnsi="Times New Roman" w:cs="Times New Roman"/>
                <w:sz w:val="20"/>
                <w:szCs w:val="20"/>
              </w:rPr>
              <w:t>Effects of listing on trade</w:t>
            </w:r>
          </w:p>
          <w:p w14:paraId="57470948" w14:textId="033D9737" w:rsidR="007A18BE" w:rsidRPr="008A4DC3" w:rsidRDefault="007A18BE" w:rsidP="00E1688E">
            <w:pPr>
              <w:pStyle w:val="ListParagraph"/>
              <w:numPr>
                <w:ilvl w:val="0"/>
                <w:numId w:val="11"/>
              </w:numPr>
              <w:spacing w:after="0" w:line="240" w:lineRule="auto"/>
              <w:ind w:left="229" w:hanging="229"/>
              <w:rPr>
                <w:rFonts w:ascii="Times New Roman" w:hAnsi="Times New Roman" w:cs="Times New Roman"/>
                <w:sz w:val="20"/>
                <w:szCs w:val="20"/>
              </w:rPr>
            </w:pPr>
            <w:r w:rsidRPr="008A4DC3">
              <w:rPr>
                <w:rFonts w:ascii="Times New Roman" w:hAnsi="Times New Roman" w:cs="Times New Roman"/>
                <w:sz w:val="20"/>
                <w:szCs w:val="20"/>
              </w:rPr>
              <w:t xml:space="preserve">Effects on human health and the environment </w:t>
            </w:r>
          </w:p>
          <w:p w14:paraId="2AEADB41" w14:textId="53E7532E" w:rsidR="00E1688E" w:rsidRPr="006B611C" w:rsidRDefault="00E1688E" w:rsidP="00E1688E">
            <w:pPr>
              <w:pStyle w:val="ListParagraph"/>
              <w:numPr>
                <w:ilvl w:val="0"/>
                <w:numId w:val="11"/>
              </w:numPr>
              <w:spacing w:after="0" w:line="240" w:lineRule="auto"/>
              <w:ind w:left="229" w:hanging="229"/>
              <w:rPr>
                <w:rFonts w:ascii="Times New Roman" w:hAnsi="Times New Roman" w:cs="Times New Roman"/>
                <w:sz w:val="20"/>
                <w:szCs w:val="20"/>
              </w:rPr>
            </w:pPr>
            <w:r w:rsidRPr="006B611C">
              <w:rPr>
                <w:rFonts w:ascii="Times New Roman" w:hAnsi="Times New Roman" w:cs="Times New Roman"/>
                <w:sz w:val="20"/>
                <w:szCs w:val="20"/>
              </w:rPr>
              <w:t xml:space="preserve">Relationship between </w:t>
            </w:r>
            <w:r>
              <w:rPr>
                <w:rFonts w:ascii="Times New Roman" w:hAnsi="Times New Roman" w:cs="Times New Roman"/>
                <w:sz w:val="20"/>
                <w:szCs w:val="20"/>
              </w:rPr>
              <w:t>the Chemical Review Committee</w:t>
            </w:r>
            <w:r w:rsidRPr="006B611C">
              <w:rPr>
                <w:rFonts w:ascii="Times New Roman" w:hAnsi="Times New Roman" w:cs="Times New Roman"/>
                <w:sz w:val="20"/>
                <w:szCs w:val="20"/>
              </w:rPr>
              <w:t xml:space="preserve"> and </w:t>
            </w:r>
            <w:r>
              <w:rPr>
                <w:rFonts w:ascii="Times New Roman" w:hAnsi="Times New Roman" w:cs="Times New Roman"/>
                <w:sz w:val="20"/>
                <w:szCs w:val="20"/>
              </w:rPr>
              <w:t xml:space="preserve">the </w:t>
            </w:r>
            <w:r w:rsidRPr="006B611C">
              <w:rPr>
                <w:rFonts w:ascii="Times New Roman" w:hAnsi="Times New Roman" w:cs="Times New Roman"/>
                <w:sz w:val="20"/>
                <w:szCs w:val="20"/>
              </w:rPr>
              <w:t>C</w:t>
            </w:r>
            <w:r>
              <w:rPr>
                <w:rFonts w:ascii="Times New Roman" w:hAnsi="Times New Roman" w:cs="Times New Roman"/>
                <w:sz w:val="20"/>
                <w:szCs w:val="20"/>
              </w:rPr>
              <w:t xml:space="preserve">onference of the </w:t>
            </w:r>
            <w:r w:rsidRPr="006B611C">
              <w:rPr>
                <w:rFonts w:ascii="Times New Roman" w:hAnsi="Times New Roman" w:cs="Times New Roman"/>
                <w:sz w:val="20"/>
                <w:szCs w:val="20"/>
              </w:rPr>
              <w:t>P</w:t>
            </w:r>
            <w:r>
              <w:rPr>
                <w:rFonts w:ascii="Times New Roman" w:hAnsi="Times New Roman" w:cs="Times New Roman"/>
                <w:sz w:val="20"/>
                <w:szCs w:val="20"/>
              </w:rPr>
              <w:t>arties</w:t>
            </w:r>
            <w:r w:rsidRPr="006B611C">
              <w:rPr>
                <w:rFonts w:ascii="Times New Roman" w:hAnsi="Times New Roman" w:cs="Times New Roman"/>
                <w:sz w:val="20"/>
                <w:szCs w:val="20"/>
              </w:rPr>
              <w:t xml:space="preserve"> </w:t>
            </w:r>
          </w:p>
        </w:tc>
        <w:tc>
          <w:tcPr>
            <w:tcW w:w="1278" w:type="dxa"/>
          </w:tcPr>
          <w:p w14:paraId="0EEA0C75" w14:textId="6F790642" w:rsidR="00E1688E" w:rsidRPr="006B611C" w:rsidRDefault="00E1688E" w:rsidP="00E1688E">
            <w:r>
              <w:t>International</w:t>
            </w:r>
            <w:r w:rsidRPr="006B611C" w:rsidDel="00FA6549">
              <w:t xml:space="preserve"> </w:t>
            </w:r>
          </w:p>
        </w:tc>
        <w:tc>
          <w:tcPr>
            <w:tcW w:w="1275" w:type="dxa"/>
          </w:tcPr>
          <w:p w14:paraId="43EC8EB0" w14:textId="3C4E4F1A" w:rsidR="00E1688E" w:rsidRPr="006B611C" w:rsidRDefault="00E1688E" w:rsidP="00E1688E">
            <w:r w:rsidRPr="006B611C">
              <w:t>Yes</w:t>
            </w:r>
            <w:r>
              <w:t xml:space="preserve"> (voluntary)</w:t>
            </w:r>
          </w:p>
        </w:tc>
        <w:tc>
          <w:tcPr>
            <w:tcW w:w="2279" w:type="dxa"/>
          </w:tcPr>
          <w:p w14:paraId="652AD9E4" w14:textId="4A4CADCD" w:rsidR="00E1688E" w:rsidRPr="006B611C" w:rsidRDefault="00E1688E" w:rsidP="00E1688E">
            <w:r>
              <w:t>Carry out further s</w:t>
            </w:r>
            <w:r w:rsidRPr="006B611C">
              <w:t xml:space="preserve">tudy </w:t>
            </w:r>
            <w:r w:rsidRPr="006B611C">
              <w:br/>
            </w:r>
            <w:r w:rsidRPr="00BF544F">
              <w:rPr>
                <w:i/>
              </w:rPr>
              <w:t xml:space="preserve">Note: A first study was prepared for COP-8 (UNEP/FAO/RC/COP.8/INF/21); another study from the </w:t>
            </w:r>
            <w:r w:rsidRPr="00B31A1E">
              <w:rPr>
                <w:i/>
              </w:rPr>
              <w:t>European Commission</w:t>
            </w:r>
            <w:r w:rsidRPr="00BF544F">
              <w:rPr>
                <w:i/>
              </w:rPr>
              <w:t xml:space="preserve"> is available</w:t>
            </w:r>
            <w:r w:rsidR="00B22751" w:rsidRPr="00B31A1E">
              <w:rPr>
                <w:rStyle w:val="FootnoteReference"/>
                <w:i/>
              </w:rPr>
              <w:footnoteReference w:id="11"/>
            </w:r>
          </w:p>
        </w:tc>
      </w:tr>
      <w:tr w:rsidR="00E1688E" w:rsidRPr="006B611C" w14:paraId="4918A856" w14:textId="77777777" w:rsidTr="00172CA2">
        <w:tc>
          <w:tcPr>
            <w:tcW w:w="630" w:type="dxa"/>
          </w:tcPr>
          <w:p w14:paraId="6F72725B" w14:textId="73A312E3" w:rsidR="00E1688E" w:rsidRPr="006B611C" w:rsidRDefault="00E1688E" w:rsidP="00E1688E">
            <w:r w:rsidRPr="006B611C">
              <w:t>152, 161</w:t>
            </w:r>
            <w:r>
              <w:rPr>
                <w:rStyle w:val="FootnoteReference"/>
              </w:rPr>
              <w:footnoteReference w:id="12"/>
            </w:r>
          </w:p>
        </w:tc>
        <w:tc>
          <w:tcPr>
            <w:tcW w:w="4048" w:type="dxa"/>
          </w:tcPr>
          <w:p w14:paraId="149A0DDD" w14:textId="77777777" w:rsidR="00E1688E" w:rsidRPr="006B611C" w:rsidRDefault="00E1688E" w:rsidP="00E1688E">
            <w:r w:rsidRPr="006B611C">
              <w:t xml:space="preserve">Analyse how other conventions dealt with: </w:t>
            </w:r>
          </w:p>
          <w:p w14:paraId="7512940D" w14:textId="77777777" w:rsidR="00E1688E" w:rsidRPr="006B611C" w:rsidRDefault="00E1688E" w:rsidP="00E1688E">
            <w:pPr>
              <w:pStyle w:val="ListParagraph"/>
              <w:numPr>
                <w:ilvl w:val="0"/>
                <w:numId w:val="11"/>
              </w:numPr>
              <w:spacing w:after="0" w:line="240" w:lineRule="auto"/>
              <w:ind w:left="229" w:hanging="229"/>
              <w:rPr>
                <w:rFonts w:ascii="Times New Roman" w:hAnsi="Times New Roman" w:cs="Times New Roman"/>
                <w:sz w:val="20"/>
                <w:szCs w:val="20"/>
              </w:rPr>
            </w:pPr>
            <w:r w:rsidRPr="006B611C">
              <w:rPr>
                <w:rFonts w:ascii="Times New Roman" w:hAnsi="Times New Roman" w:cs="Times New Roman"/>
                <w:sz w:val="20"/>
                <w:szCs w:val="20"/>
              </w:rPr>
              <w:t>Promoting a shared understanding of key terminology</w:t>
            </w:r>
          </w:p>
          <w:p w14:paraId="17112577" w14:textId="77777777" w:rsidR="00E1688E" w:rsidRDefault="00E1688E" w:rsidP="00E1688E">
            <w:pPr>
              <w:pStyle w:val="ListParagraph"/>
              <w:numPr>
                <w:ilvl w:val="0"/>
                <w:numId w:val="11"/>
              </w:numPr>
              <w:spacing w:after="0" w:line="240" w:lineRule="auto"/>
              <w:ind w:left="229" w:hanging="229"/>
              <w:rPr>
                <w:rFonts w:ascii="Times New Roman" w:hAnsi="Times New Roman" w:cs="Times New Roman"/>
                <w:sz w:val="20"/>
                <w:szCs w:val="20"/>
              </w:rPr>
            </w:pPr>
            <w:r>
              <w:rPr>
                <w:rFonts w:ascii="Times New Roman" w:hAnsi="Times New Roman" w:cs="Times New Roman"/>
                <w:sz w:val="20"/>
                <w:szCs w:val="20"/>
              </w:rPr>
              <w:t xml:space="preserve">Amending the convention to address issues related to not being able to reach consensus </w:t>
            </w:r>
          </w:p>
          <w:p w14:paraId="241C0836" w14:textId="56C68245" w:rsidR="00E1688E" w:rsidRDefault="00E1688E" w:rsidP="00E1688E">
            <w:pPr>
              <w:pStyle w:val="ListParagraph"/>
              <w:numPr>
                <w:ilvl w:val="0"/>
                <w:numId w:val="11"/>
              </w:numPr>
              <w:spacing w:after="0" w:line="240" w:lineRule="auto"/>
              <w:ind w:left="229" w:hanging="229"/>
              <w:rPr>
                <w:rFonts w:ascii="Times New Roman" w:hAnsi="Times New Roman" w:cs="Times New Roman"/>
                <w:sz w:val="20"/>
                <w:szCs w:val="20"/>
              </w:rPr>
            </w:pPr>
            <w:r>
              <w:rPr>
                <w:rFonts w:ascii="Times New Roman" w:hAnsi="Times New Roman" w:cs="Times New Roman"/>
                <w:sz w:val="20"/>
                <w:szCs w:val="20"/>
              </w:rPr>
              <w:t xml:space="preserve">How to keep the </w:t>
            </w:r>
            <w:r w:rsidR="00B22751">
              <w:rPr>
                <w:rFonts w:ascii="Times New Roman" w:hAnsi="Times New Roman" w:cs="Times New Roman"/>
                <w:sz w:val="20"/>
                <w:szCs w:val="20"/>
              </w:rPr>
              <w:t>C</w:t>
            </w:r>
            <w:r>
              <w:rPr>
                <w:rFonts w:ascii="Times New Roman" w:hAnsi="Times New Roman" w:cs="Times New Roman"/>
                <w:sz w:val="20"/>
                <w:szCs w:val="20"/>
              </w:rPr>
              <w:t>onvention effective</w:t>
            </w:r>
          </w:p>
          <w:p w14:paraId="64C69C79" w14:textId="075CFBD6" w:rsidR="00E1688E" w:rsidRPr="006B611C" w:rsidRDefault="00E1688E" w:rsidP="00E1688E">
            <w:pPr>
              <w:pStyle w:val="ListParagraph"/>
              <w:numPr>
                <w:ilvl w:val="0"/>
                <w:numId w:val="11"/>
              </w:numPr>
              <w:spacing w:after="0" w:line="240" w:lineRule="auto"/>
              <w:ind w:left="229" w:hanging="229"/>
              <w:rPr>
                <w:rFonts w:ascii="Times New Roman" w:hAnsi="Times New Roman" w:cs="Times New Roman"/>
                <w:sz w:val="20"/>
                <w:szCs w:val="20"/>
              </w:rPr>
            </w:pPr>
            <w:r>
              <w:rPr>
                <w:rFonts w:ascii="Times New Roman" w:hAnsi="Times New Roman" w:cs="Times New Roman"/>
                <w:sz w:val="20"/>
                <w:szCs w:val="20"/>
              </w:rPr>
              <w:t>P</w:t>
            </w:r>
            <w:r w:rsidR="004B36CA">
              <w:rPr>
                <w:rFonts w:ascii="Times New Roman" w:hAnsi="Times New Roman" w:cs="Times New Roman"/>
                <w:sz w:val="20"/>
                <w:szCs w:val="20"/>
              </w:rPr>
              <w:t>r</w:t>
            </w:r>
            <w:r>
              <w:rPr>
                <w:rFonts w:ascii="Times New Roman" w:hAnsi="Times New Roman" w:cs="Times New Roman"/>
                <w:sz w:val="20"/>
                <w:szCs w:val="20"/>
              </w:rPr>
              <w:t xml:space="preserve">omoting improved information flows </w:t>
            </w:r>
          </w:p>
        </w:tc>
        <w:tc>
          <w:tcPr>
            <w:tcW w:w="1278" w:type="dxa"/>
          </w:tcPr>
          <w:p w14:paraId="326DC193" w14:textId="3EEB9573" w:rsidR="00E1688E" w:rsidRPr="006B611C" w:rsidRDefault="00E1688E" w:rsidP="00E1688E">
            <w:r>
              <w:t xml:space="preserve"> International</w:t>
            </w:r>
          </w:p>
        </w:tc>
        <w:tc>
          <w:tcPr>
            <w:tcW w:w="1275" w:type="dxa"/>
          </w:tcPr>
          <w:p w14:paraId="37A7E24B" w14:textId="1A28634D" w:rsidR="00E1688E" w:rsidRPr="006B611C" w:rsidRDefault="00E1688E" w:rsidP="00E1688E">
            <w:r w:rsidRPr="006B611C">
              <w:t>Yes</w:t>
            </w:r>
            <w:r>
              <w:t xml:space="preserve"> (voluntary)</w:t>
            </w:r>
          </w:p>
        </w:tc>
        <w:tc>
          <w:tcPr>
            <w:tcW w:w="2279" w:type="dxa"/>
          </w:tcPr>
          <w:p w14:paraId="3EA1326F" w14:textId="70AB796B" w:rsidR="00E1688E" w:rsidRPr="006B611C" w:rsidRDefault="00E1688E" w:rsidP="00E1688E">
            <w:r>
              <w:t>Carry out s</w:t>
            </w:r>
            <w:r w:rsidRPr="006B611C">
              <w:t>tudy</w:t>
            </w:r>
            <w:r>
              <w:t>(</w:t>
            </w:r>
            <w:proofErr w:type="spellStart"/>
            <w:r>
              <w:t>ies</w:t>
            </w:r>
            <w:proofErr w:type="spellEnd"/>
            <w:r>
              <w:t>)</w:t>
            </w:r>
            <w:r w:rsidRPr="006B611C">
              <w:t xml:space="preserve"> </w:t>
            </w:r>
          </w:p>
        </w:tc>
      </w:tr>
      <w:tr w:rsidR="00E1688E" w:rsidRPr="006B611C" w14:paraId="0B9164C1" w14:textId="77777777" w:rsidTr="00172CA2">
        <w:trPr>
          <w:trHeight w:val="707"/>
        </w:trPr>
        <w:tc>
          <w:tcPr>
            <w:tcW w:w="630" w:type="dxa"/>
            <w:vMerge w:val="restart"/>
          </w:tcPr>
          <w:p w14:paraId="51FEC72E" w14:textId="45295BDD" w:rsidR="00E1688E" w:rsidRPr="006B611C" w:rsidRDefault="00E1688E" w:rsidP="00E1688E">
            <w:r w:rsidRPr="006B611C">
              <w:lastRenderedPageBreak/>
              <w:t>152</w:t>
            </w:r>
            <w:r>
              <w:rPr>
                <w:rStyle w:val="FootnoteReference"/>
              </w:rPr>
              <w:footnoteReference w:id="13"/>
            </w:r>
          </w:p>
        </w:tc>
        <w:tc>
          <w:tcPr>
            <w:tcW w:w="4048" w:type="dxa"/>
          </w:tcPr>
          <w:p w14:paraId="362C04AE" w14:textId="77777777" w:rsidR="00E1688E" w:rsidRPr="006B611C" w:rsidRDefault="00E1688E" w:rsidP="008E7C6C">
            <w:pPr>
              <w:keepNext/>
              <w:keepLines/>
            </w:pPr>
            <w:r w:rsidRPr="006B611C">
              <w:t>Promote a shared understanding of key terminology of the Convention:</w:t>
            </w:r>
          </w:p>
          <w:p w14:paraId="51BC604D" w14:textId="77777777" w:rsidR="00E1688E" w:rsidRPr="006B611C" w:rsidRDefault="00E1688E" w:rsidP="008E7C6C">
            <w:pPr>
              <w:pStyle w:val="ListParagraph"/>
              <w:keepNext/>
              <w:keepLines/>
              <w:numPr>
                <w:ilvl w:val="0"/>
                <w:numId w:val="11"/>
              </w:numPr>
              <w:spacing w:after="0" w:line="240" w:lineRule="auto"/>
              <w:ind w:left="229" w:hanging="229"/>
              <w:rPr>
                <w:rFonts w:ascii="Times New Roman" w:hAnsi="Times New Roman" w:cs="Times New Roman"/>
                <w:sz w:val="20"/>
                <w:szCs w:val="20"/>
              </w:rPr>
            </w:pPr>
            <w:r w:rsidRPr="006B611C">
              <w:rPr>
                <w:rFonts w:ascii="Times New Roman" w:hAnsi="Times New Roman" w:cs="Times New Roman"/>
                <w:sz w:val="20"/>
                <w:szCs w:val="20"/>
              </w:rPr>
              <w:t>Develop policy on key terminology</w:t>
            </w:r>
          </w:p>
        </w:tc>
        <w:tc>
          <w:tcPr>
            <w:tcW w:w="1278" w:type="dxa"/>
            <w:vMerge w:val="restart"/>
          </w:tcPr>
          <w:p w14:paraId="69B26EA3" w14:textId="6B4A8615" w:rsidR="00E1688E" w:rsidRPr="006B611C" w:rsidRDefault="00E1688E" w:rsidP="008E7C6C">
            <w:pPr>
              <w:keepNext/>
              <w:keepLines/>
            </w:pPr>
            <w:r>
              <w:t xml:space="preserve"> International</w:t>
            </w:r>
          </w:p>
          <w:p w14:paraId="7D4B4837" w14:textId="2506D495" w:rsidR="00E1688E" w:rsidRPr="006B611C" w:rsidRDefault="00E1688E" w:rsidP="008E7C6C">
            <w:pPr>
              <w:keepNext/>
              <w:keepLines/>
            </w:pPr>
          </w:p>
          <w:p w14:paraId="42C742B0" w14:textId="089E52AF" w:rsidR="00E1688E" w:rsidRPr="006B611C" w:rsidRDefault="00E1688E" w:rsidP="008E7C6C">
            <w:pPr>
              <w:keepNext/>
              <w:keepLines/>
            </w:pPr>
            <w:r>
              <w:t xml:space="preserve"> </w:t>
            </w:r>
          </w:p>
        </w:tc>
        <w:tc>
          <w:tcPr>
            <w:tcW w:w="1275" w:type="dxa"/>
            <w:vMerge w:val="restart"/>
          </w:tcPr>
          <w:p w14:paraId="7156362C" w14:textId="3F2A1507" w:rsidR="00E1688E" w:rsidRPr="006B611C" w:rsidRDefault="00E1688E" w:rsidP="008E7C6C">
            <w:pPr>
              <w:keepNext/>
              <w:keepLines/>
            </w:pPr>
            <w:r w:rsidRPr="006B611C">
              <w:t>Yes</w:t>
            </w:r>
            <w:r>
              <w:t xml:space="preserve"> (voluntary)</w:t>
            </w:r>
          </w:p>
        </w:tc>
        <w:tc>
          <w:tcPr>
            <w:tcW w:w="2279" w:type="dxa"/>
          </w:tcPr>
          <w:p w14:paraId="4FE47CB7" w14:textId="6815C32C" w:rsidR="00E1688E" w:rsidRPr="006B611C" w:rsidRDefault="00E1688E" w:rsidP="008E7C6C">
            <w:pPr>
              <w:keepNext/>
              <w:keepLines/>
            </w:pPr>
            <w:r w:rsidRPr="00A65A97">
              <w:t>Clarify key terminology, e.g. through a glossary of terms for possible adoption by the COP</w:t>
            </w:r>
            <w:r>
              <w:t xml:space="preserve"> or defining certain criteria (e.g. severity of incident of SHPF) by COP</w:t>
            </w:r>
          </w:p>
        </w:tc>
      </w:tr>
      <w:tr w:rsidR="00E1688E" w:rsidRPr="006B611C" w14:paraId="4274381F" w14:textId="77777777" w:rsidTr="00172CA2">
        <w:trPr>
          <w:trHeight w:val="190"/>
        </w:trPr>
        <w:tc>
          <w:tcPr>
            <w:tcW w:w="630" w:type="dxa"/>
            <w:vMerge/>
          </w:tcPr>
          <w:p w14:paraId="63D305A5" w14:textId="77777777" w:rsidR="00E1688E" w:rsidRPr="006B611C" w:rsidRDefault="00E1688E" w:rsidP="00E1688E"/>
        </w:tc>
        <w:tc>
          <w:tcPr>
            <w:tcW w:w="4048" w:type="dxa"/>
          </w:tcPr>
          <w:p w14:paraId="318C7A5C" w14:textId="77777777" w:rsidR="00E1688E" w:rsidRPr="006B611C" w:rsidRDefault="00E1688E" w:rsidP="00E1688E">
            <w:pPr>
              <w:pStyle w:val="ListParagraph"/>
              <w:numPr>
                <w:ilvl w:val="0"/>
                <w:numId w:val="11"/>
              </w:numPr>
              <w:spacing w:after="0" w:line="240" w:lineRule="auto"/>
              <w:ind w:left="229" w:hanging="229"/>
              <w:rPr>
                <w:rFonts w:ascii="Times New Roman" w:hAnsi="Times New Roman" w:cs="Times New Roman"/>
                <w:sz w:val="20"/>
                <w:szCs w:val="20"/>
              </w:rPr>
            </w:pPr>
            <w:r w:rsidRPr="006B611C">
              <w:rPr>
                <w:rFonts w:ascii="Times New Roman" w:hAnsi="Times New Roman" w:cs="Times New Roman"/>
                <w:sz w:val="20"/>
                <w:szCs w:val="20"/>
              </w:rPr>
              <w:t>Educate Parties on key terminology</w:t>
            </w:r>
          </w:p>
        </w:tc>
        <w:tc>
          <w:tcPr>
            <w:tcW w:w="1278" w:type="dxa"/>
            <w:vMerge/>
          </w:tcPr>
          <w:p w14:paraId="753EF914" w14:textId="117C5415" w:rsidR="00E1688E" w:rsidRPr="006B611C" w:rsidRDefault="00E1688E" w:rsidP="00E1688E"/>
        </w:tc>
        <w:tc>
          <w:tcPr>
            <w:tcW w:w="1275" w:type="dxa"/>
            <w:vMerge/>
          </w:tcPr>
          <w:p w14:paraId="0BE6766B" w14:textId="77777777" w:rsidR="00E1688E" w:rsidRPr="006B611C" w:rsidRDefault="00E1688E" w:rsidP="00E1688E"/>
        </w:tc>
        <w:tc>
          <w:tcPr>
            <w:tcW w:w="2279" w:type="dxa"/>
          </w:tcPr>
          <w:p w14:paraId="2359ADFB" w14:textId="735C1A77" w:rsidR="00E1688E" w:rsidRPr="006B611C" w:rsidRDefault="00E1688E" w:rsidP="00E1688E">
            <w:r>
              <w:t>Secretariat to undertake o</w:t>
            </w:r>
            <w:r w:rsidRPr="006B611C">
              <w:t xml:space="preserve">utreach activities </w:t>
            </w:r>
          </w:p>
        </w:tc>
      </w:tr>
      <w:tr w:rsidR="00E1688E" w:rsidRPr="006B611C" w14:paraId="2D0EE80B" w14:textId="77777777" w:rsidTr="00172CA2">
        <w:trPr>
          <w:trHeight w:val="703"/>
        </w:trPr>
        <w:tc>
          <w:tcPr>
            <w:tcW w:w="630" w:type="dxa"/>
            <w:vMerge/>
          </w:tcPr>
          <w:p w14:paraId="7F99D11A" w14:textId="77777777" w:rsidR="00E1688E" w:rsidRPr="006B611C" w:rsidRDefault="00E1688E" w:rsidP="00E1688E"/>
        </w:tc>
        <w:tc>
          <w:tcPr>
            <w:tcW w:w="4048" w:type="dxa"/>
          </w:tcPr>
          <w:p w14:paraId="4AF7DC77" w14:textId="77777777" w:rsidR="00E1688E" w:rsidRPr="006B611C" w:rsidRDefault="00E1688E" w:rsidP="00E1688E">
            <w:pPr>
              <w:pStyle w:val="ListParagraph"/>
              <w:numPr>
                <w:ilvl w:val="0"/>
                <w:numId w:val="11"/>
              </w:numPr>
              <w:spacing w:after="0" w:line="240" w:lineRule="auto"/>
              <w:ind w:left="229" w:hanging="229"/>
              <w:rPr>
                <w:rFonts w:ascii="Times New Roman" w:hAnsi="Times New Roman" w:cs="Times New Roman"/>
                <w:sz w:val="20"/>
                <w:szCs w:val="20"/>
              </w:rPr>
            </w:pPr>
            <w:r w:rsidRPr="006B611C">
              <w:rPr>
                <w:rFonts w:ascii="Times New Roman" w:hAnsi="Times New Roman" w:cs="Times New Roman"/>
                <w:sz w:val="20"/>
                <w:szCs w:val="20"/>
              </w:rPr>
              <w:t>Provide more clarity on key terminology in Convention text</w:t>
            </w:r>
          </w:p>
        </w:tc>
        <w:tc>
          <w:tcPr>
            <w:tcW w:w="1278" w:type="dxa"/>
            <w:vMerge/>
          </w:tcPr>
          <w:p w14:paraId="21D18B30" w14:textId="74F875D3" w:rsidR="00E1688E" w:rsidRPr="006B611C" w:rsidRDefault="00E1688E" w:rsidP="00E1688E"/>
        </w:tc>
        <w:tc>
          <w:tcPr>
            <w:tcW w:w="1275" w:type="dxa"/>
            <w:vMerge/>
          </w:tcPr>
          <w:p w14:paraId="7ED56EA0" w14:textId="77777777" w:rsidR="00E1688E" w:rsidRPr="006B611C" w:rsidRDefault="00E1688E" w:rsidP="00E1688E"/>
        </w:tc>
        <w:tc>
          <w:tcPr>
            <w:tcW w:w="2279" w:type="dxa"/>
          </w:tcPr>
          <w:p w14:paraId="5D01E72F" w14:textId="1AC813C3" w:rsidR="00E1688E" w:rsidRPr="006B611C" w:rsidRDefault="00E1688E" w:rsidP="00E1688E">
            <w:r w:rsidRPr="006B611C">
              <w:t>Amendment to the Convention (</w:t>
            </w:r>
            <w:r>
              <w:t xml:space="preserve">Pursuant to </w:t>
            </w:r>
            <w:r w:rsidRPr="006B611C">
              <w:t>Articles 21 and 22)</w:t>
            </w:r>
          </w:p>
        </w:tc>
      </w:tr>
    </w:tbl>
    <w:p w14:paraId="2FE8AC0A" w14:textId="0C2A2C95" w:rsidR="006B611C" w:rsidRPr="006B611C" w:rsidRDefault="006B611C" w:rsidP="006B611C">
      <w:pPr>
        <w:rPr>
          <w:b/>
        </w:rPr>
      </w:pPr>
    </w:p>
    <w:p w14:paraId="0C1CBE66" w14:textId="77777777" w:rsidR="006B611C" w:rsidRPr="006B611C" w:rsidRDefault="006B611C" w:rsidP="00C87E80">
      <w:pPr>
        <w:pStyle w:val="ListParagraph"/>
        <w:keepNext/>
        <w:numPr>
          <w:ilvl w:val="0"/>
          <w:numId w:val="10"/>
        </w:numPr>
        <w:ind w:left="709" w:firstLine="0"/>
        <w:rPr>
          <w:rFonts w:ascii="Times New Roman" w:hAnsi="Times New Roman" w:cs="Times New Roman"/>
          <w:b/>
          <w:sz w:val="24"/>
          <w:szCs w:val="24"/>
        </w:rPr>
      </w:pPr>
      <w:r w:rsidRPr="006B611C">
        <w:rPr>
          <w:rFonts w:ascii="Times New Roman" w:hAnsi="Times New Roman" w:cs="Times New Roman"/>
          <w:b/>
          <w:sz w:val="24"/>
          <w:szCs w:val="24"/>
        </w:rPr>
        <w:t xml:space="preserve">Information exchange, including through the clearing-house mechanism </w:t>
      </w:r>
    </w:p>
    <w:tbl>
      <w:tblPr>
        <w:tblStyle w:val="TableGrid"/>
        <w:tblW w:w="9497" w:type="dxa"/>
        <w:tblInd w:w="-5" w:type="dxa"/>
        <w:tblLayout w:type="fixed"/>
        <w:tblCellMar>
          <w:left w:w="85" w:type="dxa"/>
          <w:right w:w="85" w:type="dxa"/>
        </w:tblCellMar>
        <w:tblLook w:val="04A0" w:firstRow="1" w:lastRow="0" w:firstColumn="1" w:lastColumn="0" w:noHBand="0" w:noVBand="1"/>
      </w:tblPr>
      <w:tblGrid>
        <w:gridCol w:w="630"/>
        <w:gridCol w:w="4048"/>
        <w:gridCol w:w="1276"/>
        <w:gridCol w:w="1275"/>
        <w:gridCol w:w="2268"/>
      </w:tblGrid>
      <w:tr w:rsidR="006B611C" w:rsidRPr="006B611C" w14:paraId="06FC017E" w14:textId="77777777" w:rsidTr="00172CA2">
        <w:tc>
          <w:tcPr>
            <w:tcW w:w="630" w:type="dxa"/>
            <w:shd w:val="clear" w:color="auto" w:fill="D9D9D9" w:themeFill="background1" w:themeFillShade="D9"/>
          </w:tcPr>
          <w:p w14:paraId="45C0FC76" w14:textId="77777777" w:rsidR="006B611C" w:rsidRPr="006B611C" w:rsidRDefault="006B611C" w:rsidP="00F0067A">
            <w:pPr>
              <w:keepNext/>
              <w:rPr>
                <w:b/>
              </w:rPr>
            </w:pPr>
            <w:r w:rsidRPr="006B611C">
              <w:rPr>
                <w:b/>
              </w:rPr>
              <w:t>Ref</w:t>
            </w:r>
          </w:p>
        </w:tc>
        <w:tc>
          <w:tcPr>
            <w:tcW w:w="4048" w:type="dxa"/>
            <w:shd w:val="clear" w:color="auto" w:fill="D9D9D9" w:themeFill="background1" w:themeFillShade="D9"/>
          </w:tcPr>
          <w:p w14:paraId="17A2178E" w14:textId="77777777" w:rsidR="006B611C" w:rsidRPr="006B611C" w:rsidRDefault="006B611C" w:rsidP="00F0067A">
            <w:pPr>
              <w:keepNext/>
              <w:rPr>
                <w:b/>
              </w:rPr>
            </w:pPr>
            <w:r w:rsidRPr="006B611C">
              <w:rPr>
                <w:b/>
              </w:rPr>
              <w:t>Proposed priority action</w:t>
            </w:r>
          </w:p>
        </w:tc>
        <w:tc>
          <w:tcPr>
            <w:tcW w:w="1276" w:type="dxa"/>
            <w:shd w:val="clear" w:color="auto" w:fill="D9D9D9" w:themeFill="background1" w:themeFillShade="D9"/>
          </w:tcPr>
          <w:p w14:paraId="406E7083" w14:textId="7E7A6136" w:rsidR="006B611C" w:rsidRPr="006B611C" w:rsidRDefault="00CB6E7B" w:rsidP="00F0067A">
            <w:pPr>
              <w:keepNext/>
              <w:rPr>
                <w:b/>
              </w:rPr>
            </w:pPr>
            <w:r>
              <w:rPr>
                <w:b/>
              </w:rPr>
              <w:t>Level</w:t>
            </w:r>
          </w:p>
        </w:tc>
        <w:tc>
          <w:tcPr>
            <w:tcW w:w="1275" w:type="dxa"/>
            <w:shd w:val="clear" w:color="auto" w:fill="D9D9D9" w:themeFill="background1" w:themeFillShade="D9"/>
          </w:tcPr>
          <w:p w14:paraId="67DF27D5" w14:textId="5A2B711C" w:rsidR="006B611C" w:rsidRPr="006B611C" w:rsidRDefault="006B611C" w:rsidP="00F0067A">
            <w:pPr>
              <w:keepNext/>
              <w:rPr>
                <w:b/>
              </w:rPr>
            </w:pPr>
            <w:r w:rsidRPr="006B611C">
              <w:rPr>
                <w:b/>
              </w:rPr>
              <w:t>Budgetary implication</w:t>
            </w:r>
            <w:r w:rsidR="007D395E">
              <w:rPr>
                <w:rStyle w:val="FootnoteReference"/>
                <w:rFonts w:cs="Helvetica"/>
              </w:rPr>
              <w:footnoteReference w:id="14"/>
            </w:r>
            <w:r w:rsidR="007D395E" w:rsidRPr="006B611C">
              <w:rPr>
                <w:b/>
              </w:rPr>
              <w:t xml:space="preserve"> </w:t>
            </w:r>
            <w:r w:rsidRPr="006B611C">
              <w:rPr>
                <w:b/>
              </w:rPr>
              <w:t xml:space="preserve"> </w:t>
            </w:r>
          </w:p>
        </w:tc>
        <w:tc>
          <w:tcPr>
            <w:tcW w:w="2268" w:type="dxa"/>
            <w:shd w:val="clear" w:color="auto" w:fill="D9D9D9" w:themeFill="background1" w:themeFillShade="D9"/>
          </w:tcPr>
          <w:p w14:paraId="7707F2D6" w14:textId="37F042C3" w:rsidR="006B611C" w:rsidRPr="006B611C" w:rsidRDefault="006B611C" w:rsidP="00F0067A">
            <w:pPr>
              <w:keepNext/>
              <w:rPr>
                <w:b/>
              </w:rPr>
            </w:pPr>
            <w:r w:rsidRPr="006B611C">
              <w:rPr>
                <w:b/>
              </w:rPr>
              <w:t>Possible approach</w:t>
            </w:r>
            <w:r w:rsidR="00E56E33">
              <w:rPr>
                <w:b/>
              </w:rPr>
              <w:t xml:space="preserve"> incl. actor(s)</w:t>
            </w:r>
          </w:p>
        </w:tc>
      </w:tr>
      <w:tr w:rsidR="006B611C" w:rsidRPr="006B611C" w14:paraId="5A6D1ABC" w14:textId="77777777" w:rsidTr="00172CA2">
        <w:trPr>
          <w:trHeight w:val="1550"/>
        </w:trPr>
        <w:tc>
          <w:tcPr>
            <w:tcW w:w="630" w:type="dxa"/>
            <w:vMerge w:val="restart"/>
          </w:tcPr>
          <w:p w14:paraId="0CD1FB18" w14:textId="09F2CCB3" w:rsidR="006B611C" w:rsidRPr="006B611C" w:rsidRDefault="006B611C" w:rsidP="00F0067A">
            <w:r w:rsidRPr="006B611C">
              <w:t>110, 120, 221 320, 322, 323, 373</w:t>
            </w:r>
            <w:r w:rsidR="00AC7128">
              <w:rPr>
                <w:rStyle w:val="FootnoteReference"/>
              </w:rPr>
              <w:footnoteReference w:id="15"/>
            </w:r>
          </w:p>
        </w:tc>
        <w:tc>
          <w:tcPr>
            <w:tcW w:w="4048" w:type="dxa"/>
            <w:vMerge w:val="restart"/>
          </w:tcPr>
          <w:p w14:paraId="6E9A83A9" w14:textId="77777777" w:rsidR="006B611C" w:rsidRPr="006B611C" w:rsidRDefault="006B611C" w:rsidP="00F0067A">
            <w:r w:rsidRPr="006B611C">
              <w:t xml:space="preserve">Strengthen information exchange between Parties, in particular on: </w:t>
            </w:r>
          </w:p>
          <w:p w14:paraId="38B9D039" w14:textId="2577B7E5" w:rsidR="006B611C" w:rsidRDefault="00F0067A" w:rsidP="006B611C">
            <w:pPr>
              <w:pStyle w:val="ListParagraph"/>
              <w:numPr>
                <w:ilvl w:val="0"/>
                <w:numId w:val="11"/>
              </w:numPr>
              <w:spacing w:after="0" w:line="240" w:lineRule="auto"/>
              <w:ind w:left="229" w:hanging="229"/>
              <w:rPr>
                <w:rFonts w:ascii="Times New Roman" w:hAnsi="Times New Roman" w:cs="Times New Roman"/>
                <w:sz w:val="20"/>
                <w:szCs w:val="20"/>
              </w:rPr>
            </w:pPr>
            <w:r>
              <w:rPr>
                <w:rFonts w:ascii="Times New Roman" w:hAnsi="Times New Roman" w:cs="Times New Roman"/>
                <w:sz w:val="20"/>
                <w:szCs w:val="20"/>
              </w:rPr>
              <w:t>Final regulatory actions</w:t>
            </w:r>
            <w:r w:rsidRPr="006B611C">
              <w:rPr>
                <w:rFonts w:ascii="Times New Roman" w:hAnsi="Times New Roman" w:cs="Times New Roman"/>
                <w:sz w:val="20"/>
                <w:szCs w:val="20"/>
              </w:rPr>
              <w:t xml:space="preserve"> </w:t>
            </w:r>
            <w:r w:rsidR="006B611C" w:rsidRPr="006B611C">
              <w:rPr>
                <w:rFonts w:ascii="Times New Roman" w:hAnsi="Times New Roman" w:cs="Times New Roman"/>
                <w:sz w:val="20"/>
                <w:szCs w:val="20"/>
              </w:rPr>
              <w:t xml:space="preserve">and risk evaluations </w:t>
            </w:r>
          </w:p>
          <w:p w14:paraId="7CD69A57" w14:textId="1C41A409" w:rsidR="001A48EE" w:rsidRDefault="001A48EE" w:rsidP="006B611C">
            <w:pPr>
              <w:pStyle w:val="ListParagraph"/>
              <w:numPr>
                <w:ilvl w:val="0"/>
                <w:numId w:val="11"/>
              </w:numPr>
              <w:spacing w:after="0" w:line="240" w:lineRule="auto"/>
              <w:ind w:left="229" w:hanging="229"/>
              <w:rPr>
                <w:rFonts w:ascii="Times New Roman" w:hAnsi="Times New Roman" w:cs="Times New Roman"/>
                <w:sz w:val="20"/>
                <w:szCs w:val="20"/>
              </w:rPr>
            </w:pPr>
            <w:r>
              <w:rPr>
                <w:rFonts w:ascii="Times New Roman" w:hAnsi="Times New Roman" w:cs="Times New Roman"/>
                <w:sz w:val="20"/>
                <w:szCs w:val="20"/>
              </w:rPr>
              <w:t xml:space="preserve">Import and export registers and notifications </w:t>
            </w:r>
          </w:p>
          <w:p w14:paraId="1D3EAD56" w14:textId="49AD2344" w:rsidR="001A48EE" w:rsidRPr="006B611C" w:rsidRDefault="001A48EE" w:rsidP="006B611C">
            <w:pPr>
              <w:pStyle w:val="ListParagraph"/>
              <w:numPr>
                <w:ilvl w:val="0"/>
                <w:numId w:val="11"/>
              </w:numPr>
              <w:spacing w:after="0" w:line="240" w:lineRule="auto"/>
              <w:ind w:left="229" w:hanging="229"/>
              <w:rPr>
                <w:rFonts w:ascii="Times New Roman" w:hAnsi="Times New Roman" w:cs="Times New Roman"/>
                <w:sz w:val="20"/>
                <w:szCs w:val="20"/>
              </w:rPr>
            </w:pPr>
            <w:r>
              <w:rPr>
                <w:rFonts w:ascii="Times New Roman" w:hAnsi="Times New Roman" w:cs="Times New Roman"/>
                <w:sz w:val="20"/>
                <w:szCs w:val="20"/>
              </w:rPr>
              <w:t xml:space="preserve">Training industry on their </w:t>
            </w:r>
            <w:r w:rsidR="00C77FA9">
              <w:rPr>
                <w:rFonts w:ascii="Times New Roman" w:hAnsi="Times New Roman" w:cs="Times New Roman"/>
                <w:sz w:val="20"/>
                <w:szCs w:val="20"/>
              </w:rPr>
              <w:t>role</w:t>
            </w:r>
            <w:r>
              <w:rPr>
                <w:rFonts w:ascii="Times New Roman" w:hAnsi="Times New Roman" w:cs="Times New Roman"/>
                <w:sz w:val="20"/>
                <w:szCs w:val="20"/>
              </w:rPr>
              <w:t xml:space="preserve"> under the Convention </w:t>
            </w:r>
          </w:p>
          <w:p w14:paraId="4B75EEDA" w14:textId="77777777" w:rsidR="006B611C" w:rsidRPr="006B611C" w:rsidRDefault="006B611C" w:rsidP="006B611C">
            <w:pPr>
              <w:pStyle w:val="ListParagraph"/>
              <w:numPr>
                <w:ilvl w:val="0"/>
                <w:numId w:val="11"/>
              </w:numPr>
              <w:spacing w:after="0" w:line="240" w:lineRule="auto"/>
              <w:ind w:left="229" w:hanging="229"/>
              <w:rPr>
                <w:rFonts w:ascii="Times New Roman" w:hAnsi="Times New Roman" w:cs="Times New Roman"/>
                <w:sz w:val="20"/>
                <w:szCs w:val="20"/>
              </w:rPr>
            </w:pPr>
            <w:r w:rsidRPr="006B611C">
              <w:rPr>
                <w:rFonts w:ascii="Times New Roman" w:hAnsi="Times New Roman" w:cs="Times New Roman"/>
                <w:sz w:val="20"/>
                <w:szCs w:val="20"/>
              </w:rPr>
              <w:t xml:space="preserve">Other aspects of chemicals management systems </w:t>
            </w:r>
          </w:p>
          <w:p w14:paraId="0658FA5D" w14:textId="77777777" w:rsidR="006B611C" w:rsidRPr="00D94DD9" w:rsidRDefault="006B611C" w:rsidP="00F0067A">
            <w:pPr>
              <w:rPr>
                <w:sz w:val="10"/>
              </w:rPr>
            </w:pPr>
          </w:p>
          <w:p w14:paraId="1E897B1C" w14:textId="60895796" w:rsidR="006B611C" w:rsidRPr="006B611C" w:rsidRDefault="006B611C" w:rsidP="00F0067A">
            <w:r w:rsidRPr="006B611C">
              <w:t xml:space="preserve">E.g. workshops, websites, databases, tools, regional networks for information exchange, regional meetings, </w:t>
            </w:r>
            <w:r w:rsidR="00AC7128">
              <w:t xml:space="preserve">side even at COP, </w:t>
            </w:r>
            <w:r w:rsidRPr="006B611C">
              <w:t>online library, platform, updated F</w:t>
            </w:r>
            <w:r w:rsidR="00F0067A">
              <w:t xml:space="preserve">inal </w:t>
            </w:r>
            <w:r w:rsidRPr="006B611C">
              <w:t>R</w:t>
            </w:r>
            <w:r w:rsidR="00F0067A">
              <w:t xml:space="preserve">egulatory </w:t>
            </w:r>
            <w:r w:rsidRPr="006B611C">
              <w:t>A</w:t>
            </w:r>
            <w:r w:rsidR="00F0067A">
              <w:t>ctions</w:t>
            </w:r>
            <w:r w:rsidRPr="006B611C">
              <w:t xml:space="preserve"> toolkit, translation of tools / information in all 6 UN languages</w:t>
            </w:r>
          </w:p>
        </w:tc>
        <w:tc>
          <w:tcPr>
            <w:tcW w:w="1276" w:type="dxa"/>
          </w:tcPr>
          <w:p w14:paraId="1B4492ED" w14:textId="42903FD9" w:rsidR="006B611C" w:rsidRPr="006B611C" w:rsidRDefault="00C250BE" w:rsidP="00F0067A">
            <w:r>
              <w:t xml:space="preserve">Between Parties directly </w:t>
            </w:r>
          </w:p>
        </w:tc>
        <w:tc>
          <w:tcPr>
            <w:tcW w:w="1275" w:type="dxa"/>
          </w:tcPr>
          <w:p w14:paraId="30C558F4" w14:textId="77777777" w:rsidR="006B611C" w:rsidRPr="006B611C" w:rsidRDefault="006B611C" w:rsidP="00F0067A">
            <w:r w:rsidRPr="006B611C">
              <w:t xml:space="preserve">No </w:t>
            </w:r>
          </w:p>
          <w:p w14:paraId="1DF24DBA" w14:textId="77777777" w:rsidR="006B611C" w:rsidRPr="006B611C" w:rsidRDefault="006B611C" w:rsidP="00F0067A"/>
        </w:tc>
        <w:tc>
          <w:tcPr>
            <w:tcW w:w="2268" w:type="dxa"/>
          </w:tcPr>
          <w:p w14:paraId="766ED813" w14:textId="7A17EC9E" w:rsidR="00E56E33" w:rsidRDefault="00E56E33" w:rsidP="00F0067A">
            <w:r>
              <w:t xml:space="preserve">Activities between </w:t>
            </w:r>
            <w:r w:rsidR="00C250BE">
              <w:t>P</w:t>
            </w:r>
            <w:r>
              <w:t>arties could be facilitated by the Secretariat</w:t>
            </w:r>
          </w:p>
          <w:p w14:paraId="43A814A5" w14:textId="77777777" w:rsidR="00E56E33" w:rsidRDefault="00E56E33" w:rsidP="00F0067A"/>
          <w:p w14:paraId="222CC679" w14:textId="77777777" w:rsidR="00E56E33" w:rsidRDefault="00E56E33" w:rsidP="00F0067A"/>
          <w:p w14:paraId="2AC6E334" w14:textId="77777777" w:rsidR="00E56E33" w:rsidRDefault="00E56E33" w:rsidP="00F0067A"/>
          <w:p w14:paraId="739C9E2D" w14:textId="3919CFD8" w:rsidR="006B611C" w:rsidRPr="006B611C" w:rsidRDefault="006B611C" w:rsidP="00F0067A"/>
        </w:tc>
      </w:tr>
      <w:tr w:rsidR="006B611C" w:rsidRPr="006B611C" w14:paraId="0F462DF4" w14:textId="77777777" w:rsidTr="00172CA2">
        <w:trPr>
          <w:trHeight w:val="627"/>
        </w:trPr>
        <w:tc>
          <w:tcPr>
            <w:tcW w:w="630" w:type="dxa"/>
            <w:vMerge/>
          </w:tcPr>
          <w:p w14:paraId="26A777D7" w14:textId="77777777" w:rsidR="006B611C" w:rsidRPr="006B611C" w:rsidRDefault="006B611C" w:rsidP="00F0067A"/>
        </w:tc>
        <w:tc>
          <w:tcPr>
            <w:tcW w:w="4048" w:type="dxa"/>
            <w:vMerge/>
          </w:tcPr>
          <w:p w14:paraId="01AD28E8" w14:textId="77777777" w:rsidR="006B611C" w:rsidRPr="006B611C" w:rsidRDefault="006B611C" w:rsidP="00F0067A"/>
        </w:tc>
        <w:tc>
          <w:tcPr>
            <w:tcW w:w="1276" w:type="dxa"/>
          </w:tcPr>
          <w:p w14:paraId="6B070FCA" w14:textId="723E8658" w:rsidR="006B611C" w:rsidRPr="006B611C" w:rsidRDefault="00C250BE" w:rsidP="00F0067A">
            <w:r>
              <w:t>International</w:t>
            </w:r>
          </w:p>
        </w:tc>
        <w:tc>
          <w:tcPr>
            <w:tcW w:w="1275" w:type="dxa"/>
          </w:tcPr>
          <w:p w14:paraId="08F5AB7B" w14:textId="4C424F7D" w:rsidR="006B611C" w:rsidRPr="006B611C" w:rsidRDefault="006B611C" w:rsidP="00F0067A">
            <w:r w:rsidRPr="006B611C">
              <w:t>Yes</w:t>
            </w:r>
            <w:r w:rsidR="00C250BE">
              <w:t xml:space="preserve"> (voluntary)</w:t>
            </w:r>
          </w:p>
        </w:tc>
        <w:tc>
          <w:tcPr>
            <w:tcW w:w="2268" w:type="dxa"/>
          </w:tcPr>
          <w:p w14:paraId="53C031E0" w14:textId="63B4D1F4" w:rsidR="006B611C" w:rsidRPr="006B611C" w:rsidRDefault="009918A2" w:rsidP="009918A2">
            <w:r>
              <w:t>Secretariat</w:t>
            </w:r>
          </w:p>
        </w:tc>
      </w:tr>
      <w:tr w:rsidR="006B611C" w:rsidRPr="006B611C" w14:paraId="61D36074" w14:textId="77777777" w:rsidTr="00172CA2">
        <w:trPr>
          <w:trHeight w:val="694"/>
        </w:trPr>
        <w:tc>
          <w:tcPr>
            <w:tcW w:w="630" w:type="dxa"/>
            <w:vMerge w:val="restart"/>
          </w:tcPr>
          <w:p w14:paraId="125D9960" w14:textId="77777777" w:rsidR="006B611C" w:rsidRPr="006B611C" w:rsidRDefault="006B611C" w:rsidP="00F0067A">
            <w:r w:rsidRPr="006B611C">
              <w:t>324</w:t>
            </w:r>
          </w:p>
        </w:tc>
        <w:tc>
          <w:tcPr>
            <w:tcW w:w="4048" w:type="dxa"/>
            <w:vMerge w:val="restart"/>
          </w:tcPr>
          <w:p w14:paraId="2BD1A00A" w14:textId="77777777" w:rsidR="006B611C" w:rsidRPr="006B611C" w:rsidRDefault="006B611C" w:rsidP="00F0067A">
            <w:r w:rsidRPr="006B611C">
              <w:t xml:space="preserve">Improve information on alternatives on listed / recommended chemicals </w:t>
            </w:r>
          </w:p>
        </w:tc>
        <w:tc>
          <w:tcPr>
            <w:tcW w:w="1276" w:type="dxa"/>
            <w:vMerge w:val="restart"/>
          </w:tcPr>
          <w:p w14:paraId="23F560E6" w14:textId="07FCDC65" w:rsidR="006B611C" w:rsidRPr="006B611C" w:rsidRDefault="00C250BE" w:rsidP="00F0067A">
            <w:r>
              <w:t xml:space="preserve">International </w:t>
            </w:r>
            <w:r w:rsidR="006B611C" w:rsidRPr="006B611C">
              <w:t xml:space="preserve"> </w:t>
            </w:r>
          </w:p>
        </w:tc>
        <w:tc>
          <w:tcPr>
            <w:tcW w:w="1275" w:type="dxa"/>
          </w:tcPr>
          <w:p w14:paraId="1793130D" w14:textId="0A9FBC54" w:rsidR="006B611C" w:rsidRPr="006B611C" w:rsidRDefault="006B611C" w:rsidP="00F0067A">
            <w:r w:rsidRPr="006B611C">
              <w:t xml:space="preserve">No </w:t>
            </w:r>
          </w:p>
        </w:tc>
        <w:tc>
          <w:tcPr>
            <w:tcW w:w="2268" w:type="dxa"/>
          </w:tcPr>
          <w:p w14:paraId="004E95BF" w14:textId="2D088762" w:rsidR="006B611C" w:rsidRPr="006B611C" w:rsidRDefault="00E56E33" w:rsidP="00F0067A">
            <w:r>
              <w:t>Secretariat</w:t>
            </w:r>
            <w:r w:rsidR="006B611C" w:rsidRPr="006B611C">
              <w:t xml:space="preserve"> </w:t>
            </w:r>
            <w:r w:rsidR="00C250BE" w:rsidRPr="00C250BE">
              <w:t xml:space="preserve">to solicit and </w:t>
            </w:r>
            <w:r w:rsidR="00F34D42">
              <w:t>make</w:t>
            </w:r>
            <w:r w:rsidR="00C250BE" w:rsidRPr="00C250BE">
              <w:t xml:space="preserve"> information</w:t>
            </w:r>
            <w:r w:rsidR="00C250BE">
              <w:t xml:space="preserve"> </w:t>
            </w:r>
            <w:r w:rsidR="00F34D42">
              <w:t xml:space="preserve">available </w:t>
            </w:r>
          </w:p>
        </w:tc>
      </w:tr>
      <w:tr w:rsidR="006B611C" w:rsidRPr="006B611C" w14:paraId="365A516F" w14:textId="77777777" w:rsidTr="00172CA2">
        <w:trPr>
          <w:trHeight w:val="1131"/>
        </w:trPr>
        <w:tc>
          <w:tcPr>
            <w:tcW w:w="630" w:type="dxa"/>
            <w:vMerge/>
          </w:tcPr>
          <w:p w14:paraId="05283875" w14:textId="77777777" w:rsidR="006B611C" w:rsidRPr="006B611C" w:rsidRDefault="006B611C" w:rsidP="00F0067A"/>
        </w:tc>
        <w:tc>
          <w:tcPr>
            <w:tcW w:w="4048" w:type="dxa"/>
            <w:vMerge/>
          </w:tcPr>
          <w:p w14:paraId="730A9B18" w14:textId="77777777" w:rsidR="006B611C" w:rsidRPr="006B611C" w:rsidRDefault="006B611C" w:rsidP="00F0067A"/>
        </w:tc>
        <w:tc>
          <w:tcPr>
            <w:tcW w:w="1276" w:type="dxa"/>
            <w:vMerge/>
          </w:tcPr>
          <w:p w14:paraId="78ECE991" w14:textId="77777777" w:rsidR="006B611C" w:rsidRPr="006B611C" w:rsidRDefault="006B611C" w:rsidP="00F0067A"/>
        </w:tc>
        <w:tc>
          <w:tcPr>
            <w:tcW w:w="1275" w:type="dxa"/>
          </w:tcPr>
          <w:p w14:paraId="33C957A3" w14:textId="3B3E7C2A" w:rsidR="006B611C" w:rsidRPr="006B611C" w:rsidRDefault="006B611C" w:rsidP="00F0067A">
            <w:r w:rsidRPr="006B611C">
              <w:t xml:space="preserve">Yes </w:t>
            </w:r>
            <w:r w:rsidR="009918A2">
              <w:t>(voluntary)</w:t>
            </w:r>
          </w:p>
        </w:tc>
        <w:tc>
          <w:tcPr>
            <w:tcW w:w="2268" w:type="dxa"/>
          </w:tcPr>
          <w:p w14:paraId="4E33DAB6" w14:textId="5261A00D" w:rsidR="006B611C" w:rsidRPr="006B611C" w:rsidRDefault="00F34D42" w:rsidP="00C250BE">
            <w:r>
              <w:t xml:space="preserve">Secretariat to consolidate information; </w:t>
            </w:r>
            <w:r w:rsidR="00C250BE">
              <w:t xml:space="preserve">COP might wish to consider mechanism to evaluate proposed alternatives </w:t>
            </w:r>
          </w:p>
        </w:tc>
      </w:tr>
      <w:tr w:rsidR="006B611C" w:rsidRPr="006B611C" w14:paraId="58B5C731" w14:textId="77777777" w:rsidTr="00172CA2">
        <w:tc>
          <w:tcPr>
            <w:tcW w:w="630" w:type="dxa"/>
          </w:tcPr>
          <w:p w14:paraId="41F2D695" w14:textId="79111896" w:rsidR="006B611C" w:rsidRPr="006B611C" w:rsidRDefault="006B611C" w:rsidP="00F0067A">
            <w:r w:rsidRPr="006B611C">
              <w:t>111</w:t>
            </w:r>
            <w:r w:rsidR="00423EBE">
              <w:rPr>
                <w:rStyle w:val="FootnoteReference"/>
              </w:rPr>
              <w:footnoteReference w:id="16"/>
            </w:r>
          </w:p>
        </w:tc>
        <w:tc>
          <w:tcPr>
            <w:tcW w:w="4048" w:type="dxa"/>
          </w:tcPr>
          <w:p w14:paraId="357CFCF0" w14:textId="4EB9DC2C" w:rsidR="00B31A1E" w:rsidRDefault="00FB0D07" w:rsidP="00F0067A">
            <w:r w:rsidRPr="00FB0D07">
              <w:t xml:space="preserve">Improve information-exchange on </w:t>
            </w:r>
            <w:r w:rsidR="00B31A1E">
              <w:t xml:space="preserve">final regulatory actions: </w:t>
            </w:r>
          </w:p>
          <w:p w14:paraId="40BC18E8" w14:textId="17BE29B0" w:rsidR="00B31A1E" w:rsidRPr="008E7C6C" w:rsidRDefault="006B611C" w:rsidP="00B31A1E">
            <w:pPr>
              <w:pStyle w:val="ListParagraph"/>
              <w:numPr>
                <w:ilvl w:val="0"/>
                <w:numId w:val="11"/>
              </w:numPr>
              <w:spacing w:after="0" w:line="240" w:lineRule="auto"/>
              <w:ind w:left="229" w:hanging="229"/>
            </w:pPr>
            <w:r w:rsidRPr="00B31A1E">
              <w:rPr>
                <w:rFonts w:ascii="Times New Roman" w:hAnsi="Times New Roman" w:cs="Times New Roman"/>
                <w:sz w:val="20"/>
                <w:szCs w:val="20"/>
              </w:rPr>
              <w:t xml:space="preserve">Secretariat to gather more detailed information on reasons that </w:t>
            </w:r>
            <w:r w:rsidR="00B31A1E" w:rsidRPr="00B31A1E">
              <w:rPr>
                <w:rFonts w:ascii="Times New Roman" w:hAnsi="Times New Roman" w:cs="Times New Roman"/>
                <w:sz w:val="20"/>
                <w:szCs w:val="20"/>
              </w:rPr>
              <w:t xml:space="preserve">supported </w:t>
            </w:r>
            <w:r w:rsidRPr="00B31A1E">
              <w:rPr>
                <w:rFonts w:ascii="Times New Roman" w:hAnsi="Times New Roman" w:cs="Times New Roman"/>
                <w:sz w:val="20"/>
                <w:szCs w:val="20"/>
              </w:rPr>
              <w:t xml:space="preserve">a </w:t>
            </w:r>
            <w:r w:rsidR="00F0067A" w:rsidRPr="00B31A1E">
              <w:rPr>
                <w:rFonts w:ascii="Times New Roman" w:hAnsi="Times New Roman" w:cs="Times New Roman"/>
                <w:sz w:val="20"/>
                <w:szCs w:val="20"/>
              </w:rPr>
              <w:t xml:space="preserve">Final Regulatory Action </w:t>
            </w:r>
            <w:r w:rsidRPr="00B31A1E">
              <w:rPr>
                <w:rFonts w:ascii="Times New Roman" w:hAnsi="Times New Roman" w:cs="Times New Roman"/>
                <w:sz w:val="20"/>
                <w:szCs w:val="20"/>
              </w:rPr>
              <w:t>and share it with Parties</w:t>
            </w:r>
            <w:r w:rsidR="00423EBE" w:rsidRPr="00B31A1E">
              <w:rPr>
                <w:rFonts w:ascii="Times New Roman" w:hAnsi="Times New Roman" w:cs="Times New Roman"/>
                <w:sz w:val="20"/>
                <w:szCs w:val="20"/>
              </w:rPr>
              <w:t xml:space="preserve">; </w:t>
            </w:r>
          </w:p>
          <w:p w14:paraId="1C1EE201" w14:textId="39DA6CBB" w:rsidR="006B611C" w:rsidRPr="006B611C" w:rsidRDefault="00423EBE" w:rsidP="008E7C6C">
            <w:pPr>
              <w:pStyle w:val="ListParagraph"/>
              <w:numPr>
                <w:ilvl w:val="0"/>
                <w:numId w:val="11"/>
              </w:numPr>
              <w:spacing w:after="0" w:line="240" w:lineRule="auto"/>
              <w:ind w:left="229" w:hanging="229"/>
            </w:pPr>
            <w:r w:rsidRPr="00B31A1E">
              <w:rPr>
                <w:rFonts w:ascii="Times New Roman" w:hAnsi="Times New Roman" w:cs="Times New Roman"/>
                <w:sz w:val="20"/>
                <w:szCs w:val="20"/>
              </w:rPr>
              <w:t>Secretariat to share entire Final Regulatory Action upon receipt rather than a summary in the PIC Circular</w:t>
            </w:r>
            <w:r w:rsidR="006B611C" w:rsidRPr="00B31A1E">
              <w:rPr>
                <w:rFonts w:ascii="Times New Roman" w:hAnsi="Times New Roman" w:cs="Times New Roman"/>
                <w:sz w:val="20"/>
                <w:szCs w:val="20"/>
              </w:rPr>
              <w:t xml:space="preserve"> </w:t>
            </w:r>
            <w:r w:rsidR="008A169A" w:rsidRPr="00B31A1E">
              <w:rPr>
                <w:rFonts w:ascii="Times New Roman" w:hAnsi="Times New Roman" w:cs="Times New Roman"/>
                <w:sz w:val="20"/>
                <w:szCs w:val="20"/>
              </w:rPr>
              <w:t>every six months</w:t>
            </w:r>
          </w:p>
        </w:tc>
        <w:tc>
          <w:tcPr>
            <w:tcW w:w="1276" w:type="dxa"/>
          </w:tcPr>
          <w:p w14:paraId="67D10BF7" w14:textId="725BA0FE" w:rsidR="006B611C" w:rsidRPr="006B611C" w:rsidRDefault="00C250BE" w:rsidP="00F0067A">
            <w:r>
              <w:t xml:space="preserve">International </w:t>
            </w:r>
          </w:p>
        </w:tc>
        <w:tc>
          <w:tcPr>
            <w:tcW w:w="1275" w:type="dxa"/>
          </w:tcPr>
          <w:p w14:paraId="59C4E722" w14:textId="77777777" w:rsidR="006B611C" w:rsidRPr="006B611C" w:rsidRDefault="006B611C" w:rsidP="00F0067A">
            <w:r w:rsidRPr="006B611C">
              <w:t>No</w:t>
            </w:r>
          </w:p>
        </w:tc>
        <w:tc>
          <w:tcPr>
            <w:tcW w:w="2268" w:type="dxa"/>
          </w:tcPr>
          <w:p w14:paraId="71E3EC79" w14:textId="4F1F7980" w:rsidR="006B611C" w:rsidRPr="006B611C" w:rsidRDefault="006B611C" w:rsidP="00F0067A">
            <w:r w:rsidRPr="006B611C">
              <w:t xml:space="preserve">Modalities would need to be determined </w:t>
            </w:r>
            <w:r w:rsidR="00B31A1E">
              <w:t xml:space="preserve">and information requirements defined </w:t>
            </w:r>
          </w:p>
          <w:p w14:paraId="4FF3D817" w14:textId="5D50CA58" w:rsidR="006B611C" w:rsidRPr="00BF544F" w:rsidRDefault="006B611C" w:rsidP="00F0067A">
            <w:pPr>
              <w:rPr>
                <w:i/>
              </w:rPr>
            </w:pPr>
            <w:r w:rsidRPr="00BF544F">
              <w:rPr>
                <w:i/>
              </w:rPr>
              <w:t xml:space="preserve">Note: The PIC Circular contains only a summary of the </w:t>
            </w:r>
            <w:r w:rsidR="00F0067A" w:rsidRPr="00BF544F">
              <w:rPr>
                <w:i/>
              </w:rPr>
              <w:t>final regulatory actions</w:t>
            </w:r>
            <w:r w:rsidRPr="00BF544F">
              <w:rPr>
                <w:i/>
              </w:rPr>
              <w:t xml:space="preserve"> </w:t>
            </w:r>
          </w:p>
        </w:tc>
      </w:tr>
      <w:tr w:rsidR="006B611C" w:rsidRPr="006B611C" w14:paraId="27CB3FC9" w14:textId="77777777" w:rsidTr="00172CA2">
        <w:tc>
          <w:tcPr>
            <w:tcW w:w="630" w:type="dxa"/>
          </w:tcPr>
          <w:p w14:paraId="50A77EAA" w14:textId="77777777" w:rsidR="006B611C" w:rsidRPr="006B611C" w:rsidRDefault="006B611C" w:rsidP="00F0067A">
            <w:r w:rsidRPr="006B611C">
              <w:t>240</w:t>
            </w:r>
          </w:p>
        </w:tc>
        <w:tc>
          <w:tcPr>
            <w:tcW w:w="4048" w:type="dxa"/>
          </w:tcPr>
          <w:p w14:paraId="44B30DC2" w14:textId="77777777" w:rsidR="006B611C" w:rsidRPr="006B611C" w:rsidRDefault="006B611C" w:rsidP="00F0067A">
            <w:r w:rsidRPr="006B611C">
              <w:t>Improve PIC Circular</w:t>
            </w:r>
          </w:p>
        </w:tc>
        <w:tc>
          <w:tcPr>
            <w:tcW w:w="1276" w:type="dxa"/>
          </w:tcPr>
          <w:p w14:paraId="2423A8B0" w14:textId="711A4F46" w:rsidR="006B611C" w:rsidRPr="006B611C" w:rsidRDefault="00C250BE" w:rsidP="00F0067A">
            <w:r>
              <w:t xml:space="preserve">International </w:t>
            </w:r>
            <w:r w:rsidR="006B611C" w:rsidRPr="006B611C">
              <w:t xml:space="preserve"> </w:t>
            </w:r>
          </w:p>
        </w:tc>
        <w:tc>
          <w:tcPr>
            <w:tcW w:w="1275" w:type="dxa"/>
          </w:tcPr>
          <w:p w14:paraId="070B4048" w14:textId="77777777" w:rsidR="006B611C" w:rsidRPr="006B611C" w:rsidRDefault="006B611C" w:rsidP="00F0067A">
            <w:r w:rsidRPr="006B611C">
              <w:t xml:space="preserve">No </w:t>
            </w:r>
          </w:p>
          <w:p w14:paraId="55ADC38D" w14:textId="77777777" w:rsidR="006B611C" w:rsidRPr="006B611C" w:rsidRDefault="006B611C" w:rsidP="00F0067A"/>
        </w:tc>
        <w:tc>
          <w:tcPr>
            <w:tcW w:w="2268" w:type="dxa"/>
          </w:tcPr>
          <w:p w14:paraId="0633D74F" w14:textId="77777777" w:rsidR="006B611C" w:rsidRPr="006B611C" w:rsidRDefault="006B611C" w:rsidP="00F0067A">
            <w:r w:rsidRPr="006B611C">
              <w:t xml:space="preserve">Modalities would need to be determined </w:t>
            </w:r>
          </w:p>
          <w:p w14:paraId="0DD7B86F" w14:textId="1767E8EF" w:rsidR="006B611C" w:rsidRPr="00BF544F" w:rsidRDefault="006B611C" w:rsidP="00F0067A">
            <w:pPr>
              <w:rPr>
                <w:i/>
              </w:rPr>
            </w:pPr>
            <w:r w:rsidRPr="00BF544F">
              <w:rPr>
                <w:i/>
              </w:rPr>
              <w:t xml:space="preserve">Note: The Secretariat has recently modified the presentation of the PIC Circular and welcomes </w:t>
            </w:r>
            <w:r w:rsidRPr="00BF544F">
              <w:rPr>
                <w:i/>
              </w:rPr>
              <w:lastRenderedPageBreak/>
              <w:t xml:space="preserve">feedback how to make it more useful to Parties </w:t>
            </w:r>
          </w:p>
        </w:tc>
      </w:tr>
      <w:tr w:rsidR="006B611C" w:rsidRPr="006B611C" w14:paraId="6AF50F95" w14:textId="77777777" w:rsidTr="00172CA2">
        <w:tc>
          <w:tcPr>
            <w:tcW w:w="630" w:type="dxa"/>
          </w:tcPr>
          <w:p w14:paraId="3B5AC41B" w14:textId="5E5CF97A" w:rsidR="006B611C" w:rsidRPr="006B611C" w:rsidRDefault="006B611C" w:rsidP="00F0067A">
            <w:r w:rsidRPr="006B611C">
              <w:lastRenderedPageBreak/>
              <w:t>242</w:t>
            </w:r>
            <w:r w:rsidR="009058AB">
              <w:rPr>
                <w:rStyle w:val="FootnoteReference"/>
              </w:rPr>
              <w:footnoteReference w:id="17"/>
            </w:r>
          </w:p>
        </w:tc>
        <w:tc>
          <w:tcPr>
            <w:tcW w:w="4048" w:type="dxa"/>
          </w:tcPr>
          <w:p w14:paraId="24222198" w14:textId="449891E3" w:rsidR="009A1A7F" w:rsidRPr="008E7C6C" w:rsidRDefault="006B611C" w:rsidP="009058AB">
            <w:r w:rsidRPr="006B611C">
              <w:t xml:space="preserve">Provide online system for PIC operations </w:t>
            </w:r>
            <w:r w:rsidR="009A1A7F">
              <w:t xml:space="preserve">/ carry out feasibility study on </w:t>
            </w:r>
            <w:r w:rsidR="009058AB">
              <w:t>how the clearing-house mechanism can address the need for an online system</w:t>
            </w:r>
          </w:p>
        </w:tc>
        <w:tc>
          <w:tcPr>
            <w:tcW w:w="1276" w:type="dxa"/>
          </w:tcPr>
          <w:p w14:paraId="4C6F7944" w14:textId="2AE72EE9" w:rsidR="006B611C" w:rsidRPr="006B611C" w:rsidRDefault="00C250BE" w:rsidP="00F0067A">
            <w:r>
              <w:t xml:space="preserve">International </w:t>
            </w:r>
            <w:r w:rsidR="006B611C" w:rsidRPr="006B611C">
              <w:t xml:space="preserve"> </w:t>
            </w:r>
          </w:p>
        </w:tc>
        <w:tc>
          <w:tcPr>
            <w:tcW w:w="1275" w:type="dxa"/>
          </w:tcPr>
          <w:p w14:paraId="6B8C169E" w14:textId="3728A99F" w:rsidR="006B611C" w:rsidRPr="006B611C" w:rsidRDefault="006B611C" w:rsidP="00F0067A">
            <w:r w:rsidRPr="006B611C">
              <w:t>Yes</w:t>
            </w:r>
            <w:r w:rsidR="00C250BE">
              <w:t xml:space="preserve"> (core / voluntary) </w:t>
            </w:r>
          </w:p>
        </w:tc>
        <w:tc>
          <w:tcPr>
            <w:tcW w:w="2268" w:type="dxa"/>
          </w:tcPr>
          <w:p w14:paraId="2ED6367C" w14:textId="133B64C7" w:rsidR="006B611C" w:rsidRPr="006B611C" w:rsidRDefault="006B611C" w:rsidP="00F0067A">
            <w:r w:rsidRPr="00BF544F">
              <w:rPr>
                <w:i/>
              </w:rPr>
              <w:t xml:space="preserve">Note: </w:t>
            </w:r>
            <w:r w:rsidR="00E56E33" w:rsidRPr="00BF544F">
              <w:rPr>
                <w:i/>
              </w:rPr>
              <w:t xml:space="preserve">Access to PIC database and </w:t>
            </w:r>
            <w:r w:rsidR="00CB6E7B" w:rsidRPr="00BF544F">
              <w:rPr>
                <w:i/>
              </w:rPr>
              <w:t>e</w:t>
            </w:r>
            <w:r w:rsidRPr="00BF544F">
              <w:rPr>
                <w:i/>
              </w:rPr>
              <w:t xml:space="preserve">lectronic systems for import responses and </w:t>
            </w:r>
            <w:r w:rsidR="00F0067A" w:rsidRPr="00BF544F">
              <w:rPr>
                <w:i/>
              </w:rPr>
              <w:t xml:space="preserve">final regulatory action </w:t>
            </w:r>
            <w:r w:rsidRPr="00BF544F">
              <w:rPr>
                <w:i/>
              </w:rPr>
              <w:t>notifications exist</w:t>
            </w:r>
          </w:p>
        </w:tc>
      </w:tr>
    </w:tbl>
    <w:p w14:paraId="5663AD7B" w14:textId="77777777" w:rsidR="006B611C" w:rsidRPr="006B611C" w:rsidRDefault="006B611C" w:rsidP="006B611C">
      <w:pPr>
        <w:rPr>
          <w:b/>
        </w:rPr>
      </w:pPr>
    </w:p>
    <w:p w14:paraId="49032651" w14:textId="77777777" w:rsidR="006B611C" w:rsidRPr="006B611C" w:rsidRDefault="006B611C" w:rsidP="00C87E80">
      <w:pPr>
        <w:pStyle w:val="ListParagraph"/>
        <w:keepNext/>
        <w:numPr>
          <w:ilvl w:val="0"/>
          <w:numId w:val="10"/>
        </w:numPr>
        <w:spacing w:line="240" w:lineRule="auto"/>
        <w:ind w:left="1276" w:hanging="567"/>
        <w:rPr>
          <w:rFonts w:ascii="Times New Roman" w:hAnsi="Times New Roman" w:cs="Times New Roman"/>
          <w:b/>
          <w:sz w:val="24"/>
          <w:szCs w:val="24"/>
        </w:rPr>
      </w:pPr>
      <w:r w:rsidRPr="006B611C">
        <w:rPr>
          <w:rFonts w:ascii="Times New Roman" w:hAnsi="Times New Roman" w:cs="Times New Roman"/>
          <w:b/>
          <w:sz w:val="24"/>
          <w:szCs w:val="24"/>
        </w:rPr>
        <w:t xml:space="preserve">Capacity-building and technical assistance including development of guidance and awareness raising </w:t>
      </w:r>
    </w:p>
    <w:tbl>
      <w:tblPr>
        <w:tblStyle w:val="TableGrid"/>
        <w:tblW w:w="9749" w:type="dxa"/>
        <w:tblInd w:w="-289" w:type="dxa"/>
        <w:tblLook w:val="04A0" w:firstRow="1" w:lastRow="0" w:firstColumn="1" w:lastColumn="0" w:noHBand="0" w:noVBand="1"/>
      </w:tblPr>
      <w:tblGrid>
        <w:gridCol w:w="646"/>
        <w:gridCol w:w="4121"/>
        <w:gridCol w:w="1480"/>
        <w:gridCol w:w="1313"/>
        <w:gridCol w:w="2189"/>
      </w:tblGrid>
      <w:tr w:rsidR="00472506" w:rsidRPr="006B611C" w14:paraId="502F1816" w14:textId="77777777" w:rsidTr="00172CA2">
        <w:tc>
          <w:tcPr>
            <w:tcW w:w="646" w:type="dxa"/>
            <w:shd w:val="clear" w:color="auto" w:fill="D9D9D9" w:themeFill="background1" w:themeFillShade="D9"/>
          </w:tcPr>
          <w:p w14:paraId="18E1DB14" w14:textId="77777777" w:rsidR="006B611C" w:rsidRPr="006B611C" w:rsidRDefault="006B611C" w:rsidP="00F0067A">
            <w:pPr>
              <w:keepNext/>
              <w:rPr>
                <w:b/>
              </w:rPr>
            </w:pPr>
            <w:r w:rsidRPr="006B611C">
              <w:rPr>
                <w:b/>
              </w:rPr>
              <w:t>Ref</w:t>
            </w:r>
          </w:p>
        </w:tc>
        <w:tc>
          <w:tcPr>
            <w:tcW w:w="4121" w:type="dxa"/>
            <w:shd w:val="clear" w:color="auto" w:fill="D9D9D9" w:themeFill="background1" w:themeFillShade="D9"/>
          </w:tcPr>
          <w:p w14:paraId="2B9E4617" w14:textId="77777777" w:rsidR="006B611C" w:rsidRPr="006B611C" w:rsidRDefault="006B611C" w:rsidP="00F0067A">
            <w:pPr>
              <w:keepNext/>
              <w:rPr>
                <w:b/>
              </w:rPr>
            </w:pPr>
            <w:r w:rsidRPr="006B611C">
              <w:rPr>
                <w:b/>
              </w:rPr>
              <w:t>Proposed priority action</w:t>
            </w:r>
          </w:p>
        </w:tc>
        <w:tc>
          <w:tcPr>
            <w:tcW w:w="1480" w:type="dxa"/>
            <w:shd w:val="clear" w:color="auto" w:fill="D9D9D9" w:themeFill="background1" w:themeFillShade="D9"/>
          </w:tcPr>
          <w:p w14:paraId="71F3A031" w14:textId="12EF5EB5" w:rsidR="006B611C" w:rsidRPr="006B611C" w:rsidRDefault="00CB6E7B" w:rsidP="00F0067A">
            <w:pPr>
              <w:keepNext/>
              <w:rPr>
                <w:b/>
              </w:rPr>
            </w:pPr>
            <w:r>
              <w:rPr>
                <w:b/>
              </w:rPr>
              <w:t>Level</w:t>
            </w:r>
          </w:p>
        </w:tc>
        <w:tc>
          <w:tcPr>
            <w:tcW w:w="1313" w:type="dxa"/>
            <w:shd w:val="clear" w:color="auto" w:fill="D9D9D9" w:themeFill="background1" w:themeFillShade="D9"/>
          </w:tcPr>
          <w:p w14:paraId="2A556EB7" w14:textId="6BC117F2" w:rsidR="006B611C" w:rsidRPr="006B611C" w:rsidRDefault="006B611C" w:rsidP="00F0067A">
            <w:pPr>
              <w:keepNext/>
              <w:rPr>
                <w:b/>
              </w:rPr>
            </w:pPr>
            <w:r w:rsidRPr="006B611C">
              <w:rPr>
                <w:b/>
              </w:rPr>
              <w:t>Budgetary implication</w:t>
            </w:r>
            <w:r w:rsidR="007D395E">
              <w:rPr>
                <w:rStyle w:val="FootnoteReference"/>
                <w:rFonts w:cs="Helvetica"/>
              </w:rPr>
              <w:footnoteReference w:id="18"/>
            </w:r>
            <w:r w:rsidR="007D395E" w:rsidRPr="006B611C">
              <w:rPr>
                <w:b/>
              </w:rPr>
              <w:t xml:space="preserve"> </w:t>
            </w:r>
            <w:r w:rsidRPr="006B611C">
              <w:rPr>
                <w:b/>
              </w:rPr>
              <w:t xml:space="preserve"> </w:t>
            </w:r>
          </w:p>
        </w:tc>
        <w:tc>
          <w:tcPr>
            <w:tcW w:w="2189" w:type="dxa"/>
            <w:shd w:val="clear" w:color="auto" w:fill="D9D9D9" w:themeFill="background1" w:themeFillShade="D9"/>
          </w:tcPr>
          <w:p w14:paraId="2A852026" w14:textId="7F15ABA6" w:rsidR="006B611C" w:rsidRPr="006B611C" w:rsidRDefault="006B611C" w:rsidP="00F0067A">
            <w:pPr>
              <w:keepNext/>
              <w:rPr>
                <w:b/>
              </w:rPr>
            </w:pPr>
            <w:r w:rsidRPr="006B611C">
              <w:rPr>
                <w:b/>
              </w:rPr>
              <w:t xml:space="preserve">Possible approach </w:t>
            </w:r>
            <w:r w:rsidR="00E56E33">
              <w:rPr>
                <w:b/>
              </w:rPr>
              <w:t>incl. actor(s)</w:t>
            </w:r>
          </w:p>
        </w:tc>
      </w:tr>
      <w:tr w:rsidR="00472506" w:rsidRPr="006B611C" w14:paraId="60BE5836" w14:textId="77777777" w:rsidTr="00172CA2">
        <w:trPr>
          <w:trHeight w:val="1433"/>
        </w:trPr>
        <w:tc>
          <w:tcPr>
            <w:tcW w:w="646" w:type="dxa"/>
            <w:vMerge w:val="restart"/>
          </w:tcPr>
          <w:p w14:paraId="39BBEC5E" w14:textId="1018CEE9" w:rsidR="006B611C" w:rsidRPr="006B611C" w:rsidRDefault="006B611C" w:rsidP="00F0067A">
            <w:r w:rsidRPr="006B611C">
              <w:t>110, 112, 113, 116, 130,  151,  211, 220, 241, 230, 231, 232, 340, 350, 371, 373, 382, 390</w:t>
            </w:r>
            <w:r w:rsidR="003E2A9B">
              <w:rPr>
                <w:rStyle w:val="FootnoteReference"/>
              </w:rPr>
              <w:footnoteReference w:id="19"/>
            </w:r>
          </w:p>
        </w:tc>
        <w:tc>
          <w:tcPr>
            <w:tcW w:w="4121" w:type="dxa"/>
            <w:vMerge w:val="restart"/>
          </w:tcPr>
          <w:p w14:paraId="7967ACF5" w14:textId="7551FBB5" w:rsidR="006B611C" w:rsidRPr="006B611C" w:rsidRDefault="006B611C" w:rsidP="00F0067A">
            <w:r w:rsidRPr="006B611C">
              <w:t>Provide tools, training</w:t>
            </w:r>
            <w:r w:rsidR="00CE749D">
              <w:t>,</w:t>
            </w:r>
            <w:r w:rsidRPr="006B611C">
              <w:t xml:space="preserve"> capacity building</w:t>
            </w:r>
            <w:r w:rsidR="001239A3">
              <w:t xml:space="preserve"> and</w:t>
            </w:r>
            <w:r w:rsidR="00B25797">
              <w:t xml:space="preserve"> projects</w:t>
            </w:r>
            <w:r w:rsidRPr="006B611C">
              <w:t xml:space="preserve"> on: </w:t>
            </w:r>
          </w:p>
          <w:p w14:paraId="196338E7" w14:textId="5D389E22" w:rsidR="006B611C" w:rsidRDefault="006B611C" w:rsidP="006B611C">
            <w:pPr>
              <w:pStyle w:val="ListParagraph"/>
              <w:numPr>
                <w:ilvl w:val="0"/>
                <w:numId w:val="11"/>
              </w:numPr>
              <w:spacing w:after="0" w:line="240" w:lineRule="auto"/>
              <w:ind w:left="229" w:hanging="229"/>
              <w:rPr>
                <w:rFonts w:ascii="Times New Roman" w:hAnsi="Times New Roman" w:cs="Times New Roman"/>
                <w:sz w:val="20"/>
                <w:szCs w:val="20"/>
              </w:rPr>
            </w:pPr>
            <w:r w:rsidRPr="006B611C">
              <w:rPr>
                <w:rFonts w:ascii="Times New Roman" w:hAnsi="Times New Roman" w:cs="Times New Roman"/>
                <w:sz w:val="20"/>
                <w:szCs w:val="20"/>
              </w:rPr>
              <w:t>Customs controls</w:t>
            </w:r>
          </w:p>
          <w:p w14:paraId="601758B7" w14:textId="762EA11D" w:rsidR="001A48EE" w:rsidRPr="001239A3" w:rsidRDefault="001A48EE" w:rsidP="006B611C">
            <w:pPr>
              <w:pStyle w:val="ListParagraph"/>
              <w:numPr>
                <w:ilvl w:val="0"/>
                <w:numId w:val="11"/>
              </w:numPr>
              <w:spacing w:after="0" w:line="240" w:lineRule="auto"/>
              <w:ind w:left="229" w:hanging="229"/>
              <w:rPr>
                <w:rFonts w:ascii="Times New Roman" w:hAnsi="Times New Roman" w:cs="Times New Roman"/>
                <w:sz w:val="20"/>
                <w:szCs w:val="20"/>
              </w:rPr>
            </w:pPr>
            <w:r w:rsidRPr="001239A3">
              <w:rPr>
                <w:rFonts w:ascii="Times New Roman" w:hAnsi="Times New Roman" w:cs="Times New Roman"/>
                <w:sz w:val="20"/>
                <w:szCs w:val="20"/>
              </w:rPr>
              <w:t xml:space="preserve">Import and export registers </w:t>
            </w:r>
          </w:p>
          <w:p w14:paraId="0E8AC02D" w14:textId="77777777" w:rsidR="006B611C" w:rsidRPr="006B611C" w:rsidRDefault="006B611C" w:rsidP="006B611C">
            <w:pPr>
              <w:pStyle w:val="ListParagraph"/>
              <w:numPr>
                <w:ilvl w:val="0"/>
                <w:numId w:val="11"/>
              </w:numPr>
              <w:spacing w:after="0" w:line="240" w:lineRule="auto"/>
              <w:ind w:left="229" w:hanging="229"/>
              <w:rPr>
                <w:rFonts w:ascii="Times New Roman" w:hAnsi="Times New Roman" w:cs="Times New Roman"/>
                <w:sz w:val="20"/>
                <w:szCs w:val="20"/>
              </w:rPr>
            </w:pPr>
            <w:r w:rsidRPr="006B611C">
              <w:rPr>
                <w:rFonts w:ascii="Times New Roman" w:hAnsi="Times New Roman" w:cs="Times New Roman"/>
                <w:sz w:val="20"/>
                <w:szCs w:val="20"/>
              </w:rPr>
              <w:t xml:space="preserve">Trade restrictions </w:t>
            </w:r>
          </w:p>
          <w:p w14:paraId="7BFB320B" w14:textId="77777777" w:rsidR="006B611C" w:rsidRPr="006B611C" w:rsidRDefault="006B611C" w:rsidP="006B611C">
            <w:pPr>
              <w:pStyle w:val="ListParagraph"/>
              <w:numPr>
                <w:ilvl w:val="0"/>
                <w:numId w:val="11"/>
              </w:numPr>
              <w:spacing w:after="0" w:line="240" w:lineRule="auto"/>
              <w:ind w:left="229" w:hanging="229"/>
              <w:rPr>
                <w:rFonts w:ascii="Times New Roman" w:hAnsi="Times New Roman" w:cs="Times New Roman"/>
                <w:sz w:val="20"/>
                <w:szCs w:val="20"/>
              </w:rPr>
            </w:pPr>
            <w:r w:rsidRPr="006B611C">
              <w:rPr>
                <w:rFonts w:ascii="Times New Roman" w:hAnsi="Times New Roman" w:cs="Times New Roman"/>
                <w:sz w:val="20"/>
                <w:szCs w:val="20"/>
              </w:rPr>
              <w:t xml:space="preserve">Laboratory capacity </w:t>
            </w:r>
          </w:p>
          <w:p w14:paraId="6EBBDCEF" w14:textId="494A4F9D" w:rsidR="006B611C" w:rsidRPr="006B611C" w:rsidRDefault="006B611C" w:rsidP="006B611C">
            <w:pPr>
              <w:pStyle w:val="ListParagraph"/>
              <w:numPr>
                <w:ilvl w:val="0"/>
                <w:numId w:val="11"/>
              </w:numPr>
              <w:spacing w:after="0" w:line="240" w:lineRule="auto"/>
              <w:ind w:left="229" w:hanging="229"/>
              <w:rPr>
                <w:rFonts w:ascii="Times New Roman" w:hAnsi="Times New Roman" w:cs="Times New Roman"/>
                <w:sz w:val="20"/>
                <w:szCs w:val="20"/>
              </w:rPr>
            </w:pPr>
            <w:r w:rsidRPr="006B611C">
              <w:rPr>
                <w:rFonts w:ascii="Times New Roman" w:hAnsi="Times New Roman" w:cs="Times New Roman"/>
                <w:sz w:val="20"/>
                <w:szCs w:val="20"/>
              </w:rPr>
              <w:t>Legislation (incl. model regulatory frameworks</w:t>
            </w:r>
            <w:r w:rsidR="003E2A9B" w:rsidRPr="00876637">
              <w:rPr>
                <w:rFonts w:ascii="Times New Roman" w:hAnsi="Times New Roman" w:cs="Times New Roman"/>
                <w:i/>
                <w:iCs/>
                <w:sz w:val="20"/>
                <w:szCs w:val="20"/>
              </w:rPr>
              <w:t xml:space="preserve"> </w:t>
            </w:r>
            <w:r w:rsidR="003E2A9B" w:rsidRPr="001239A3">
              <w:rPr>
                <w:rFonts w:ascii="Times New Roman" w:hAnsi="Times New Roman" w:cs="Times New Roman"/>
                <w:sz w:val="20"/>
                <w:szCs w:val="20"/>
              </w:rPr>
              <w:t>and legislation on chemicals recommended for listing</w:t>
            </w:r>
            <w:r w:rsidRPr="006B611C">
              <w:rPr>
                <w:rFonts w:ascii="Times New Roman" w:hAnsi="Times New Roman" w:cs="Times New Roman"/>
                <w:sz w:val="20"/>
                <w:szCs w:val="20"/>
              </w:rPr>
              <w:t>)</w:t>
            </w:r>
          </w:p>
          <w:p w14:paraId="3817B04A" w14:textId="77777777" w:rsidR="006B611C" w:rsidRPr="006B611C" w:rsidRDefault="006B611C" w:rsidP="006B611C">
            <w:pPr>
              <w:pStyle w:val="ListParagraph"/>
              <w:numPr>
                <w:ilvl w:val="0"/>
                <w:numId w:val="11"/>
              </w:numPr>
              <w:spacing w:after="0" w:line="240" w:lineRule="auto"/>
              <w:ind w:left="229" w:hanging="229"/>
              <w:rPr>
                <w:rFonts w:ascii="Times New Roman" w:hAnsi="Times New Roman" w:cs="Times New Roman"/>
                <w:sz w:val="20"/>
                <w:szCs w:val="20"/>
              </w:rPr>
            </w:pPr>
            <w:r w:rsidRPr="006B611C">
              <w:rPr>
                <w:rFonts w:ascii="Times New Roman" w:hAnsi="Times New Roman" w:cs="Times New Roman"/>
                <w:sz w:val="20"/>
                <w:szCs w:val="20"/>
              </w:rPr>
              <w:t xml:space="preserve">National action plan development and implementation  </w:t>
            </w:r>
          </w:p>
          <w:p w14:paraId="7FD2DD46" w14:textId="78EDA71C" w:rsidR="006B611C" w:rsidRDefault="006B611C" w:rsidP="006B611C">
            <w:pPr>
              <w:pStyle w:val="ListParagraph"/>
              <w:numPr>
                <w:ilvl w:val="0"/>
                <w:numId w:val="11"/>
              </w:numPr>
              <w:spacing w:after="0" w:line="240" w:lineRule="auto"/>
              <w:ind w:left="229" w:hanging="229"/>
              <w:rPr>
                <w:rFonts w:ascii="Times New Roman" w:hAnsi="Times New Roman" w:cs="Times New Roman"/>
                <w:sz w:val="20"/>
                <w:szCs w:val="20"/>
              </w:rPr>
            </w:pPr>
            <w:r w:rsidRPr="006B611C">
              <w:rPr>
                <w:rFonts w:ascii="Times New Roman" w:hAnsi="Times New Roman" w:cs="Times New Roman"/>
                <w:sz w:val="20"/>
                <w:szCs w:val="20"/>
              </w:rPr>
              <w:t xml:space="preserve">Collecting and/or accessing information about chemicals at national level </w:t>
            </w:r>
          </w:p>
          <w:p w14:paraId="5030C5D9" w14:textId="658EE3F1" w:rsidR="007E18CB" w:rsidRDefault="007E18CB" w:rsidP="006B611C">
            <w:pPr>
              <w:pStyle w:val="ListParagraph"/>
              <w:numPr>
                <w:ilvl w:val="0"/>
                <w:numId w:val="11"/>
              </w:numPr>
              <w:spacing w:after="0" w:line="240" w:lineRule="auto"/>
              <w:ind w:left="229" w:hanging="229"/>
              <w:rPr>
                <w:rFonts w:ascii="Times New Roman" w:hAnsi="Times New Roman" w:cs="Times New Roman"/>
                <w:sz w:val="20"/>
                <w:szCs w:val="20"/>
              </w:rPr>
            </w:pPr>
            <w:r>
              <w:rPr>
                <w:rFonts w:ascii="Times New Roman" w:hAnsi="Times New Roman" w:cs="Times New Roman"/>
                <w:sz w:val="20"/>
                <w:szCs w:val="20"/>
              </w:rPr>
              <w:t xml:space="preserve">Identifying pesticide formulations that result in acute poisoning at the national level </w:t>
            </w:r>
          </w:p>
          <w:p w14:paraId="35CB8E4F" w14:textId="04602250" w:rsidR="0036570B" w:rsidRPr="006B611C" w:rsidRDefault="0036570B" w:rsidP="006B611C">
            <w:pPr>
              <w:pStyle w:val="ListParagraph"/>
              <w:numPr>
                <w:ilvl w:val="0"/>
                <w:numId w:val="11"/>
              </w:numPr>
              <w:spacing w:after="0" w:line="240" w:lineRule="auto"/>
              <w:ind w:left="229" w:hanging="229"/>
              <w:rPr>
                <w:rFonts w:ascii="Times New Roman" w:hAnsi="Times New Roman" w:cs="Times New Roman"/>
                <w:sz w:val="20"/>
                <w:szCs w:val="20"/>
              </w:rPr>
            </w:pPr>
            <w:r>
              <w:rPr>
                <w:rFonts w:ascii="Times New Roman" w:hAnsi="Times New Roman" w:cs="Times New Roman"/>
                <w:sz w:val="20"/>
                <w:szCs w:val="20"/>
              </w:rPr>
              <w:t>Incident reporting</w:t>
            </w:r>
          </w:p>
          <w:p w14:paraId="577FB0D4" w14:textId="77777777" w:rsidR="006B611C" w:rsidRPr="006B611C" w:rsidRDefault="006B611C" w:rsidP="006B611C">
            <w:pPr>
              <w:pStyle w:val="ListParagraph"/>
              <w:numPr>
                <w:ilvl w:val="0"/>
                <w:numId w:val="11"/>
              </w:numPr>
              <w:spacing w:after="0" w:line="240" w:lineRule="auto"/>
              <w:ind w:left="229" w:hanging="229"/>
              <w:rPr>
                <w:rFonts w:ascii="Times New Roman" w:hAnsi="Times New Roman" w:cs="Times New Roman"/>
                <w:sz w:val="20"/>
                <w:szCs w:val="20"/>
              </w:rPr>
            </w:pPr>
            <w:r w:rsidRPr="006B611C">
              <w:rPr>
                <w:rFonts w:ascii="Times New Roman" w:hAnsi="Times New Roman" w:cs="Times New Roman"/>
                <w:sz w:val="20"/>
                <w:szCs w:val="20"/>
              </w:rPr>
              <w:t>Generating information on health and environmental impacts</w:t>
            </w:r>
          </w:p>
          <w:p w14:paraId="58AF8C28" w14:textId="77777777" w:rsidR="006B611C" w:rsidRPr="006B611C" w:rsidRDefault="006B611C" w:rsidP="006B611C">
            <w:pPr>
              <w:pStyle w:val="ListParagraph"/>
              <w:numPr>
                <w:ilvl w:val="0"/>
                <w:numId w:val="11"/>
              </w:numPr>
              <w:spacing w:after="0" w:line="240" w:lineRule="auto"/>
              <w:ind w:left="229" w:hanging="229"/>
              <w:rPr>
                <w:rFonts w:ascii="Times New Roman" w:hAnsi="Times New Roman" w:cs="Times New Roman"/>
                <w:sz w:val="20"/>
                <w:szCs w:val="20"/>
              </w:rPr>
            </w:pPr>
            <w:r w:rsidRPr="006B611C">
              <w:rPr>
                <w:rFonts w:ascii="Times New Roman" w:hAnsi="Times New Roman" w:cs="Times New Roman"/>
                <w:sz w:val="20"/>
                <w:szCs w:val="20"/>
              </w:rPr>
              <w:t xml:space="preserve">Risk analysis, risk evaluation </w:t>
            </w:r>
          </w:p>
          <w:p w14:paraId="61A0BDE2" w14:textId="77777777" w:rsidR="006B611C" w:rsidRPr="006B611C" w:rsidRDefault="006B611C" w:rsidP="006B611C">
            <w:pPr>
              <w:pStyle w:val="ListParagraph"/>
              <w:numPr>
                <w:ilvl w:val="0"/>
                <w:numId w:val="11"/>
              </w:numPr>
              <w:spacing w:after="0" w:line="240" w:lineRule="auto"/>
              <w:ind w:left="229" w:hanging="229"/>
              <w:rPr>
                <w:rFonts w:ascii="Times New Roman" w:hAnsi="Times New Roman" w:cs="Times New Roman"/>
                <w:sz w:val="20"/>
                <w:szCs w:val="20"/>
              </w:rPr>
            </w:pPr>
            <w:r w:rsidRPr="006B611C">
              <w:rPr>
                <w:rFonts w:ascii="Times New Roman" w:hAnsi="Times New Roman" w:cs="Times New Roman"/>
                <w:sz w:val="20"/>
                <w:szCs w:val="20"/>
              </w:rPr>
              <w:t xml:space="preserve">Chemical risk management </w:t>
            </w:r>
          </w:p>
          <w:p w14:paraId="6EA181C2" w14:textId="22E13E67" w:rsidR="006B611C" w:rsidRPr="008E7C6C" w:rsidRDefault="006B611C" w:rsidP="006B611C">
            <w:pPr>
              <w:pStyle w:val="ListParagraph"/>
              <w:numPr>
                <w:ilvl w:val="0"/>
                <w:numId w:val="11"/>
              </w:numPr>
              <w:spacing w:after="0" w:line="240" w:lineRule="auto"/>
              <w:ind w:left="229" w:hanging="229"/>
              <w:rPr>
                <w:rFonts w:ascii="Times New Roman" w:hAnsi="Times New Roman" w:cs="Times New Roman"/>
                <w:sz w:val="20"/>
                <w:szCs w:val="20"/>
                <w:lang w:val="en-US"/>
              </w:rPr>
            </w:pPr>
            <w:r w:rsidRPr="006B611C">
              <w:rPr>
                <w:rFonts w:ascii="Times New Roman" w:hAnsi="Times New Roman" w:cs="Times New Roman"/>
                <w:sz w:val="20"/>
                <w:szCs w:val="20"/>
              </w:rPr>
              <w:t xml:space="preserve">Processes under the Convention </w:t>
            </w:r>
            <w:r w:rsidR="00801DAD">
              <w:rPr>
                <w:rFonts w:ascii="Times New Roman" w:hAnsi="Times New Roman" w:cs="Times New Roman"/>
                <w:sz w:val="20"/>
                <w:szCs w:val="20"/>
              </w:rPr>
              <w:t>(notifications, SHPF proposals, import responses, export notifications, etc.</w:t>
            </w:r>
            <w:r w:rsidR="001239A3">
              <w:rPr>
                <w:rFonts w:ascii="Times New Roman" w:hAnsi="Times New Roman" w:cs="Times New Roman"/>
                <w:sz w:val="20"/>
                <w:szCs w:val="20"/>
              </w:rPr>
              <w:t>)</w:t>
            </w:r>
          </w:p>
          <w:p w14:paraId="3623C49E" w14:textId="54C26E58" w:rsidR="00C13E76" w:rsidRPr="008E7C6C" w:rsidRDefault="00C13E76" w:rsidP="006B611C">
            <w:pPr>
              <w:pStyle w:val="ListParagraph"/>
              <w:numPr>
                <w:ilvl w:val="0"/>
                <w:numId w:val="11"/>
              </w:numPr>
              <w:spacing w:after="0" w:line="240" w:lineRule="auto"/>
              <w:ind w:left="229" w:hanging="229"/>
              <w:rPr>
                <w:rFonts w:ascii="Times New Roman" w:hAnsi="Times New Roman" w:cs="Times New Roman"/>
                <w:sz w:val="20"/>
                <w:szCs w:val="20"/>
                <w:lang w:val="en-US"/>
              </w:rPr>
            </w:pPr>
            <w:r>
              <w:rPr>
                <w:rFonts w:ascii="Times New Roman" w:hAnsi="Times New Roman" w:cs="Times New Roman"/>
                <w:sz w:val="20"/>
                <w:szCs w:val="20"/>
              </w:rPr>
              <w:t>Procedural steps for listing chemicals and the PIC procedure, using the diagram</w:t>
            </w:r>
            <w:r>
              <w:rPr>
                <w:rStyle w:val="FootnoteReference"/>
                <w:rFonts w:cs="Times New Roman"/>
              </w:rPr>
              <w:footnoteReference w:id="20"/>
            </w:r>
            <w:r>
              <w:rPr>
                <w:rFonts w:ascii="Times New Roman" w:hAnsi="Times New Roman" w:cs="Times New Roman"/>
                <w:sz w:val="20"/>
                <w:szCs w:val="20"/>
              </w:rPr>
              <w:t xml:space="preserve"> and consolidated list of available guidance and key terminology</w:t>
            </w:r>
          </w:p>
          <w:p w14:paraId="79E0BA00" w14:textId="6532467D" w:rsidR="001A48EE" w:rsidRPr="00350D3E" w:rsidRDefault="001A48EE" w:rsidP="006B611C">
            <w:pPr>
              <w:pStyle w:val="ListParagraph"/>
              <w:numPr>
                <w:ilvl w:val="0"/>
                <w:numId w:val="11"/>
              </w:numPr>
              <w:spacing w:after="0" w:line="240" w:lineRule="auto"/>
              <w:ind w:left="229" w:hanging="229"/>
              <w:rPr>
                <w:rFonts w:ascii="Times New Roman" w:hAnsi="Times New Roman" w:cs="Times New Roman"/>
                <w:sz w:val="20"/>
                <w:szCs w:val="20"/>
                <w:lang w:val="en-US"/>
              </w:rPr>
            </w:pPr>
            <w:r>
              <w:rPr>
                <w:rFonts w:ascii="Times New Roman" w:hAnsi="Times New Roman" w:cs="Times New Roman"/>
                <w:sz w:val="20"/>
                <w:szCs w:val="20"/>
              </w:rPr>
              <w:t xml:space="preserve">Assisting industry in fulfilling their </w:t>
            </w:r>
            <w:r w:rsidR="001239A3">
              <w:rPr>
                <w:rFonts w:ascii="Times New Roman" w:hAnsi="Times New Roman" w:cs="Times New Roman"/>
                <w:sz w:val="20"/>
                <w:szCs w:val="20"/>
              </w:rPr>
              <w:t>role</w:t>
            </w:r>
            <w:r>
              <w:rPr>
                <w:rFonts w:ascii="Times New Roman" w:hAnsi="Times New Roman" w:cs="Times New Roman"/>
                <w:sz w:val="20"/>
                <w:szCs w:val="20"/>
              </w:rPr>
              <w:t xml:space="preserve"> under the Convention </w:t>
            </w:r>
          </w:p>
          <w:p w14:paraId="44FBD694" w14:textId="77777777" w:rsidR="006B611C" w:rsidRPr="006B611C" w:rsidRDefault="006B611C" w:rsidP="006B611C">
            <w:pPr>
              <w:pStyle w:val="ListParagraph"/>
              <w:numPr>
                <w:ilvl w:val="0"/>
                <w:numId w:val="11"/>
              </w:numPr>
              <w:spacing w:after="0" w:line="240" w:lineRule="auto"/>
              <w:ind w:left="229" w:hanging="229"/>
              <w:rPr>
                <w:rFonts w:ascii="Times New Roman" w:hAnsi="Times New Roman" w:cs="Times New Roman"/>
                <w:sz w:val="20"/>
                <w:szCs w:val="20"/>
                <w:lang w:val="fr-CH"/>
              </w:rPr>
            </w:pPr>
            <w:r w:rsidRPr="006B611C">
              <w:rPr>
                <w:rFonts w:ascii="Times New Roman" w:hAnsi="Times New Roman" w:cs="Times New Roman"/>
                <w:sz w:val="20"/>
                <w:szCs w:val="20"/>
                <w:lang w:val="fr-CH"/>
              </w:rPr>
              <w:t xml:space="preserve">Project </w:t>
            </w:r>
            <w:proofErr w:type="spellStart"/>
            <w:r w:rsidRPr="006B611C">
              <w:rPr>
                <w:rFonts w:ascii="Times New Roman" w:hAnsi="Times New Roman" w:cs="Times New Roman"/>
                <w:sz w:val="20"/>
                <w:szCs w:val="20"/>
                <w:lang w:val="fr-CH"/>
              </w:rPr>
              <w:t>development</w:t>
            </w:r>
            <w:proofErr w:type="spellEnd"/>
            <w:r w:rsidRPr="006B611C">
              <w:rPr>
                <w:rFonts w:ascii="Times New Roman" w:hAnsi="Times New Roman" w:cs="Times New Roman"/>
                <w:sz w:val="20"/>
                <w:szCs w:val="20"/>
                <w:lang w:val="fr-CH"/>
              </w:rPr>
              <w:t xml:space="preserve"> </w:t>
            </w:r>
          </w:p>
          <w:p w14:paraId="7C62B99F" w14:textId="77777777" w:rsidR="006B611C" w:rsidRDefault="006B611C" w:rsidP="006B611C">
            <w:pPr>
              <w:pStyle w:val="ListParagraph"/>
              <w:numPr>
                <w:ilvl w:val="0"/>
                <w:numId w:val="11"/>
              </w:numPr>
              <w:spacing w:after="0" w:line="240" w:lineRule="auto"/>
              <w:ind w:left="229" w:hanging="229"/>
              <w:rPr>
                <w:rFonts w:ascii="Times New Roman" w:hAnsi="Times New Roman" w:cs="Times New Roman"/>
                <w:sz w:val="20"/>
                <w:szCs w:val="20"/>
                <w:lang w:val="fr-CH"/>
              </w:rPr>
            </w:pPr>
            <w:r w:rsidRPr="006B611C">
              <w:rPr>
                <w:rFonts w:ascii="Times New Roman" w:hAnsi="Times New Roman" w:cs="Times New Roman"/>
                <w:sz w:val="20"/>
                <w:szCs w:val="20"/>
                <w:lang w:val="fr-CH"/>
              </w:rPr>
              <w:t xml:space="preserve">Synergies </w:t>
            </w:r>
            <w:proofErr w:type="spellStart"/>
            <w:r w:rsidRPr="006B611C">
              <w:rPr>
                <w:rFonts w:ascii="Times New Roman" w:hAnsi="Times New Roman" w:cs="Times New Roman"/>
                <w:sz w:val="20"/>
                <w:szCs w:val="20"/>
                <w:lang w:val="fr-CH"/>
              </w:rPr>
              <w:t>among</w:t>
            </w:r>
            <w:proofErr w:type="spellEnd"/>
            <w:r w:rsidRPr="006B611C">
              <w:rPr>
                <w:rFonts w:ascii="Times New Roman" w:hAnsi="Times New Roman" w:cs="Times New Roman"/>
                <w:sz w:val="20"/>
                <w:szCs w:val="20"/>
                <w:lang w:val="fr-CH"/>
              </w:rPr>
              <w:t xml:space="preserve"> BRS</w:t>
            </w:r>
          </w:p>
          <w:p w14:paraId="026292F2" w14:textId="77777777" w:rsidR="001A48EE" w:rsidRDefault="001A48EE" w:rsidP="006B611C">
            <w:pPr>
              <w:pStyle w:val="ListParagraph"/>
              <w:numPr>
                <w:ilvl w:val="0"/>
                <w:numId w:val="11"/>
              </w:numPr>
              <w:spacing w:after="0" w:line="240" w:lineRule="auto"/>
              <w:ind w:left="229" w:hanging="229"/>
              <w:rPr>
                <w:rFonts w:ascii="Times New Roman" w:hAnsi="Times New Roman" w:cs="Times New Roman"/>
                <w:sz w:val="20"/>
                <w:szCs w:val="20"/>
                <w:lang w:val="fr-CH"/>
              </w:rPr>
            </w:pPr>
            <w:r>
              <w:rPr>
                <w:rFonts w:ascii="Times New Roman" w:hAnsi="Times New Roman" w:cs="Times New Roman"/>
                <w:sz w:val="20"/>
                <w:szCs w:val="20"/>
                <w:lang w:val="fr-CH"/>
              </w:rPr>
              <w:t xml:space="preserve">Train the </w:t>
            </w:r>
            <w:proofErr w:type="spellStart"/>
            <w:r>
              <w:rPr>
                <w:rFonts w:ascii="Times New Roman" w:hAnsi="Times New Roman" w:cs="Times New Roman"/>
                <w:sz w:val="20"/>
                <w:szCs w:val="20"/>
                <w:lang w:val="fr-CH"/>
              </w:rPr>
              <w:t>trainers</w:t>
            </w:r>
            <w:proofErr w:type="spellEnd"/>
            <w:r>
              <w:rPr>
                <w:rFonts w:ascii="Times New Roman" w:hAnsi="Times New Roman" w:cs="Times New Roman"/>
                <w:sz w:val="20"/>
                <w:szCs w:val="20"/>
                <w:lang w:val="fr-CH"/>
              </w:rPr>
              <w:t xml:space="preserve"> programmes </w:t>
            </w:r>
          </w:p>
          <w:p w14:paraId="0C63C336" w14:textId="720BEF38" w:rsidR="00896F9B" w:rsidRPr="006B611C" w:rsidRDefault="00896F9B" w:rsidP="006B611C">
            <w:pPr>
              <w:pStyle w:val="ListParagraph"/>
              <w:numPr>
                <w:ilvl w:val="0"/>
                <w:numId w:val="11"/>
              </w:numPr>
              <w:spacing w:after="0" w:line="240" w:lineRule="auto"/>
              <w:ind w:left="229" w:hanging="229"/>
              <w:rPr>
                <w:rFonts w:ascii="Times New Roman" w:hAnsi="Times New Roman" w:cs="Times New Roman"/>
                <w:sz w:val="20"/>
                <w:szCs w:val="20"/>
                <w:lang w:val="fr-CH"/>
              </w:rPr>
            </w:pPr>
            <w:r>
              <w:rPr>
                <w:rFonts w:ascii="Times New Roman" w:hAnsi="Times New Roman" w:cs="Times New Roman"/>
                <w:sz w:val="20"/>
                <w:szCs w:val="20"/>
                <w:lang w:val="fr-CH"/>
              </w:rPr>
              <w:t>Ratification of the Convention</w:t>
            </w:r>
          </w:p>
        </w:tc>
        <w:tc>
          <w:tcPr>
            <w:tcW w:w="1480" w:type="dxa"/>
          </w:tcPr>
          <w:p w14:paraId="6A44A11E" w14:textId="46CE7330" w:rsidR="006B611C" w:rsidRPr="006B611C" w:rsidRDefault="00CB6E7B" w:rsidP="00CB6E7B">
            <w:r>
              <w:t xml:space="preserve">International </w:t>
            </w:r>
          </w:p>
        </w:tc>
        <w:tc>
          <w:tcPr>
            <w:tcW w:w="1313" w:type="dxa"/>
          </w:tcPr>
          <w:p w14:paraId="65E5E612" w14:textId="0F6DFA55" w:rsidR="006B611C" w:rsidRPr="006B611C" w:rsidRDefault="006B611C" w:rsidP="00F0067A">
            <w:r w:rsidRPr="006B611C">
              <w:t xml:space="preserve">Yes </w:t>
            </w:r>
            <w:r w:rsidR="00CB6E7B">
              <w:t>(voluntary)</w:t>
            </w:r>
          </w:p>
          <w:p w14:paraId="3FB82924" w14:textId="77777777" w:rsidR="006B611C" w:rsidRPr="006B611C" w:rsidRDefault="006B611C" w:rsidP="00F0067A"/>
          <w:p w14:paraId="170F1370" w14:textId="77777777" w:rsidR="006B611C" w:rsidRPr="006B611C" w:rsidRDefault="006B611C" w:rsidP="00F0067A"/>
          <w:p w14:paraId="38695C7F" w14:textId="77777777" w:rsidR="006B611C" w:rsidRPr="006B611C" w:rsidRDefault="006B611C" w:rsidP="00F0067A"/>
          <w:p w14:paraId="3D0E3F71" w14:textId="77777777" w:rsidR="006B611C" w:rsidRPr="006B611C" w:rsidRDefault="006B611C" w:rsidP="00F0067A"/>
          <w:p w14:paraId="66A49A94" w14:textId="77777777" w:rsidR="006B611C" w:rsidRPr="006B611C" w:rsidRDefault="006B611C" w:rsidP="00F0067A"/>
        </w:tc>
        <w:tc>
          <w:tcPr>
            <w:tcW w:w="2189" w:type="dxa"/>
            <w:vMerge w:val="restart"/>
          </w:tcPr>
          <w:p w14:paraId="31994A26" w14:textId="0756E7E5" w:rsidR="006B611C" w:rsidRPr="006B611C" w:rsidRDefault="006B611C" w:rsidP="00E56E33">
            <w:r w:rsidRPr="006B611C">
              <w:t>Implementation as part of technical assistance plan</w:t>
            </w:r>
            <w:r w:rsidR="00E56E33">
              <w:t xml:space="preserve"> and TA upon request continuously ongoing</w:t>
            </w:r>
            <w:r w:rsidRPr="006B611C">
              <w:t xml:space="preserve">, </w:t>
            </w:r>
            <w:r w:rsidR="00CB6E7B">
              <w:t>some activities c</w:t>
            </w:r>
            <w:r w:rsidR="00CB6E7B" w:rsidRPr="00CB6E7B">
              <w:t>ould potentially be included in the mandate of the compliance committee proposed to be established in terms of Article 17</w:t>
            </w:r>
          </w:p>
        </w:tc>
      </w:tr>
      <w:tr w:rsidR="00472506" w:rsidRPr="006B611C" w14:paraId="509E8EE0" w14:textId="77777777" w:rsidTr="00172CA2">
        <w:trPr>
          <w:trHeight w:val="2533"/>
        </w:trPr>
        <w:tc>
          <w:tcPr>
            <w:tcW w:w="646" w:type="dxa"/>
            <w:vMerge/>
          </w:tcPr>
          <w:p w14:paraId="014B099B" w14:textId="459A0F59" w:rsidR="006B611C" w:rsidRPr="006B611C" w:rsidRDefault="006B611C" w:rsidP="00F0067A"/>
        </w:tc>
        <w:tc>
          <w:tcPr>
            <w:tcW w:w="4121" w:type="dxa"/>
            <w:vMerge/>
          </w:tcPr>
          <w:p w14:paraId="36BC27B2" w14:textId="77777777" w:rsidR="006B611C" w:rsidRPr="006B611C" w:rsidRDefault="006B611C" w:rsidP="00F0067A"/>
        </w:tc>
        <w:tc>
          <w:tcPr>
            <w:tcW w:w="1480" w:type="dxa"/>
          </w:tcPr>
          <w:p w14:paraId="6B4BADD5" w14:textId="2C0B0360" w:rsidR="006B611C" w:rsidRPr="006B611C" w:rsidRDefault="006B611C" w:rsidP="00F0067A">
            <w:r w:rsidRPr="006B611C">
              <w:t>National</w:t>
            </w:r>
          </w:p>
          <w:p w14:paraId="5158A556" w14:textId="77777777" w:rsidR="006B611C" w:rsidRPr="006B611C" w:rsidRDefault="006B611C" w:rsidP="00F0067A">
            <w:r w:rsidRPr="006B611C">
              <w:t xml:space="preserve">  </w:t>
            </w:r>
          </w:p>
        </w:tc>
        <w:tc>
          <w:tcPr>
            <w:tcW w:w="1313" w:type="dxa"/>
          </w:tcPr>
          <w:p w14:paraId="50CBAFE1" w14:textId="03EC9715" w:rsidR="006B611C" w:rsidRPr="006B611C" w:rsidRDefault="00C11CEC" w:rsidP="00F0067A">
            <w:r>
              <w:t>N/A</w:t>
            </w:r>
          </w:p>
          <w:p w14:paraId="31272A33" w14:textId="77777777" w:rsidR="006B611C" w:rsidRPr="006B611C" w:rsidRDefault="006B611C" w:rsidP="00F0067A"/>
        </w:tc>
        <w:tc>
          <w:tcPr>
            <w:tcW w:w="2189" w:type="dxa"/>
            <w:vMerge/>
          </w:tcPr>
          <w:p w14:paraId="468AA9BD" w14:textId="77777777" w:rsidR="006B611C" w:rsidRPr="006B611C" w:rsidRDefault="006B611C" w:rsidP="00F0067A"/>
        </w:tc>
      </w:tr>
      <w:tr w:rsidR="00472506" w:rsidRPr="006B611C" w14:paraId="08161C21" w14:textId="77777777" w:rsidTr="00172CA2">
        <w:trPr>
          <w:trHeight w:val="814"/>
        </w:trPr>
        <w:tc>
          <w:tcPr>
            <w:tcW w:w="646" w:type="dxa"/>
          </w:tcPr>
          <w:p w14:paraId="6DDC11B2" w14:textId="604E96C0" w:rsidR="006B611C" w:rsidRPr="006B611C" w:rsidRDefault="006B611C" w:rsidP="008E7C6C">
            <w:pPr>
              <w:keepNext/>
            </w:pPr>
            <w:r w:rsidRPr="006B611C">
              <w:lastRenderedPageBreak/>
              <w:t>114, 115, 151, 340</w:t>
            </w:r>
            <w:r w:rsidR="007125B2">
              <w:rPr>
                <w:rStyle w:val="FootnoteReference"/>
              </w:rPr>
              <w:footnoteReference w:id="21"/>
            </w:r>
            <w:r w:rsidRPr="006B611C">
              <w:t xml:space="preserve">  </w:t>
            </w:r>
          </w:p>
        </w:tc>
        <w:tc>
          <w:tcPr>
            <w:tcW w:w="4121" w:type="dxa"/>
          </w:tcPr>
          <w:p w14:paraId="2E9FD034" w14:textId="77777777" w:rsidR="006B611C" w:rsidRPr="006B611C" w:rsidRDefault="006B611C" w:rsidP="008E7C6C">
            <w:pPr>
              <w:keepNext/>
            </w:pPr>
            <w:r w:rsidRPr="006B611C">
              <w:t xml:space="preserve">Develop guidance on: </w:t>
            </w:r>
          </w:p>
          <w:p w14:paraId="44031C27" w14:textId="77777777" w:rsidR="006B611C" w:rsidRPr="006B611C" w:rsidRDefault="006B611C" w:rsidP="008E7C6C">
            <w:pPr>
              <w:pStyle w:val="ListParagraph"/>
              <w:keepNext/>
              <w:numPr>
                <w:ilvl w:val="0"/>
                <w:numId w:val="11"/>
              </w:numPr>
              <w:spacing w:after="0" w:line="240" w:lineRule="auto"/>
              <w:ind w:left="229" w:hanging="229"/>
              <w:rPr>
                <w:rFonts w:ascii="Times New Roman" w:hAnsi="Times New Roman" w:cs="Times New Roman"/>
                <w:sz w:val="20"/>
                <w:szCs w:val="20"/>
              </w:rPr>
            </w:pPr>
            <w:r w:rsidRPr="006B611C">
              <w:rPr>
                <w:rFonts w:ascii="Times New Roman" w:hAnsi="Times New Roman" w:cs="Times New Roman"/>
                <w:sz w:val="20"/>
                <w:szCs w:val="20"/>
              </w:rPr>
              <w:t>Bridging information</w:t>
            </w:r>
          </w:p>
          <w:p w14:paraId="465BE606" w14:textId="1BC8A9C4" w:rsidR="006B611C" w:rsidRDefault="006B611C" w:rsidP="008E7C6C">
            <w:pPr>
              <w:pStyle w:val="ListParagraph"/>
              <w:keepNext/>
              <w:numPr>
                <w:ilvl w:val="0"/>
                <w:numId w:val="11"/>
              </w:numPr>
              <w:spacing w:after="0" w:line="240" w:lineRule="auto"/>
              <w:ind w:left="229" w:hanging="229"/>
              <w:rPr>
                <w:rFonts w:ascii="Times New Roman" w:hAnsi="Times New Roman" w:cs="Times New Roman"/>
                <w:sz w:val="20"/>
                <w:szCs w:val="20"/>
              </w:rPr>
            </w:pPr>
            <w:r w:rsidRPr="006B611C">
              <w:rPr>
                <w:rFonts w:ascii="Times New Roman" w:hAnsi="Times New Roman" w:cs="Times New Roman"/>
                <w:sz w:val="20"/>
                <w:szCs w:val="20"/>
              </w:rPr>
              <w:t>Using data on pesticide suicides to identify chemicals for FRAs</w:t>
            </w:r>
          </w:p>
          <w:p w14:paraId="7C258B15" w14:textId="1874D58F" w:rsidR="009058AB" w:rsidRPr="006B611C" w:rsidRDefault="00D12B06" w:rsidP="008E7C6C">
            <w:pPr>
              <w:pStyle w:val="ListParagraph"/>
              <w:keepNext/>
              <w:numPr>
                <w:ilvl w:val="0"/>
                <w:numId w:val="11"/>
              </w:numPr>
              <w:spacing w:after="0" w:line="240" w:lineRule="auto"/>
              <w:ind w:left="229" w:hanging="229"/>
              <w:rPr>
                <w:rFonts w:ascii="Times New Roman" w:hAnsi="Times New Roman" w:cs="Times New Roman"/>
                <w:sz w:val="20"/>
                <w:szCs w:val="20"/>
              </w:rPr>
            </w:pPr>
            <w:r>
              <w:rPr>
                <w:rFonts w:ascii="Times New Roman" w:hAnsi="Times New Roman" w:cs="Times New Roman"/>
                <w:sz w:val="20"/>
                <w:szCs w:val="20"/>
              </w:rPr>
              <w:t>Methodologies</w:t>
            </w:r>
            <w:r w:rsidR="009058AB">
              <w:rPr>
                <w:rFonts w:ascii="Times New Roman" w:hAnsi="Times New Roman" w:cs="Times New Roman"/>
                <w:sz w:val="20"/>
                <w:szCs w:val="20"/>
              </w:rPr>
              <w:t xml:space="preserve"> for risk evaluations </w:t>
            </w:r>
          </w:p>
          <w:p w14:paraId="4E94568F" w14:textId="23D4867D" w:rsidR="006B611C" w:rsidRDefault="006B611C" w:rsidP="008E7C6C">
            <w:pPr>
              <w:pStyle w:val="ListParagraph"/>
              <w:keepNext/>
              <w:numPr>
                <w:ilvl w:val="0"/>
                <w:numId w:val="11"/>
              </w:numPr>
              <w:spacing w:after="0" w:line="240" w:lineRule="auto"/>
              <w:ind w:left="229" w:hanging="229"/>
              <w:rPr>
                <w:rFonts w:ascii="Times New Roman" w:hAnsi="Times New Roman" w:cs="Times New Roman"/>
                <w:sz w:val="20"/>
                <w:szCs w:val="20"/>
              </w:rPr>
            </w:pPr>
            <w:r w:rsidRPr="006B611C">
              <w:rPr>
                <w:rFonts w:ascii="Times New Roman" w:hAnsi="Times New Roman" w:cs="Times New Roman"/>
                <w:sz w:val="20"/>
                <w:szCs w:val="20"/>
              </w:rPr>
              <w:t>Methodology to guide Parties in taking national decisions on listing</w:t>
            </w:r>
          </w:p>
          <w:p w14:paraId="2B38311E" w14:textId="7877804C" w:rsidR="007125B2" w:rsidRPr="006B611C" w:rsidRDefault="007125B2" w:rsidP="008E7C6C">
            <w:pPr>
              <w:pStyle w:val="ListParagraph"/>
              <w:keepNext/>
              <w:numPr>
                <w:ilvl w:val="0"/>
                <w:numId w:val="11"/>
              </w:numPr>
              <w:spacing w:after="0" w:line="240" w:lineRule="auto"/>
              <w:ind w:left="229" w:hanging="229"/>
              <w:rPr>
                <w:rFonts w:ascii="Times New Roman" w:hAnsi="Times New Roman" w:cs="Times New Roman"/>
                <w:sz w:val="20"/>
                <w:szCs w:val="20"/>
              </w:rPr>
            </w:pPr>
            <w:r>
              <w:rPr>
                <w:rFonts w:ascii="Times New Roman" w:hAnsi="Times New Roman" w:cs="Times New Roman"/>
                <w:sz w:val="20"/>
                <w:szCs w:val="20"/>
              </w:rPr>
              <w:t>R</w:t>
            </w:r>
            <w:r w:rsidRPr="007125B2">
              <w:rPr>
                <w:rFonts w:ascii="Times New Roman" w:hAnsi="Times New Roman" w:cs="Times New Roman"/>
                <w:sz w:val="20"/>
                <w:szCs w:val="20"/>
              </w:rPr>
              <w:t>isk evaluations not based on risk assessments</w:t>
            </w:r>
          </w:p>
          <w:p w14:paraId="2BC998BF" w14:textId="77777777" w:rsidR="006B611C" w:rsidRPr="006B611C" w:rsidRDefault="006B611C" w:rsidP="008E7C6C">
            <w:pPr>
              <w:pStyle w:val="ListParagraph"/>
              <w:keepNext/>
              <w:numPr>
                <w:ilvl w:val="0"/>
                <w:numId w:val="11"/>
              </w:numPr>
              <w:spacing w:after="0" w:line="240" w:lineRule="auto"/>
              <w:ind w:left="229" w:hanging="229"/>
              <w:rPr>
                <w:rFonts w:ascii="Times New Roman" w:hAnsi="Times New Roman" w:cs="Times New Roman"/>
                <w:sz w:val="20"/>
                <w:szCs w:val="20"/>
              </w:rPr>
            </w:pPr>
            <w:r w:rsidRPr="006B611C">
              <w:rPr>
                <w:rFonts w:ascii="Times New Roman" w:hAnsi="Times New Roman" w:cs="Times New Roman"/>
                <w:sz w:val="20"/>
                <w:szCs w:val="20"/>
              </w:rPr>
              <w:t>Identification of elements of national action plans (all UN languages)</w:t>
            </w:r>
          </w:p>
          <w:p w14:paraId="6FF5A755" w14:textId="77777777" w:rsidR="006B611C" w:rsidRPr="006B611C" w:rsidRDefault="006B611C" w:rsidP="008E7C6C">
            <w:pPr>
              <w:pStyle w:val="ListParagraph"/>
              <w:keepNext/>
              <w:numPr>
                <w:ilvl w:val="0"/>
                <w:numId w:val="11"/>
              </w:numPr>
              <w:spacing w:after="0" w:line="240" w:lineRule="auto"/>
              <w:ind w:left="229" w:hanging="229"/>
              <w:rPr>
                <w:rFonts w:ascii="Times New Roman" w:hAnsi="Times New Roman" w:cs="Times New Roman"/>
                <w:sz w:val="20"/>
                <w:szCs w:val="20"/>
              </w:rPr>
            </w:pPr>
            <w:r w:rsidRPr="006B611C">
              <w:rPr>
                <w:rFonts w:ascii="Times New Roman" w:hAnsi="Times New Roman" w:cs="Times New Roman"/>
                <w:sz w:val="20"/>
                <w:szCs w:val="20"/>
              </w:rPr>
              <w:t>Identification, evaluation and controlling risks associated with highly hazardous pesticides</w:t>
            </w:r>
          </w:p>
        </w:tc>
        <w:tc>
          <w:tcPr>
            <w:tcW w:w="1480" w:type="dxa"/>
          </w:tcPr>
          <w:p w14:paraId="06E1DDE0" w14:textId="0C82993A" w:rsidR="006B611C" w:rsidRDefault="00EB27BF" w:rsidP="008E7C6C">
            <w:pPr>
              <w:keepNext/>
            </w:pPr>
            <w:r>
              <w:t>International</w:t>
            </w:r>
          </w:p>
          <w:p w14:paraId="3E2160D0" w14:textId="1DCD086D" w:rsidR="00E56E33" w:rsidRPr="006B611C" w:rsidRDefault="00E56E33" w:rsidP="008E7C6C">
            <w:pPr>
              <w:keepNext/>
            </w:pPr>
          </w:p>
        </w:tc>
        <w:tc>
          <w:tcPr>
            <w:tcW w:w="1313" w:type="dxa"/>
          </w:tcPr>
          <w:p w14:paraId="218BEBFF" w14:textId="4959A933" w:rsidR="006B611C" w:rsidRPr="006B611C" w:rsidRDefault="006B611C" w:rsidP="008E7C6C">
            <w:pPr>
              <w:keepNext/>
            </w:pPr>
            <w:r w:rsidRPr="006B611C">
              <w:t>Yes</w:t>
            </w:r>
            <w:r w:rsidR="00CB6E7B">
              <w:t xml:space="preserve"> (voluntary)</w:t>
            </w:r>
          </w:p>
        </w:tc>
        <w:tc>
          <w:tcPr>
            <w:tcW w:w="2189" w:type="dxa"/>
          </w:tcPr>
          <w:p w14:paraId="0FE966B6" w14:textId="5DC90694" w:rsidR="006B611C" w:rsidRPr="006B611C" w:rsidRDefault="006B611C" w:rsidP="008E7C6C">
            <w:pPr>
              <w:keepNext/>
            </w:pPr>
            <w:r w:rsidRPr="006B611C">
              <w:t xml:space="preserve">Implementation as part of technical assistance plan, taking into account existing guidance materials </w:t>
            </w:r>
          </w:p>
        </w:tc>
      </w:tr>
      <w:tr w:rsidR="00472506" w:rsidRPr="006B611C" w14:paraId="4BACCF9F" w14:textId="77777777" w:rsidTr="00172CA2">
        <w:trPr>
          <w:trHeight w:val="814"/>
        </w:trPr>
        <w:tc>
          <w:tcPr>
            <w:tcW w:w="646" w:type="dxa"/>
            <w:vMerge w:val="restart"/>
          </w:tcPr>
          <w:p w14:paraId="5341C074" w14:textId="77777777" w:rsidR="006B611C" w:rsidRPr="006B611C" w:rsidRDefault="006B611C" w:rsidP="00F0067A">
            <w:r w:rsidRPr="006B611C">
              <w:t>150, 210, 241, 310, 311</w:t>
            </w:r>
          </w:p>
        </w:tc>
        <w:tc>
          <w:tcPr>
            <w:tcW w:w="4121" w:type="dxa"/>
            <w:vMerge w:val="restart"/>
          </w:tcPr>
          <w:p w14:paraId="1C811143" w14:textId="77777777" w:rsidR="006B611C" w:rsidRPr="006B611C" w:rsidRDefault="006B611C" w:rsidP="00F0067A">
            <w:r w:rsidRPr="006B611C">
              <w:t xml:space="preserve">Raise awareness on: </w:t>
            </w:r>
          </w:p>
          <w:p w14:paraId="1E7FF921" w14:textId="77777777" w:rsidR="006B611C" w:rsidRPr="006B611C" w:rsidRDefault="006B611C" w:rsidP="006B611C">
            <w:pPr>
              <w:pStyle w:val="ListParagraph"/>
              <w:numPr>
                <w:ilvl w:val="0"/>
                <w:numId w:val="11"/>
              </w:numPr>
              <w:spacing w:after="0" w:line="240" w:lineRule="auto"/>
              <w:ind w:left="229" w:hanging="229"/>
              <w:rPr>
                <w:rFonts w:ascii="Times New Roman" w:hAnsi="Times New Roman" w:cs="Times New Roman"/>
                <w:sz w:val="20"/>
                <w:szCs w:val="20"/>
              </w:rPr>
            </w:pPr>
            <w:r w:rsidRPr="006B611C">
              <w:rPr>
                <w:rFonts w:ascii="Times New Roman" w:hAnsi="Times New Roman" w:cs="Times New Roman"/>
                <w:sz w:val="20"/>
                <w:szCs w:val="20"/>
              </w:rPr>
              <w:t>The Convention</w:t>
            </w:r>
          </w:p>
          <w:p w14:paraId="2E852CE6" w14:textId="0516C879" w:rsidR="006B611C" w:rsidRDefault="006B611C" w:rsidP="006B611C">
            <w:pPr>
              <w:pStyle w:val="ListParagraph"/>
              <w:numPr>
                <w:ilvl w:val="0"/>
                <w:numId w:val="11"/>
              </w:numPr>
              <w:spacing w:after="0" w:line="240" w:lineRule="auto"/>
              <w:ind w:left="229" w:hanging="229"/>
              <w:rPr>
                <w:rFonts w:ascii="Times New Roman" w:hAnsi="Times New Roman" w:cs="Times New Roman"/>
                <w:sz w:val="20"/>
                <w:szCs w:val="20"/>
              </w:rPr>
            </w:pPr>
            <w:r w:rsidRPr="006B611C">
              <w:rPr>
                <w:rFonts w:ascii="Times New Roman" w:hAnsi="Times New Roman" w:cs="Times New Roman"/>
                <w:sz w:val="20"/>
                <w:szCs w:val="20"/>
              </w:rPr>
              <w:t>Its objectives</w:t>
            </w:r>
            <w:r w:rsidR="009058AB">
              <w:rPr>
                <w:rFonts w:ascii="Times New Roman" w:hAnsi="Times New Roman" w:cs="Times New Roman"/>
                <w:sz w:val="20"/>
                <w:szCs w:val="20"/>
              </w:rPr>
              <w:t>, purpose and value</w:t>
            </w:r>
          </w:p>
          <w:p w14:paraId="561584A0" w14:textId="4E45D206" w:rsidR="00C71005" w:rsidRPr="006B611C" w:rsidRDefault="00C71005" w:rsidP="006B611C">
            <w:pPr>
              <w:pStyle w:val="ListParagraph"/>
              <w:numPr>
                <w:ilvl w:val="0"/>
                <w:numId w:val="11"/>
              </w:numPr>
              <w:spacing w:after="0" w:line="240" w:lineRule="auto"/>
              <w:ind w:left="229" w:hanging="229"/>
              <w:rPr>
                <w:rFonts w:ascii="Times New Roman" w:hAnsi="Times New Roman" w:cs="Times New Roman"/>
                <w:sz w:val="20"/>
                <w:szCs w:val="20"/>
              </w:rPr>
            </w:pPr>
            <w:r>
              <w:rPr>
                <w:rFonts w:ascii="Times New Roman" w:hAnsi="Times New Roman" w:cs="Times New Roman"/>
                <w:sz w:val="20"/>
                <w:szCs w:val="20"/>
              </w:rPr>
              <w:t xml:space="preserve">Links between Convention and Sustainable Development Goals </w:t>
            </w:r>
          </w:p>
          <w:p w14:paraId="46183917" w14:textId="77777777" w:rsidR="006B611C" w:rsidRPr="006B611C" w:rsidRDefault="006B611C" w:rsidP="006B611C">
            <w:pPr>
              <w:pStyle w:val="ListParagraph"/>
              <w:numPr>
                <w:ilvl w:val="0"/>
                <w:numId w:val="11"/>
              </w:numPr>
              <w:spacing w:after="0" w:line="240" w:lineRule="auto"/>
              <w:ind w:left="229" w:hanging="229"/>
              <w:rPr>
                <w:rFonts w:ascii="Times New Roman" w:hAnsi="Times New Roman" w:cs="Times New Roman"/>
                <w:sz w:val="20"/>
                <w:szCs w:val="20"/>
              </w:rPr>
            </w:pPr>
            <w:r w:rsidRPr="006B611C">
              <w:rPr>
                <w:rFonts w:ascii="Times New Roman" w:hAnsi="Times New Roman" w:cs="Times New Roman"/>
                <w:sz w:val="20"/>
                <w:szCs w:val="20"/>
              </w:rPr>
              <w:t>PIC procedure</w:t>
            </w:r>
          </w:p>
          <w:p w14:paraId="2A52F06A" w14:textId="77777777" w:rsidR="006B611C" w:rsidRPr="006B611C" w:rsidRDefault="006B611C" w:rsidP="006B611C">
            <w:pPr>
              <w:pStyle w:val="ListParagraph"/>
              <w:numPr>
                <w:ilvl w:val="0"/>
                <w:numId w:val="11"/>
              </w:numPr>
              <w:spacing w:after="0" w:line="240" w:lineRule="auto"/>
              <w:ind w:left="229" w:hanging="229"/>
              <w:rPr>
                <w:rFonts w:ascii="Times New Roman" w:hAnsi="Times New Roman" w:cs="Times New Roman"/>
                <w:sz w:val="20"/>
                <w:szCs w:val="20"/>
              </w:rPr>
            </w:pPr>
            <w:r w:rsidRPr="006B611C">
              <w:rPr>
                <w:rFonts w:ascii="Times New Roman" w:hAnsi="Times New Roman" w:cs="Times New Roman"/>
                <w:sz w:val="20"/>
                <w:szCs w:val="20"/>
              </w:rPr>
              <w:t xml:space="preserve">Risks of chemicals </w:t>
            </w:r>
          </w:p>
          <w:p w14:paraId="4ADDC9CE" w14:textId="3CCC86DC" w:rsidR="006B611C" w:rsidRPr="006B611C" w:rsidRDefault="006B611C" w:rsidP="006B611C">
            <w:pPr>
              <w:pStyle w:val="ListParagraph"/>
              <w:numPr>
                <w:ilvl w:val="0"/>
                <w:numId w:val="11"/>
              </w:numPr>
              <w:spacing w:after="0" w:line="240" w:lineRule="auto"/>
              <w:ind w:left="229" w:hanging="229"/>
              <w:rPr>
                <w:rFonts w:ascii="Times New Roman" w:hAnsi="Times New Roman" w:cs="Times New Roman"/>
                <w:sz w:val="20"/>
                <w:szCs w:val="20"/>
              </w:rPr>
            </w:pPr>
            <w:r w:rsidRPr="006B611C">
              <w:rPr>
                <w:rFonts w:ascii="Times New Roman" w:hAnsi="Times New Roman" w:cs="Times New Roman"/>
                <w:sz w:val="20"/>
                <w:szCs w:val="20"/>
              </w:rPr>
              <w:t xml:space="preserve">Implications of listing </w:t>
            </w:r>
            <w:r w:rsidR="00F0067A">
              <w:rPr>
                <w:rFonts w:ascii="Times New Roman" w:hAnsi="Times New Roman" w:cs="Times New Roman"/>
                <w:sz w:val="20"/>
                <w:szCs w:val="20"/>
              </w:rPr>
              <w:t>chemicals in Annex III</w:t>
            </w:r>
          </w:p>
          <w:p w14:paraId="3993BFA0" w14:textId="77777777" w:rsidR="006B611C" w:rsidRPr="006B611C" w:rsidRDefault="006B611C" w:rsidP="006B611C">
            <w:pPr>
              <w:pStyle w:val="ListParagraph"/>
              <w:numPr>
                <w:ilvl w:val="0"/>
                <w:numId w:val="11"/>
              </w:numPr>
              <w:spacing w:after="0" w:line="240" w:lineRule="auto"/>
              <w:ind w:left="229" w:hanging="229"/>
              <w:rPr>
                <w:rFonts w:ascii="Times New Roman" w:hAnsi="Times New Roman" w:cs="Times New Roman"/>
                <w:sz w:val="20"/>
                <w:szCs w:val="20"/>
              </w:rPr>
            </w:pPr>
            <w:r w:rsidRPr="006B611C">
              <w:rPr>
                <w:rFonts w:ascii="Times New Roman" w:hAnsi="Times New Roman" w:cs="Times New Roman"/>
                <w:sz w:val="20"/>
                <w:szCs w:val="20"/>
              </w:rPr>
              <w:t xml:space="preserve">Existing financial mechanisms </w:t>
            </w:r>
          </w:p>
        </w:tc>
        <w:tc>
          <w:tcPr>
            <w:tcW w:w="1480" w:type="dxa"/>
          </w:tcPr>
          <w:p w14:paraId="3616F3DD" w14:textId="40A5286D" w:rsidR="006B611C" w:rsidRPr="006B611C" w:rsidRDefault="00472506" w:rsidP="00F0067A">
            <w:r>
              <w:t>International</w:t>
            </w:r>
          </w:p>
        </w:tc>
        <w:tc>
          <w:tcPr>
            <w:tcW w:w="1313" w:type="dxa"/>
          </w:tcPr>
          <w:p w14:paraId="29963D54" w14:textId="3C6B17AB" w:rsidR="006B611C" w:rsidRPr="006B611C" w:rsidRDefault="006B611C" w:rsidP="00F0067A">
            <w:r w:rsidRPr="006B611C">
              <w:t xml:space="preserve">Yes </w:t>
            </w:r>
            <w:r w:rsidR="00CB6E7B">
              <w:t>(voluntary)</w:t>
            </w:r>
          </w:p>
        </w:tc>
        <w:tc>
          <w:tcPr>
            <w:tcW w:w="2189" w:type="dxa"/>
          </w:tcPr>
          <w:p w14:paraId="4C7F246F" w14:textId="77777777" w:rsidR="00472506" w:rsidRDefault="006B611C" w:rsidP="00F0067A">
            <w:r w:rsidRPr="006B611C">
              <w:t xml:space="preserve">Outreach programme </w:t>
            </w:r>
            <w:r w:rsidR="00E56E33">
              <w:t xml:space="preserve">by Secretariat </w:t>
            </w:r>
          </w:p>
          <w:p w14:paraId="03BB8368" w14:textId="6C91371C" w:rsidR="006B611C" w:rsidRPr="00BF544F" w:rsidRDefault="006B611C" w:rsidP="00F0067A">
            <w:pPr>
              <w:rPr>
                <w:i/>
              </w:rPr>
            </w:pPr>
            <w:r w:rsidRPr="00BF544F">
              <w:rPr>
                <w:i/>
              </w:rPr>
              <w:t xml:space="preserve">Note: A number of guidance and outreach </w:t>
            </w:r>
            <w:r w:rsidR="00472506" w:rsidRPr="00BF544F">
              <w:rPr>
                <w:i/>
              </w:rPr>
              <w:t>materials exist</w:t>
            </w:r>
          </w:p>
        </w:tc>
      </w:tr>
      <w:tr w:rsidR="00472506" w:rsidRPr="006B611C" w14:paraId="3AAA8704" w14:textId="77777777" w:rsidTr="00172CA2">
        <w:trPr>
          <w:trHeight w:val="465"/>
        </w:trPr>
        <w:tc>
          <w:tcPr>
            <w:tcW w:w="646" w:type="dxa"/>
            <w:vMerge/>
          </w:tcPr>
          <w:p w14:paraId="3FA5F25C" w14:textId="77777777" w:rsidR="006B611C" w:rsidRPr="006B611C" w:rsidRDefault="006B611C" w:rsidP="00F0067A"/>
        </w:tc>
        <w:tc>
          <w:tcPr>
            <w:tcW w:w="4121" w:type="dxa"/>
            <w:vMerge/>
          </w:tcPr>
          <w:p w14:paraId="5C4F86F7" w14:textId="77777777" w:rsidR="006B611C" w:rsidRPr="006B611C" w:rsidRDefault="006B611C" w:rsidP="00F0067A"/>
        </w:tc>
        <w:tc>
          <w:tcPr>
            <w:tcW w:w="1480" w:type="dxa"/>
          </w:tcPr>
          <w:p w14:paraId="474604F3" w14:textId="2573618D" w:rsidR="006B611C" w:rsidRPr="006B611C" w:rsidRDefault="00472506" w:rsidP="00F0067A">
            <w:r>
              <w:t>National</w:t>
            </w:r>
          </w:p>
        </w:tc>
        <w:tc>
          <w:tcPr>
            <w:tcW w:w="1313" w:type="dxa"/>
          </w:tcPr>
          <w:p w14:paraId="6438CC45" w14:textId="266CA472" w:rsidR="006B611C" w:rsidRPr="006B611C" w:rsidRDefault="00C11CEC" w:rsidP="00F0067A">
            <w:r>
              <w:t>N/A</w:t>
            </w:r>
          </w:p>
        </w:tc>
        <w:tc>
          <w:tcPr>
            <w:tcW w:w="2189" w:type="dxa"/>
          </w:tcPr>
          <w:p w14:paraId="720165C7" w14:textId="567213CC" w:rsidR="006B611C" w:rsidRPr="006B611C" w:rsidRDefault="00472506" w:rsidP="00F0067A">
            <w:r>
              <w:t>National activities by Parties</w:t>
            </w:r>
          </w:p>
        </w:tc>
      </w:tr>
      <w:tr w:rsidR="00AC7128" w:rsidRPr="006B611C" w14:paraId="52D1E72E" w14:textId="77777777" w:rsidTr="00172CA2">
        <w:tc>
          <w:tcPr>
            <w:tcW w:w="646" w:type="dxa"/>
          </w:tcPr>
          <w:p w14:paraId="559FB9E6" w14:textId="0A000BAE" w:rsidR="00AC7128" w:rsidRPr="006B611C" w:rsidRDefault="00FB0D07" w:rsidP="00F0067A">
            <w:r>
              <w:t>n/a</w:t>
            </w:r>
            <w:r w:rsidR="00AC7128">
              <w:rPr>
                <w:rStyle w:val="FootnoteReference"/>
              </w:rPr>
              <w:footnoteReference w:id="22"/>
            </w:r>
          </w:p>
        </w:tc>
        <w:tc>
          <w:tcPr>
            <w:tcW w:w="4121" w:type="dxa"/>
          </w:tcPr>
          <w:p w14:paraId="6BAB832B" w14:textId="1D341EEE" w:rsidR="00AC7128" w:rsidRPr="006B611C" w:rsidRDefault="00AC7128" w:rsidP="00F0067A">
            <w:r>
              <w:t xml:space="preserve">Implement outreach and capacity building activities through partnership approach with regional environmental organizations </w:t>
            </w:r>
          </w:p>
        </w:tc>
        <w:tc>
          <w:tcPr>
            <w:tcW w:w="1480" w:type="dxa"/>
          </w:tcPr>
          <w:p w14:paraId="2DD407ED" w14:textId="64EF97EB" w:rsidR="00AC7128" w:rsidRDefault="00AC7128" w:rsidP="00F0067A">
            <w:r>
              <w:t xml:space="preserve">International </w:t>
            </w:r>
          </w:p>
        </w:tc>
        <w:tc>
          <w:tcPr>
            <w:tcW w:w="1313" w:type="dxa"/>
          </w:tcPr>
          <w:p w14:paraId="3A40D9F4" w14:textId="6F752530" w:rsidR="00AC7128" w:rsidRPr="006B611C" w:rsidRDefault="00AC7128" w:rsidP="00F0067A">
            <w:r>
              <w:t>Yes (voluntary)</w:t>
            </w:r>
          </w:p>
        </w:tc>
        <w:tc>
          <w:tcPr>
            <w:tcW w:w="2189" w:type="dxa"/>
          </w:tcPr>
          <w:p w14:paraId="64F62AB9" w14:textId="467C42BB" w:rsidR="00AC7128" w:rsidRPr="006B611C" w:rsidRDefault="00AC7128" w:rsidP="00F0067A">
            <w:r>
              <w:t>Secretariat to work with partner organizations and report back to COP</w:t>
            </w:r>
          </w:p>
        </w:tc>
      </w:tr>
      <w:tr w:rsidR="009D0D77" w:rsidRPr="006B611C" w14:paraId="198DF0B9" w14:textId="77777777" w:rsidTr="00172CA2">
        <w:tc>
          <w:tcPr>
            <w:tcW w:w="646" w:type="dxa"/>
          </w:tcPr>
          <w:p w14:paraId="1DCD4668" w14:textId="40B8BB70" w:rsidR="009D0D77" w:rsidRDefault="00FB0D07" w:rsidP="00F0067A">
            <w:r>
              <w:t>n/a</w:t>
            </w:r>
            <w:r w:rsidR="009D0D77">
              <w:rPr>
                <w:rStyle w:val="FootnoteReference"/>
              </w:rPr>
              <w:footnoteReference w:id="23"/>
            </w:r>
          </w:p>
        </w:tc>
        <w:tc>
          <w:tcPr>
            <w:tcW w:w="4121" w:type="dxa"/>
          </w:tcPr>
          <w:p w14:paraId="6712D00E" w14:textId="1DA3BE52" w:rsidR="009D0D77" w:rsidRDefault="009D0D77" w:rsidP="00F0067A">
            <w:r>
              <w:t>Using the PIC Circular as a means to circulating training materials without relyin</w:t>
            </w:r>
            <w:r w:rsidR="00FB0D07">
              <w:t>g</w:t>
            </w:r>
            <w:r>
              <w:t xml:space="preserve"> on internet connections</w:t>
            </w:r>
          </w:p>
        </w:tc>
        <w:tc>
          <w:tcPr>
            <w:tcW w:w="1480" w:type="dxa"/>
          </w:tcPr>
          <w:p w14:paraId="57C4A5D7" w14:textId="19240015" w:rsidR="009D0D77" w:rsidRDefault="009D0D77" w:rsidP="00F0067A">
            <w:r>
              <w:t xml:space="preserve">International </w:t>
            </w:r>
          </w:p>
        </w:tc>
        <w:tc>
          <w:tcPr>
            <w:tcW w:w="1313" w:type="dxa"/>
          </w:tcPr>
          <w:p w14:paraId="2E1B1381" w14:textId="2763580D" w:rsidR="009D0D77" w:rsidRDefault="009D0D77" w:rsidP="00F0067A">
            <w:r>
              <w:t>No</w:t>
            </w:r>
          </w:p>
        </w:tc>
        <w:tc>
          <w:tcPr>
            <w:tcW w:w="2189" w:type="dxa"/>
          </w:tcPr>
          <w:p w14:paraId="5FC81301" w14:textId="6B40B49D" w:rsidR="009D0D77" w:rsidRDefault="009D0D77" w:rsidP="00F0067A">
            <w:r>
              <w:t xml:space="preserve">To include files on CD of PIC Circular that are sent twice a year </w:t>
            </w:r>
          </w:p>
        </w:tc>
      </w:tr>
      <w:tr w:rsidR="00472506" w:rsidRPr="006B611C" w14:paraId="1D0E4764" w14:textId="77777777" w:rsidTr="00172CA2">
        <w:trPr>
          <w:trHeight w:val="2341"/>
        </w:trPr>
        <w:tc>
          <w:tcPr>
            <w:tcW w:w="646" w:type="dxa"/>
          </w:tcPr>
          <w:p w14:paraId="3B0A8AE1" w14:textId="77777777" w:rsidR="006B611C" w:rsidRPr="006B611C" w:rsidRDefault="006B611C" w:rsidP="00F0067A">
            <w:r w:rsidRPr="006B611C">
              <w:t>150</w:t>
            </w:r>
          </w:p>
        </w:tc>
        <w:tc>
          <w:tcPr>
            <w:tcW w:w="4121" w:type="dxa"/>
          </w:tcPr>
          <w:p w14:paraId="1E7EBF32" w14:textId="2442056E" w:rsidR="006B611C" w:rsidRPr="006B611C" w:rsidRDefault="006B611C" w:rsidP="00F0067A">
            <w:r w:rsidRPr="006B611C">
              <w:t xml:space="preserve">Sign </w:t>
            </w:r>
            <w:r w:rsidR="00F0067A">
              <w:t>a memorandum of understanding</w:t>
            </w:r>
            <w:r w:rsidR="00F0067A" w:rsidRPr="006B611C">
              <w:t xml:space="preserve"> </w:t>
            </w:r>
            <w:r w:rsidRPr="006B611C">
              <w:t>with</w:t>
            </w:r>
            <w:r w:rsidR="00F0067A">
              <w:t xml:space="preserve"> the World Trade Organization</w:t>
            </w:r>
            <w:r w:rsidR="00D12B06">
              <w:t xml:space="preserve"> (WTO)</w:t>
            </w:r>
            <w:r w:rsidR="00F0067A">
              <w:t xml:space="preserve"> </w:t>
            </w:r>
            <w:r w:rsidRPr="006B611C">
              <w:t xml:space="preserve">on exchange and dissemination of information about </w:t>
            </w:r>
            <w:r w:rsidR="00F0067A">
              <w:t>the Convention</w:t>
            </w:r>
            <w:r w:rsidR="00F0067A" w:rsidRPr="006B611C">
              <w:t xml:space="preserve"> </w:t>
            </w:r>
          </w:p>
        </w:tc>
        <w:tc>
          <w:tcPr>
            <w:tcW w:w="1480" w:type="dxa"/>
          </w:tcPr>
          <w:p w14:paraId="7F799263" w14:textId="2FB62E5B" w:rsidR="006B611C" w:rsidRPr="006B611C" w:rsidRDefault="00472506" w:rsidP="00F0067A">
            <w:r>
              <w:t xml:space="preserve"> International</w:t>
            </w:r>
          </w:p>
        </w:tc>
        <w:tc>
          <w:tcPr>
            <w:tcW w:w="1313" w:type="dxa"/>
          </w:tcPr>
          <w:p w14:paraId="75F1ED20" w14:textId="77777777" w:rsidR="006B611C" w:rsidRPr="006B611C" w:rsidRDefault="006B611C" w:rsidP="00F0067A">
            <w:r w:rsidRPr="006B611C">
              <w:t>No</w:t>
            </w:r>
          </w:p>
        </w:tc>
        <w:tc>
          <w:tcPr>
            <w:tcW w:w="2189" w:type="dxa"/>
          </w:tcPr>
          <w:p w14:paraId="5D22ECEB" w14:textId="7B1D31D8" w:rsidR="006B611C" w:rsidRPr="006B611C" w:rsidRDefault="006B611C" w:rsidP="00F0067A">
            <w:r w:rsidRPr="006B611C">
              <w:t xml:space="preserve">COP </w:t>
            </w:r>
            <w:r w:rsidR="00472506">
              <w:t>to sign MoU or agree</w:t>
            </w:r>
            <w:r w:rsidR="00472506" w:rsidRPr="00BE38C4">
              <w:t xml:space="preserve"> on other information exchange / awareness raising activities</w:t>
            </w:r>
            <w:r w:rsidR="00472506">
              <w:rPr>
                <w:sz w:val="18"/>
                <w:szCs w:val="18"/>
                <w:lang w:val="en-US"/>
              </w:rPr>
              <w:t xml:space="preserve"> </w:t>
            </w:r>
          </w:p>
          <w:p w14:paraId="1FE7DCCC" w14:textId="7E1586FD" w:rsidR="006B611C" w:rsidRPr="00BF544F" w:rsidRDefault="006B611C" w:rsidP="00F0067A">
            <w:pPr>
              <w:rPr>
                <w:i/>
              </w:rPr>
            </w:pPr>
            <w:r w:rsidRPr="00BF544F">
              <w:rPr>
                <w:i/>
              </w:rPr>
              <w:t xml:space="preserve">Note: request for observer status in WTO Committee on Trade and Environment is pending </w:t>
            </w:r>
          </w:p>
        </w:tc>
      </w:tr>
      <w:tr w:rsidR="00C7729F" w:rsidRPr="006B611C" w14:paraId="1CCE3692" w14:textId="77777777" w:rsidTr="00172CA2">
        <w:tc>
          <w:tcPr>
            <w:tcW w:w="646" w:type="dxa"/>
          </w:tcPr>
          <w:p w14:paraId="6063E2D0" w14:textId="16466ED0" w:rsidR="00C7729F" w:rsidRPr="006B611C" w:rsidRDefault="00C7729F" w:rsidP="00F0067A">
            <w:r>
              <w:t>n/a</w:t>
            </w:r>
            <w:r>
              <w:rPr>
                <w:rStyle w:val="FootnoteReference"/>
              </w:rPr>
              <w:footnoteReference w:id="24"/>
            </w:r>
          </w:p>
        </w:tc>
        <w:tc>
          <w:tcPr>
            <w:tcW w:w="4121" w:type="dxa"/>
          </w:tcPr>
          <w:p w14:paraId="73011F66" w14:textId="11875D3D" w:rsidR="00C7729F" w:rsidRPr="006B611C" w:rsidRDefault="00C7729F" w:rsidP="00C7729F">
            <w:r w:rsidRPr="00C7729F">
              <w:t xml:space="preserve">Rotterdam </w:t>
            </w:r>
            <w:r>
              <w:t xml:space="preserve">Convention </w:t>
            </w:r>
            <w:r w:rsidRPr="00C7729F">
              <w:t xml:space="preserve">Secretariat </w:t>
            </w:r>
            <w:r>
              <w:t xml:space="preserve">to participate actively in the sessions of the World Customs Organization </w:t>
            </w:r>
            <w:r w:rsidR="00D12B06">
              <w:t xml:space="preserve">(WCO) </w:t>
            </w:r>
            <w:r>
              <w:t xml:space="preserve">to ensure </w:t>
            </w:r>
            <w:r w:rsidRPr="00C7729F">
              <w:t xml:space="preserve">correct customs nomenclature of the chemical substances and products affected by the Convention </w:t>
            </w:r>
          </w:p>
        </w:tc>
        <w:tc>
          <w:tcPr>
            <w:tcW w:w="1480" w:type="dxa"/>
          </w:tcPr>
          <w:p w14:paraId="0D1E8418" w14:textId="3CA9BCAD" w:rsidR="00C7729F" w:rsidRDefault="00C7729F" w:rsidP="00F0067A">
            <w:r>
              <w:t xml:space="preserve">International </w:t>
            </w:r>
          </w:p>
        </w:tc>
        <w:tc>
          <w:tcPr>
            <w:tcW w:w="1313" w:type="dxa"/>
          </w:tcPr>
          <w:p w14:paraId="66BE3FE5" w14:textId="156F05E5" w:rsidR="00C7729F" w:rsidRPr="006B611C" w:rsidRDefault="00EE26CF" w:rsidP="00F0067A">
            <w:r w:rsidRPr="006B611C">
              <w:t>Yes</w:t>
            </w:r>
            <w:r>
              <w:t xml:space="preserve"> (core / voluntary)</w:t>
            </w:r>
          </w:p>
        </w:tc>
        <w:tc>
          <w:tcPr>
            <w:tcW w:w="2189" w:type="dxa"/>
          </w:tcPr>
          <w:p w14:paraId="2BA6105B" w14:textId="076929D7" w:rsidR="00C7729F" w:rsidRPr="008E7C6C" w:rsidRDefault="00566524" w:rsidP="00EE26CF">
            <w:pPr>
              <w:rPr>
                <w:i/>
                <w:iCs/>
              </w:rPr>
            </w:pPr>
            <w:r w:rsidRPr="008E7C6C">
              <w:rPr>
                <w:i/>
                <w:iCs/>
              </w:rPr>
              <w:t xml:space="preserve">Note: </w:t>
            </w:r>
            <w:r w:rsidR="00EE26CF">
              <w:rPr>
                <w:i/>
                <w:iCs/>
              </w:rPr>
              <w:t>In line with Article 13 of the Convention, t</w:t>
            </w:r>
            <w:r w:rsidRPr="008E7C6C">
              <w:rPr>
                <w:i/>
                <w:iCs/>
              </w:rPr>
              <w:t xml:space="preserve">he Secretariat coordinates with the </w:t>
            </w:r>
            <w:r w:rsidR="00D12B06">
              <w:rPr>
                <w:i/>
                <w:iCs/>
              </w:rPr>
              <w:t>WCO</w:t>
            </w:r>
            <w:r w:rsidRPr="008E7C6C">
              <w:rPr>
                <w:i/>
                <w:iCs/>
              </w:rPr>
              <w:t xml:space="preserve"> on </w:t>
            </w:r>
            <w:r w:rsidR="008A03D6" w:rsidRPr="008E7C6C">
              <w:rPr>
                <w:i/>
                <w:iCs/>
              </w:rPr>
              <w:t>assigning</w:t>
            </w:r>
            <w:r w:rsidR="00EE26CF">
              <w:t xml:space="preserve"> </w:t>
            </w:r>
            <w:r w:rsidR="00EE26CF" w:rsidRPr="00EE26CF">
              <w:rPr>
                <w:i/>
                <w:iCs/>
              </w:rPr>
              <w:t>Harmonized System codes</w:t>
            </w:r>
            <w:r w:rsidR="008A03D6" w:rsidRPr="008E7C6C">
              <w:rPr>
                <w:i/>
                <w:iCs/>
              </w:rPr>
              <w:t xml:space="preserve"> for newly </w:t>
            </w:r>
            <w:r w:rsidR="008A03D6" w:rsidRPr="008A03D6">
              <w:rPr>
                <w:i/>
                <w:iCs/>
              </w:rPr>
              <w:t>listed chem</w:t>
            </w:r>
            <w:r w:rsidR="008A03D6">
              <w:rPr>
                <w:i/>
                <w:iCs/>
              </w:rPr>
              <w:t>i</w:t>
            </w:r>
            <w:r w:rsidR="008A03D6" w:rsidRPr="008A03D6">
              <w:rPr>
                <w:i/>
                <w:iCs/>
              </w:rPr>
              <w:t>c</w:t>
            </w:r>
            <w:r w:rsidR="008A03D6" w:rsidRPr="008E7C6C">
              <w:rPr>
                <w:i/>
                <w:iCs/>
              </w:rPr>
              <w:t xml:space="preserve">als. </w:t>
            </w:r>
          </w:p>
        </w:tc>
      </w:tr>
      <w:tr w:rsidR="00472506" w:rsidRPr="006B611C" w14:paraId="3E042CD7" w14:textId="77777777" w:rsidTr="00172CA2">
        <w:tblPrEx>
          <w:tblCellMar>
            <w:left w:w="85" w:type="dxa"/>
            <w:right w:w="85" w:type="dxa"/>
          </w:tblCellMar>
        </w:tblPrEx>
        <w:tc>
          <w:tcPr>
            <w:tcW w:w="646" w:type="dxa"/>
          </w:tcPr>
          <w:p w14:paraId="47D59388" w14:textId="77777777" w:rsidR="006B611C" w:rsidRPr="006B611C" w:rsidRDefault="006B611C" w:rsidP="00F0067A">
            <w:r w:rsidRPr="006B611C">
              <w:t>380</w:t>
            </w:r>
          </w:p>
        </w:tc>
        <w:tc>
          <w:tcPr>
            <w:tcW w:w="4121" w:type="dxa"/>
          </w:tcPr>
          <w:p w14:paraId="678997D4" w14:textId="6B1A158C" w:rsidR="006B611C" w:rsidRPr="006B611C" w:rsidRDefault="006B611C" w:rsidP="00F0067A">
            <w:r w:rsidRPr="006B611C">
              <w:t xml:space="preserve">Establish a financial mechanism </w:t>
            </w:r>
          </w:p>
        </w:tc>
        <w:tc>
          <w:tcPr>
            <w:tcW w:w="1480" w:type="dxa"/>
          </w:tcPr>
          <w:p w14:paraId="24928E89" w14:textId="64BB64C5" w:rsidR="006B611C" w:rsidRPr="006B611C" w:rsidRDefault="00472506" w:rsidP="00F0067A">
            <w:r>
              <w:t>International</w:t>
            </w:r>
            <w:r w:rsidR="006B611C" w:rsidRPr="006B611C">
              <w:t xml:space="preserve"> </w:t>
            </w:r>
          </w:p>
        </w:tc>
        <w:tc>
          <w:tcPr>
            <w:tcW w:w="1313" w:type="dxa"/>
          </w:tcPr>
          <w:p w14:paraId="2572F48A" w14:textId="1D58A348" w:rsidR="006B611C" w:rsidRPr="006B611C" w:rsidRDefault="006B611C" w:rsidP="00F0067A">
            <w:r w:rsidRPr="006B611C">
              <w:t>Yes</w:t>
            </w:r>
            <w:r w:rsidR="00CB6E7B">
              <w:t xml:space="preserve"> (voluntary)</w:t>
            </w:r>
          </w:p>
        </w:tc>
        <w:tc>
          <w:tcPr>
            <w:tcW w:w="2189" w:type="dxa"/>
          </w:tcPr>
          <w:p w14:paraId="461C12A5" w14:textId="6AD0C71F" w:rsidR="006B611C" w:rsidRPr="006B611C" w:rsidRDefault="006B611C" w:rsidP="00F0067A">
            <w:r w:rsidRPr="006B611C">
              <w:t>Amendment to the Convention (</w:t>
            </w:r>
            <w:r w:rsidR="00F0067A">
              <w:t xml:space="preserve">Pursuant to </w:t>
            </w:r>
            <w:r w:rsidRPr="006B611C">
              <w:t>Article 21)</w:t>
            </w:r>
          </w:p>
        </w:tc>
      </w:tr>
      <w:tr w:rsidR="00472506" w:rsidRPr="006B611C" w14:paraId="10C8FC3B" w14:textId="77777777" w:rsidTr="00172CA2">
        <w:tc>
          <w:tcPr>
            <w:tcW w:w="646" w:type="dxa"/>
          </w:tcPr>
          <w:p w14:paraId="41391955" w14:textId="77777777" w:rsidR="006B611C" w:rsidRPr="006B611C" w:rsidRDefault="006B611C" w:rsidP="008E7C6C">
            <w:pPr>
              <w:keepNext/>
            </w:pPr>
            <w:r w:rsidRPr="006B611C">
              <w:lastRenderedPageBreak/>
              <w:t>240</w:t>
            </w:r>
          </w:p>
        </w:tc>
        <w:tc>
          <w:tcPr>
            <w:tcW w:w="4121" w:type="dxa"/>
          </w:tcPr>
          <w:p w14:paraId="468DBAEE" w14:textId="77777777" w:rsidR="006B611C" w:rsidRPr="006B611C" w:rsidRDefault="006B611C" w:rsidP="008E7C6C">
            <w:pPr>
              <w:keepNext/>
            </w:pPr>
            <w:r w:rsidRPr="006B611C">
              <w:t>Promote active use of PIC Circular</w:t>
            </w:r>
          </w:p>
        </w:tc>
        <w:tc>
          <w:tcPr>
            <w:tcW w:w="1480" w:type="dxa"/>
          </w:tcPr>
          <w:p w14:paraId="46490943" w14:textId="6820FEC1" w:rsidR="006B611C" w:rsidRPr="006B611C" w:rsidRDefault="00472506" w:rsidP="008E7C6C">
            <w:pPr>
              <w:keepNext/>
            </w:pPr>
            <w:r>
              <w:t>International</w:t>
            </w:r>
            <w:r w:rsidR="006B611C" w:rsidRPr="006B611C">
              <w:t xml:space="preserve"> </w:t>
            </w:r>
          </w:p>
        </w:tc>
        <w:tc>
          <w:tcPr>
            <w:tcW w:w="1313" w:type="dxa"/>
          </w:tcPr>
          <w:p w14:paraId="7AF53025" w14:textId="301AF70A" w:rsidR="006B611C" w:rsidRPr="006B611C" w:rsidRDefault="006B611C" w:rsidP="008E7C6C">
            <w:pPr>
              <w:keepNext/>
            </w:pPr>
            <w:r w:rsidRPr="006B611C">
              <w:t xml:space="preserve">Yes </w:t>
            </w:r>
            <w:r w:rsidR="00472506">
              <w:t>(voluntary)</w:t>
            </w:r>
          </w:p>
        </w:tc>
        <w:tc>
          <w:tcPr>
            <w:tcW w:w="2189" w:type="dxa"/>
          </w:tcPr>
          <w:p w14:paraId="2B44EF5B" w14:textId="77777777" w:rsidR="006B611C" w:rsidRPr="006B611C" w:rsidRDefault="006B611C" w:rsidP="008E7C6C">
            <w:pPr>
              <w:keepNext/>
            </w:pPr>
            <w:r w:rsidRPr="006B611C">
              <w:t>Outreach programme / technical assistance plan</w:t>
            </w:r>
          </w:p>
          <w:p w14:paraId="0E9F4FE7" w14:textId="427CF4A4" w:rsidR="006B611C" w:rsidRPr="00BF544F" w:rsidRDefault="006B611C" w:rsidP="008E7C6C">
            <w:pPr>
              <w:keepNext/>
              <w:rPr>
                <w:i/>
              </w:rPr>
            </w:pPr>
            <w:r w:rsidRPr="00BF544F">
              <w:rPr>
                <w:i/>
              </w:rPr>
              <w:t>Note: User’s guide for PIC Circular exists in 6 UN languages</w:t>
            </w:r>
          </w:p>
        </w:tc>
      </w:tr>
      <w:tr w:rsidR="00472506" w:rsidRPr="006B611C" w14:paraId="7FA9B545" w14:textId="77777777" w:rsidTr="00172CA2">
        <w:tblPrEx>
          <w:tblCellMar>
            <w:left w:w="85" w:type="dxa"/>
            <w:right w:w="85" w:type="dxa"/>
          </w:tblCellMar>
        </w:tblPrEx>
        <w:tc>
          <w:tcPr>
            <w:tcW w:w="646" w:type="dxa"/>
          </w:tcPr>
          <w:p w14:paraId="09811677" w14:textId="77777777" w:rsidR="006B611C" w:rsidRPr="006B611C" w:rsidRDefault="006B611C" w:rsidP="00F0067A">
            <w:r w:rsidRPr="006B611C">
              <w:t>321</w:t>
            </w:r>
          </w:p>
        </w:tc>
        <w:tc>
          <w:tcPr>
            <w:tcW w:w="4121" w:type="dxa"/>
          </w:tcPr>
          <w:p w14:paraId="38477B18" w14:textId="77777777" w:rsidR="006B611C" w:rsidRPr="006B611C" w:rsidRDefault="006B611C" w:rsidP="00F0067A">
            <w:r w:rsidRPr="006B611C">
              <w:t xml:space="preserve">Secretariat to be proactive about approaching Parties in filling in forms, establish unified criteria for completion and evaluation of forms </w:t>
            </w:r>
          </w:p>
        </w:tc>
        <w:tc>
          <w:tcPr>
            <w:tcW w:w="1480" w:type="dxa"/>
          </w:tcPr>
          <w:p w14:paraId="294A1379" w14:textId="04C40FB2" w:rsidR="006B611C" w:rsidRPr="006B611C" w:rsidRDefault="00472506" w:rsidP="00F0067A">
            <w:r>
              <w:t>International</w:t>
            </w:r>
            <w:r w:rsidR="006B611C" w:rsidRPr="006B611C">
              <w:t xml:space="preserve"> </w:t>
            </w:r>
          </w:p>
        </w:tc>
        <w:tc>
          <w:tcPr>
            <w:tcW w:w="1313" w:type="dxa"/>
          </w:tcPr>
          <w:p w14:paraId="19D9D4F0" w14:textId="77777777" w:rsidR="006B611C" w:rsidRPr="006B611C" w:rsidRDefault="006B611C" w:rsidP="00F0067A">
            <w:r w:rsidRPr="006B611C">
              <w:t>No</w:t>
            </w:r>
          </w:p>
        </w:tc>
        <w:tc>
          <w:tcPr>
            <w:tcW w:w="2189" w:type="dxa"/>
          </w:tcPr>
          <w:p w14:paraId="54CAB5B5" w14:textId="77777777" w:rsidR="006B611C" w:rsidRPr="006B611C" w:rsidRDefault="006B611C" w:rsidP="00F0067A">
            <w:r w:rsidRPr="006B611C">
              <w:t>Implementation as part of technical assistance plan, taking into account existing materials</w:t>
            </w:r>
          </w:p>
        </w:tc>
      </w:tr>
      <w:tr w:rsidR="00472506" w:rsidRPr="006B611C" w14:paraId="5C690124" w14:textId="77777777" w:rsidTr="00172CA2">
        <w:tc>
          <w:tcPr>
            <w:tcW w:w="646" w:type="dxa"/>
          </w:tcPr>
          <w:p w14:paraId="2C9C1413" w14:textId="77777777" w:rsidR="006B611C" w:rsidRPr="006B611C" w:rsidRDefault="006B611C" w:rsidP="00F0067A">
            <w:r w:rsidRPr="006B611C">
              <w:t>370, 373</w:t>
            </w:r>
          </w:p>
        </w:tc>
        <w:tc>
          <w:tcPr>
            <w:tcW w:w="4121" w:type="dxa"/>
          </w:tcPr>
          <w:p w14:paraId="7ABAE80D" w14:textId="77777777" w:rsidR="006B611C" w:rsidRPr="006B611C" w:rsidRDefault="006B611C" w:rsidP="00F0067A">
            <w:r w:rsidRPr="006B611C">
              <w:t xml:space="preserve">Translate the resource kit and other information / training / guidance into all UN languages </w:t>
            </w:r>
          </w:p>
        </w:tc>
        <w:tc>
          <w:tcPr>
            <w:tcW w:w="1480" w:type="dxa"/>
          </w:tcPr>
          <w:p w14:paraId="6F65420A" w14:textId="3B388337" w:rsidR="006B611C" w:rsidRPr="006B611C" w:rsidRDefault="00472506" w:rsidP="00F0067A">
            <w:r>
              <w:t>International</w:t>
            </w:r>
            <w:r w:rsidR="006B611C" w:rsidRPr="006B611C">
              <w:t xml:space="preserve"> </w:t>
            </w:r>
          </w:p>
        </w:tc>
        <w:tc>
          <w:tcPr>
            <w:tcW w:w="1313" w:type="dxa"/>
          </w:tcPr>
          <w:p w14:paraId="1AA37BA3" w14:textId="2BD1373C" w:rsidR="006B611C" w:rsidRPr="006B611C" w:rsidRDefault="006B611C" w:rsidP="00F0067A">
            <w:r w:rsidRPr="006B611C">
              <w:t>Yes</w:t>
            </w:r>
            <w:r w:rsidR="00472506">
              <w:t xml:space="preserve"> (voluntary)</w:t>
            </w:r>
            <w:r w:rsidRPr="006B611C">
              <w:t xml:space="preserve">  </w:t>
            </w:r>
          </w:p>
        </w:tc>
        <w:tc>
          <w:tcPr>
            <w:tcW w:w="2189" w:type="dxa"/>
          </w:tcPr>
          <w:p w14:paraId="0CCAD563" w14:textId="77777777" w:rsidR="006B611C" w:rsidRPr="006B611C" w:rsidRDefault="006B611C" w:rsidP="00F0067A">
            <w:r w:rsidRPr="006B611C">
              <w:t xml:space="preserve">Implementation as part of technical assistance plan, taking into account translated parts </w:t>
            </w:r>
          </w:p>
        </w:tc>
      </w:tr>
      <w:tr w:rsidR="00472506" w:rsidRPr="006B611C" w14:paraId="651895F8" w14:textId="77777777" w:rsidTr="00172CA2">
        <w:trPr>
          <w:trHeight w:val="690"/>
        </w:trPr>
        <w:tc>
          <w:tcPr>
            <w:tcW w:w="646" w:type="dxa"/>
            <w:vMerge w:val="restart"/>
          </w:tcPr>
          <w:p w14:paraId="435DBB89" w14:textId="77777777" w:rsidR="006B611C" w:rsidRPr="006B611C" w:rsidRDefault="006B611C" w:rsidP="00F0067A">
            <w:r w:rsidRPr="006B611C">
              <w:t>117</w:t>
            </w:r>
          </w:p>
        </w:tc>
        <w:tc>
          <w:tcPr>
            <w:tcW w:w="4121" w:type="dxa"/>
            <w:vMerge w:val="restart"/>
          </w:tcPr>
          <w:p w14:paraId="7DF06177" w14:textId="77777777" w:rsidR="006B611C" w:rsidRPr="006B611C" w:rsidRDefault="006B611C" w:rsidP="00F0067A">
            <w:r w:rsidRPr="006B611C">
              <w:t xml:space="preserve">Organize </w:t>
            </w:r>
            <w:proofErr w:type="spellStart"/>
            <w:r w:rsidRPr="006B611C">
              <w:t>subregional</w:t>
            </w:r>
            <w:proofErr w:type="spellEnd"/>
            <w:r w:rsidRPr="006B611C">
              <w:t xml:space="preserve"> meetings to discuss region-specific difficulties </w:t>
            </w:r>
          </w:p>
        </w:tc>
        <w:tc>
          <w:tcPr>
            <w:tcW w:w="1480" w:type="dxa"/>
          </w:tcPr>
          <w:p w14:paraId="09D80540" w14:textId="77777777" w:rsidR="006B611C" w:rsidRPr="006B611C" w:rsidRDefault="006B611C" w:rsidP="00F0067A">
            <w:r w:rsidRPr="006B611C">
              <w:t>Between Parties directly</w:t>
            </w:r>
          </w:p>
        </w:tc>
        <w:tc>
          <w:tcPr>
            <w:tcW w:w="1313" w:type="dxa"/>
          </w:tcPr>
          <w:p w14:paraId="3F4E14D5" w14:textId="14C2AD37" w:rsidR="006B611C" w:rsidRPr="006B611C" w:rsidRDefault="00F0067A" w:rsidP="00F0067A">
            <w:r>
              <w:t>No</w:t>
            </w:r>
          </w:p>
        </w:tc>
        <w:tc>
          <w:tcPr>
            <w:tcW w:w="2189" w:type="dxa"/>
            <w:vMerge w:val="restart"/>
          </w:tcPr>
          <w:p w14:paraId="31820C24" w14:textId="77777777" w:rsidR="006B611C" w:rsidRPr="006B611C" w:rsidRDefault="006B611C" w:rsidP="00F0067A">
            <w:r w:rsidRPr="006B611C">
              <w:t>Implementation as part of technical assistance plan</w:t>
            </w:r>
          </w:p>
        </w:tc>
      </w:tr>
      <w:tr w:rsidR="00472506" w:rsidRPr="006B611C" w14:paraId="1122DF35" w14:textId="77777777" w:rsidTr="00172CA2">
        <w:trPr>
          <w:trHeight w:val="395"/>
        </w:trPr>
        <w:tc>
          <w:tcPr>
            <w:tcW w:w="646" w:type="dxa"/>
            <w:vMerge/>
          </w:tcPr>
          <w:p w14:paraId="7B3E4393" w14:textId="77777777" w:rsidR="006B611C" w:rsidRPr="006B611C" w:rsidRDefault="006B611C" w:rsidP="00F0067A"/>
        </w:tc>
        <w:tc>
          <w:tcPr>
            <w:tcW w:w="4121" w:type="dxa"/>
            <w:vMerge/>
          </w:tcPr>
          <w:p w14:paraId="1EB3619B" w14:textId="77777777" w:rsidR="006B611C" w:rsidRPr="006B611C" w:rsidRDefault="006B611C" w:rsidP="00F0067A"/>
        </w:tc>
        <w:tc>
          <w:tcPr>
            <w:tcW w:w="1480" w:type="dxa"/>
          </w:tcPr>
          <w:p w14:paraId="62B42CE1" w14:textId="0E3B944E" w:rsidR="006B611C" w:rsidRPr="006B611C" w:rsidRDefault="006B611C" w:rsidP="00F0067A">
            <w:r w:rsidRPr="006B611C">
              <w:t xml:space="preserve">International </w:t>
            </w:r>
          </w:p>
        </w:tc>
        <w:tc>
          <w:tcPr>
            <w:tcW w:w="1313" w:type="dxa"/>
          </w:tcPr>
          <w:p w14:paraId="352AAF12" w14:textId="1491C423" w:rsidR="006B611C" w:rsidRPr="006B611C" w:rsidRDefault="00F0067A" w:rsidP="00F0067A">
            <w:r>
              <w:t>Yes</w:t>
            </w:r>
            <w:r w:rsidR="00472506">
              <w:t xml:space="preserve"> (voluntary)</w:t>
            </w:r>
          </w:p>
        </w:tc>
        <w:tc>
          <w:tcPr>
            <w:tcW w:w="2189" w:type="dxa"/>
            <w:vMerge/>
          </w:tcPr>
          <w:p w14:paraId="418B1EA1" w14:textId="77777777" w:rsidR="006B611C" w:rsidRPr="006B611C" w:rsidRDefault="006B611C" w:rsidP="00F0067A"/>
        </w:tc>
      </w:tr>
      <w:tr w:rsidR="00472506" w:rsidRPr="006B611C" w14:paraId="0AA1419F" w14:textId="77777777" w:rsidTr="00172CA2">
        <w:trPr>
          <w:trHeight w:val="690"/>
        </w:trPr>
        <w:tc>
          <w:tcPr>
            <w:tcW w:w="646" w:type="dxa"/>
            <w:vMerge w:val="restart"/>
          </w:tcPr>
          <w:p w14:paraId="01D9AA22" w14:textId="77777777" w:rsidR="006B611C" w:rsidRPr="006B611C" w:rsidRDefault="006B611C" w:rsidP="00F0067A">
            <w:r w:rsidRPr="006B611C">
              <w:t>120, 241, 373</w:t>
            </w:r>
          </w:p>
        </w:tc>
        <w:tc>
          <w:tcPr>
            <w:tcW w:w="4121" w:type="dxa"/>
            <w:vMerge w:val="restart"/>
          </w:tcPr>
          <w:p w14:paraId="16607E78" w14:textId="77777777" w:rsidR="006B611C" w:rsidRPr="006B611C" w:rsidRDefault="006B611C" w:rsidP="00F0067A">
            <w:r w:rsidRPr="006B611C">
              <w:t xml:space="preserve">Promote Party-to-Party support: </w:t>
            </w:r>
          </w:p>
          <w:p w14:paraId="0EE08A34" w14:textId="77777777" w:rsidR="006B611C" w:rsidRPr="006B611C" w:rsidRDefault="006B611C" w:rsidP="006B611C">
            <w:pPr>
              <w:pStyle w:val="ListParagraph"/>
              <w:numPr>
                <w:ilvl w:val="0"/>
                <w:numId w:val="11"/>
              </w:numPr>
              <w:spacing w:after="0" w:line="240" w:lineRule="auto"/>
              <w:ind w:left="229" w:hanging="229"/>
              <w:rPr>
                <w:rFonts w:ascii="Times New Roman" w:hAnsi="Times New Roman" w:cs="Times New Roman"/>
                <w:sz w:val="20"/>
                <w:szCs w:val="20"/>
              </w:rPr>
            </w:pPr>
            <w:r w:rsidRPr="006B611C">
              <w:rPr>
                <w:rFonts w:ascii="Times New Roman" w:hAnsi="Times New Roman" w:cs="Times New Roman"/>
                <w:sz w:val="20"/>
                <w:szCs w:val="20"/>
              </w:rPr>
              <w:t>In-kind support for risk evaluations</w:t>
            </w:r>
          </w:p>
          <w:p w14:paraId="5722B7BE" w14:textId="77777777" w:rsidR="006B611C" w:rsidRPr="006B611C" w:rsidRDefault="006B611C" w:rsidP="006B611C">
            <w:pPr>
              <w:pStyle w:val="ListParagraph"/>
              <w:numPr>
                <w:ilvl w:val="0"/>
                <w:numId w:val="11"/>
              </w:numPr>
              <w:spacing w:after="0" w:line="240" w:lineRule="auto"/>
              <w:ind w:left="229" w:hanging="229"/>
              <w:rPr>
                <w:rFonts w:ascii="Times New Roman" w:hAnsi="Times New Roman" w:cs="Times New Roman"/>
                <w:sz w:val="20"/>
                <w:szCs w:val="20"/>
              </w:rPr>
            </w:pPr>
            <w:r w:rsidRPr="006B611C">
              <w:rPr>
                <w:rFonts w:ascii="Times New Roman" w:hAnsi="Times New Roman" w:cs="Times New Roman"/>
                <w:sz w:val="20"/>
                <w:szCs w:val="20"/>
              </w:rPr>
              <w:t>Documentation</w:t>
            </w:r>
          </w:p>
          <w:p w14:paraId="69EFDF78" w14:textId="77777777" w:rsidR="006B611C" w:rsidRPr="006B611C" w:rsidRDefault="006B611C" w:rsidP="006B611C">
            <w:pPr>
              <w:pStyle w:val="ListParagraph"/>
              <w:numPr>
                <w:ilvl w:val="0"/>
                <w:numId w:val="11"/>
              </w:numPr>
              <w:spacing w:after="0" w:line="240" w:lineRule="auto"/>
              <w:ind w:left="229" w:hanging="229"/>
              <w:rPr>
                <w:rFonts w:ascii="Times New Roman" w:hAnsi="Times New Roman" w:cs="Times New Roman"/>
                <w:sz w:val="20"/>
                <w:szCs w:val="20"/>
              </w:rPr>
            </w:pPr>
            <w:r w:rsidRPr="006B611C">
              <w:rPr>
                <w:rFonts w:ascii="Times New Roman" w:hAnsi="Times New Roman" w:cs="Times New Roman"/>
                <w:sz w:val="20"/>
                <w:szCs w:val="20"/>
              </w:rPr>
              <w:t>Mentoring or secondments</w:t>
            </w:r>
          </w:p>
        </w:tc>
        <w:tc>
          <w:tcPr>
            <w:tcW w:w="1480" w:type="dxa"/>
          </w:tcPr>
          <w:p w14:paraId="325CEA91" w14:textId="388CEF51" w:rsidR="006B611C" w:rsidRPr="006B611C" w:rsidRDefault="00472506" w:rsidP="00F0067A">
            <w:r w:rsidRPr="006B611C">
              <w:t>Between Parties directly</w:t>
            </w:r>
          </w:p>
        </w:tc>
        <w:tc>
          <w:tcPr>
            <w:tcW w:w="1313" w:type="dxa"/>
          </w:tcPr>
          <w:p w14:paraId="319F8CB3" w14:textId="30ED7C83" w:rsidR="006B611C" w:rsidRPr="006B611C" w:rsidRDefault="00C11CEC" w:rsidP="00F0067A">
            <w:r>
              <w:t>N/A</w:t>
            </w:r>
          </w:p>
        </w:tc>
        <w:tc>
          <w:tcPr>
            <w:tcW w:w="2189" w:type="dxa"/>
            <w:vMerge w:val="restart"/>
          </w:tcPr>
          <w:p w14:paraId="50E58891" w14:textId="36D98DFB" w:rsidR="006B611C" w:rsidRPr="006B611C" w:rsidRDefault="0003607E" w:rsidP="00F0067A">
            <w:r>
              <w:t xml:space="preserve">Ongoing as part of </w:t>
            </w:r>
            <w:r w:rsidR="00BE38C4">
              <w:t>technical assistance</w:t>
            </w:r>
            <w:r>
              <w:t xml:space="preserve"> plan (Secretariat)</w:t>
            </w:r>
          </w:p>
          <w:p w14:paraId="10B4FED7" w14:textId="77777777" w:rsidR="006B611C" w:rsidRPr="006B611C" w:rsidRDefault="006B611C" w:rsidP="00F0067A"/>
        </w:tc>
      </w:tr>
      <w:tr w:rsidR="00472506" w:rsidRPr="006B611C" w14:paraId="0F9B90DA" w14:textId="77777777" w:rsidTr="00172CA2">
        <w:trPr>
          <w:trHeight w:val="463"/>
        </w:trPr>
        <w:tc>
          <w:tcPr>
            <w:tcW w:w="646" w:type="dxa"/>
            <w:vMerge/>
          </w:tcPr>
          <w:p w14:paraId="675F171F" w14:textId="77777777" w:rsidR="006B611C" w:rsidRPr="006B611C" w:rsidRDefault="006B611C" w:rsidP="00F0067A"/>
        </w:tc>
        <w:tc>
          <w:tcPr>
            <w:tcW w:w="4121" w:type="dxa"/>
            <w:vMerge/>
          </w:tcPr>
          <w:p w14:paraId="46070077" w14:textId="77777777" w:rsidR="006B611C" w:rsidRPr="006B611C" w:rsidRDefault="006B611C" w:rsidP="00F0067A"/>
        </w:tc>
        <w:tc>
          <w:tcPr>
            <w:tcW w:w="1480" w:type="dxa"/>
          </w:tcPr>
          <w:p w14:paraId="15A9A6E8" w14:textId="451561ED" w:rsidR="006B611C" w:rsidRPr="006B611C" w:rsidRDefault="00472506" w:rsidP="00F0067A">
            <w:r>
              <w:t>International</w:t>
            </w:r>
          </w:p>
        </w:tc>
        <w:tc>
          <w:tcPr>
            <w:tcW w:w="1313" w:type="dxa"/>
          </w:tcPr>
          <w:p w14:paraId="2874C54F" w14:textId="7A6F9AB2" w:rsidR="006B611C" w:rsidRPr="006B611C" w:rsidRDefault="00F0067A" w:rsidP="00F0067A">
            <w:r>
              <w:t>Yes</w:t>
            </w:r>
            <w:r w:rsidR="00472506">
              <w:t xml:space="preserve"> (voluntary)</w:t>
            </w:r>
          </w:p>
        </w:tc>
        <w:tc>
          <w:tcPr>
            <w:tcW w:w="2189" w:type="dxa"/>
            <w:vMerge/>
          </w:tcPr>
          <w:p w14:paraId="22C235ED" w14:textId="77777777" w:rsidR="006B611C" w:rsidRPr="006B611C" w:rsidRDefault="006B611C" w:rsidP="00F0067A"/>
        </w:tc>
      </w:tr>
      <w:tr w:rsidR="00472506" w:rsidRPr="006B611C" w14:paraId="129B70CC" w14:textId="77777777" w:rsidTr="00172CA2">
        <w:trPr>
          <w:trHeight w:val="526"/>
        </w:trPr>
        <w:tc>
          <w:tcPr>
            <w:tcW w:w="646" w:type="dxa"/>
            <w:vMerge w:val="restart"/>
          </w:tcPr>
          <w:p w14:paraId="5E10C72C" w14:textId="77777777" w:rsidR="006B611C" w:rsidRPr="006B611C" w:rsidRDefault="006B611C" w:rsidP="00F0067A">
            <w:r w:rsidRPr="006B611C">
              <w:t>374</w:t>
            </w:r>
          </w:p>
        </w:tc>
        <w:tc>
          <w:tcPr>
            <w:tcW w:w="4121" w:type="dxa"/>
            <w:vMerge w:val="restart"/>
          </w:tcPr>
          <w:p w14:paraId="44B5C3DE" w14:textId="77777777" w:rsidR="006B611C" w:rsidRPr="006B611C" w:rsidRDefault="006B611C" w:rsidP="00F0067A">
            <w:r w:rsidRPr="006B611C">
              <w:t xml:space="preserve">Promote technology transfer </w:t>
            </w:r>
          </w:p>
        </w:tc>
        <w:tc>
          <w:tcPr>
            <w:tcW w:w="1480" w:type="dxa"/>
          </w:tcPr>
          <w:p w14:paraId="0C27F02C" w14:textId="56046C24" w:rsidR="006B611C" w:rsidRPr="006B611C" w:rsidRDefault="00472506" w:rsidP="00F0067A">
            <w:r w:rsidRPr="006B611C">
              <w:t>Between Parties directly</w:t>
            </w:r>
            <w:r w:rsidDel="00472506">
              <w:t xml:space="preserve"> </w:t>
            </w:r>
          </w:p>
        </w:tc>
        <w:tc>
          <w:tcPr>
            <w:tcW w:w="1313" w:type="dxa"/>
          </w:tcPr>
          <w:p w14:paraId="73357743" w14:textId="21CE71ED" w:rsidR="006B611C" w:rsidRPr="006B611C" w:rsidRDefault="00C11CEC" w:rsidP="00F0067A">
            <w:r>
              <w:t>N/A</w:t>
            </w:r>
          </w:p>
        </w:tc>
        <w:tc>
          <w:tcPr>
            <w:tcW w:w="2189" w:type="dxa"/>
            <w:vMerge w:val="restart"/>
          </w:tcPr>
          <w:p w14:paraId="652D36C8" w14:textId="77777777" w:rsidR="006B611C" w:rsidRPr="006B611C" w:rsidRDefault="006B611C" w:rsidP="00F0067A">
            <w:r w:rsidRPr="006B611C">
              <w:t>Modalities would need to be determined (e.g. through BC and SC regional centres)</w:t>
            </w:r>
          </w:p>
        </w:tc>
      </w:tr>
      <w:tr w:rsidR="00472506" w:rsidRPr="006B611C" w14:paraId="5E028578" w14:textId="77777777" w:rsidTr="00172CA2">
        <w:trPr>
          <w:trHeight w:val="540"/>
        </w:trPr>
        <w:tc>
          <w:tcPr>
            <w:tcW w:w="646" w:type="dxa"/>
            <w:vMerge/>
          </w:tcPr>
          <w:p w14:paraId="7043094A" w14:textId="77777777" w:rsidR="006B611C" w:rsidRPr="006B611C" w:rsidRDefault="006B611C" w:rsidP="00F0067A"/>
        </w:tc>
        <w:tc>
          <w:tcPr>
            <w:tcW w:w="4121" w:type="dxa"/>
            <w:vMerge/>
          </w:tcPr>
          <w:p w14:paraId="56C84B26" w14:textId="77777777" w:rsidR="006B611C" w:rsidRPr="006B611C" w:rsidRDefault="006B611C" w:rsidP="00F0067A"/>
        </w:tc>
        <w:tc>
          <w:tcPr>
            <w:tcW w:w="1480" w:type="dxa"/>
          </w:tcPr>
          <w:p w14:paraId="5CF7E6F7" w14:textId="5914FEFD" w:rsidR="00472506" w:rsidRPr="006B611C" w:rsidRDefault="00472506" w:rsidP="00F0067A">
            <w:r>
              <w:t>International</w:t>
            </w:r>
          </w:p>
        </w:tc>
        <w:tc>
          <w:tcPr>
            <w:tcW w:w="1313" w:type="dxa"/>
          </w:tcPr>
          <w:p w14:paraId="2D647CBB" w14:textId="0B70428B" w:rsidR="006B611C" w:rsidRPr="006B611C" w:rsidRDefault="00CD0E93" w:rsidP="00F0067A">
            <w:r>
              <w:t>Depends on approach taken</w:t>
            </w:r>
          </w:p>
        </w:tc>
        <w:tc>
          <w:tcPr>
            <w:tcW w:w="2189" w:type="dxa"/>
            <w:vMerge/>
          </w:tcPr>
          <w:p w14:paraId="0311D419" w14:textId="77777777" w:rsidR="006B611C" w:rsidRPr="006B611C" w:rsidRDefault="006B611C" w:rsidP="00F0067A"/>
        </w:tc>
      </w:tr>
      <w:tr w:rsidR="00472506" w:rsidRPr="006B611C" w14:paraId="63404502" w14:textId="77777777" w:rsidTr="00172CA2">
        <w:tc>
          <w:tcPr>
            <w:tcW w:w="646" w:type="dxa"/>
          </w:tcPr>
          <w:p w14:paraId="21C723E4" w14:textId="77777777" w:rsidR="006B611C" w:rsidRPr="006B611C" w:rsidRDefault="006B611C" w:rsidP="00F0067A">
            <w:r w:rsidRPr="006B611C">
              <w:t>310, 361</w:t>
            </w:r>
          </w:p>
        </w:tc>
        <w:tc>
          <w:tcPr>
            <w:tcW w:w="4121" w:type="dxa"/>
          </w:tcPr>
          <w:p w14:paraId="6FB89D65" w14:textId="7F7F753A" w:rsidR="006B611C" w:rsidRPr="006B611C" w:rsidRDefault="006B611C" w:rsidP="00F0067A">
            <w:r w:rsidRPr="006B611C">
              <w:t xml:space="preserve">Improve coordination between government and stakeholders, involve stakeholders in national implementation </w:t>
            </w:r>
          </w:p>
        </w:tc>
        <w:tc>
          <w:tcPr>
            <w:tcW w:w="1480" w:type="dxa"/>
          </w:tcPr>
          <w:p w14:paraId="187B150B" w14:textId="09C9B5F9" w:rsidR="006B611C" w:rsidRPr="006B611C" w:rsidRDefault="0003607E" w:rsidP="00F0067A">
            <w:r>
              <w:t>N</w:t>
            </w:r>
            <w:r w:rsidR="00472506">
              <w:t>ation</w:t>
            </w:r>
            <w:r w:rsidR="00BE38C4">
              <w:t>a</w:t>
            </w:r>
            <w:r w:rsidR="00472506">
              <w:t>l</w:t>
            </w:r>
            <w:r w:rsidR="006B611C" w:rsidRPr="006B611C">
              <w:t xml:space="preserve"> </w:t>
            </w:r>
          </w:p>
        </w:tc>
        <w:tc>
          <w:tcPr>
            <w:tcW w:w="1313" w:type="dxa"/>
          </w:tcPr>
          <w:p w14:paraId="44E30975" w14:textId="07F55DC1" w:rsidR="006B611C" w:rsidRPr="006B611C" w:rsidRDefault="00C11CEC" w:rsidP="00F0067A">
            <w:r>
              <w:t>N/A</w:t>
            </w:r>
          </w:p>
        </w:tc>
        <w:tc>
          <w:tcPr>
            <w:tcW w:w="2189" w:type="dxa"/>
          </w:tcPr>
          <w:p w14:paraId="54EEABC3" w14:textId="79EEDC2C" w:rsidR="006B611C" w:rsidRPr="006B611C" w:rsidRDefault="0003607E" w:rsidP="00F0067A">
            <w:r>
              <w:t xml:space="preserve">Facilitation ongoing as part of </w:t>
            </w:r>
            <w:r w:rsidR="00BE38C4">
              <w:t>technical assistance</w:t>
            </w:r>
            <w:r>
              <w:t xml:space="preserve"> plan (Secretariat), Parties to follow up on national basis</w:t>
            </w:r>
          </w:p>
        </w:tc>
      </w:tr>
      <w:tr w:rsidR="003E2A9B" w:rsidRPr="006B611C" w14:paraId="3D7F6F8C" w14:textId="77777777" w:rsidTr="00172CA2">
        <w:tc>
          <w:tcPr>
            <w:tcW w:w="646" w:type="dxa"/>
          </w:tcPr>
          <w:p w14:paraId="7DEE5B5E" w14:textId="2DC02264" w:rsidR="003E2A9B" w:rsidRPr="006B611C" w:rsidRDefault="00FB0D07" w:rsidP="00F0067A">
            <w:r>
              <w:t>n/a</w:t>
            </w:r>
            <w:r w:rsidR="003E2A9B">
              <w:rPr>
                <w:rStyle w:val="FootnoteReference"/>
              </w:rPr>
              <w:footnoteReference w:id="25"/>
            </w:r>
          </w:p>
        </w:tc>
        <w:tc>
          <w:tcPr>
            <w:tcW w:w="4121" w:type="dxa"/>
          </w:tcPr>
          <w:p w14:paraId="3C34201B" w14:textId="425B94CF" w:rsidR="003E2A9B" w:rsidRPr="006B611C" w:rsidRDefault="003E2A9B" w:rsidP="00F0067A">
            <w:r>
              <w:t xml:space="preserve">Oblige sellers of chemical products to raise awareness and provide training on how to handle chemicals </w:t>
            </w:r>
          </w:p>
        </w:tc>
        <w:tc>
          <w:tcPr>
            <w:tcW w:w="1480" w:type="dxa"/>
          </w:tcPr>
          <w:p w14:paraId="36C0887F" w14:textId="1D8893C1" w:rsidR="003E2A9B" w:rsidRDefault="003E2A9B" w:rsidP="00F0067A">
            <w:r>
              <w:t xml:space="preserve">National </w:t>
            </w:r>
          </w:p>
        </w:tc>
        <w:tc>
          <w:tcPr>
            <w:tcW w:w="1313" w:type="dxa"/>
          </w:tcPr>
          <w:p w14:paraId="13413E11" w14:textId="4BEF252A" w:rsidR="003E2A9B" w:rsidRDefault="003E2A9B" w:rsidP="00F0067A">
            <w:r>
              <w:t>N/A</w:t>
            </w:r>
          </w:p>
        </w:tc>
        <w:tc>
          <w:tcPr>
            <w:tcW w:w="2189" w:type="dxa"/>
          </w:tcPr>
          <w:p w14:paraId="48F6C20E" w14:textId="46961489" w:rsidR="003E2A9B" w:rsidRDefault="00FB0D07" w:rsidP="00F0067A">
            <w:r>
              <w:t>Develop l</w:t>
            </w:r>
            <w:r w:rsidR="003E2A9B">
              <w:t xml:space="preserve">egislation at national level </w:t>
            </w:r>
          </w:p>
        </w:tc>
      </w:tr>
      <w:tr w:rsidR="00472506" w:rsidRPr="006B611C" w14:paraId="07C4EA17" w14:textId="77777777" w:rsidTr="00172CA2">
        <w:tc>
          <w:tcPr>
            <w:tcW w:w="646" w:type="dxa"/>
          </w:tcPr>
          <w:p w14:paraId="33A45085" w14:textId="77777777" w:rsidR="006B611C" w:rsidRPr="006B611C" w:rsidRDefault="006B611C" w:rsidP="00F0067A">
            <w:r w:rsidRPr="006B611C">
              <w:t>360</w:t>
            </w:r>
          </w:p>
        </w:tc>
        <w:tc>
          <w:tcPr>
            <w:tcW w:w="4121" w:type="dxa"/>
          </w:tcPr>
          <w:p w14:paraId="41B1BC48" w14:textId="77777777" w:rsidR="006B611C" w:rsidRPr="006B611C" w:rsidRDefault="006B611C" w:rsidP="00F0067A">
            <w:r w:rsidRPr="006B611C">
              <w:t xml:space="preserve">Establish national specialists units for chemicals and wastes management </w:t>
            </w:r>
          </w:p>
        </w:tc>
        <w:tc>
          <w:tcPr>
            <w:tcW w:w="1480" w:type="dxa"/>
          </w:tcPr>
          <w:p w14:paraId="5A90F850" w14:textId="0CDD3396" w:rsidR="006B611C" w:rsidRPr="006B611C" w:rsidRDefault="006B611C" w:rsidP="00F0067A">
            <w:r w:rsidRPr="006B611C">
              <w:t xml:space="preserve">National </w:t>
            </w:r>
          </w:p>
        </w:tc>
        <w:tc>
          <w:tcPr>
            <w:tcW w:w="1313" w:type="dxa"/>
          </w:tcPr>
          <w:p w14:paraId="0692ECF5" w14:textId="6B1A619E" w:rsidR="006B611C" w:rsidRPr="006B611C" w:rsidRDefault="00C11CEC" w:rsidP="00F0067A">
            <w:r>
              <w:t>N/A</w:t>
            </w:r>
            <w:r w:rsidR="006B611C" w:rsidRPr="006B611C">
              <w:t xml:space="preserve"> </w:t>
            </w:r>
          </w:p>
        </w:tc>
        <w:tc>
          <w:tcPr>
            <w:tcW w:w="2189" w:type="dxa"/>
          </w:tcPr>
          <w:p w14:paraId="3C9D6231" w14:textId="77777777" w:rsidR="00FB0D07" w:rsidRDefault="006B611C" w:rsidP="00F0067A">
            <w:r w:rsidRPr="006B611C">
              <w:t xml:space="preserve">National implementation </w:t>
            </w:r>
          </w:p>
          <w:p w14:paraId="4D9928F4" w14:textId="137F8D47" w:rsidR="006B611C" w:rsidRPr="006B611C" w:rsidRDefault="006B611C" w:rsidP="00F0067A">
            <w:r w:rsidRPr="00BF544F">
              <w:rPr>
                <w:i/>
              </w:rPr>
              <w:t xml:space="preserve">Note: support </w:t>
            </w:r>
            <w:r w:rsidR="00FB0D07">
              <w:rPr>
                <w:i/>
              </w:rPr>
              <w:t xml:space="preserve">is </w:t>
            </w:r>
            <w:r w:rsidRPr="00BF544F">
              <w:rPr>
                <w:i/>
              </w:rPr>
              <w:t>available under</w:t>
            </w:r>
            <w:r w:rsidR="00CD0E93" w:rsidRPr="00BF544F">
              <w:rPr>
                <w:i/>
              </w:rPr>
              <w:t xml:space="preserve"> the</w:t>
            </w:r>
            <w:r w:rsidRPr="00BF544F">
              <w:rPr>
                <w:i/>
              </w:rPr>
              <w:t xml:space="preserve"> Special Programme</w:t>
            </w:r>
            <w:r w:rsidR="00CD0E93" w:rsidRPr="00BF544F">
              <w:rPr>
                <w:i/>
              </w:rPr>
              <w:t xml:space="preserve"> to support institutional strengthening at the national level for implementation of the Basel, Rotterdam and Stockholm Conventions, the Minamata Convention and the Strategic Approach to International Chemicals Management</w:t>
            </w:r>
          </w:p>
        </w:tc>
      </w:tr>
    </w:tbl>
    <w:p w14:paraId="68726AB1" w14:textId="54C70D70" w:rsidR="006B611C" w:rsidRPr="006B611C" w:rsidRDefault="00C43A26" w:rsidP="00C87E80">
      <w:pPr>
        <w:pStyle w:val="ListParagraph"/>
        <w:keepNext/>
        <w:numPr>
          <w:ilvl w:val="0"/>
          <w:numId w:val="10"/>
        </w:numPr>
        <w:spacing w:line="240" w:lineRule="auto"/>
        <w:ind w:left="1276" w:hanging="567"/>
        <w:rPr>
          <w:rFonts w:ascii="Times New Roman" w:hAnsi="Times New Roman" w:cs="Times New Roman"/>
          <w:b/>
          <w:sz w:val="24"/>
          <w:szCs w:val="24"/>
        </w:rPr>
      </w:pPr>
      <w:r>
        <w:rPr>
          <w:rFonts w:ascii="Times New Roman" w:hAnsi="Times New Roman" w:cs="Times New Roman"/>
          <w:b/>
          <w:sz w:val="24"/>
          <w:szCs w:val="24"/>
        </w:rPr>
        <w:lastRenderedPageBreak/>
        <w:t>Other processes</w:t>
      </w:r>
      <w:r w:rsidR="006B611C" w:rsidRPr="006B611C">
        <w:rPr>
          <w:rFonts w:ascii="Times New Roman" w:hAnsi="Times New Roman" w:cs="Times New Roman"/>
          <w:b/>
          <w:sz w:val="24"/>
          <w:szCs w:val="24"/>
        </w:rPr>
        <w:t xml:space="preserve"> </w:t>
      </w:r>
    </w:p>
    <w:tbl>
      <w:tblPr>
        <w:tblStyle w:val="TableGrid"/>
        <w:tblW w:w="9639" w:type="dxa"/>
        <w:tblInd w:w="-5" w:type="dxa"/>
        <w:tblLayout w:type="fixed"/>
        <w:tblCellMar>
          <w:left w:w="85" w:type="dxa"/>
          <w:right w:w="85" w:type="dxa"/>
        </w:tblCellMar>
        <w:tblLook w:val="04A0" w:firstRow="1" w:lastRow="0" w:firstColumn="1" w:lastColumn="0" w:noHBand="0" w:noVBand="1"/>
      </w:tblPr>
      <w:tblGrid>
        <w:gridCol w:w="630"/>
        <w:gridCol w:w="4048"/>
        <w:gridCol w:w="1418"/>
        <w:gridCol w:w="1275"/>
        <w:gridCol w:w="2268"/>
      </w:tblGrid>
      <w:tr w:rsidR="006B611C" w:rsidRPr="006B611C" w14:paraId="069D826D" w14:textId="77777777" w:rsidTr="00172CA2">
        <w:tc>
          <w:tcPr>
            <w:tcW w:w="630" w:type="dxa"/>
            <w:shd w:val="clear" w:color="auto" w:fill="D9D9D9" w:themeFill="background1" w:themeFillShade="D9"/>
          </w:tcPr>
          <w:p w14:paraId="0873F94C" w14:textId="77777777" w:rsidR="006B611C" w:rsidRPr="006B611C" w:rsidRDefault="006B611C" w:rsidP="00F0067A">
            <w:pPr>
              <w:keepNext/>
              <w:rPr>
                <w:b/>
              </w:rPr>
            </w:pPr>
            <w:r w:rsidRPr="006B611C">
              <w:rPr>
                <w:b/>
              </w:rPr>
              <w:t>Ref</w:t>
            </w:r>
          </w:p>
        </w:tc>
        <w:tc>
          <w:tcPr>
            <w:tcW w:w="4048" w:type="dxa"/>
            <w:shd w:val="clear" w:color="auto" w:fill="D9D9D9" w:themeFill="background1" w:themeFillShade="D9"/>
          </w:tcPr>
          <w:p w14:paraId="642F88C9" w14:textId="77777777" w:rsidR="006B611C" w:rsidRPr="006B611C" w:rsidRDefault="006B611C" w:rsidP="00F0067A">
            <w:pPr>
              <w:keepNext/>
              <w:rPr>
                <w:b/>
              </w:rPr>
            </w:pPr>
            <w:r w:rsidRPr="006B611C">
              <w:rPr>
                <w:b/>
              </w:rPr>
              <w:t>Proposed priority action</w:t>
            </w:r>
          </w:p>
        </w:tc>
        <w:tc>
          <w:tcPr>
            <w:tcW w:w="1418" w:type="dxa"/>
            <w:shd w:val="clear" w:color="auto" w:fill="D9D9D9" w:themeFill="background1" w:themeFillShade="D9"/>
          </w:tcPr>
          <w:p w14:paraId="0E9F7F5C" w14:textId="15580D02" w:rsidR="006B611C" w:rsidRPr="006B611C" w:rsidRDefault="0003607E" w:rsidP="00F0067A">
            <w:pPr>
              <w:keepNext/>
              <w:rPr>
                <w:b/>
              </w:rPr>
            </w:pPr>
            <w:r>
              <w:rPr>
                <w:b/>
              </w:rPr>
              <w:t>COP decision needed</w:t>
            </w:r>
          </w:p>
        </w:tc>
        <w:tc>
          <w:tcPr>
            <w:tcW w:w="1275" w:type="dxa"/>
            <w:shd w:val="clear" w:color="auto" w:fill="D9D9D9" w:themeFill="background1" w:themeFillShade="D9"/>
          </w:tcPr>
          <w:p w14:paraId="17E594F6" w14:textId="5669A4D6" w:rsidR="006B611C" w:rsidRPr="006B611C" w:rsidRDefault="006B611C" w:rsidP="00F0067A">
            <w:pPr>
              <w:keepNext/>
              <w:rPr>
                <w:b/>
              </w:rPr>
            </w:pPr>
            <w:r w:rsidRPr="006B611C">
              <w:rPr>
                <w:b/>
              </w:rPr>
              <w:t>Budgetary implication</w:t>
            </w:r>
            <w:r w:rsidR="007D395E">
              <w:rPr>
                <w:rStyle w:val="FootnoteReference"/>
                <w:b/>
              </w:rPr>
              <w:footnoteReference w:id="26"/>
            </w:r>
            <w:r w:rsidRPr="006B611C">
              <w:rPr>
                <w:b/>
              </w:rPr>
              <w:t xml:space="preserve"> </w:t>
            </w:r>
          </w:p>
        </w:tc>
        <w:tc>
          <w:tcPr>
            <w:tcW w:w="2268" w:type="dxa"/>
            <w:shd w:val="clear" w:color="auto" w:fill="D9D9D9" w:themeFill="background1" w:themeFillShade="D9"/>
          </w:tcPr>
          <w:p w14:paraId="5D905F1B" w14:textId="0549E698" w:rsidR="006B611C" w:rsidRPr="006B611C" w:rsidRDefault="006B611C" w:rsidP="00F0067A">
            <w:pPr>
              <w:keepNext/>
              <w:rPr>
                <w:b/>
              </w:rPr>
            </w:pPr>
            <w:r w:rsidRPr="006B611C">
              <w:rPr>
                <w:b/>
              </w:rPr>
              <w:t xml:space="preserve">Possible approach </w:t>
            </w:r>
            <w:r w:rsidR="0003607E">
              <w:rPr>
                <w:b/>
              </w:rPr>
              <w:t>incl. actor(s)</w:t>
            </w:r>
          </w:p>
        </w:tc>
      </w:tr>
      <w:tr w:rsidR="006B611C" w:rsidRPr="006B611C" w14:paraId="40595597" w14:textId="77777777" w:rsidTr="00172CA2">
        <w:tc>
          <w:tcPr>
            <w:tcW w:w="630" w:type="dxa"/>
          </w:tcPr>
          <w:p w14:paraId="63A14D7D" w14:textId="77777777" w:rsidR="006B611C" w:rsidRPr="006B611C" w:rsidRDefault="006B611C" w:rsidP="00F0067A">
            <w:r w:rsidRPr="006B611C">
              <w:t>330, 331, 332</w:t>
            </w:r>
          </w:p>
        </w:tc>
        <w:tc>
          <w:tcPr>
            <w:tcW w:w="4048" w:type="dxa"/>
          </w:tcPr>
          <w:p w14:paraId="3E268F99" w14:textId="77777777" w:rsidR="006B611C" w:rsidRPr="006B611C" w:rsidRDefault="006B611C" w:rsidP="00F0067A">
            <w:r w:rsidRPr="006B611C">
              <w:t xml:space="preserve">Adopt a compliance mechanism </w:t>
            </w:r>
          </w:p>
        </w:tc>
        <w:tc>
          <w:tcPr>
            <w:tcW w:w="1418" w:type="dxa"/>
          </w:tcPr>
          <w:p w14:paraId="685FBC98" w14:textId="17320CC5" w:rsidR="006B611C" w:rsidRPr="006B611C" w:rsidRDefault="00472506" w:rsidP="00F0067A">
            <w:r>
              <w:t>International</w:t>
            </w:r>
          </w:p>
        </w:tc>
        <w:tc>
          <w:tcPr>
            <w:tcW w:w="1275" w:type="dxa"/>
          </w:tcPr>
          <w:p w14:paraId="3BD2EF28" w14:textId="01EFD386" w:rsidR="006B611C" w:rsidRPr="006B611C" w:rsidRDefault="006B611C" w:rsidP="00F0067A">
            <w:r w:rsidRPr="006B611C">
              <w:t xml:space="preserve">Yes </w:t>
            </w:r>
            <w:r w:rsidR="00472506">
              <w:t>(core)</w:t>
            </w:r>
          </w:p>
        </w:tc>
        <w:tc>
          <w:tcPr>
            <w:tcW w:w="2268" w:type="dxa"/>
          </w:tcPr>
          <w:p w14:paraId="262DA680" w14:textId="2A3DD3CA" w:rsidR="006B611C" w:rsidRPr="006B611C" w:rsidRDefault="006B611C" w:rsidP="00F0067A">
            <w:r w:rsidRPr="006B611C">
              <w:t xml:space="preserve">Amendment to the Convention </w:t>
            </w:r>
            <w:r w:rsidR="00CD0E93">
              <w:t>(Pursuant to Article 21)</w:t>
            </w:r>
          </w:p>
        </w:tc>
      </w:tr>
      <w:tr w:rsidR="00BD7272" w:rsidRPr="006B611C" w14:paraId="1272A369" w14:textId="77777777" w:rsidTr="00172CA2">
        <w:trPr>
          <w:trHeight w:val="836"/>
        </w:trPr>
        <w:tc>
          <w:tcPr>
            <w:tcW w:w="630" w:type="dxa"/>
            <w:vMerge w:val="restart"/>
          </w:tcPr>
          <w:p w14:paraId="29D63196" w14:textId="48BF220C" w:rsidR="00BD7272" w:rsidRPr="006B611C" w:rsidRDefault="00BD7272" w:rsidP="00F0067A">
            <w:r>
              <w:t>n/a</w:t>
            </w:r>
            <w:r>
              <w:rPr>
                <w:rStyle w:val="FootnoteReference"/>
              </w:rPr>
              <w:footnoteReference w:id="27"/>
            </w:r>
          </w:p>
        </w:tc>
        <w:tc>
          <w:tcPr>
            <w:tcW w:w="4048" w:type="dxa"/>
            <w:vMerge w:val="restart"/>
          </w:tcPr>
          <w:p w14:paraId="19391A4A" w14:textId="137A5131" w:rsidR="00BD7272" w:rsidRPr="00C43A26" w:rsidRDefault="00BD7272" w:rsidP="00F0067A">
            <w:pPr>
              <w:rPr>
                <w:lang w:val="en-US"/>
              </w:rPr>
            </w:pPr>
            <w:r>
              <w:rPr>
                <w:lang w:val="en-US"/>
              </w:rPr>
              <w:t xml:space="preserve">Carry out effectiveness evaluation of the Rotterdam Convention </w:t>
            </w:r>
          </w:p>
        </w:tc>
        <w:tc>
          <w:tcPr>
            <w:tcW w:w="1418" w:type="dxa"/>
            <w:vMerge w:val="restart"/>
          </w:tcPr>
          <w:p w14:paraId="3EB257B5" w14:textId="757AE8EF" w:rsidR="00BD7272" w:rsidRDefault="00BD7272" w:rsidP="00F0067A">
            <w:r>
              <w:t xml:space="preserve">International </w:t>
            </w:r>
          </w:p>
        </w:tc>
        <w:tc>
          <w:tcPr>
            <w:tcW w:w="1275" w:type="dxa"/>
          </w:tcPr>
          <w:p w14:paraId="5ADB97E3" w14:textId="3DE23B3C" w:rsidR="00BD7272" w:rsidRPr="006B611C" w:rsidRDefault="00BD7272" w:rsidP="00F0067A">
            <w:r>
              <w:t>Yes (voluntary)</w:t>
            </w:r>
          </w:p>
        </w:tc>
        <w:tc>
          <w:tcPr>
            <w:tcW w:w="2268" w:type="dxa"/>
          </w:tcPr>
          <w:p w14:paraId="355ED734" w14:textId="4F2BAB05" w:rsidR="00BD7272" w:rsidRPr="006B611C" w:rsidRDefault="00BD7272" w:rsidP="008F6E7A">
            <w:r>
              <w:t xml:space="preserve">Intersessional working group could task consultant to carry out simple effectiveness evaluation </w:t>
            </w:r>
          </w:p>
        </w:tc>
      </w:tr>
      <w:tr w:rsidR="00BD7272" w:rsidRPr="006B611C" w14:paraId="01A9F556" w14:textId="77777777" w:rsidTr="00172CA2">
        <w:trPr>
          <w:trHeight w:val="835"/>
        </w:trPr>
        <w:tc>
          <w:tcPr>
            <w:tcW w:w="630" w:type="dxa"/>
            <w:vMerge/>
          </w:tcPr>
          <w:p w14:paraId="5C9A4503" w14:textId="77777777" w:rsidR="00BD7272" w:rsidRDefault="00BD7272" w:rsidP="00F0067A"/>
        </w:tc>
        <w:tc>
          <w:tcPr>
            <w:tcW w:w="4048" w:type="dxa"/>
            <w:vMerge/>
          </w:tcPr>
          <w:p w14:paraId="25567575" w14:textId="77777777" w:rsidR="00BD7272" w:rsidRDefault="00BD7272" w:rsidP="00F0067A">
            <w:pPr>
              <w:rPr>
                <w:lang w:val="en-US"/>
              </w:rPr>
            </w:pPr>
          </w:p>
        </w:tc>
        <w:tc>
          <w:tcPr>
            <w:tcW w:w="1418" w:type="dxa"/>
            <w:vMerge/>
          </w:tcPr>
          <w:p w14:paraId="00E4DC87" w14:textId="77777777" w:rsidR="00BD7272" w:rsidRDefault="00BD7272" w:rsidP="00F0067A"/>
        </w:tc>
        <w:tc>
          <w:tcPr>
            <w:tcW w:w="1275" w:type="dxa"/>
          </w:tcPr>
          <w:p w14:paraId="66ECE468" w14:textId="3F07659E" w:rsidR="00BD7272" w:rsidRDefault="00BD7272" w:rsidP="00F0067A">
            <w:r>
              <w:t>Yes (core)</w:t>
            </w:r>
          </w:p>
        </w:tc>
        <w:tc>
          <w:tcPr>
            <w:tcW w:w="2268" w:type="dxa"/>
          </w:tcPr>
          <w:p w14:paraId="290360EC" w14:textId="3572BE76" w:rsidR="00BD7272" w:rsidRDefault="00BD7272" w:rsidP="008F6E7A">
            <w:r>
              <w:t>COP decision setting up another process for effectiveness evaluation</w:t>
            </w:r>
          </w:p>
        </w:tc>
      </w:tr>
    </w:tbl>
    <w:p w14:paraId="3E355A92" w14:textId="77777777" w:rsidR="006B611C" w:rsidRPr="006B611C" w:rsidRDefault="006B611C" w:rsidP="006B611C">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8"/>
        <w:gridCol w:w="1899"/>
        <w:gridCol w:w="1899"/>
        <w:gridCol w:w="1900"/>
        <w:gridCol w:w="1900"/>
      </w:tblGrid>
      <w:tr w:rsidR="00AF104B" w14:paraId="695983FF" w14:textId="77777777" w:rsidTr="00D94DD9">
        <w:tc>
          <w:tcPr>
            <w:tcW w:w="1898" w:type="dxa"/>
          </w:tcPr>
          <w:p w14:paraId="2A284A0B" w14:textId="77777777" w:rsidR="00AF104B" w:rsidRDefault="00AF104B" w:rsidP="00125721">
            <w:pPr>
              <w:pStyle w:val="Normal-pool"/>
              <w:spacing w:before="300"/>
            </w:pPr>
          </w:p>
        </w:tc>
        <w:tc>
          <w:tcPr>
            <w:tcW w:w="1899" w:type="dxa"/>
          </w:tcPr>
          <w:p w14:paraId="66AD47C2" w14:textId="77777777" w:rsidR="00AF104B" w:rsidRDefault="00AF104B" w:rsidP="00125721">
            <w:pPr>
              <w:pStyle w:val="Normal-pool"/>
              <w:spacing w:before="300"/>
            </w:pPr>
          </w:p>
        </w:tc>
        <w:tc>
          <w:tcPr>
            <w:tcW w:w="1899" w:type="dxa"/>
            <w:tcBorders>
              <w:bottom w:val="single" w:sz="4" w:space="0" w:color="auto"/>
            </w:tcBorders>
          </w:tcPr>
          <w:p w14:paraId="20A6CD6C" w14:textId="77777777" w:rsidR="00AF104B" w:rsidRDefault="00AF104B" w:rsidP="00125721">
            <w:pPr>
              <w:pStyle w:val="Normal-pool"/>
              <w:spacing w:before="300"/>
            </w:pPr>
          </w:p>
        </w:tc>
        <w:tc>
          <w:tcPr>
            <w:tcW w:w="1900" w:type="dxa"/>
          </w:tcPr>
          <w:p w14:paraId="3A2369F2" w14:textId="77777777" w:rsidR="00AF104B" w:rsidRDefault="00AF104B" w:rsidP="00125721">
            <w:pPr>
              <w:pStyle w:val="Normal-pool"/>
              <w:spacing w:before="300"/>
            </w:pPr>
          </w:p>
        </w:tc>
        <w:tc>
          <w:tcPr>
            <w:tcW w:w="1900" w:type="dxa"/>
          </w:tcPr>
          <w:p w14:paraId="7BA44E37" w14:textId="77777777" w:rsidR="00AF104B" w:rsidRDefault="00AF104B" w:rsidP="00125721">
            <w:pPr>
              <w:pStyle w:val="Normal-pool"/>
              <w:spacing w:before="300"/>
            </w:pPr>
          </w:p>
        </w:tc>
      </w:tr>
    </w:tbl>
    <w:p w14:paraId="2A29BCC2" w14:textId="77777777" w:rsidR="00772E66" w:rsidRPr="00E933CB" w:rsidRDefault="00BE3A2D" w:rsidP="00BE3A2D">
      <w:pPr>
        <w:pStyle w:val="Normal-pool"/>
        <w:tabs>
          <w:tab w:val="clear" w:pos="1247"/>
          <w:tab w:val="clear" w:pos="1814"/>
          <w:tab w:val="clear" w:pos="2381"/>
          <w:tab w:val="clear" w:pos="2948"/>
          <w:tab w:val="clear" w:pos="3515"/>
          <w:tab w:val="clear" w:pos="4082"/>
          <w:tab w:val="left" w:pos="1740"/>
        </w:tabs>
        <w:rPr>
          <w:sz w:val="2"/>
          <w:szCs w:val="2"/>
        </w:rPr>
      </w:pPr>
      <w:r>
        <w:rPr>
          <w:sz w:val="2"/>
          <w:szCs w:val="2"/>
        </w:rPr>
        <w:tab/>
      </w:r>
    </w:p>
    <w:sectPr w:rsidR="00772E66" w:rsidRPr="00E933CB" w:rsidSect="00C87E80">
      <w:footnotePr>
        <w:numRestart w:val="eachSect"/>
      </w:footnotePr>
      <w:type w:val="continuous"/>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4850D3" w14:textId="77777777" w:rsidR="00172CA2" w:rsidRDefault="00172CA2">
      <w:r>
        <w:separator/>
      </w:r>
    </w:p>
  </w:endnote>
  <w:endnote w:type="continuationSeparator" w:id="0">
    <w:p w14:paraId="45F96F6B" w14:textId="77777777" w:rsidR="00172CA2" w:rsidRDefault="00172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EE3BA" w14:textId="6948160A" w:rsidR="00172CA2" w:rsidRDefault="00172CA2">
    <w:pPr>
      <w:pStyle w:val="Footer"/>
    </w:pPr>
    <w:r>
      <w:rPr>
        <w:rStyle w:val="PageNumber"/>
      </w:rPr>
      <w:fldChar w:fldCharType="begin"/>
    </w:r>
    <w:r>
      <w:rPr>
        <w:rStyle w:val="PageNumber"/>
      </w:rPr>
      <w:instrText xml:space="preserve"> PAGE </w:instrText>
    </w:r>
    <w:r>
      <w:rPr>
        <w:rStyle w:val="PageNumber"/>
      </w:rPr>
      <w:fldChar w:fldCharType="separate"/>
    </w:r>
    <w:r w:rsidR="009F4815">
      <w:rPr>
        <w:rStyle w:val="PageNumber"/>
        <w:noProof/>
      </w:rPr>
      <w:t>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4D876" w14:textId="5E5F57BD" w:rsidR="00172CA2" w:rsidRDefault="00172CA2" w:rsidP="00035EDE">
    <w:pPr>
      <w:pStyle w:val="Footer"/>
      <w:jc w:val="right"/>
    </w:pPr>
    <w:r>
      <w:rPr>
        <w:rStyle w:val="PageNumber"/>
      </w:rPr>
      <w:fldChar w:fldCharType="begin"/>
    </w:r>
    <w:r>
      <w:rPr>
        <w:rStyle w:val="PageNumber"/>
      </w:rPr>
      <w:instrText xml:space="preserve"> PAGE </w:instrText>
    </w:r>
    <w:r>
      <w:rPr>
        <w:rStyle w:val="PageNumber"/>
      </w:rPr>
      <w:fldChar w:fldCharType="separate"/>
    </w:r>
    <w:r w:rsidR="009F4815">
      <w:rPr>
        <w:rStyle w:val="PageNumber"/>
        <w:noProof/>
      </w:rPr>
      <w:t>9</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BC571" w14:textId="6C6BFE64" w:rsidR="00172CA2" w:rsidRDefault="00172CA2" w:rsidP="006273B7">
    <w:pPr>
      <w:pStyle w:val="Footer"/>
      <w:tabs>
        <w:tab w:val="clear" w:pos="4320"/>
        <w:tab w:val="clear" w:pos="8640"/>
      </w:tabs>
      <w:spacing w:before="20" w:after="40"/>
    </w:pPr>
    <w:r>
      <w:tab/>
    </w:r>
    <w:r w:rsidRPr="00172CA2">
      <w:t>040518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F97357" w14:textId="77777777" w:rsidR="00172CA2" w:rsidRDefault="00172CA2" w:rsidP="00D92DE0">
      <w:pPr>
        <w:ind w:left="624"/>
      </w:pPr>
      <w:r>
        <w:separator/>
      </w:r>
    </w:p>
  </w:footnote>
  <w:footnote w:type="continuationSeparator" w:id="0">
    <w:p w14:paraId="0A7AAC66" w14:textId="77777777" w:rsidR="00172CA2" w:rsidRDefault="00172CA2">
      <w:r>
        <w:continuationSeparator/>
      </w:r>
    </w:p>
  </w:footnote>
  <w:footnote w:id="1">
    <w:p w14:paraId="1BEBCD41" w14:textId="5F21CBEB" w:rsidR="00172CA2" w:rsidRPr="00201A2E" w:rsidRDefault="00172CA2" w:rsidP="00B12D3F">
      <w:pPr>
        <w:pStyle w:val="FootnoteText"/>
        <w:rPr>
          <w:lang w:val="en-US"/>
        </w:rPr>
      </w:pPr>
      <w:r>
        <w:rPr>
          <w:rStyle w:val="FootnoteReference"/>
        </w:rPr>
        <w:footnoteRef/>
      </w:r>
      <w:r w:rsidRPr="00201A2E">
        <w:rPr>
          <w:lang w:val="en-US"/>
        </w:rPr>
        <w:t xml:space="preserve"> </w:t>
      </w:r>
      <w:r w:rsidRPr="00B12D3F">
        <w:rPr>
          <w:lang w:val="en-US"/>
        </w:rPr>
        <w:t>UNEP/FAO/RC/EFF.1/1</w:t>
      </w:r>
      <w:r w:rsidRPr="00201A2E">
        <w:rPr>
          <w:lang w:val="en-US"/>
        </w:rPr>
        <w:t xml:space="preserve">. </w:t>
      </w:r>
    </w:p>
  </w:footnote>
  <w:footnote w:id="2">
    <w:p w14:paraId="641DCF10" w14:textId="1E8DB76C" w:rsidR="00172CA2" w:rsidRPr="00001E2E" w:rsidRDefault="00172CA2">
      <w:pPr>
        <w:pStyle w:val="FootnoteText"/>
        <w:rPr>
          <w:lang w:val="en-US"/>
        </w:rPr>
      </w:pPr>
      <w:r>
        <w:rPr>
          <w:rStyle w:val="FootnoteReference"/>
        </w:rPr>
        <w:footnoteRef/>
      </w:r>
      <w:r w:rsidRPr="00001E2E">
        <w:rPr>
          <w:lang w:val="en-US"/>
        </w:rPr>
        <w:t xml:space="preserve"> See </w:t>
      </w:r>
      <w:hyperlink r:id="rId1" w:history="1">
        <w:r w:rsidRPr="003D3803">
          <w:rPr>
            <w:rStyle w:val="Hyperlink"/>
            <w:sz w:val="18"/>
            <w:lang w:val="en-US"/>
          </w:rPr>
          <w:t>http://www.pic.int/Implementation/EnhancingtheeffectivenessoftheConvention/Onlinesurvey/tabid/6215/language/en-US/Default.aspx</w:t>
        </w:r>
      </w:hyperlink>
      <w:r>
        <w:rPr>
          <w:lang w:val="en-US"/>
        </w:rPr>
        <w:t xml:space="preserve">.  </w:t>
      </w:r>
    </w:p>
  </w:footnote>
  <w:footnote w:id="3">
    <w:p w14:paraId="077230AD" w14:textId="17A73693" w:rsidR="00172CA2" w:rsidRPr="00172CA2" w:rsidRDefault="00172CA2">
      <w:pPr>
        <w:pStyle w:val="FootnoteText"/>
        <w:rPr>
          <w:lang w:val="en-US"/>
        </w:rPr>
      </w:pPr>
      <w:r>
        <w:rPr>
          <w:rStyle w:val="FootnoteReference"/>
        </w:rPr>
        <w:footnoteRef/>
      </w:r>
      <w:r w:rsidRPr="00172CA2">
        <w:rPr>
          <w:lang w:val="en-US"/>
        </w:rPr>
        <w:t xml:space="preserve"> </w:t>
      </w:r>
      <w:r w:rsidRPr="00172CA2">
        <w:rPr>
          <w:rFonts w:cs="Helvetica"/>
          <w:lang w:val="en-US"/>
        </w:rPr>
        <w:t>The comments are set out in document UNEP/FAO/RC/EFF.1/INF/1.</w:t>
      </w:r>
    </w:p>
  </w:footnote>
  <w:footnote w:id="4">
    <w:p w14:paraId="4D2A4BA2" w14:textId="3858EF23" w:rsidR="00172CA2" w:rsidRPr="008E7C6C" w:rsidRDefault="00172CA2">
      <w:pPr>
        <w:pStyle w:val="FootnoteText"/>
        <w:rPr>
          <w:lang w:val="en-US"/>
        </w:rPr>
      </w:pPr>
      <w:r>
        <w:rPr>
          <w:rStyle w:val="FootnoteReference"/>
        </w:rPr>
        <w:footnoteRef/>
      </w:r>
      <w:r w:rsidRPr="008E7C6C">
        <w:rPr>
          <w:lang w:val="en-US"/>
        </w:rPr>
        <w:t xml:space="preserve"> </w:t>
      </w:r>
      <w:r w:rsidRPr="00F5371A">
        <w:rPr>
          <w:lang w:val="en-US"/>
        </w:rPr>
        <w:t xml:space="preserve">The table contains a preliminary indication of whether budgetary implications could be expected in the </w:t>
      </w:r>
      <w:r>
        <w:rPr>
          <w:lang w:val="en-US"/>
        </w:rPr>
        <w:t>Rotterdam Convention general trust fund (“core”)</w:t>
      </w:r>
      <w:r w:rsidRPr="00F5371A">
        <w:rPr>
          <w:lang w:val="en-US"/>
        </w:rPr>
        <w:t xml:space="preserve"> or </w:t>
      </w:r>
      <w:r>
        <w:rPr>
          <w:lang w:val="en-US"/>
        </w:rPr>
        <w:t xml:space="preserve">the </w:t>
      </w:r>
      <w:r w:rsidRPr="00F5371A">
        <w:rPr>
          <w:lang w:val="en-US"/>
        </w:rPr>
        <w:t xml:space="preserve">voluntary trust </w:t>
      </w:r>
      <w:r>
        <w:rPr>
          <w:lang w:val="en-US"/>
        </w:rPr>
        <w:t>fund (“voluntary”). In addition, impact on staff time in the Secretariat needs to be considered, as it might not be possible for the Secretariat to accommodate all activities with the existing staffing component. Costs for national implementation are not reflected in this table.</w:t>
      </w:r>
    </w:p>
  </w:footnote>
  <w:footnote w:id="5">
    <w:p w14:paraId="7DB4A0DF" w14:textId="47A4D858" w:rsidR="00172CA2" w:rsidRPr="008E7C6C" w:rsidRDefault="00172CA2">
      <w:pPr>
        <w:pStyle w:val="FootnoteText"/>
        <w:rPr>
          <w:lang w:val="en-US"/>
        </w:rPr>
      </w:pPr>
      <w:r>
        <w:rPr>
          <w:rStyle w:val="FootnoteReference"/>
        </w:rPr>
        <w:footnoteRef/>
      </w:r>
      <w:r w:rsidRPr="008E7C6C">
        <w:rPr>
          <w:lang w:val="en-US"/>
        </w:rPr>
        <w:t xml:space="preserve"> </w:t>
      </w:r>
      <w:r>
        <w:rPr>
          <w:lang w:val="en-US"/>
        </w:rPr>
        <w:t xml:space="preserve">Additional priority actions reflected in this row were proposed in the commenting phase on the report on legal and operational implications of the priority actions by Canada and the United States of America (observer). </w:t>
      </w:r>
    </w:p>
  </w:footnote>
  <w:footnote w:id="6">
    <w:p w14:paraId="1D62B623" w14:textId="6A90396E" w:rsidR="00172CA2" w:rsidRPr="008E7C6C" w:rsidRDefault="00172CA2">
      <w:pPr>
        <w:pStyle w:val="FootnoteText"/>
        <w:rPr>
          <w:lang w:val="en-US"/>
        </w:rPr>
      </w:pPr>
      <w:r>
        <w:rPr>
          <w:rStyle w:val="FootnoteReference"/>
        </w:rPr>
        <w:footnoteRef/>
      </w:r>
      <w:r w:rsidRPr="008E7C6C">
        <w:rPr>
          <w:lang w:val="en-US"/>
        </w:rPr>
        <w:t xml:space="preserve"> </w:t>
      </w:r>
      <w:r>
        <w:rPr>
          <w:lang w:val="en-US"/>
        </w:rPr>
        <w:t>This priority action was proposed in the commenting phase on the report on legal and operational implications of the priority actions by the United States of America (observer)</w:t>
      </w:r>
      <w:r w:rsidRPr="00A338C6">
        <w:rPr>
          <w:lang w:val="en-US"/>
        </w:rPr>
        <w:t>.</w:t>
      </w:r>
    </w:p>
  </w:footnote>
  <w:footnote w:id="7">
    <w:p w14:paraId="5C3DB62D" w14:textId="50C25ADC" w:rsidR="00172CA2" w:rsidRPr="008E7C6C" w:rsidRDefault="00172CA2">
      <w:pPr>
        <w:pStyle w:val="FootnoteText"/>
        <w:rPr>
          <w:lang w:val="en-US"/>
        </w:rPr>
      </w:pPr>
      <w:r>
        <w:rPr>
          <w:rStyle w:val="FootnoteReference"/>
        </w:rPr>
        <w:footnoteRef/>
      </w:r>
      <w:r w:rsidRPr="008E7C6C">
        <w:rPr>
          <w:lang w:val="en-US"/>
        </w:rPr>
        <w:t xml:space="preserve"> </w:t>
      </w:r>
      <w:r>
        <w:rPr>
          <w:lang w:val="en-US"/>
        </w:rPr>
        <w:t xml:space="preserve">This priority was proposed in the commenting phase on the report on legal and operational implications of the priority actions by Colombia. </w:t>
      </w:r>
    </w:p>
  </w:footnote>
  <w:footnote w:id="8">
    <w:p w14:paraId="24139168" w14:textId="23899D86" w:rsidR="00172CA2" w:rsidRPr="00307A51" w:rsidRDefault="00172CA2" w:rsidP="00D543B5">
      <w:pPr>
        <w:pStyle w:val="FootnoteText"/>
        <w:rPr>
          <w:lang w:val="en-US"/>
        </w:rPr>
      </w:pPr>
      <w:r>
        <w:rPr>
          <w:rStyle w:val="FootnoteReference"/>
        </w:rPr>
        <w:footnoteRef/>
      </w:r>
      <w:r w:rsidRPr="00307A51">
        <w:rPr>
          <w:lang w:val="en-US"/>
        </w:rPr>
        <w:t xml:space="preserve"> </w:t>
      </w:r>
      <w:r>
        <w:rPr>
          <w:lang w:val="en-US"/>
        </w:rPr>
        <w:t xml:space="preserve">This priority was proposed in the commenting phase on the report on legal and operational implications of the priority actions by the International Chrysotile Association (observer).  </w:t>
      </w:r>
    </w:p>
  </w:footnote>
  <w:footnote w:id="9">
    <w:p w14:paraId="7270099E" w14:textId="67A2BFF0" w:rsidR="00172CA2" w:rsidRPr="008E7C6C" w:rsidRDefault="00172CA2">
      <w:pPr>
        <w:pStyle w:val="FootnoteText"/>
        <w:rPr>
          <w:lang w:val="en-US"/>
        </w:rPr>
      </w:pPr>
      <w:r>
        <w:rPr>
          <w:rStyle w:val="FootnoteReference"/>
        </w:rPr>
        <w:footnoteRef/>
      </w:r>
      <w:r w:rsidRPr="008E7C6C">
        <w:rPr>
          <w:lang w:val="en-US"/>
        </w:rPr>
        <w:t xml:space="preserve"> </w:t>
      </w:r>
      <w:r>
        <w:rPr>
          <w:lang w:val="en-US"/>
        </w:rPr>
        <w:t>This priority action was proposed in the commenting phase on the report on legal and operational implications of the priority actions by Colombia</w:t>
      </w:r>
      <w:r w:rsidRPr="00A338C6">
        <w:rPr>
          <w:lang w:val="en-US"/>
        </w:rPr>
        <w:t>.</w:t>
      </w:r>
    </w:p>
  </w:footnote>
  <w:footnote w:id="10">
    <w:p w14:paraId="78BFB7C1" w14:textId="1928CC95" w:rsidR="00172CA2" w:rsidRPr="00CE5CB8" w:rsidRDefault="00172CA2" w:rsidP="00A338C6">
      <w:pPr>
        <w:pStyle w:val="FootnoteText"/>
        <w:rPr>
          <w:lang w:val="en-US"/>
        </w:rPr>
      </w:pPr>
      <w:r>
        <w:rPr>
          <w:rStyle w:val="FootnoteReference"/>
        </w:rPr>
        <w:footnoteRef/>
      </w:r>
      <w:r w:rsidRPr="00CE5CB8">
        <w:rPr>
          <w:lang w:val="en-US"/>
        </w:rPr>
        <w:t xml:space="preserve"> </w:t>
      </w:r>
      <w:r>
        <w:rPr>
          <w:lang w:val="en-US"/>
        </w:rPr>
        <w:t xml:space="preserve">Additional priority actions reflected in this row were proposed in the commenting phase on the report on legal and operational implications of the priority actions by Colombia. </w:t>
      </w:r>
    </w:p>
  </w:footnote>
  <w:footnote w:id="11">
    <w:p w14:paraId="7AB461B8" w14:textId="7302D116" w:rsidR="00172CA2" w:rsidRPr="008E7C6C" w:rsidRDefault="00172CA2">
      <w:pPr>
        <w:pStyle w:val="FootnoteText"/>
        <w:rPr>
          <w:lang w:val="en-US"/>
        </w:rPr>
      </w:pPr>
      <w:r>
        <w:rPr>
          <w:rStyle w:val="FootnoteReference"/>
        </w:rPr>
        <w:footnoteRef/>
      </w:r>
      <w:r w:rsidRPr="008E7C6C">
        <w:rPr>
          <w:lang w:val="en-US"/>
        </w:rPr>
        <w:t xml:space="preserve"> </w:t>
      </w:r>
      <w:r>
        <w:rPr>
          <w:lang w:val="en-US"/>
        </w:rPr>
        <w:fldChar w:fldCharType="begin"/>
      </w:r>
      <w:r>
        <w:rPr>
          <w:lang w:val="en-US"/>
        </w:rPr>
        <w:instrText xml:space="preserve"> HYPERLINK "</w:instrText>
      </w:r>
      <w:r w:rsidRPr="009F4815">
        <w:rPr>
          <w:lang w:val="en-US"/>
        </w:rPr>
        <w:instrText>http://www.pic.int/Implementation/EnhancingtheeffectivenessoftheConvention/Reportonpriorityactions/</w:instrText>
      </w:r>
      <w:r w:rsidRPr="009F4815">
        <w:rPr>
          <w:lang w:val="en-US"/>
        </w:rPr>
        <w:br/>
        <w:instrText>tabid/6234/language/en-US/Default.aspx</w:instrText>
      </w:r>
      <w:r>
        <w:rPr>
          <w:lang w:val="en-US"/>
        </w:rPr>
        <w:instrText xml:space="preserve">" </w:instrText>
      </w:r>
      <w:r>
        <w:rPr>
          <w:lang w:val="en-US"/>
        </w:rPr>
        <w:fldChar w:fldCharType="separate"/>
      </w:r>
      <w:r w:rsidRPr="00AD7236">
        <w:rPr>
          <w:rStyle w:val="Hyperlink"/>
          <w:sz w:val="18"/>
          <w:lang w:val="en-US"/>
        </w:rPr>
        <w:t>http://www.pic.int/Implementation/EnhancingtheeffectivenessoftheConvention/Reportonpriorityactions/</w:t>
      </w:r>
      <w:r w:rsidRPr="00AD7236">
        <w:rPr>
          <w:rStyle w:val="Hyperlink"/>
          <w:sz w:val="18"/>
          <w:lang w:val="en-US"/>
        </w:rPr>
        <w:br/>
        <w:t>tabid/6234/language/</w:t>
      </w:r>
      <w:proofErr w:type="spellStart"/>
      <w:r w:rsidRPr="00AD7236">
        <w:rPr>
          <w:rStyle w:val="Hyperlink"/>
          <w:sz w:val="18"/>
          <w:lang w:val="en-US"/>
        </w:rPr>
        <w:t>en</w:t>
      </w:r>
      <w:proofErr w:type="spellEnd"/>
      <w:r w:rsidRPr="00AD7236">
        <w:rPr>
          <w:rStyle w:val="Hyperlink"/>
          <w:sz w:val="18"/>
          <w:lang w:val="en-US"/>
        </w:rPr>
        <w:t>-US/Default.aspx</w:t>
      </w:r>
      <w:r>
        <w:rPr>
          <w:lang w:val="en-US"/>
        </w:rPr>
        <w:fldChar w:fldCharType="end"/>
      </w:r>
      <w:r>
        <w:rPr>
          <w:lang w:val="en-US"/>
        </w:rPr>
        <w:t xml:space="preserve">. </w:t>
      </w:r>
    </w:p>
  </w:footnote>
  <w:footnote w:id="12">
    <w:p w14:paraId="3F8E1EF9" w14:textId="22618BB4" w:rsidR="00172CA2" w:rsidRPr="008E7C6C" w:rsidRDefault="00172CA2">
      <w:pPr>
        <w:pStyle w:val="FootnoteText"/>
        <w:rPr>
          <w:lang w:val="en-US"/>
        </w:rPr>
      </w:pPr>
      <w:r>
        <w:rPr>
          <w:rStyle w:val="FootnoteReference"/>
        </w:rPr>
        <w:footnoteRef/>
      </w:r>
      <w:r w:rsidRPr="008E7C6C">
        <w:rPr>
          <w:lang w:val="en-US"/>
        </w:rPr>
        <w:t xml:space="preserve"> </w:t>
      </w:r>
      <w:r>
        <w:rPr>
          <w:lang w:val="en-US"/>
        </w:rPr>
        <w:t>Additional priority actions reflected in this row were proposed in the commenting phase on the report on legal and operational implications of the priority actions by</w:t>
      </w:r>
      <w:r w:rsidRPr="008E7C6C">
        <w:rPr>
          <w:lang w:val="en-US"/>
        </w:rPr>
        <w:t xml:space="preserve"> Australia. </w:t>
      </w:r>
    </w:p>
  </w:footnote>
  <w:footnote w:id="13">
    <w:p w14:paraId="77CD2BC2" w14:textId="28DA766B" w:rsidR="00172CA2" w:rsidRPr="008E7C6C" w:rsidRDefault="00172CA2">
      <w:pPr>
        <w:pStyle w:val="FootnoteText"/>
        <w:rPr>
          <w:lang w:val="en-US"/>
        </w:rPr>
      </w:pPr>
      <w:r>
        <w:rPr>
          <w:rStyle w:val="FootnoteReference"/>
        </w:rPr>
        <w:footnoteRef/>
      </w:r>
      <w:r w:rsidRPr="008E7C6C">
        <w:rPr>
          <w:lang w:val="en-US"/>
        </w:rPr>
        <w:t xml:space="preserve"> </w:t>
      </w:r>
      <w:r>
        <w:rPr>
          <w:lang w:val="en-US"/>
        </w:rPr>
        <w:t>Additional priority actions reflected in this row were proposed in the commenting phase on the report on legal and operational implications of the priority actions by</w:t>
      </w:r>
      <w:r w:rsidRPr="008E7C6C">
        <w:rPr>
          <w:lang w:val="en-US"/>
        </w:rPr>
        <w:t xml:space="preserve"> India.</w:t>
      </w:r>
    </w:p>
  </w:footnote>
  <w:footnote w:id="14">
    <w:p w14:paraId="4F9F32A3" w14:textId="5695BDED" w:rsidR="00172CA2" w:rsidRPr="00B22751" w:rsidRDefault="00172CA2" w:rsidP="007D395E">
      <w:pPr>
        <w:pStyle w:val="FootnoteText"/>
        <w:rPr>
          <w:lang w:val="en-US"/>
        </w:rPr>
      </w:pPr>
      <w:r>
        <w:rPr>
          <w:rStyle w:val="FootnoteReference"/>
        </w:rPr>
        <w:footnoteRef/>
      </w:r>
      <w:r w:rsidRPr="00B22751">
        <w:rPr>
          <w:lang w:val="en-US"/>
        </w:rPr>
        <w:t xml:space="preserve"> </w:t>
      </w:r>
      <w:r>
        <w:rPr>
          <w:lang w:val="en-US"/>
        </w:rPr>
        <w:t>See footnote 1</w:t>
      </w:r>
      <w:r w:rsidRPr="00B22751">
        <w:rPr>
          <w:lang w:val="en-US"/>
        </w:rPr>
        <w:t xml:space="preserve">. </w:t>
      </w:r>
    </w:p>
  </w:footnote>
  <w:footnote w:id="15">
    <w:p w14:paraId="252608E4" w14:textId="76920000" w:rsidR="00172CA2" w:rsidRPr="008E7C6C" w:rsidRDefault="00172CA2">
      <w:pPr>
        <w:pStyle w:val="FootnoteText"/>
        <w:rPr>
          <w:lang w:val="en-US"/>
        </w:rPr>
      </w:pPr>
      <w:r>
        <w:rPr>
          <w:rStyle w:val="FootnoteReference"/>
        </w:rPr>
        <w:footnoteRef/>
      </w:r>
      <w:r w:rsidRPr="008E7C6C">
        <w:rPr>
          <w:lang w:val="en-US"/>
        </w:rPr>
        <w:t xml:space="preserve"> </w:t>
      </w:r>
      <w:r>
        <w:rPr>
          <w:lang w:val="en-US"/>
        </w:rPr>
        <w:t>Additional priority actions reflected in this row were proposed in the commenting phase on the report on legal and operational implications of the priority actions by</w:t>
      </w:r>
      <w:r w:rsidRPr="008E7C6C">
        <w:rPr>
          <w:lang w:val="en-US"/>
        </w:rPr>
        <w:t xml:space="preserve"> </w:t>
      </w:r>
      <w:r w:rsidRPr="00C77FA9">
        <w:rPr>
          <w:lang w:val="en-US"/>
        </w:rPr>
        <w:t>Albania</w:t>
      </w:r>
      <w:r>
        <w:rPr>
          <w:lang w:val="en-US"/>
        </w:rPr>
        <w:t xml:space="preserve"> and</w:t>
      </w:r>
      <w:r w:rsidRPr="00C77FA9">
        <w:rPr>
          <w:lang w:val="en-US"/>
        </w:rPr>
        <w:t xml:space="preserve"> New Zealand</w:t>
      </w:r>
      <w:r>
        <w:rPr>
          <w:lang w:val="en-US"/>
        </w:rPr>
        <w:t>.</w:t>
      </w:r>
    </w:p>
  </w:footnote>
  <w:footnote w:id="16">
    <w:p w14:paraId="7A54AC2E" w14:textId="500FE7A2" w:rsidR="00172CA2" w:rsidRPr="008E7C6C" w:rsidRDefault="00172CA2">
      <w:pPr>
        <w:pStyle w:val="FootnoteText"/>
        <w:rPr>
          <w:lang w:val="en-US"/>
        </w:rPr>
      </w:pPr>
      <w:r>
        <w:rPr>
          <w:rStyle w:val="FootnoteReference"/>
        </w:rPr>
        <w:footnoteRef/>
      </w:r>
      <w:r w:rsidRPr="008E7C6C">
        <w:rPr>
          <w:lang w:val="en-US"/>
        </w:rPr>
        <w:t xml:space="preserve"> </w:t>
      </w:r>
      <w:r>
        <w:rPr>
          <w:lang w:val="en-US"/>
        </w:rPr>
        <w:t xml:space="preserve">Additional priority actions reflected in this row were proposed in the commenting phase on the report on legal and operational implications of the priority actions by </w:t>
      </w:r>
      <w:r w:rsidRPr="008A169A">
        <w:rPr>
          <w:lang w:val="en-US"/>
        </w:rPr>
        <w:t xml:space="preserve">Colombia. </w:t>
      </w:r>
    </w:p>
  </w:footnote>
  <w:footnote w:id="17">
    <w:p w14:paraId="2FDBAA91" w14:textId="0B3BCB85" w:rsidR="00172CA2" w:rsidRPr="00307A51" w:rsidRDefault="00172CA2" w:rsidP="009058AB">
      <w:pPr>
        <w:pStyle w:val="FootnoteText"/>
        <w:rPr>
          <w:lang w:val="en-US"/>
        </w:rPr>
      </w:pPr>
      <w:r>
        <w:rPr>
          <w:rStyle w:val="FootnoteReference"/>
        </w:rPr>
        <w:footnoteRef/>
      </w:r>
      <w:r w:rsidRPr="00307A51">
        <w:rPr>
          <w:lang w:val="en-US"/>
        </w:rPr>
        <w:t xml:space="preserve"> </w:t>
      </w:r>
      <w:r>
        <w:rPr>
          <w:lang w:val="en-US"/>
        </w:rPr>
        <w:t>Additional priority actions reflected in this row were proposed in the commenting phase on the report on legal and operational implications of the priority actions by New Zealand</w:t>
      </w:r>
      <w:r w:rsidRPr="008A169A">
        <w:rPr>
          <w:lang w:val="en-US"/>
        </w:rPr>
        <w:t xml:space="preserve">. </w:t>
      </w:r>
    </w:p>
  </w:footnote>
  <w:footnote w:id="18">
    <w:p w14:paraId="69C09227" w14:textId="7546236F" w:rsidR="00172CA2" w:rsidRPr="00F5371A" w:rsidRDefault="00172CA2" w:rsidP="007D395E">
      <w:pPr>
        <w:pStyle w:val="FootnoteText"/>
        <w:rPr>
          <w:lang w:val="en-US"/>
        </w:rPr>
      </w:pPr>
      <w:r>
        <w:rPr>
          <w:rStyle w:val="FootnoteReference"/>
        </w:rPr>
        <w:footnoteRef/>
      </w:r>
      <w:r w:rsidRPr="00F5371A">
        <w:rPr>
          <w:lang w:val="en-US"/>
        </w:rPr>
        <w:t xml:space="preserve"> </w:t>
      </w:r>
      <w:r>
        <w:rPr>
          <w:lang w:val="en-US"/>
        </w:rPr>
        <w:t xml:space="preserve">See footnote 1. </w:t>
      </w:r>
    </w:p>
  </w:footnote>
  <w:footnote w:id="19">
    <w:p w14:paraId="6D69ACF5" w14:textId="7F3BC66F" w:rsidR="00172CA2" w:rsidRPr="008E7C6C" w:rsidRDefault="00172CA2">
      <w:pPr>
        <w:pStyle w:val="FootnoteText"/>
        <w:rPr>
          <w:lang w:val="en-US"/>
        </w:rPr>
      </w:pPr>
      <w:r>
        <w:rPr>
          <w:rStyle w:val="FootnoteReference"/>
        </w:rPr>
        <w:footnoteRef/>
      </w:r>
      <w:r w:rsidRPr="008E7C6C">
        <w:rPr>
          <w:lang w:val="en-US"/>
        </w:rPr>
        <w:t xml:space="preserve"> </w:t>
      </w:r>
      <w:r>
        <w:rPr>
          <w:lang w:val="en-US"/>
        </w:rPr>
        <w:t>Additional priority actions reflected in this row were proposed in the commenting phase on the report on legal and operational implications of the priority actions by</w:t>
      </w:r>
      <w:r w:rsidRPr="00CE5CB8">
        <w:rPr>
          <w:lang w:val="en-US"/>
        </w:rPr>
        <w:t xml:space="preserve"> </w:t>
      </w:r>
      <w:r>
        <w:rPr>
          <w:lang w:val="en-US"/>
        </w:rPr>
        <w:t xml:space="preserve">Albania, Australia, Central African Republic, </w:t>
      </w:r>
      <w:proofErr w:type="spellStart"/>
      <w:r>
        <w:rPr>
          <w:lang w:val="en-US"/>
        </w:rPr>
        <w:t>Democractic</w:t>
      </w:r>
      <w:proofErr w:type="spellEnd"/>
      <w:r>
        <w:rPr>
          <w:lang w:val="en-US"/>
        </w:rPr>
        <w:t xml:space="preserve"> Republic of the Congo, India, </w:t>
      </w:r>
      <w:r w:rsidRPr="00CE5CB8">
        <w:rPr>
          <w:lang w:val="en-US"/>
        </w:rPr>
        <w:t>Switzerland</w:t>
      </w:r>
      <w:r>
        <w:rPr>
          <w:lang w:val="en-US"/>
        </w:rPr>
        <w:t>, and Philippines</w:t>
      </w:r>
      <w:r w:rsidRPr="008E7C6C">
        <w:rPr>
          <w:lang w:val="en-US"/>
        </w:rPr>
        <w:t xml:space="preserve">. </w:t>
      </w:r>
    </w:p>
  </w:footnote>
  <w:footnote w:id="20">
    <w:p w14:paraId="6606B481" w14:textId="6B2C0634" w:rsidR="00172CA2" w:rsidRPr="008E7C6C" w:rsidRDefault="00172CA2">
      <w:pPr>
        <w:pStyle w:val="FootnoteText"/>
        <w:rPr>
          <w:lang w:val="en-US"/>
        </w:rPr>
      </w:pPr>
      <w:r>
        <w:rPr>
          <w:rStyle w:val="FootnoteReference"/>
        </w:rPr>
        <w:footnoteRef/>
      </w:r>
      <w:r w:rsidRPr="008E7C6C">
        <w:rPr>
          <w:lang w:val="en-US"/>
        </w:rPr>
        <w:t xml:space="preserve"> </w:t>
      </w:r>
      <w:r>
        <w:rPr>
          <w:lang w:val="en-US"/>
        </w:rPr>
        <w:t>R</w:t>
      </w:r>
      <w:r w:rsidRPr="008E7C6C">
        <w:rPr>
          <w:lang w:val="en-US"/>
        </w:rPr>
        <w:t>eport on legal and operational implications of priority actions to enhance the effectiveness of the Rotterdam Convention</w:t>
      </w:r>
      <w:r>
        <w:rPr>
          <w:lang w:val="en-US"/>
        </w:rPr>
        <w:t xml:space="preserve">, appendix, pages </w:t>
      </w:r>
      <w:r w:rsidRPr="008E7C6C">
        <w:rPr>
          <w:lang w:val="en-US"/>
        </w:rPr>
        <w:t>42-45</w:t>
      </w:r>
      <w:r>
        <w:rPr>
          <w:lang w:val="en-US"/>
        </w:rPr>
        <w:t>.</w:t>
      </w:r>
    </w:p>
  </w:footnote>
  <w:footnote w:id="21">
    <w:p w14:paraId="0A903403" w14:textId="5309F6D0" w:rsidR="00172CA2" w:rsidRPr="008E7C6C" w:rsidRDefault="00172CA2">
      <w:pPr>
        <w:pStyle w:val="FootnoteText"/>
        <w:rPr>
          <w:lang w:val="en-US"/>
        </w:rPr>
      </w:pPr>
      <w:r>
        <w:rPr>
          <w:rStyle w:val="FootnoteReference"/>
        </w:rPr>
        <w:footnoteRef/>
      </w:r>
      <w:r w:rsidRPr="008E7C6C">
        <w:rPr>
          <w:lang w:val="en-US"/>
        </w:rPr>
        <w:t xml:space="preserve"> </w:t>
      </w:r>
      <w:r>
        <w:rPr>
          <w:lang w:val="en-US"/>
        </w:rPr>
        <w:t>Additional priority actions reflected in this row were proposed in the commenting phase on the report on legal and operational implications of priority actions by</w:t>
      </w:r>
      <w:r w:rsidRPr="00CE5CB8">
        <w:rPr>
          <w:lang w:val="en-US"/>
        </w:rPr>
        <w:t xml:space="preserve"> </w:t>
      </w:r>
      <w:r w:rsidRPr="008E7C6C">
        <w:rPr>
          <w:lang w:val="en-US"/>
        </w:rPr>
        <w:t xml:space="preserve">Argentina. </w:t>
      </w:r>
    </w:p>
  </w:footnote>
  <w:footnote w:id="22">
    <w:p w14:paraId="233BC7A9" w14:textId="0841598A" w:rsidR="00172CA2" w:rsidRPr="008E7C6C" w:rsidRDefault="00172CA2">
      <w:pPr>
        <w:pStyle w:val="FootnoteText"/>
        <w:rPr>
          <w:lang w:val="en-US"/>
        </w:rPr>
      </w:pPr>
      <w:r>
        <w:rPr>
          <w:rStyle w:val="FootnoteReference"/>
        </w:rPr>
        <w:footnoteRef/>
      </w:r>
      <w:r w:rsidRPr="008E7C6C">
        <w:rPr>
          <w:lang w:val="en-US"/>
        </w:rPr>
        <w:t xml:space="preserve"> </w:t>
      </w:r>
      <w:r>
        <w:rPr>
          <w:lang w:val="en-US"/>
        </w:rPr>
        <w:t xml:space="preserve">This priority action was proposed in the commenting phase on the report on legal and operational implications of the priority actions by New Zealand. </w:t>
      </w:r>
    </w:p>
  </w:footnote>
  <w:footnote w:id="23">
    <w:p w14:paraId="50ADC412" w14:textId="66BC36D3" w:rsidR="00172CA2" w:rsidRPr="008E7C6C" w:rsidRDefault="00172CA2">
      <w:pPr>
        <w:pStyle w:val="FootnoteText"/>
        <w:rPr>
          <w:lang w:val="en-US"/>
        </w:rPr>
      </w:pPr>
      <w:r>
        <w:rPr>
          <w:rStyle w:val="FootnoteReference"/>
        </w:rPr>
        <w:footnoteRef/>
      </w:r>
      <w:r w:rsidRPr="008E7C6C">
        <w:rPr>
          <w:lang w:val="en-US"/>
        </w:rPr>
        <w:t xml:space="preserve"> </w:t>
      </w:r>
      <w:r>
        <w:rPr>
          <w:lang w:val="en-US"/>
        </w:rPr>
        <w:t xml:space="preserve">This priority action was proposed in the commenting phase on the report on legal and operational implications of the priority actions by </w:t>
      </w:r>
      <w:r w:rsidRPr="008E7C6C">
        <w:rPr>
          <w:lang w:val="en-US"/>
        </w:rPr>
        <w:t>Australia</w:t>
      </w:r>
      <w:r>
        <w:rPr>
          <w:lang w:val="en-US"/>
        </w:rPr>
        <w:t>.</w:t>
      </w:r>
      <w:r w:rsidRPr="008E7C6C">
        <w:rPr>
          <w:lang w:val="en-US"/>
        </w:rPr>
        <w:t xml:space="preserve"> </w:t>
      </w:r>
    </w:p>
  </w:footnote>
  <w:footnote w:id="24">
    <w:p w14:paraId="2715EE5E" w14:textId="341C8B11" w:rsidR="00172CA2" w:rsidRPr="00307A51" w:rsidRDefault="00172CA2" w:rsidP="00C7729F">
      <w:pPr>
        <w:pStyle w:val="FootnoteText"/>
        <w:rPr>
          <w:lang w:val="en-US"/>
        </w:rPr>
      </w:pPr>
      <w:r>
        <w:rPr>
          <w:rStyle w:val="FootnoteReference"/>
        </w:rPr>
        <w:footnoteRef/>
      </w:r>
      <w:r w:rsidRPr="00307A51">
        <w:rPr>
          <w:lang w:val="en-US"/>
        </w:rPr>
        <w:t xml:space="preserve"> </w:t>
      </w:r>
      <w:r>
        <w:rPr>
          <w:lang w:val="en-US"/>
        </w:rPr>
        <w:t>This priority action was proposed in the commenting phase on the report on legal and operational implications of the priority actions by Argentina.</w:t>
      </w:r>
      <w:r w:rsidRPr="00307A51">
        <w:rPr>
          <w:lang w:val="en-US"/>
        </w:rPr>
        <w:t xml:space="preserve"> </w:t>
      </w:r>
    </w:p>
  </w:footnote>
  <w:footnote w:id="25">
    <w:p w14:paraId="68635E10" w14:textId="3D1E77C6" w:rsidR="00172CA2" w:rsidRPr="008E7C6C" w:rsidRDefault="00172CA2">
      <w:pPr>
        <w:pStyle w:val="FootnoteText"/>
        <w:rPr>
          <w:lang w:val="en-US"/>
        </w:rPr>
      </w:pPr>
      <w:r>
        <w:rPr>
          <w:rStyle w:val="FootnoteReference"/>
        </w:rPr>
        <w:footnoteRef/>
      </w:r>
      <w:r w:rsidRPr="008E7C6C">
        <w:rPr>
          <w:lang w:val="en-US"/>
        </w:rPr>
        <w:t xml:space="preserve"> </w:t>
      </w:r>
      <w:r>
        <w:rPr>
          <w:lang w:val="en-US"/>
        </w:rPr>
        <w:t xml:space="preserve">This priority action was proposed in the commenting phase on the report on legal and operational implications of the priority actions by </w:t>
      </w:r>
      <w:r w:rsidRPr="008E7C6C">
        <w:rPr>
          <w:lang w:val="en-US"/>
        </w:rPr>
        <w:t xml:space="preserve">Suriname. </w:t>
      </w:r>
    </w:p>
  </w:footnote>
  <w:footnote w:id="26">
    <w:p w14:paraId="2DE59C5B" w14:textId="1ECA55C8" w:rsidR="00172CA2" w:rsidRPr="008E7C6C" w:rsidRDefault="00172CA2">
      <w:pPr>
        <w:pStyle w:val="FootnoteText"/>
        <w:rPr>
          <w:lang w:val="en-US"/>
        </w:rPr>
      </w:pPr>
      <w:r>
        <w:rPr>
          <w:rStyle w:val="FootnoteReference"/>
        </w:rPr>
        <w:footnoteRef/>
      </w:r>
      <w:r w:rsidRPr="008E7C6C">
        <w:rPr>
          <w:lang w:val="en-US"/>
        </w:rPr>
        <w:t xml:space="preserve"> </w:t>
      </w:r>
      <w:r>
        <w:rPr>
          <w:lang w:val="en-US"/>
        </w:rPr>
        <w:t>See footnote 1</w:t>
      </w:r>
      <w:r w:rsidRPr="008E7C6C">
        <w:rPr>
          <w:lang w:val="en-US"/>
        </w:rPr>
        <w:t xml:space="preserve">. </w:t>
      </w:r>
    </w:p>
  </w:footnote>
  <w:footnote w:id="27">
    <w:p w14:paraId="6789FED9" w14:textId="4D07BD61" w:rsidR="00172CA2" w:rsidRPr="008E7C6C" w:rsidRDefault="00172CA2">
      <w:pPr>
        <w:pStyle w:val="FootnoteText"/>
        <w:rPr>
          <w:lang w:val="en-US"/>
        </w:rPr>
      </w:pPr>
      <w:r>
        <w:rPr>
          <w:rStyle w:val="FootnoteReference"/>
        </w:rPr>
        <w:footnoteRef/>
      </w:r>
      <w:r w:rsidRPr="008E7C6C">
        <w:rPr>
          <w:lang w:val="en-US"/>
        </w:rPr>
        <w:t xml:space="preserve"> </w:t>
      </w:r>
      <w:r>
        <w:rPr>
          <w:lang w:val="en-US"/>
        </w:rPr>
        <w:t>This priority action was proposed in the commenting phase on the report on legal and operational implications of the priority actions by the United States of America (observer)</w:t>
      </w:r>
      <w:r w:rsidRPr="00307A51">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81A82" w14:textId="735B6E55" w:rsidR="00172CA2" w:rsidRPr="00772E66" w:rsidRDefault="00172CA2" w:rsidP="00772E66">
    <w:pPr>
      <w:pStyle w:val="Header"/>
      <w:rPr>
        <w:szCs w:val="18"/>
      </w:rPr>
    </w:pPr>
    <w:r w:rsidRPr="00717425">
      <w:rPr>
        <w:szCs w:val="18"/>
      </w:rPr>
      <w:t>UNEP/FAO/RC/EFF.1/</w:t>
    </w:r>
    <w:r>
      <w:rPr>
        <w:szCs w:val="18"/>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2D67D" w14:textId="15A49B42" w:rsidR="00172CA2" w:rsidRDefault="00172CA2" w:rsidP="00035EDE">
    <w:pPr>
      <w:pStyle w:val="Header"/>
      <w:jc w:val="right"/>
    </w:pPr>
    <w:r w:rsidRPr="00717425">
      <w:t>UNEP/FAO/RC/EFF.1/</w:t>
    </w:r>
    <w: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1ABE2" w14:textId="44B683A3" w:rsidR="00172CA2" w:rsidRDefault="00172CA2" w:rsidP="00125721">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1"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2" w15:restartNumberingAfterBreak="0">
    <w:nsid w:val="3ECB43AE"/>
    <w:multiLevelType w:val="hybridMultilevel"/>
    <w:tmpl w:val="A6405DE2"/>
    <w:lvl w:ilvl="0" w:tplc="100C000F">
      <w:start w:val="1"/>
      <w:numFmt w:val="decimal"/>
      <w:lvlText w:val="%1."/>
      <w:lvlJc w:val="left"/>
      <w:pPr>
        <w:ind w:left="720" w:hanging="360"/>
      </w:pPr>
      <w:rPr>
        <w:rFonts w:hint="default"/>
      </w:rPr>
    </w:lvl>
    <w:lvl w:ilvl="1" w:tplc="1374D10A">
      <w:start w:val="1"/>
      <w:numFmt w:val="lowerLetter"/>
      <w:lvlText w:val="(%2)"/>
      <w:lvlJc w:val="left"/>
      <w:pPr>
        <w:ind w:left="1440" w:hanging="360"/>
      </w:pPr>
      <w:rPr>
        <w:rFonts w:hint="default"/>
        <w:b/>
      </w:r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52A66A9D"/>
    <w:multiLevelType w:val="multilevel"/>
    <w:tmpl w:val="D07A6E4C"/>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4" w15:restartNumberingAfterBreak="0">
    <w:nsid w:val="52B06E52"/>
    <w:multiLevelType w:val="hybridMultilevel"/>
    <w:tmpl w:val="10C6DC94"/>
    <w:lvl w:ilvl="0" w:tplc="79D8CCAA">
      <w:start w:val="390"/>
      <w:numFmt w:val="bullet"/>
      <w:lvlText w:val="-"/>
      <w:lvlJc w:val="left"/>
      <w:pPr>
        <w:ind w:left="720" w:hanging="360"/>
      </w:pPr>
      <w:rPr>
        <w:rFonts w:ascii="Calibri" w:eastAsiaTheme="minorHAnsi" w:hAnsi="Calibri"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636735F4"/>
    <w:multiLevelType w:val="hybridMultilevel"/>
    <w:tmpl w:val="442A8EB0"/>
    <w:lvl w:ilvl="0" w:tplc="100C000F">
      <w:start w:val="1"/>
      <w:numFmt w:val="decimal"/>
      <w:lvlText w:val="%1."/>
      <w:lvlJc w:val="left"/>
      <w:pPr>
        <w:ind w:left="720" w:hanging="360"/>
      </w:pPr>
      <w:rPr>
        <w:rFonts w:hint="default"/>
      </w:rPr>
    </w:lvl>
    <w:lvl w:ilvl="1" w:tplc="487C4E54">
      <w:start w:val="1"/>
      <w:numFmt w:val="lowerLetter"/>
      <w:lvlText w:val="%2."/>
      <w:lvlJc w:val="left"/>
      <w:pPr>
        <w:ind w:left="1440" w:hanging="360"/>
      </w:pPr>
      <w:rPr>
        <w:b w:val="0"/>
      </w:r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3"/>
  </w:num>
  <w:num w:numId="5">
    <w:abstractNumId w:val="3"/>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3"/>
  </w:num>
  <w:num w:numId="10">
    <w:abstractNumId w:val="5"/>
  </w:num>
  <w:num w:numId="11">
    <w:abstractNumId w:val="4"/>
  </w:num>
  <w:num w:numId="12">
    <w:abstractNumId w:val="2"/>
  </w:num>
  <w:num w:numId="13">
    <w:abstractNumId w:val="3"/>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es-ES" w:vendorID="64" w:dllVersion="6" w:nlCheck="1" w:checkStyle="1"/>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s-ES" w:vendorID="64" w:dllVersion="0" w:nlCheck="1" w:checkStyle="0"/>
  <w:proofState w:spelling="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4097"/>
  </w:hdrShapeDefaults>
  <w:footnotePr>
    <w:numFmt w:val="chicago"/>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E66"/>
    <w:rsid w:val="00001E2E"/>
    <w:rsid w:val="000149E6"/>
    <w:rsid w:val="00014B09"/>
    <w:rsid w:val="000167B9"/>
    <w:rsid w:val="000247B0"/>
    <w:rsid w:val="00026997"/>
    <w:rsid w:val="00033E0B"/>
    <w:rsid w:val="00033FAA"/>
    <w:rsid w:val="00035EDE"/>
    <w:rsid w:val="0003607E"/>
    <w:rsid w:val="00036931"/>
    <w:rsid w:val="00037560"/>
    <w:rsid w:val="000509B4"/>
    <w:rsid w:val="0006035B"/>
    <w:rsid w:val="000634F4"/>
    <w:rsid w:val="00065B14"/>
    <w:rsid w:val="00071886"/>
    <w:rsid w:val="000742BC"/>
    <w:rsid w:val="00082A0C"/>
    <w:rsid w:val="00083504"/>
    <w:rsid w:val="0009640C"/>
    <w:rsid w:val="000B22A2"/>
    <w:rsid w:val="000C0686"/>
    <w:rsid w:val="000C2A52"/>
    <w:rsid w:val="000D33C0"/>
    <w:rsid w:val="000D6941"/>
    <w:rsid w:val="00100EAB"/>
    <w:rsid w:val="00101B1B"/>
    <w:rsid w:val="00107721"/>
    <w:rsid w:val="00113ABA"/>
    <w:rsid w:val="001170B7"/>
    <w:rsid w:val="001202E3"/>
    <w:rsid w:val="00123699"/>
    <w:rsid w:val="001239A3"/>
    <w:rsid w:val="00124C5D"/>
    <w:rsid w:val="00125721"/>
    <w:rsid w:val="0013059D"/>
    <w:rsid w:val="00132CE2"/>
    <w:rsid w:val="00141A55"/>
    <w:rsid w:val="001425E5"/>
    <w:rsid w:val="001446A3"/>
    <w:rsid w:val="00155395"/>
    <w:rsid w:val="00160D74"/>
    <w:rsid w:val="00167D02"/>
    <w:rsid w:val="00172CA2"/>
    <w:rsid w:val="00181A88"/>
    <w:rsid w:val="00181EC8"/>
    <w:rsid w:val="00184349"/>
    <w:rsid w:val="001934CE"/>
    <w:rsid w:val="00195F33"/>
    <w:rsid w:val="001A1FC0"/>
    <w:rsid w:val="001A48EE"/>
    <w:rsid w:val="001B1617"/>
    <w:rsid w:val="001B504B"/>
    <w:rsid w:val="001C0EF1"/>
    <w:rsid w:val="001D3874"/>
    <w:rsid w:val="001D7E75"/>
    <w:rsid w:val="001E1A27"/>
    <w:rsid w:val="001E56D2"/>
    <w:rsid w:val="001E7D56"/>
    <w:rsid w:val="001F4BED"/>
    <w:rsid w:val="001F75DE"/>
    <w:rsid w:val="00200D58"/>
    <w:rsid w:val="002013BE"/>
    <w:rsid w:val="00201A2E"/>
    <w:rsid w:val="002063A4"/>
    <w:rsid w:val="002070D4"/>
    <w:rsid w:val="0021145B"/>
    <w:rsid w:val="00211A66"/>
    <w:rsid w:val="0022303F"/>
    <w:rsid w:val="00227354"/>
    <w:rsid w:val="00243D36"/>
    <w:rsid w:val="00247707"/>
    <w:rsid w:val="0026018E"/>
    <w:rsid w:val="002626E5"/>
    <w:rsid w:val="00263E16"/>
    <w:rsid w:val="002759EE"/>
    <w:rsid w:val="00285C19"/>
    <w:rsid w:val="00286740"/>
    <w:rsid w:val="002929D8"/>
    <w:rsid w:val="00294E02"/>
    <w:rsid w:val="002A237D"/>
    <w:rsid w:val="002A4C53"/>
    <w:rsid w:val="002B0672"/>
    <w:rsid w:val="002B247F"/>
    <w:rsid w:val="002C145D"/>
    <w:rsid w:val="002C2C3E"/>
    <w:rsid w:val="002C533E"/>
    <w:rsid w:val="002D027F"/>
    <w:rsid w:val="002D6ECC"/>
    <w:rsid w:val="002D7A85"/>
    <w:rsid w:val="002D7B60"/>
    <w:rsid w:val="002E36AF"/>
    <w:rsid w:val="002E5D4F"/>
    <w:rsid w:val="002F4761"/>
    <w:rsid w:val="002F5C79"/>
    <w:rsid w:val="003019E2"/>
    <w:rsid w:val="003031CC"/>
    <w:rsid w:val="0030499E"/>
    <w:rsid w:val="00313D55"/>
    <w:rsid w:val="0031413F"/>
    <w:rsid w:val="003148BB"/>
    <w:rsid w:val="003155B6"/>
    <w:rsid w:val="00317976"/>
    <w:rsid w:val="00330977"/>
    <w:rsid w:val="0034173B"/>
    <w:rsid w:val="00350007"/>
    <w:rsid w:val="00350D3E"/>
    <w:rsid w:val="00355EA9"/>
    <w:rsid w:val="003578DE"/>
    <w:rsid w:val="00361B0F"/>
    <w:rsid w:val="00363D96"/>
    <w:rsid w:val="0036570B"/>
    <w:rsid w:val="00387593"/>
    <w:rsid w:val="00394CFB"/>
    <w:rsid w:val="00396257"/>
    <w:rsid w:val="00397EB8"/>
    <w:rsid w:val="003A4FD0"/>
    <w:rsid w:val="003A69D1"/>
    <w:rsid w:val="003A7705"/>
    <w:rsid w:val="003A77F1"/>
    <w:rsid w:val="003B1545"/>
    <w:rsid w:val="003B3928"/>
    <w:rsid w:val="003B61AE"/>
    <w:rsid w:val="003C409D"/>
    <w:rsid w:val="003C5BA6"/>
    <w:rsid w:val="003C6C85"/>
    <w:rsid w:val="003E2A9B"/>
    <w:rsid w:val="003F0E85"/>
    <w:rsid w:val="00401F42"/>
    <w:rsid w:val="0040630B"/>
    <w:rsid w:val="00406575"/>
    <w:rsid w:val="00410C55"/>
    <w:rsid w:val="00416854"/>
    <w:rsid w:val="00417725"/>
    <w:rsid w:val="00423EBE"/>
    <w:rsid w:val="004332F5"/>
    <w:rsid w:val="00433A82"/>
    <w:rsid w:val="00437F26"/>
    <w:rsid w:val="00441171"/>
    <w:rsid w:val="00444097"/>
    <w:rsid w:val="00445487"/>
    <w:rsid w:val="00454021"/>
    <w:rsid w:val="00454769"/>
    <w:rsid w:val="00456545"/>
    <w:rsid w:val="00466991"/>
    <w:rsid w:val="0047064C"/>
    <w:rsid w:val="00472506"/>
    <w:rsid w:val="00477C95"/>
    <w:rsid w:val="004A42E1"/>
    <w:rsid w:val="004A64FF"/>
    <w:rsid w:val="004B162C"/>
    <w:rsid w:val="004B36CA"/>
    <w:rsid w:val="004C3DBE"/>
    <w:rsid w:val="004C5C96"/>
    <w:rsid w:val="004D06A4"/>
    <w:rsid w:val="004E235D"/>
    <w:rsid w:val="004E394B"/>
    <w:rsid w:val="004F1A81"/>
    <w:rsid w:val="0051295C"/>
    <w:rsid w:val="005218D9"/>
    <w:rsid w:val="00522673"/>
    <w:rsid w:val="00536186"/>
    <w:rsid w:val="00544CBB"/>
    <w:rsid w:val="00550F54"/>
    <w:rsid w:val="00550FC4"/>
    <w:rsid w:val="00566524"/>
    <w:rsid w:val="0057315F"/>
    <w:rsid w:val="00575871"/>
    <w:rsid w:val="00576104"/>
    <w:rsid w:val="00576C16"/>
    <w:rsid w:val="00582514"/>
    <w:rsid w:val="00597545"/>
    <w:rsid w:val="005A2A4F"/>
    <w:rsid w:val="005A53FB"/>
    <w:rsid w:val="005B0C86"/>
    <w:rsid w:val="005C67C8"/>
    <w:rsid w:val="005D0249"/>
    <w:rsid w:val="005D1020"/>
    <w:rsid w:val="005D6E8C"/>
    <w:rsid w:val="005E4A1C"/>
    <w:rsid w:val="005F100C"/>
    <w:rsid w:val="005F1B2F"/>
    <w:rsid w:val="005F68DA"/>
    <w:rsid w:val="00602E12"/>
    <w:rsid w:val="0060773B"/>
    <w:rsid w:val="00614F5A"/>
    <w:rsid w:val="006157B5"/>
    <w:rsid w:val="006209A7"/>
    <w:rsid w:val="00626FC6"/>
    <w:rsid w:val="006273B7"/>
    <w:rsid w:val="006303B4"/>
    <w:rsid w:val="00633D3D"/>
    <w:rsid w:val="00641703"/>
    <w:rsid w:val="006431A6"/>
    <w:rsid w:val="006459F6"/>
    <w:rsid w:val="006501AD"/>
    <w:rsid w:val="00651BFA"/>
    <w:rsid w:val="00654475"/>
    <w:rsid w:val="00665A4B"/>
    <w:rsid w:val="00692E2A"/>
    <w:rsid w:val="006A6EED"/>
    <w:rsid w:val="006A76F2"/>
    <w:rsid w:val="006B611C"/>
    <w:rsid w:val="006C3C2B"/>
    <w:rsid w:val="006C4591"/>
    <w:rsid w:val="006D0DDD"/>
    <w:rsid w:val="006D2E4F"/>
    <w:rsid w:val="006D7EFB"/>
    <w:rsid w:val="006E6672"/>
    <w:rsid w:val="006E6722"/>
    <w:rsid w:val="007027B9"/>
    <w:rsid w:val="00703BF3"/>
    <w:rsid w:val="007125B2"/>
    <w:rsid w:val="00715E88"/>
    <w:rsid w:val="00717425"/>
    <w:rsid w:val="00730B14"/>
    <w:rsid w:val="00734CAA"/>
    <w:rsid w:val="0074188C"/>
    <w:rsid w:val="00744C1C"/>
    <w:rsid w:val="0075533C"/>
    <w:rsid w:val="00757581"/>
    <w:rsid w:val="007611A0"/>
    <w:rsid w:val="00763859"/>
    <w:rsid w:val="00764B75"/>
    <w:rsid w:val="00772E66"/>
    <w:rsid w:val="0077507B"/>
    <w:rsid w:val="00775F87"/>
    <w:rsid w:val="00796D3F"/>
    <w:rsid w:val="007A1683"/>
    <w:rsid w:val="007A18BE"/>
    <w:rsid w:val="007A5C12"/>
    <w:rsid w:val="007A7CB0"/>
    <w:rsid w:val="007B313F"/>
    <w:rsid w:val="007B68A3"/>
    <w:rsid w:val="007C2541"/>
    <w:rsid w:val="007C3527"/>
    <w:rsid w:val="007C7BA6"/>
    <w:rsid w:val="007D395E"/>
    <w:rsid w:val="007D66A8"/>
    <w:rsid w:val="007E003F"/>
    <w:rsid w:val="007E1749"/>
    <w:rsid w:val="007E18CB"/>
    <w:rsid w:val="007E3A3A"/>
    <w:rsid w:val="007E439A"/>
    <w:rsid w:val="00801DAD"/>
    <w:rsid w:val="008067A8"/>
    <w:rsid w:val="008164F2"/>
    <w:rsid w:val="00821395"/>
    <w:rsid w:val="00830E26"/>
    <w:rsid w:val="00843576"/>
    <w:rsid w:val="00843B64"/>
    <w:rsid w:val="00844BF3"/>
    <w:rsid w:val="00845D58"/>
    <w:rsid w:val="008478FC"/>
    <w:rsid w:val="00857376"/>
    <w:rsid w:val="00867BFF"/>
    <w:rsid w:val="008755F7"/>
    <w:rsid w:val="0088480A"/>
    <w:rsid w:val="0088757A"/>
    <w:rsid w:val="00887B7B"/>
    <w:rsid w:val="008957DD"/>
    <w:rsid w:val="00896F9B"/>
    <w:rsid w:val="00897D98"/>
    <w:rsid w:val="008A03D6"/>
    <w:rsid w:val="008A169A"/>
    <w:rsid w:val="008A4DC3"/>
    <w:rsid w:val="008A6DF2"/>
    <w:rsid w:val="008A7807"/>
    <w:rsid w:val="008B4CC9"/>
    <w:rsid w:val="008C1A96"/>
    <w:rsid w:val="008C581F"/>
    <w:rsid w:val="008D7C99"/>
    <w:rsid w:val="008E0FCB"/>
    <w:rsid w:val="008E32C9"/>
    <w:rsid w:val="008E7C6C"/>
    <w:rsid w:val="008F6E7A"/>
    <w:rsid w:val="009058AB"/>
    <w:rsid w:val="00920705"/>
    <w:rsid w:val="0092178C"/>
    <w:rsid w:val="00930B88"/>
    <w:rsid w:val="00936DCE"/>
    <w:rsid w:val="00940DCC"/>
    <w:rsid w:val="0094179A"/>
    <w:rsid w:val="0094459E"/>
    <w:rsid w:val="00944DBC"/>
    <w:rsid w:val="00944EDC"/>
    <w:rsid w:val="00950977"/>
    <w:rsid w:val="00951A7B"/>
    <w:rsid w:val="009564A6"/>
    <w:rsid w:val="009621FC"/>
    <w:rsid w:val="00967621"/>
    <w:rsid w:val="00967E6A"/>
    <w:rsid w:val="00985119"/>
    <w:rsid w:val="00987021"/>
    <w:rsid w:val="009918A2"/>
    <w:rsid w:val="009A1A7F"/>
    <w:rsid w:val="009A3999"/>
    <w:rsid w:val="009B4A0F"/>
    <w:rsid w:val="009C11D2"/>
    <w:rsid w:val="009C2AEA"/>
    <w:rsid w:val="009C6C70"/>
    <w:rsid w:val="009D0B63"/>
    <w:rsid w:val="009D0D77"/>
    <w:rsid w:val="009D1C01"/>
    <w:rsid w:val="009D73FE"/>
    <w:rsid w:val="009E307E"/>
    <w:rsid w:val="009F4815"/>
    <w:rsid w:val="00A07870"/>
    <w:rsid w:val="00A07F19"/>
    <w:rsid w:val="00A1348D"/>
    <w:rsid w:val="00A1688C"/>
    <w:rsid w:val="00A232EE"/>
    <w:rsid w:val="00A25B8E"/>
    <w:rsid w:val="00A26071"/>
    <w:rsid w:val="00A30D92"/>
    <w:rsid w:val="00A338C6"/>
    <w:rsid w:val="00A4175F"/>
    <w:rsid w:val="00A44411"/>
    <w:rsid w:val="00A469FA"/>
    <w:rsid w:val="00A55B01"/>
    <w:rsid w:val="00A56B5B"/>
    <w:rsid w:val="00A603FF"/>
    <w:rsid w:val="00A61F1C"/>
    <w:rsid w:val="00A657DD"/>
    <w:rsid w:val="00A65A97"/>
    <w:rsid w:val="00A6646B"/>
    <w:rsid w:val="00A666A6"/>
    <w:rsid w:val="00A675FD"/>
    <w:rsid w:val="00A67B71"/>
    <w:rsid w:val="00A709C6"/>
    <w:rsid w:val="00A72437"/>
    <w:rsid w:val="00A80611"/>
    <w:rsid w:val="00A819D6"/>
    <w:rsid w:val="00AB422E"/>
    <w:rsid w:val="00AB4F70"/>
    <w:rsid w:val="00AB5340"/>
    <w:rsid w:val="00AB698A"/>
    <w:rsid w:val="00AC0A89"/>
    <w:rsid w:val="00AC27DD"/>
    <w:rsid w:val="00AC7128"/>
    <w:rsid w:val="00AC7C96"/>
    <w:rsid w:val="00AE237D"/>
    <w:rsid w:val="00AE502A"/>
    <w:rsid w:val="00AE6A4A"/>
    <w:rsid w:val="00AF104B"/>
    <w:rsid w:val="00AF7C07"/>
    <w:rsid w:val="00B030FB"/>
    <w:rsid w:val="00B05015"/>
    <w:rsid w:val="00B0530A"/>
    <w:rsid w:val="00B057F3"/>
    <w:rsid w:val="00B12D3F"/>
    <w:rsid w:val="00B22751"/>
    <w:rsid w:val="00B22C93"/>
    <w:rsid w:val="00B25797"/>
    <w:rsid w:val="00B27589"/>
    <w:rsid w:val="00B31A1E"/>
    <w:rsid w:val="00B324BC"/>
    <w:rsid w:val="00B3370B"/>
    <w:rsid w:val="00B34660"/>
    <w:rsid w:val="00B35C96"/>
    <w:rsid w:val="00B405B7"/>
    <w:rsid w:val="00B52222"/>
    <w:rsid w:val="00B54E9D"/>
    <w:rsid w:val="00B54FE7"/>
    <w:rsid w:val="00B66629"/>
    <w:rsid w:val="00B66901"/>
    <w:rsid w:val="00B71E6D"/>
    <w:rsid w:val="00B72070"/>
    <w:rsid w:val="00B779E1"/>
    <w:rsid w:val="00B91EE1"/>
    <w:rsid w:val="00BA0090"/>
    <w:rsid w:val="00BA1A67"/>
    <w:rsid w:val="00BB152D"/>
    <w:rsid w:val="00BB6E5A"/>
    <w:rsid w:val="00BD7272"/>
    <w:rsid w:val="00BE38C4"/>
    <w:rsid w:val="00BE3A2D"/>
    <w:rsid w:val="00BE5B5F"/>
    <w:rsid w:val="00BF544F"/>
    <w:rsid w:val="00C11CEC"/>
    <w:rsid w:val="00C13E76"/>
    <w:rsid w:val="00C250BE"/>
    <w:rsid w:val="00C26F55"/>
    <w:rsid w:val="00C30C63"/>
    <w:rsid w:val="00C330FA"/>
    <w:rsid w:val="00C36B8B"/>
    <w:rsid w:val="00C415C1"/>
    <w:rsid w:val="00C43A26"/>
    <w:rsid w:val="00C47DBF"/>
    <w:rsid w:val="00C47E5F"/>
    <w:rsid w:val="00C552FF"/>
    <w:rsid w:val="00C558DA"/>
    <w:rsid w:val="00C55AF3"/>
    <w:rsid w:val="00C71005"/>
    <w:rsid w:val="00C7729F"/>
    <w:rsid w:val="00C77AEB"/>
    <w:rsid w:val="00C77FA9"/>
    <w:rsid w:val="00C807C6"/>
    <w:rsid w:val="00C84759"/>
    <w:rsid w:val="00C87E80"/>
    <w:rsid w:val="00CA6C7F"/>
    <w:rsid w:val="00CB41A9"/>
    <w:rsid w:val="00CB6E7B"/>
    <w:rsid w:val="00CC10A6"/>
    <w:rsid w:val="00CD0E93"/>
    <w:rsid w:val="00CD437D"/>
    <w:rsid w:val="00CD5EB8"/>
    <w:rsid w:val="00CD7044"/>
    <w:rsid w:val="00CE08B9"/>
    <w:rsid w:val="00CE524C"/>
    <w:rsid w:val="00CE749D"/>
    <w:rsid w:val="00CF141F"/>
    <w:rsid w:val="00CF4777"/>
    <w:rsid w:val="00D067BB"/>
    <w:rsid w:val="00D10D37"/>
    <w:rsid w:val="00D12B06"/>
    <w:rsid w:val="00D1352A"/>
    <w:rsid w:val="00D169AF"/>
    <w:rsid w:val="00D25249"/>
    <w:rsid w:val="00D26F64"/>
    <w:rsid w:val="00D44172"/>
    <w:rsid w:val="00D543B5"/>
    <w:rsid w:val="00D56916"/>
    <w:rsid w:val="00D61936"/>
    <w:rsid w:val="00D63B8C"/>
    <w:rsid w:val="00D739CC"/>
    <w:rsid w:val="00D76E31"/>
    <w:rsid w:val="00D8093D"/>
    <w:rsid w:val="00D8108C"/>
    <w:rsid w:val="00D842AE"/>
    <w:rsid w:val="00D9211C"/>
    <w:rsid w:val="00D92DE0"/>
    <w:rsid w:val="00D92FEF"/>
    <w:rsid w:val="00D93A0F"/>
    <w:rsid w:val="00D94DD9"/>
    <w:rsid w:val="00D95FCF"/>
    <w:rsid w:val="00DA1BCA"/>
    <w:rsid w:val="00DB1235"/>
    <w:rsid w:val="00DC46FF"/>
    <w:rsid w:val="00DC5254"/>
    <w:rsid w:val="00DC5921"/>
    <w:rsid w:val="00DC6617"/>
    <w:rsid w:val="00DD071D"/>
    <w:rsid w:val="00DD1A4F"/>
    <w:rsid w:val="00DD3107"/>
    <w:rsid w:val="00DD7C2C"/>
    <w:rsid w:val="00DE3874"/>
    <w:rsid w:val="00DF5974"/>
    <w:rsid w:val="00E06797"/>
    <w:rsid w:val="00E1265B"/>
    <w:rsid w:val="00E13B48"/>
    <w:rsid w:val="00E1404F"/>
    <w:rsid w:val="00E1688E"/>
    <w:rsid w:val="00E21C83"/>
    <w:rsid w:val="00E24ADA"/>
    <w:rsid w:val="00E32F59"/>
    <w:rsid w:val="00E46D9A"/>
    <w:rsid w:val="00E52A06"/>
    <w:rsid w:val="00E565FF"/>
    <w:rsid w:val="00E56E33"/>
    <w:rsid w:val="00E61E32"/>
    <w:rsid w:val="00E65388"/>
    <w:rsid w:val="00E81B22"/>
    <w:rsid w:val="00E835B2"/>
    <w:rsid w:val="00E85B7D"/>
    <w:rsid w:val="00E86025"/>
    <w:rsid w:val="00E9121B"/>
    <w:rsid w:val="00E93211"/>
    <w:rsid w:val="00E97367"/>
    <w:rsid w:val="00EA0AE2"/>
    <w:rsid w:val="00EA39E5"/>
    <w:rsid w:val="00EA647C"/>
    <w:rsid w:val="00EB27BF"/>
    <w:rsid w:val="00EB3175"/>
    <w:rsid w:val="00EB7219"/>
    <w:rsid w:val="00EC5A46"/>
    <w:rsid w:val="00EC63E2"/>
    <w:rsid w:val="00ED39BC"/>
    <w:rsid w:val="00EE26CF"/>
    <w:rsid w:val="00EF22B3"/>
    <w:rsid w:val="00EF61CC"/>
    <w:rsid w:val="00F0067A"/>
    <w:rsid w:val="00F02510"/>
    <w:rsid w:val="00F03B69"/>
    <w:rsid w:val="00F07A50"/>
    <w:rsid w:val="00F113DA"/>
    <w:rsid w:val="00F114BA"/>
    <w:rsid w:val="00F34D42"/>
    <w:rsid w:val="00F37DC8"/>
    <w:rsid w:val="00F439B3"/>
    <w:rsid w:val="00F650C3"/>
    <w:rsid w:val="00F65D85"/>
    <w:rsid w:val="00F8091E"/>
    <w:rsid w:val="00F8615C"/>
    <w:rsid w:val="00F9080E"/>
    <w:rsid w:val="00F912FB"/>
    <w:rsid w:val="00F9184D"/>
    <w:rsid w:val="00F92B93"/>
    <w:rsid w:val="00F969E5"/>
    <w:rsid w:val="00FA1E85"/>
    <w:rsid w:val="00FA3368"/>
    <w:rsid w:val="00FA6549"/>
    <w:rsid w:val="00FA6BB0"/>
    <w:rsid w:val="00FB0D07"/>
    <w:rsid w:val="00FB69D6"/>
    <w:rsid w:val="00FD5860"/>
    <w:rsid w:val="00FE1BD7"/>
    <w:rsid w:val="00FE352D"/>
    <w:rsid w:val="00FE40EB"/>
    <w:rsid w:val="00FE4D02"/>
    <w:rsid w:val="00FE7D62"/>
    <w:rsid w:val="00FF3819"/>
    <w:rsid w:val="00FF56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70C4BD3"/>
  <w15:docId w15:val="{528AE100-6548-440F-8C88-3A371FF11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72E66"/>
    <w:pPr>
      <w:tabs>
        <w:tab w:val="left" w:pos="1247"/>
        <w:tab w:val="left" w:pos="1814"/>
        <w:tab w:val="left" w:pos="2381"/>
        <w:tab w:val="left" w:pos="2948"/>
        <w:tab w:val="left" w:pos="3515"/>
      </w:tabs>
    </w:pPr>
    <w:rPr>
      <w:lang w:val="en-GB"/>
    </w:rPr>
  </w:style>
  <w:style w:type="paragraph" w:styleId="Heading1">
    <w:name w:val="heading 1"/>
    <w:basedOn w:val="Normal"/>
    <w:next w:val="Normalnumber"/>
    <w:qFormat/>
    <w:rsid w:val="000D6941"/>
    <w:pPr>
      <w:keepNext/>
      <w:spacing w:before="240" w:after="120"/>
      <w:ind w:left="1247" w:hanging="680"/>
      <w:outlineLvl w:val="0"/>
    </w:pPr>
    <w:rPr>
      <w:b/>
      <w:sz w:val="28"/>
    </w:rPr>
  </w:style>
  <w:style w:type="paragraph" w:styleId="Heading2">
    <w:name w:val="heading 2"/>
    <w:aliases w:val="Chpt"/>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lang w:val="en-US"/>
    </w:rPr>
  </w:style>
  <w:style w:type="paragraph" w:styleId="Heading8">
    <w:name w:val="heading 8"/>
    <w:basedOn w:val="Normal"/>
    <w:next w:val="Normal"/>
    <w:qFormat/>
    <w:rsid w:val="000D6941"/>
    <w:pPr>
      <w:keepNext/>
      <w:widowControl w:val="0"/>
      <w:numPr>
        <w:numId w:val="1"/>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0D6941"/>
    <w:pPr>
      <w:keepNext/>
      <w:widowControl w:val="0"/>
      <w:numPr>
        <w:numId w:val="2"/>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rsid w:val="00160D74"/>
    <w:pPr>
      <w:tabs>
        <w:tab w:val="left" w:pos="1247"/>
        <w:tab w:val="left" w:pos="1814"/>
        <w:tab w:val="left" w:pos="2381"/>
        <w:tab w:val="left" w:pos="2948"/>
        <w:tab w:val="left" w:pos="3515"/>
        <w:tab w:val="left" w:pos="4082"/>
      </w:tabs>
    </w:pPr>
    <w:rPr>
      <w:lang w:val="en-GB"/>
    </w:rPr>
  </w:style>
  <w:style w:type="character" w:styleId="FootnoteReference">
    <w:name w:val="footnote reference"/>
    <w:aliases w:val="16 Point,Superscript 6 Point,ftref,(Ref. de nota al pie),SUPERS,Footnote Reference Superscript,number,Ref,de nota al pie,註腳內容,de nota al pie + (Asian) MS Mincho,11 pt,Ref. de nota de rodapé1,Footnote Reference1"/>
    <w:basedOn w:val="DefaultParagraphFont"/>
    <w:uiPriority w:val="99"/>
    <w:rsid w:val="000D6941"/>
    <w:rPr>
      <w:rFonts w:ascii="Times New Roman" w:hAnsi="Times New Roman"/>
      <w:color w:val="auto"/>
      <w:sz w:val="20"/>
      <w:szCs w:val="18"/>
      <w:vertAlign w:val="superscript"/>
    </w:rPr>
  </w:style>
  <w:style w:type="paragraph" w:styleId="FootnoteText">
    <w:name w:val="footnote text"/>
    <w:basedOn w:val="Normalpool"/>
    <w:semiHidden/>
    <w:rsid w:val="000D6941"/>
    <w:pPr>
      <w:spacing w:before="20" w:after="40"/>
      <w:ind w:left="1247"/>
    </w:pPr>
    <w:rPr>
      <w:sz w:val="18"/>
    </w:r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Autospacing="0" w:afterLines="0" w:afterAutospacing="0"/>
        <w:contextualSpacing w:val="0"/>
        <w:jc w:val="left"/>
      </w:pPr>
      <w:rPr>
        <w:rFonts w:ascii="Arial" w:hAnsi="Arial"/>
        <w:b/>
        <w:i w:val="0"/>
        <w:caps/>
        <w:smallCaps w:val="0"/>
        <w:color w:val="auto"/>
        <w:sz w:val="27"/>
        <w:szCs w:val="27"/>
      </w:rPr>
    </w:tblStylePr>
    <w:tblStylePr w:type="lastRow">
      <w:pPr>
        <w:wordWrap/>
        <w:spacing w:afterLines="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Autospacing="0" w:afterLines="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Autospacing="0" w:afterLines="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Autospacing="0" w:afterLines="0" w:afterAutospacing="0"/>
        <w:ind w:leftChars="0" w:left="0" w:rightChars="0" w:right="0"/>
        <w:contextualSpacing w:val="0"/>
      </w:pPr>
      <w:rPr>
        <w:rFonts w:ascii="Times New Roman" w:hAnsi="Times New Roman"/>
        <w:b w:val="0"/>
        <w:sz w:val="20"/>
      </w:rPr>
    </w:tblStylePr>
    <w:tblStylePr w:type="swCell">
      <w:pPr>
        <w:wordWrap/>
        <w:spacing w:afterLines="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rsid w:val="00160D74"/>
    <w:pPr>
      <w:keepNext/>
      <w:keepLines/>
      <w:suppressAutoHyphens/>
      <w:spacing w:before="320" w:after="240"/>
      <w:ind w:left="1247" w:right="567"/>
    </w:pPr>
    <w:rPr>
      <w:b/>
      <w:sz w:val="28"/>
      <w:szCs w:val="28"/>
      <w:lang w:val="en-GB"/>
    </w:rPr>
  </w:style>
  <w:style w:type="paragraph" w:styleId="Footer">
    <w:name w:val="footer"/>
    <w:basedOn w:val="Normal"/>
    <w:semiHidden/>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basedOn w:val="DefaultParagraphFont"/>
    <w:semiHidden/>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3"/>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link w:val="NormalnumberChar"/>
    <w:uiPriority w:val="99"/>
    <w:rsid w:val="00160D74"/>
    <w:pPr>
      <w:numPr>
        <w:numId w:val="4"/>
      </w:numPr>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rsid w:val="00160D74"/>
    <w:rPr>
      <w:b/>
      <w:bCs/>
      <w:sz w:val="28"/>
      <w:szCs w:val="22"/>
      <w:lang w:val="en-GB"/>
    </w:rPr>
  </w:style>
  <w:style w:type="paragraph" w:customStyle="1" w:styleId="ZZAnxtitle">
    <w:name w:val="ZZ_Anx_title"/>
    <w:basedOn w:val="Normalpool"/>
    <w:rsid w:val="00160D74"/>
    <w:pPr>
      <w:spacing w:before="360" w:after="120"/>
      <w:ind w:left="1247"/>
    </w:pPr>
    <w:rPr>
      <w:b/>
      <w:bCs/>
      <w:sz w:val="28"/>
      <w:szCs w:val="26"/>
      <w:lang w:val="en-GB"/>
    </w:rPr>
  </w:style>
  <w:style w:type="character" w:styleId="CommentReference">
    <w:name w:val="annotation reference"/>
    <w:basedOn w:val="DefaultParagraphFont"/>
    <w:uiPriority w:val="99"/>
    <w:rsid w:val="00363D96"/>
    <w:rPr>
      <w:sz w:val="16"/>
      <w:szCs w:val="16"/>
    </w:rPr>
  </w:style>
  <w:style w:type="paragraph" w:styleId="CommentText">
    <w:name w:val="annotation text"/>
    <w:basedOn w:val="Normal"/>
    <w:link w:val="CommentTextChar"/>
    <w:uiPriority w:val="99"/>
    <w:rsid w:val="00363D96"/>
  </w:style>
  <w:style w:type="character" w:customStyle="1" w:styleId="CommentTextChar">
    <w:name w:val="Comment Text Char"/>
    <w:basedOn w:val="DefaultParagraphFont"/>
    <w:link w:val="CommentText"/>
    <w:uiPriority w:val="99"/>
    <w:rsid w:val="00363D96"/>
    <w:rPr>
      <w:lang w:val="en-GB"/>
    </w:rPr>
  </w:style>
  <w:style w:type="paragraph" w:styleId="CommentSubject">
    <w:name w:val="annotation subject"/>
    <w:basedOn w:val="CommentText"/>
    <w:next w:val="CommentText"/>
    <w:link w:val="CommentSubjectChar"/>
    <w:rsid w:val="00363D96"/>
    <w:rPr>
      <w:b/>
      <w:bCs/>
    </w:rPr>
  </w:style>
  <w:style w:type="character" w:customStyle="1" w:styleId="CommentSubjectChar">
    <w:name w:val="Comment Subject Char"/>
    <w:basedOn w:val="CommentTextChar"/>
    <w:link w:val="CommentSubject"/>
    <w:rsid w:val="00363D96"/>
    <w:rPr>
      <w:b/>
      <w:bCs/>
      <w:lang w:val="en-GB"/>
    </w:rPr>
  </w:style>
  <w:style w:type="paragraph" w:styleId="Revision">
    <w:name w:val="Revision"/>
    <w:hidden/>
    <w:uiPriority w:val="99"/>
    <w:semiHidden/>
    <w:rsid w:val="00363D96"/>
    <w:rPr>
      <w:lang w:val="en-GB"/>
    </w:rPr>
  </w:style>
  <w:style w:type="paragraph" w:styleId="BalloonText">
    <w:name w:val="Balloon Text"/>
    <w:basedOn w:val="Normal"/>
    <w:link w:val="BalloonTextChar"/>
    <w:rsid w:val="00363D96"/>
    <w:rPr>
      <w:rFonts w:ascii="Tahoma" w:hAnsi="Tahoma" w:cs="Tahoma"/>
      <w:sz w:val="16"/>
      <w:szCs w:val="16"/>
    </w:rPr>
  </w:style>
  <w:style w:type="character" w:customStyle="1" w:styleId="BalloonTextChar">
    <w:name w:val="Balloon Text Char"/>
    <w:basedOn w:val="DefaultParagraphFont"/>
    <w:link w:val="BalloonText"/>
    <w:rsid w:val="00363D96"/>
    <w:rPr>
      <w:rFonts w:ascii="Tahoma" w:hAnsi="Tahoma" w:cs="Tahoma"/>
      <w:sz w:val="16"/>
      <w:szCs w:val="16"/>
      <w:lang w:val="en-GB"/>
    </w:rPr>
  </w:style>
  <w:style w:type="table" w:styleId="TableGrid">
    <w:name w:val="Table Grid"/>
    <w:basedOn w:val="TableNormal"/>
    <w:uiPriority w:val="59"/>
    <w:rsid w:val="00AF10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rsid w:val="00001E2E"/>
    <w:rPr>
      <w:color w:val="808080"/>
      <w:shd w:val="clear" w:color="auto" w:fill="E6E6E6"/>
    </w:rPr>
  </w:style>
  <w:style w:type="paragraph" w:styleId="ListParagraph">
    <w:name w:val="List Paragraph"/>
    <w:basedOn w:val="Normal"/>
    <w:uiPriority w:val="34"/>
    <w:qFormat/>
    <w:rsid w:val="006B611C"/>
    <w:pPr>
      <w:tabs>
        <w:tab w:val="clear" w:pos="1247"/>
        <w:tab w:val="clear" w:pos="1814"/>
        <w:tab w:val="clear" w:pos="2381"/>
        <w:tab w:val="clear" w:pos="2948"/>
        <w:tab w:val="clear" w:pos="3515"/>
      </w:tabs>
      <w:spacing w:after="200" w:line="276" w:lineRule="auto"/>
      <w:ind w:left="720"/>
      <w:contextualSpacing/>
    </w:pPr>
    <w:rPr>
      <w:rFonts w:asciiTheme="minorHAnsi" w:eastAsiaTheme="minorHAnsi" w:hAnsiTheme="minorHAnsi" w:cstheme="minorBidi"/>
      <w:sz w:val="22"/>
      <w:szCs w:val="22"/>
    </w:rPr>
  </w:style>
  <w:style w:type="paragraph" w:styleId="DocumentMap">
    <w:name w:val="Document Map"/>
    <w:basedOn w:val="Normal"/>
    <w:link w:val="DocumentMapChar"/>
    <w:uiPriority w:val="99"/>
    <w:rsid w:val="00C807C6"/>
    <w:pPr>
      <w:shd w:val="clear" w:color="auto" w:fill="000080"/>
    </w:pPr>
    <w:rPr>
      <w:rFonts w:eastAsia="SimSun"/>
      <w:sz w:val="2"/>
    </w:rPr>
  </w:style>
  <w:style w:type="character" w:customStyle="1" w:styleId="DocumentMapChar">
    <w:name w:val="Document Map Char"/>
    <w:basedOn w:val="DefaultParagraphFont"/>
    <w:link w:val="DocumentMap"/>
    <w:uiPriority w:val="99"/>
    <w:rsid w:val="00C807C6"/>
    <w:rPr>
      <w:rFonts w:eastAsia="SimSun"/>
      <w:sz w:val="2"/>
      <w:shd w:val="clear" w:color="auto" w:fill="000080"/>
      <w:lang w:val="en-GB"/>
    </w:rPr>
  </w:style>
  <w:style w:type="character" w:customStyle="1" w:styleId="NormalnumberChar">
    <w:name w:val="Normal_number Char"/>
    <w:link w:val="Normalnumber"/>
    <w:uiPriority w:val="99"/>
    <w:rsid w:val="00C807C6"/>
    <w:rPr>
      <w:lang w:val="en-GB"/>
    </w:rPr>
  </w:style>
  <w:style w:type="character" w:styleId="UnresolvedMention">
    <w:name w:val="Unresolved Mention"/>
    <w:basedOn w:val="DefaultParagraphFont"/>
    <w:uiPriority w:val="99"/>
    <w:semiHidden/>
    <w:unhideWhenUsed/>
    <w:rsid w:val="00B31A1E"/>
    <w:rPr>
      <w:color w:val="808080"/>
      <w:shd w:val="clear" w:color="auto" w:fill="E6E6E6"/>
    </w:rPr>
  </w:style>
  <w:style w:type="paragraph" w:customStyle="1" w:styleId="Default">
    <w:name w:val="Default"/>
    <w:rsid w:val="009A1A7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015958884">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2022656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pic.int/Implementation/EnhancingtheeffectivenessoftheConvention/Onlinesurvey/tabid/6215/language/en-U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0BA4B1-2EA7-455D-A66D-B96471902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2426</Words>
  <Characters>14433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16826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Cynthia Mwanza</dc:creator>
  <cp:keywords/>
  <dc:description/>
  <cp:lastModifiedBy>Ariel Dayao</cp:lastModifiedBy>
  <cp:revision>6</cp:revision>
  <cp:lastPrinted>2018-03-22T13:48:00Z</cp:lastPrinted>
  <dcterms:created xsi:type="dcterms:W3CDTF">2018-05-01T07:20:00Z</dcterms:created>
  <dcterms:modified xsi:type="dcterms:W3CDTF">2018-05-04T09:17:00Z</dcterms:modified>
</cp:coreProperties>
</file>