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header1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AB1" w:rsidRPr="00ED711A" w:rsidRDefault="006233C5" w:rsidP="009E4489">
      <w:pPr>
        <w:ind w:left="-180" w:right="-199"/>
        <w:jc w:val="center"/>
        <w:rPr>
          <w:b/>
          <w:snapToGrid w:val="0"/>
          <w:sz w:val="28"/>
          <w:szCs w:val="28"/>
          <w:lang w:val="en-GB"/>
        </w:rPr>
      </w:pPr>
      <w:r w:rsidRPr="00ED711A">
        <w:rPr>
          <w:b/>
          <w:noProof/>
          <w:snapToGrid w:val="0"/>
          <w:sz w:val="28"/>
          <w:szCs w:val="28"/>
          <w:lang w:eastAsia="ja-JP"/>
        </w:rPr>
        <w:drawing>
          <wp:inline distT="0" distB="0" distL="0" distR="0">
            <wp:extent cx="3800475" cy="771525"/>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811736" cy="773811"/>
                    </a:xfrm>
                    <a:prstGeom prst="rect">
                      <a:avLst/>
                    </a:prstGeom>
                    <a:noFill/>
                  </pic:spPr>
                </pic:pic>
              </a:graphicData>
            </a:graphic>
          </wp:inline>
        </w:drawing>
      </w:r>
      <w:r w:rsidRPr="00ED711A">
        <w:rPr>
          <w:b/>
          <w:snapToGrid w:val="0"/>
          <w:sz w:val="28"/>
          <w:szCs w:val="28"/>
          <w:lang w:val="en-GB"/>
        </w:rPr>
        <w:tab/>
      </w:r>
      <w:r w:rsidRPr="00ED711A">
        <w:rPr>
          <w:b/>
          <w:snapToGrid w:val="0"/>
          <w:sz w:val="28"/>
          <w:szCs w:val="28"/>
          <w:lang w:val="en-GB"/>
        </w:rPr>
        <w:tab/>
      </w:r>
      <w:r w:rsidRPr="00ED711A">
        <w:rPr>
          <w:b/>
          <w:noProof/>
          <w:snapToGrid w:val="0"/>
          <w:sz w:val="28"/>
          <w:szCs w:val="28"/>
          <w:lang w:eastAsia="ja-JP"/>
        </w:rPr>
        <w:drawing>
          <wp:inline distT="0" distB="0" distL="0" distR="0">
            <wp:extent cx="771525" cy="923925"/>
            <wp:effectExtent l="19050" t="0" r="9525" b="0"/>
            <wp:docPr id="4" name="Picture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71525" cy="923925"/>
                    </a:xfrm>
                    <a:prstGeom prst="rect">
                      <a:avLst/>
                    </a:prstGeom>
                    <a:noFill/>
                  </pic:spPr>
                </pic:pic>
              </a:graphicData>
            </a:graphic>
          </wp:inline>
        </w:drawing>
      </w:r>
    </w:p>
    <w:p w:rsidR="00A23AB1" w:rsidRPr="00ED711A" w:rsidRDefault="00A23AB1" w:rsidP="00A23AB1">
      <w:pPr>
        <w:jc w:val="center"/>
        <w:rPr>
          <w:b/>
          <w:snapToGrid w:val="0"/>
          <w:sz w:val="28"/>
          <w:szCs w:val="28"/>
          <w:lang w:val="en-GB"/>
        </w:rPr>
      </w:pPr>
    </w:p>
    <w:p w:rsidR="00A23AB1" w:rsidRPr="00ED711A" w:rsidRDefault="00A23AB1" w:rsidP="00A23AB1">
      <w:pPr>
        <w:jc w:val="center"/>
        <w:rPr>
          <w:b/>
          <w:snapToGrid w:val="0"/>
          <w:sz w:val="28"/>
          <w:szCs w:val="28"/>
          <w:lang w:val="en-GB"/>
        </w:rPr>
      </w:pPr>
    </w:p>
    <w:p w:rsidR="00A23AB1" w:rsidRPr="00ED711A" w:rsidRDefault="00A23AB1" w:rsidP="00A23AB1">
      <w:pPr>
        <w:jc w:val="center"/>
        <w:rPr>
          <w:b/>
          <w:snapToGrid w:val="0"/>
          <w:sz w:val="28"/>
          <w:szCs w:val="28"/>
          <w:lang w:val="en-GB"/>
        </w:rPr>
      </w:pPr>
    </w:p>
    <w:p w:rsidR="00A23AB1" w:rsidRPr="00ED711A" w:rsidRDefault="00A23AB1" w:rsidP="00A23AB1">
      <w:pPr>
        <w:jc w:val="center"/>
        <w:rPr>
          <w:b/>
          <w:snapToGrid w:val="0"/>
          <w:sz w:val="28"/>
          <w:szCs w:val="28"/>
          <w:lang w:val="en-GB"/>
        </w:rPr>
      </w:pPr>
    </w:p>
    <w:p w:rsidR="00A23AB1" w:rsidRPr="00ED711A" w:rsidRDefault="00A23AB1" w:rsidP="00A23AB1">
      <w:pPr>
        <w:jc w:val="center"/>
        <w:rPr>
          <w:b/>
          <w:snapToGrid w:val="0"/>
          <w:sz w:val="28"/>
          <w:szCs w:val="28"/>
          <w:lang w:val="en-GB"/>
        </w:rPr>
      </w:pPr>
    </w:p>
    <w:p w:rsidR="00A23AB1" w:rsidRPr="00ED711A" w:rsidRDefault="00A23AB1" w:rsidP="00A23AB1">
      <w:pPr>
        <w:jc w:val="center"/>
        <w:rPr>
          <w:b/>
          <w:snapToGrid w:val="0"/>
          <w:sz w:val="28"/>
          <w:szCs w:val="28"/>
          <w:lang w:val="en-GB"/>
        </w:rPr>
      </w:pPr>
    </w:p>
    <w:p w:rsidR="00A23AB1" w:rsidRPr="00ED711A" w:rsidRDefault="00A23AB1" w:rsidP="00A23AB1">
      <w:pPr>
        <w:jc w:val="center"/>
        <w:rPr>
          <w:b/>
          <w:snapToGrid w:val="0"/>
          <w:sz w:val="28"/>
          <w:szCs w:val="28"/>
          <w:lang w:val="en-GB"/>
        </w:rPr>
      </w:pPr>
    </w:p>
    <w:p w:rsidR="00A23AB1" w:rsidRPr="00ED711A" w:rsidRDefault="00A23AB1" w:rsidP="00A23AB1">
      <w:pPr>
        <w:jc w:val="center"/>
        <w:rPr>
          <w:b/>
          <w:snapToGrid w:val="0"/>
          <w:sz w:val="28"/>
          <w:szCs w:val="28"/>
          <w:lang w:val="en-GB"/>
        </w:rPr>
      </w:pPr>
    </w:p>
    <w:p w:rsidR="00A23AB1" w:rsidRPr="00ED711A" w:rsidRDefault="00A23AB1" w:rsidP="00A23AB1">
      <w:pPr>
        <w:jc w:val="center"/>
        <w:rPr>
          <w:b/>
          <w:snapToGrid w:val="0"/>
          <w:sz w:val="28"/>
          <w:szCs w:val="28"/>
          <w:lang w:val="en-GB"/>
        </w:rPr>
      </w:pPr>
    </w:p>
    <w:p w:rsidR="00A23AB1" w:rsidRPr="00ED711A" w:rsidRDefault="00A23AB1" w:rsidP="00A23AB1">
      <w:pPr>
        <w:jc w:val="center"/>
        <w:rPr>
          <w:b/>
          <w:snapToGrid w:val="0"/>
          <w:sz w:val="28"/>
          <w:szCs w:val="28"/>
          <w:lang w:val="en-GB"/>
        </w:rPr>
      </w:pPr>
    </w:p>
    <w:tbl>
      <w:tblPr>
        <w:tblW w:w="9435" w:type="dxa"/>
        <w:jc w:val="center"/>
        <w:tblBorders>
          <w:top w:val="double" w:sz="4" w:space="0" w:color="auto"/>
          <w:left w:val="double" w:sz="4" w:space="0" w:color="auto"/>
          <w:bottom w:val="double" w:sz="4" w:space="0" w:color="auto"/>
          <w:right w:val="double" w:sz="4" w:space="0" w:color="auto"/>
        </w:tblBorders>
        <w:tblLayout w:type="fixed"/>
        <w:tblLook w:val="04A0"/>
      </w:tblPr>
      <w:tblGrid>
        <w:gridCol w:w="9435"/>
      </w:tblGrid>
      <w:tr w:rsidR="00A23AB1" w:rsidRPr="00ED711A">
        <w:trPr>
          <w:cantSplit/>
          <w:jc w:val="center"/>
        </w:trPr>
        <w:tc>
          <w:tcPr>
            <w:tcW w:w="9442" w:type="dxa"/>
            <w:tcBorders>
              <w:top w:val="double" w:sz="4" w:space="0" w:color="auto"/>
              <w:bottom w:val="double" w:sz="4" w:space="0" w:color="auto"/>
            </w:tcBorders>
          </w:tcPr>
          <w:p w:rsidR="00A23AB1" w:rsidRPr="00ED711A" w:rsidRDefault="006233C5" w:rsidP="002913FA">
            <w:pPr>
              <w:spacing w:before="120" w:after="120"/>
              <w:jc w:val="center"/>
              <w:rPr>
                <w:b/>
                <w:sz w:val="40"/>
                <w:lang w:val="en-GB"/>
              </w:rPr>
            </w:pPr>
            <w:r w:rsidRPr="00ED711A">
              <w:rPr>
                <w:b/>
                <w:sz w:val="40"/>
                <w:lang w:val="en-GB"/>
              </w:rPr>
              <w:t>CIRCULAIRE PIC</w:t>
            </w:r>
            <w:r w:rsidR="00696A3F" w:rsidRPr="00ED711A">
              <w:rPr>
                <w:b/>
                <w:sz w:val="40"/>
                <w:lang w:val="en-GB"/>
              </w:rPr>
              <w:t xml:space="preserve"> (</w:t>
            </w:r>
            <w:r w:rsidR="00D60DC0" w:rsidRPr="00ED711A">
              <w:rPr>
                <w:b/>
                <w:sz w:val="40"/>
                <w:lang w:val="en-GB"/>
              </w:rPr>
              <w:t>44</w:t>
            </w:r>
            <w:r w:rsidR="00696A3F" w:rsidRPr="00ED711A">
              <w:rPr>
                <w:b/>
                <w:sz w:val="40"/>
                <w:lang w:val="en-GB"/>
              </w:rPr>
              <w:t>)</w:t>
            </w:r>
            <w:r w:rsidR="009B2CBE" w:rsidRPr="00ED711A">
              <w:rPr>
                <w:b/>
                <w:sz w:val="40"/>
                <w:lang w:val="en-GB"/>
              </w:rPr>
              <w:t xml:space="preserve"> </w:t>
            </w:r>
            <w:r w:rsidR="002913FA" w:rsidRPr="00ED711A">
              <w:rPr>
                <w:b/>
                <w:bCs/>
                <w:sz w:val="40"/>
                <w:szCs w:val="40"/>
                <w:lang w:val="es-ES_tradnl"/>
              </w:rPr>
              <w:t xml:space="preserve">– </w:t>
            </w:r>
            <w:r w:rsidR="002913FA" w:rsidRPr="00ED711A">
              <w:rPr>
                <w:b/>
                <w:sz w:val="40"/>
                <w:lang w:val="en-GB"/>
              </w:rPr>
              <w:t>d</w:t>
            </w:r>
            <w:r w:rsidR="00E46956" w:rsidRPr="00ED711A">
              <w:rPr>
                <w:b/>
                <w:sz w:val="40"/>
                <w:lang w:val="en-GB"/>
              </w:rPr>
              <w:t>écembre</w:t>
            </w:r>
            <w:r w:rsidR="009B2CBE" w:rsidRPr="00ED711A">
              <w:rPr>
                <w:b/>
                <w:sz w:val="40"/>
                <w:lang w:val="en-GB"/>
              </w:rPr>
              <w:t xml:space="preserve"> 201</w:t>
            </w:r>
            <w:r w:rsidR="001F3F1A" w:rsidRPr="00ED711A">
              <w:rPr>
                <w:b/>
                <w:sz w:val="40"/>
                <w:lang w:val="en-GB"/>
              </w:rPr>
              <w:t>6</w:t>
            </w:r>
          </w:p>
        </w:tc>
      </w:tr>
    </w:tbl>
    <w:p w:rsidR="00A23AB1" w:rsidRPr="00ED711A" w:rsidRDefault="00A23AB1" w:rsidP="00A23AB1">
      <w:pPr>
        <w:jc w:val="center"/>
        <w:rPr>
          <w:b/>
          <w:snapToGrid w:val="0"/>
          <w:sz w:val="28"/>
          <w:szCs w:val="28"/>
          <w:lang w:val="en-GB"/>
        </w:rPr>
      </w:pPr>
    </w:p>
    <w:p w:rsidR="00A23AB1" w:rsidRPr="00ED711A" w:rsidRDefault="00A23AB1" w:rsidP="00A23AB1">
      <w:pPr>
        <w:jc w:val="center"/>
        <w:rPr>
          <w:b/>
          <w:snapToGrid w:val="0"/>
          <w:sz w:val="28"/>
          <w:szCs w:val="28"/>
          <w:lang w:val="en-GB"/>
        </w:rPr>
      </w:pPr>
    </w:p>
    <w:p w:rsidR="00A23AB1" w:rsidRPr="00ED711A" w:rsidRDefault="00A23AB1" w:rsidP="00A23AB1">
      <w:pPr>
        <w:jc w:val="center"/>
        <w:rPr>
          <w:b/>
          <w:snapToGrid w:val="0"/>
          <w:sz w:val="28"/>
          <w:szCs w:val="28"/>
          <w:lang w:val="en-GB"/>
        </w:rPr>
      </w:pPr>
    </w:p>
    <w:p w:rsidR="00A23AB1" w:rsidRPr="00ED711A" w:rsidRDefault="00A23AB1" w:rsidP="00A23AB1">
      <w:pPr>
        <w:jc w:val="center"/>
        <w:rPr>
          <w:b/>
          <w:snapToGrid w:val="0"/>
          <w:sz w:val="28"/>
          <w:szCs w:val="28"/>
          <w:lang w:val="en-GB"/>
        </w:rPr>
      </w:pPr>
    </w:p>
    <w:p w:rsidR="00A23AB1" w:rsidRPr="00ED711A" w:rsidRDefault="00A23AB1" w:rsidP="00A23AB1">
      <w:pPr>
        <w:jc w:val="center"/>
        <w:rPr>
          <w:b/>
          <w:snapToGrid w:val="0"/>
          <w:sz w:val="28"/>
          <w:szCs w:val="28"/>
          <w:lang w:val="en-GB"/>
        </w:rPr>
      </w:pPr>
    </w:p>
    <w:p w:rsidR="00A23AB1" w:rsidRPr="00ED711A" w:rsidRDefault="00A23AB1" w:rsidP="00A23AB1">
      <w:pPr>
        <w:jc w:val="center"/>
        <w:rPr>
          <w:b/>
          <w:snapToGrid w:val="0"/>
          <w:sz w:val="28"/>
          <w:szCs w:val="28"/>
          <w:lang w:val="en-GB"/>
        </w:rPr>
      </w:pPr>
    </w:p>
    <w:p w:rsidR="00A23AB1" w:rsidRPr="00ED711A" w:rsidRDefault="00A23AB1" w:rsidP="00A23AB1">
      <w:pPr>
        <w:jc w:val="center"/>
        <w:rPr>
          <w:b/>
          <w:snapToGrid w:val="0"/>
          <w:sz w:val="28"/>
          <w:szCs w:val="28"/>
          <w:lang w:val="en-GB"/>
        </w:rPr>
      </w:pPr>
    </w:p>
    <w:p w:rsidR="00A23AB1" w:rsidRPr="00ED711A" w:rsidRDefault="00A23AB1" w:rsidP="00A23AB1">
      <w:pPr>
        <w:jc w:val="center"/>
        <w:rPr>
          <w:b/>
          <w:snapToGrid w:val="0"/>
          <w:sz w:val="28"/>
          <w:szCs w:val="28"/>
          <w:lang w:val="en-GB"/>
        </w:rPr>
      </w:pPr>
    </w:p>
    <w:p w:rsidR="00A23AB1" w:rsidRPr="00ED711A" w:rsidRDefault="00A23AB1" w:rsidP="00A23AB1">
      <w:pPr>
        <w:jc w:val="center"/>
        <w:rPr>
          <w:b/>
          <w:snapToGrid w:val="0"/>
          <w:sz w:val="28"/>
          <w:szCs w:val="28"/>
          <w:lang w:val="en-GB"/>
        </w:rPr>
      </w:pPr>
    </w:p>
    <w:p w:rsidR="00A23AB1" w:rsidRPr="00ED711A" w:rsidRDefault="00A23AB1" w:rsidP="00A23AB1">
      <w:pPr>
        <w:jc w:val="center"/>
        <w:rPr>
          <w:b/>
          <w:snapToGrid w:val="0"/>
          <w:sz w:val="28"/>
          <w:szCs w:val="28"/>
          <w:lang w:val="en-GB"/>
        </w:rPr>
      </w:pPr>
    </w:p>
    <w:p w:rsidR="00A23AB1" w:rsidRPr="00ED711A" w:rsidRDefault="00A23AB1" w:rsidP="00A23AB1">
      <w:pPr>
        <w:jc w:val="center"/>
        <w:rPr>
          <w:b/>
          <w:snapToGrid w:val="0"/>
          <w:sz w:val="28"/>
          <w:szCs w:val="28"/>
          <w:lang w:val="en-GB"/>
        </w:rPr>
      </w:pPr>
    </w:p>
    <w:p w:rsidR="00A23AB1" w:rsidRPr="00ED711A" w:rsidRDefault="00A23AB1" w:rsidP="00A23AB1">
      <w:pPr>
        <w:jc w:val="center"/>
        <w:rPr>
          <w:b/>
          <w:snapToGrid w:val="0"/>
          <w:sz w:val="28"/>
          <w:szCs w:val="28"/>
          <w:lang w:val="en-GB"/>
        </w:rPr>
      </w:pPr>
    </w:p>
    <w:p w:rsidR="00A23AB1" w:rsidRPr="00ED711A" w:rsidRDefault="00A23AB1" w:rsidP="00A23AB1">
      <w:pPr>
        <w:jc w:val="center"/>
        <w:rPr>
          <w:b/>
          <w:snapToGrid w:val="0"/>
          <w:sz w:val="28"/>
          <w:szCs w:val="28"/>
          <w:lang w:val="en-GB"/>
        </w:rPr>
      </w:pPr>
    </w:p>
    <w:p w:rsidR="00A23AB1" w:rsidRPr="00ED711A" w:rsidRDefault="00A23AB1" w:rsidP="00A23AB1">
      <w:pPr>
        <w:jc w:val="center"/>
        <w:rPr>
          <w:b/>
          <w:snapToGrid w:val="0"/>
          <w:sz w:val="28"/>
          <w:szCs w:val="28"/>
          <w:lang w:val="en-GB"/>
        </w:rPr>
      </w:pPr>
    </w:p>
    <w:p w:rsidR="00A23AB1" w:rsidRPr="00ED711A" w:rsidRDefault="00A23AB1" w:rsidP="00A23AB1">
      <w:pPr>
        <w:jc w:val="center"/>
        <w:rPr>
          <w:b/>
          <w:snapToGrid w:val="0"/>
          <w:sz w:val="28"/>
          <w:szCs w:val="28"/>
          <w:lang w:val="en-GB"/>
        </w:rPr>
      </w:pPr>
    </w:p>
    <w:tbl>
      <w:tblPr>
        <w:tblpPr w:leftFromText="180" w:rightFromText="180" w:vertAnchor="text" w:horzAnchor="margin" w:tblpY="2142"/>
        <w:tblW w:w="9348" w:type="dxa"/>
        <w:tblCellMar>
          <w:left w:w="48" w:type="dxa"/>
          <w:right w:w="60" w:type="dxa"/>
        </w:tblCellMar>
        <w:tblLook w:val="01E0"/>
      </w:tblPr>
      <w:tblGrid>
        <w:gridCol w:w="2607"/>
        <w:gridCol w:w="6741"/>
      </w:tblGrid>
      <w:tr w:rsidR="003D0950" w:rsidRPr="00BB768B" w:rsidTr="005A7C67">
        <w:trPr>
          <w:trHeight w:val="2160"/>
        </w:trPr>
        <w:tc>
          <w:tcPr>
            <w:tcW w:w="2607" w:type="dxa"/>
          </w:tcPr>
          <w:p w:rsidR="003D0950" w:rsidRPr="00ED711A" w:rsidRDefault="003D0950" w:rsidP="005A7C67">
            <w:pPr>
              <w:pStyle w:val="Header"/>
              <w:jc w:val="center"/>
              <w:rPr>
                <w:lang w:val="en-GB"/>
              </w:rPr>
            </w:pPr>
            <w:r w:rsidRPr="00ED711A">
              <w:rPr>
                <w:noProof/>
                <w:lang w:eastAsia="ja-JP"/>
              </w:rPr>
              <w:drawing>
                <wp:inline distT="0" distB="0" distL="0" distR="0">
                  <wp:extent cx="1567815" cy="1341755"/>
                  <wp:effectExtent l="19050" t="0" r="0" b="0"/>
                  <wp:docPr id="2" name="Picture 2" descr="mark-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bw"/>
                          <pic:cNvPicPr>
                            <a:picLocks noChangeAspect="1" noChangeArrowheads="1"/>
                          </pic:cNvPicPr>
                        </pic:nvPicPr>
                        <pic:blipFill>
                          <a:blip r:embed="rId10" cstate="print">
                            <a:grayscl/>
                          </a:blip>
                          <a:srcRect b="29214"/>
                          <a:stretch>
                            <a:fillRect/>
                          </a:stretch>
                        </pic:blipFill>
                        <pic:spPr bwMode="auto">
                          <a:xfrm>
                            <a:off x="0" y="0"/>
                            <a:ext cx="1567815" cy="1341755"/>
                          </a:xfrm>
                          <a:prstGeom prst="rect">
                            <a:avLst/>
                          </a:prstGeom>
                          <a:noFill/>
                          <a:ln w="9525">
                            <a:noFill/>
                            <a:miter lim="800000"/>
                            <a:headEnd/>
                            <a:tailEnd/>
                          </a:ln>
                        </pic:spPr>
                      </pic:pic>
                    </a:graphicData>
                  </a:graphic>
                </wp:inline>
              </w:drawing>
            </w:r>
          </w:p>
        </w:tc>
        <w:tc>
          <w:tcPr>
            <w:tcW w:w="6741" w:type="dxa"/>
          </w:tcPr>
          <w:p w:rsidR="003D0950" w:rsidRPr="00ED711A" w:rsidRDefault="006233C5" w:rsidP="005A7C67">
            <w:pPr>
              <w:spacing w:line="360" w:lineRule="auto"/>
              <w:jc w:val="center"/>
              <w:rPr>
                <w:sz w:val="36"/>
                <w:szCs w:val="36"/>
                <w:lang w:val="fr-CH"/>
              </w:rPr>
            </w:pPr>
            <w:r w:rsidRPr="00ED711A">
              <w:rPr>
                <w:b/>
                <w:sz w:val="36"/>
                <w:szCs w:val="36"/>
                <w:lang w:val="fr-CH"/>
              </w:rPr>
              <w:t xml:space="preserve">CONVENTION DE </w:t>
            </w:r>
            <w:r w:rsidR="003D0950" w:rsidRPr="00ED711A">
              <w:rPr>
                <w:b/>
                <w:sz w:val="36"/>
                <w:szCs w:val="36"/>
                <w:lang w:val="fr-CH"/>
              </w:rPr>
              <w:t>ROTTERDAM</w:t>
            </w:r>
          </w:p>
          <w:p w:rsidR="006233C5" w:rsidRPr="00ED711A" w:rsidRDefault="006233C5" w:rsidP="005A7C67">
            <w:pPr>
              <w:pStyle w:val="Header"/>
              <w:jc w:val="center"/>
              <w:rPr>
                <w:lang w:val="fr-CH"/>
              </w:rPr>
            </w:pPr>
            <w:r w:rsidRPr="00ED711A">
              <w:rPr>
                <w:lang w:val="fr-CH"/>
              </w:rPr>
              <w:t>SECRÉTARIAT DE LA CONVENTION DE ROTTERDAM</w:t>
            </w:r>
          </w:p>
          <w:p w:rsidR="003D0950" w:rsidRPr="00ED711A" w:rsidRDefault="006233C5" w:rsidP="005A7C67">
            <w:pPr>
              <w:pStyle w:val="Header"/>
              <w:jc w:val="center"/>
              <w:rPr>
                <w:lang w:val="fr-CH"/>
              </w:rPr>
            </w:pPr>
            <w:r w:rsidRPr="00ED711A">
              <w:rPr>
                <w:lang w:val="fr-CH"/>
              </w:rPr>
              <w:t>SUR LA PROCÉDURE DE CONSENTEMENT PRÉALABLE EN CONNAISSANCE DE CAUSE APPLICABLE À CERTAINS PRODUITS CHIMIQUES ET PESTICIDES DANGEREUX QUI</w:t>
            </w:r>
            <w:r w:rsidR="005A7C67">
              <w:rPr>
                <w:lang w:val="fr-CH"/>
              </w:rPr>
              <w:t xml:space="preserve"> </w:t>
            </w:r>
            <w:r w:rsidR="005A7C67" w:rsidRPr="005A7C67">
              <w:rPr>
                <w:lang w:val="fr-CH"/>
              </w:rPr>
              <w:t xml:space="preserve"> FONT L’OBJET D’UN COMMERCE INTERNATIONAL</w:t>
            </w:r>
          </w:p>
        </w:tc>
      </w:tr>
    </w:tbl>
    <w:p w:rsidR="00A23AB1" w:rsidRPr="00ED711A" w:rsidRDefault="00A23AB1" w:rsidP="006233C5">
      <w:pPr>
        <w:jc w:val="center"/>
        <w:rPr>
          <w:rFonts w:ascii="TimesNewRoman" w:hAnsi="TimesNewRoman" w:cs="TimesNewRoman"/>
          <w:b/>
          <w:sz w:val="28"/>
          <w:szCs w:val="28"/>
          <w:lang w:val="fr-CH"/>
        </w:rPr>
      </w:pPr>
    </w:p>
    <w:p w:rsidR="00A23AB1" w:rsidRPr="00ED711A" w:rsidRDefault="00A23AB1" w:rsidP="006233C5">
      <w:pPr>
        <w:jc w:val="center"/>
        <w:rPr>
          <w:rFonts w:ascii="TimesNewRoman" w:hAnsi="TimesNewRoman" w:cs="TimesNewRoman"/>
          <w:b/>
          <w:sz w:val="28"/>
          <w:szCs w:val="28"/>
          <w:lang w:val="fr-CH"/>
        </w:rPr>
      </w:pPr>
    </w:p>
    <w:p w:rsidR="00A23AB1" w:rsidRPr="00ED711A" w:rsidRDefault="00A23AB1" w:rsidP="006233C5">
      <w:pPr>
        <w:jc w:val="center"/>
        <w:rPr>
          <w:rFonts w:ascii="TimesNewRoman" w:hAnsi="TimesNewRoman" w:cs="TimesNewRoman"/>
          <w:b/>
          <w:sz w:val="28"/>
          <w:szCs w:val="28"/>
          <w:lang w:val="fr-CH"/>
        </w:rPr>
      </w:pPr>
    </w:p>
    <w:p w:rsidR="00A23AB1" w:rsidRPr="00ED711A" w:rsidRDefault="00A23AB1" w:rsidP="006233C5">
      <w:pPr>
        <w:jc w:val="center"/>
        <w:rPr>
          <w:rFonts w:ascii="TimesNewRoman" w:hAnsi="TimesNewRoman" w:cs="TimesNewRoman"/>
          <w:b/>
          <w:sz w:val="28"/>
          <w:szCs w:val="28"/>
          <w:lang w:val="fr-CH"/>
        </w:rPr>
      </w:pPr>
    </w:p>
    <w:p w:rsidR="003B2EE5" w:rsidRPr="00ED711A" w:rsidRDefault="003B2EE5" w:rsidP="003B2EE5">
      <w:pPr>
        <w:jc w:val="center"/>
        <w:rPr>
          <w:rFonts w:ascii="TimesNewRoman" w:hAnsi="TimesNewRoman" w:cs="TimesNewRoman"/>
          <w:sz w:val="32"/>
          <w:szCs w:val="32"/>
          <w:lang w:val="fr-CH"/>
        </w:rPr>
      </w:pPr>
    </w:p>
    <w:tbl>
      <w:tblPr>
        <w:tblW w:w="9435" w:type="dxa"/>
        <w:jc w:val="center"/>
        <w:tblBorders>
          <w:top w:val="double" w:sz="4" w:space="0" w:color="auto"/>
          <w:left w:val="double" w:sz="4" w:space="0" w:color="auto"/>
          <w:bottom w:val="double" w:sz="4" w:space="0" w:color="auto"/>
          <w:right w:val="double" w:sz="4" w:space="0" w:color="auto"/>
        </w:tblBorders>
        <w:tblLayout w:type="fixed"/>
        <w:tblLook w:val="04A0"/>
      </w:tblPr>
      <w:tblGrid>
        <w:gridCol w:w="9435"/>
      </w:tblGrid>
      <w:tr w:rsidR="003B2EE5" w:rsidRPr="00ED711A" w:rsidTr="003B2EE5">
        <w:trPr>
          <w:cantSplit/>
          <w:jc w:val="center"/>
        </w:trPr>
        <w:tc>
          <w:tcPr>
            <w:tcW w:w="9435" w:type="dxa"/>
            <w:tcBorders>
              <w:top w:val="double" w:sz="4" w:space="0" w:color="auto"/>
              <w:bottom w:val="double" w:sz="4" w:space="0" w:color="auto"/>
            </w:tcBorders>
          </w:tcPr>
          <w:p w:rsidR="003B2EE5" w:rsidRPr="00ED711A" w:rsidRDefault="003B2EE5" w:rsidP="002913FA">
            <w:pPr>
              <w:spacing w:before="120" w:after="120"/>
              <w:jc w:val="center"/>
              <w:rPr>
                <w:b/>
                <w:sz w:val="40"/>
                <w:lang w:val="en-GB"/>
              </w:rPr>
            </w:pPr>
            <w:r w:rsidRPr="00ED711A">
              <w:rPr>
                <w:b/>
                <w:snapToGrid w:val="0"/>
                <w:sz w:val="28"/>
                <w:szCs w:val="28"/>
                <w:lang w:val="fr-CH"/>
              </w:rPr>
              <w:lastRenderedPageBreak/>
              <w:br w:type="page"/>
            </w:r>
            <w:r w:rsidR="006233C5" w:rsidRPr="00ED711A">
              <w:rPr>
                <w:b/>
                <w:sz w:val="40"/>
                <w:lang w:val="en-GB"/>
              </w:rPr>
              <w:t xml:space="preserve">CIRCULAIRE PIC (44) </w:t>
            </w:r>
            <w:r w:rsidR="002913FA" w:rsidRPr="00ED711A">
              <w:rPr>
                <w:b/>
                <w:bCs/>
                <w:sz w:val="40"/>
                <w:szCs w:val="40"/>
                <w:lang w:val="es-ES_tradnl"/>
              </w:rPr>
              <w:t>– d</w:t>
            </w:r>
            <w:r w:rsidR="00E46956" w:rsidRPr="00ED711A">
              <w:rPr>
                <w:b/>
                <w:sz w:val="40"/>
                <w:lang w:val="en-GB"/>
              </w:rPr>
              <w:t>écembre</w:t>
            </w:r>
            <w:r w:rsidR="006233C5" w:rsidRPr="00ED711A">
              <w:rPr>
                <w:b/>
                <w:sz w:val="40"/>
                <w:lang w:val="en-GB"/>
              </w:rPr>
              <w:t xml:space="preserve"> 2016</w:t>
            </w:r>
          </w:p>
        </w:tc>
      </w:tr>
    </w:tbl>
    <w:p w:rsidR="003B2EE5" w:rsidRPr="00ED711A" w:rsidRDefault="003B2EE5" w:rsidP="003B2EE5">
      <w:pPr>
        <w:jc w:val="center"/>
        <w:rPr>
          <w:rFonts w:ascii="TimesNewRoman" w:hAnsi="TimesNewRoman" w:cs="TimesNewRoman"/>
          <w:sz w:val="32"/>
          <w:szCs w:val="32"/>
        </w:rPr>
      </w:pPr>
    </w:p>
    <w:p w:rsidR="003B2EE5" w:rsidRPr="00ED711A" w:rsidRDefault="003B2EE5" w:rsidP="003B2EE5">
      <w:pPr>
        <w:jc w:val="center"/>
        <w:rPr>
          <w:rFonts w:ascii="TimesNewRoman" w:hAnsi="TimesNewRoman" w:cs="TimesNewRoman"/>
          <w:sz w:val="32"/>
          <w:szCs w:val="32"/>
        </w:rPr>
      </w:pPr>
    </w:p>
    <w:p w:rsidR="009B2CBE" w:rsidRPr="00ED711A" w:rsidRDefault="009B2CBE" w:rsidP="009B2CBE">
      <w:pPr>
        <w:jc w:val="center"/>
        <w:rPr>
          <w:b/>
          <w:snapToGrid w:val="0"/>
          <w:sz w:val="28"/>
          <w:szCs w:val="28"/>
          <w:lang w:val="en-GB"/>
        </w:rPr>
      </w:pPr>
      <w:r w:rsidRPr="00ED711A">
        <w:rPr>
          <w:b/>
          <w:snapToGrid w:val="0"/>
          <w:sz w:val="28"/>
          <w:szCs w:val="28"/>
          <w:lang w:val="en-GB"/>
        </w:rPr>
        <w:t xml:space="preserve">Table </w:t>
      </w:r>
      <w:r w:rsidR="006233C5" w:rsidRPr="00ED711A">
        <w:rPr>
          <w:b/>
          <w:snapToGrid w:val="0"/>
          <w:sz w:val="28"/>
          <w:szCs w:val="28"/>
          <w:lang w:val="en-GB"/>
        </w:rPr>
        <w:t>des</w:t>
      </w:r>
      <w:r w:rsidRPr="00ED711A">
        <w:rPr>
          <w:b/>
          <w:snapToGrid w:val="0"/>
          <w:sz w:val="28"/>
          <w:szCs w:val="28"/>
          <w:lang w:val="en-GB"/>
        </w:rPr>
        <w:t xml:space="preserve"> </w:t>
      </w:r>
      <w:r w:rsidR="006233C5" w:rsidRPr="00ED711A">
        <w:rPr>
          <w:b/>
          <w:snapToGrid w:val="0"/>
          <w:sz w:val="28"/>
          <w:szCs w:val="28"/>
          <w:lang w:val="en-GB"/>
        </w:rPr>
        <w:t>Mati</w:t>
      </w:r>
      <w:r w:rsidR="00517EDF" w:rsidRPr="00517EDF">
        <w:rPr>
          <w:b/>
          <w:snapToGrid w:val="0"/>
          <w:sz w:val="28"/>
          <w:szCs w:val="28"/>
          <w:lang w:val="en-GB"/>
        </w:rPr>
        <w:t>è</w:t>
      </w:r>
      <w:r w:rsidR="006233C5" w:rsidRPr="00ED711A">
        <w:rPr>
          <w:b/>
          <w:snapToGrid w:val="0"/>
          <w:sz w:val="28"/>
          <w:szCs w:val="28"/>
          <w:lang w:val="en-GB"/>
        </w:rPr>
        <w:t>res</w:t>
      </w:r>
    </w:p>
    <w:p w:rsidR="009B2CBE" w:rsidRPr="00ED711A" w:rsidRDefault="009B2CBE" w:rsidP="009B2CBE">
      <w:pPr>
        <w:jc w:val="both"/>
        <w:outlineLvl w:val="0"/>
        <w:rPr>
          <w:b/>
          <w:snapToGrid w:val="0"/>
          <w:sz w:val="22"/>
          <w:szCs w:val="22"/>
          <w:lang w:val="en-GB"/>
        </w:rPr>
      </w:pPr>
      <w:bookmarkStart w:id="0" w:name="_Toc184545450"/>
      <w:bookmarkStart w:id="1" w:name="_Toc184545115"/>
      <w:bookmarkStart w:id="2" w:name="_Toc168731332"/>
      <w:bookmarkStart w:id="3" w:name="_Toc137372030"/>
      <w:bookmarkStart w:id="4" w:name="_Toc89847722"/>
    </w:p>
    <w:bookmarkEnd w:id="0"/>
    <w:bookmarkEnd w:id="1"/>
    <w:bookmarkEnd w:id="2"/>
    <w:bookmarkEnd w:id="3"/>
    <w:bookmarkEnd w:id="4"/>
    <w:p w:rsidR="00BC3EAE" w:rsidRPr="00ED711A" w:rsidRDefault="0036633A" w:rsidP="008756AE">
      <w:pPr>
        <w:tabs>
          <w:tab w:val="left" w:pos="720"/>
          <w:tab w:val="right" w:leader="dot" w:pos="9540"/>
        </w:tabs>
        <w:spacing w:after="60"/>
        <w:ind w:right="23"/>
        <w:rPr>
          <w:rFonts w:eastAsia="SimHei"/>
          <w:b/>
          <w:bCs/>
          <w:snapToGrid w:val="0"/>
          <w:sz w:val="22"/>
          <w:szCs w:val="22"/>
          <w:u w:val="single"/>
          <w:lang w:val="en-GB" w:eastAsia="zh-CN"/>
        </w:rPr>
      </w:pPr>
      <w:r w:rsidRPr="00ED711A">
        <w:rPr>
          <w:rFonts w:eastAsia="SimHei"/>
          <w:b/>
          <w:bCs/>
          <w:snapToGrid w:val="0"/>
          <w:sz w:val="22"/>
          <w:szCs w:val="22"/>
          <w:u w:val="single"/>
          <w:lang w:val="en-GB" w:eastAsia="zh-CN"/>
        </w:rPr>
        <w:t>INTRODUCTION</w:t>
      </w:r>
    </w:p>
    <w:p w:rsidR="00EF204E" w:rsidRPr="00EE1BD5" w:rsidRDefault="00E526E5" w:rsidP="001E038C">
      <w:pPr>
        <w:pStyle w:val="TOC1"/>
        <w:rPr>
          <w:rStyle w:val="Hyperlink"/>
          <w:color w:val="auto"/>
        </w:rPr>
      </w:pPr>
      <w:r w:rsidRPr="00E526E5">
        <w:rPr>
          <w:rFonts w:eastAsia="SimHei"/>
          <w:lang w:eastAsia="zh-CN"/>
        </w:rPr>
        <w:fldChar w:fldCharType="begin"/>
      </w:r>
      <w:r w:rsidR="009B2CBE" w:rsidRPr="00ED711A">
        <w:rPr>
          <w:rFonts w:eastAsia="SimHei"/>
          <w:lang w:eastAsia="zh-CN"/>
        </w:rPr>
        <w:instrText xml:space="preserve"> TOC \o "1-3" \h \z \u </w:instrText>
      </w:r>
      <w:r w:rsidRPr="00E526E5">
        <w:rPr>
          <w:rFonts w:eastAsia="SimHei"/>
          <w:lang w:eastAsia="zh-CN"/>
        </w:rPr>
        <w:fldChar w:fldCharType="separate"/>
      </w:r>
      <w:hyperlink w:anchor="_Toc469005582" w:history="1">
        <w:r w:rsidR="00EF204E" w:rsidRPr="00EE1BD5">
          <w:rPr>
            <w:rStyle w:val="Hyperlink"/>
            <w:color w:val="auto"/>
            <w:lang w:val="fr-CH"/>
          </w:rPr>
          <w:t>1.</w:t>
        </w:r>
        <w:r w:rsidR="00EF204E" w:rsidRPr="00EE1BD5">
          <w:rPr>
            <w:rFonts w:eastAsiaTheme="minorEastAsia"/>
            <w:b w:val="0"/>
            <w:bCs w:val="0"/>
            <w:snapToGrid/>
            <w:lang w:val="en-US"/>
          </w:rPr>
          <w:tab/>
        </w:r>
        <w:r w:rsidR="00EF204E" w:rsidRPr="00EE1BD5">
          <w:rPr>
            <w:rStyle w:val="Hyperlink"/>
            <w:color w:val="auto"/>
            <w:lang w:val="fr-CH"/>
          </w:rPr>
          <w:t>OBJET DE LA CIRCULAIRE PIC</w:t>
        </w:r>
        <w:r w:rsidR="00EF204E" w:rsidRPr="00EE1BD5">
          <w:rPr>
            <w:webHidden/>
          </w:rPr>
          <w:tab/>
        </w:r>
        <w:r w:rsidRPr="00EE1BD5">
          <w:rPr>
            <w:webHidden/>
          </w:rPr>
          <w:fldChar w:fldCharType="begin"/>
        </w:r>
        <w:r w:rsidR="00EF204E" w:rsidRPr="00EE1BD5">
          <w:rPr>
            <w:webHidden/>
          </w:rPr>
          <w:instrText xml:space="preserve"> PAGEREF _Toc469005582 \h </w:instrText>
        </w:r>
        <w:r w:rsidRPr="00EE1BD5">
          <w:rPr>
            <w:webHidden/>
          </w:rPr>
        </w:r>
        <w:r w:rsidRPr="00EE1BD5">
          <w:rPr>
            <w:webHidden/>
          </w:rPr>
          <w:fldChar w:fldCharType="separate"/>
        </w:r>
        <w:r w:rsidR="00653A04">
          <w:rPr>
            <w:webHidden/>
          </w:rPr>
          <w:t>1</w:t>
        </w:r>
        <w:r w:rsidRPr="00EE1BD5">
          <w:rPr>
            <w:webHidden/>
          </w:rPr>
          <w:fldChar w:fldCharType="end"/>
        </w:r>
      </w:hyperlink>
    </w:p>
    <w:p w:rsidR="001E038C" w:rsidRPr="00EE1BD5" w:rsidRDefault="001E038C" w:rsidP="001E038C">
      <w:pPr>
        <w:rPr>
          <w:rFonts w:eastAsiaTheme="minorEastAsia"/>
          <w:noProof/>
          <w:lang w:val="en-GB" w:eastAsia="ja-JP"/>
        </w:rPr>
      </w:pPr>
    </w:p>
    <w:p w:rsidR="00EF204E" w:rsidRPr="00EE1BD5" w:rsidRDefault="00E526E5" w:rsidP="001E038C">
      <w:pPr>
        <w:pStyle w:val="TOC1"/>
        <w:rPr>
          <w:rFonts w:eastAsiaTheme="minorEastAsia"/>
          <w:b w:val="0"/>
          <w:bCs w:val="0"/>
          <w:snapToGrid/>
          <w:lang w:val="en-US"/>
        </w:rPr>
      </w:pPr>
      <w:hyperlink w:anchor="_Toc469005583" w:history="1">
        <w:r w:rsidR="00EF204E" w:rsidRPr="00EE1BD5">
          <w:rPr>
            <w:rStyle w:val="Hyperlink"/>
            <w:color w:val="auto"/>
            <w:lang w:val="fr-CH"/>
          </w:rPr>
          <w:t>2.</w:t>
        </w:r>
        <w:r w:rsidR="00EF204E" w:rsidRPr="00EE1BD5">
          <w:rPr>
            <w:rFonts w:eastAsiaTheme="minorEastAsia"/>
            <w:b w:val="0"/>
            <w:bCs w:val="0"/>
            <w:snapToGrid/>
            <w:lang w:val="en-US"/>
          </w:rPr>
          <w:tab/>
        </w:r>
        <w:r w:rsidR="00EF204E" w:rsidRPr="00EE1BD5">
          <w:rPr>
            <w:rStyle w:val="Hyperlink"/>
            <w:color w:val="auto"/>
            <w:lang w:val="fr-CH"/>
          </w:rPr>
          <w:t>MISE EN OEUVRE DE LA CONVENTION DE ROTTERDAM</w:t>
        </w:r>
        <w:r w:rsidR="00EF204E" w:rsidRPr="00EE1BD5">
          <w:rPr>
            <w:webHidden/>
          </w:rPr>
          <w:tab/>
        </w:r>
        <w:r w:rsidRPr="00EE1BD5">
          <w:rPr>
            <w:webHidden/>
          </w:rPr>
          <w:fldChar w:fldCharType="begin"/>
        </w:r>
        <w:r w:rsidR="00EF204E" w:rsidRPr="00EE1BD5">
          <w:rPr>
            <w:webHidden/>
          </w:rPr>
          <w:instrText xml:space="preserve"> PAGEREF _Toc469005583 \h </w:instrText>
        </w:r>
        <w:r w:rsidRPr="00EE1BD5">
          <w:rPr>
            <w:webHidden/>
          </w:rPr>
        </w:r>
        <w:r w:rsidRPr="00EE1BD5">
          <w:rPr>
            <w:webHidden/>
          </w:rPr>
          <w:fldChar w:fldCharType="separate"/>
        </w:r>
        <w:r w:rsidR="00653A04">
          <w:rPr>
            <w:webHidden/>
          </w:rPr>
          <w:t>1</w:t>
        </w:r>
        <w:r w:rsidRPr="00EE1BD5">
          <w:rPr>
            <w:webHidden/>
          </w:rPr>
          <w:fldChar w:fldCharType="end"/>
        </w:r>
      </w:hyperlink>
    </w:p>
    <w:p w:rsidR="00EF204E" w:rsidRPr="00EE1BD5" w:rsidRDefault="00E526E5" w:rsidP="001E038C">
      <w:pPr>
        <w:pStyle w:val="TOC2"/>
        <w:spacing w:after="60"/>
        <w:rPr>
          <w:rFonts w:ascii="Times New Roman" w:eastAsiaTheme="minorEastAsia" w:hAnsi="Times New Roman" w:cs="Times New Roman"/>
          <w:b w:val="0"/>
          <w:bCs w:val="0"/>
          <w:snapToGrid/>
          <w:sz w:val="22"/>
          <w:szCs w:val="22"/>
          <w:lang w:val="en-US" w:eastAsia="ja-JP"/>
        </w:rPr>
      </w:pPr>
      <w:hyperlink w:anchor="_Toc469005584" w:history="1">
        <w:r w:rsidR="00EF204E" w:rsidRPr="00EE1BD5">
          <w:rPr>
            <w:rStyle w:val="Hyperlink"/>
            <w:rFonts w:ascii="Times New Roman" w:hAnsi="Times New Roman" w:cs="Times New Roman"/>
            <w:color w:val="auto"/>
            <w:sz w:val="22"/>
            <w:szCs w:val="22"/>
            <w:lang w:val="fr-CH"/>
          </w:rPr>
          <w:t>2.1</w:t>
        </w:r>
        <w:r w:rsidR="00EF204E" w:rsidRPr="00EE1BD5">
          <w:rPr>
            <w:rFonts w:ascii="Times New Roman" w:eastAsiaTheme="minorEastAsia" w:hAnsi="Times New Roman" w:cs="Times New Roman"/>
            <w:b w:val="0"/>
            <w:bCs w:val="0"/>
            <w:snapToGrid/>
            <w:sz w:val="22"/>
            <w:szCs w:val="22"/>
            <w:lang w:val="en-US" w:eastAsia="ja-JP"/>
          </w:rPr>
          <w:tab/>
        </w:r>
        <w:r w:rsidR="00EF204E" w:rsidRPr="00EE1BD5">
          <w:rPr>
            <w:rStyle w:val="Hyperlink"/>
            <w:rFonts w:ascii="Times New Roman" w:hAnsi="Times New Roman" w:cs="Times New Roman"/>
            <w:color w:val="auto"/>
            <w:sz w:val="22"/>
            <w:szCs w:val="22"/>
            <w:lang w:val="fr-CH"/>
          </w:rPr>
          <w:t>Autorités nationales désignées (article 4 de la Convention)</w:t>
        </w:r>
        <w:r w:rsidR="00EF204E" w:rsidRPr="00EE1BD5">
          <w:rPr>
            <w:rFonts w:ascii="Times New Roman" w:hAnsi="Times New Roman" w:cs="Times New Roman"/>
            <w:webHidden/>
            <w:sz w:val="22"/>
            <w:szCs w:val="22"/>
          </w:rPr>
          <w:tab/>
        </w:r>
        <w:r w:rsidRPr="00EE1BD5">
          <w:rPr>
            <w:rFonts w:ascii="Times New Roman" w:hAnsi="Times New Roman" w:cs="Times New Roman"/>
            <w:webHidden/>
            <w:sz w:val="22"/>
            <w:szCs w:val="22"/>
          </w:rPr>
          <w:fldChar w:fldCharType="begin"/>
        </w:r>
        <w:r w:rsidR="00EF204E" w:rsidRPr="00EE1BD5">
          <w:rPr>
            <w:rFonts w:ascii="Times New Roman" w:hAnsi="Times New Roman" w:cs="Times New Roman"/>
            <w:webHidden/>
            <w:sz w:val="22"/>
            <w:szCs w:val="22"/>
          </w:rPr>
          <w:instrText xml:space="preserve"> PAGEREF _Toc469005584 \h </w:instrText>
        </w:r>
        <w:r w:rsidRPr="00EE1BD5">
          <w:rPr>
            <w:rFonts w:ascii="Times New Roman" w:hAnsi="Times New Roman" w:cs="Times New Roman"/>
            <w:webHidden/>
            <w:sz w:val="22"/>
            <w:szCs w:val="22"/>
          </w:rPr>
        </w:r>
        <w:r w:rsidRPr="00EE1BD5">
          <w:rPr>
            <w:rFonts w:ascii="Times New Roman" w:hAnsi="Times New Roman" w:cs="Times New Roman"/>
            <w:webHidden/>
            <w:sz w:val="22"/>
            <w:szCs w:val="22"/>
          </w:rPr>
          <w:fldChar w:fldCharType="separate"/>
        </w:r>
        <w:r w:rsidR="00653A04">
          <w:rPr>
            <w:rFonts w:ascii="Times New Roman" w:hAnsi="Times New Roman" w:cs="Times New Roman"/>
            <w:webHidden/>
            <w:sz w:val="22"/>
            <w:szCs w:val="22"/>
          </w:rPr>
          <w:t>1</w:t>
        </w:r>
        <w:r w:rsidRPr="00EE1BD5">
          <w:rPr>
            <w:rFonts w:ascii="Times New Roman" w:hAnsi="Times New Roman" w:cs="Times New Roman"/>
            <w:webHidden/>
            <w:sz w:val="22"/>
            <w:szCs w:val="22"/>
          </w:rPr>
          <w:fldChar w:fldCharType="end"/>
        </w:r>
      </w:hyperlink>
    </w:p>
    <w:p w:rsidR="00EF204E" w:rsidRPr="00EE1BD5" w:rsidRDefault="00E526E5" w:rsidP="001E038C">
      <w:pPr>
        <w:pStyle w:val="TOC2"/>
        <w:spacing w:after="60"/>
        <w:rPr>
          <w:rFonts w:ascii="Times New Roman" w:eastAsiaTheme="minorEastAsia" w:hAnsi="Times New Roman" w:cs="Times New Roman"/>
          <w:b w:val="0"/>
          <w:bCs w:val="0"/>
          <w:snapToGrid/>
          <w:sz w:val="22"/>
          <w:szCs w:val="22"/>
          <w:lang w:val="en-US" w:eastAsia="ja-JP"/>
        </w:rPr>
      </w:pPr>
      <w:hyperlink w:anchor="_Toc469005585" w:history="1">
        <w:r w:rsidR="00EF204E" w:rsidRPr="00EE1BD5">
          <w:rPr>
            <w:rStyle w:val="Hyperlink"/>
            <w:rFonts w:ascii="Times New Roman" w:hAnsi="Times New Roman" w:cs="Times New Roman"/>
            <w:color w:val="auto"/>
            <w:sz w:val="22"/>
            <w:szCs w:val="22"/>
            <w:lang w:val="fr-CH"/>
          </w:rPr>
          <w:t>2.2</w:t>
        </w:r>
        <w:r w:rsidR="00EF204E" w:rsidRPr="00EE1BD5">
          <w:rPr>
            <w:rFonts w:ascii="Times New Roman" w:eastAsiaTheme="minorEastAsia" w:hAnsi="Times New Roman" w:cs="Times New Roman"/>
            <w:b w:val="0"/>
            <w:bCs w:val="0"/>
            <w:snapToGrid/>
            <w:sz w:val="22"/>
            <w:szCs w:val="22"/>
            <w:lang w:val="en-US" w:eastAsia="ja-JP"/>
          </w:rPr>
          <w:tab/>
        </w:r>
        <w:r w:rsidR="00EF204E" w:rsidRPr="00EE1BD5">
          <w:rPr>
            <w:rStyle w:val="Hyperlink"/>
            <w:rFonts w:ascii="Times New Roman" w:hAnsi="Times New Roman" w:cs="Times New Roman"/>
            <w:color w:val="auto"/>
            <w:sz w:val="22"/>
            <w:szCs w:val="22"/>
            <w:lang w:val="fr-CH"/>
          </w:rPr>
          <w:t>Notifications des mesures de réglementation finale visant à interdire ou réglementer strictement un produit chimique (article 5 de la Convention)</w:t>
        </w:r>
        <w:r w:rsidR="00EF204E" w:rsidRPr="00EE1BD5">
          <w:rPr>
            <w:rFonts w:ascii="Times New Roman" w:hAnsi="Times New Roman" w:cs="Times New Roman"/>
            <w:webHidden/>
            <w:sz w:val="22"/>
            <w:szCs w:val="22"/>
          </w:rPr>
          <w:tab/>
        </w:r>
        <w:r w:rsidRPr="00EE1BD5">
          <w:rPr>
            <w:rFonts w:ascii="Times New Roman" w:hAnsi="Times New Roman" w:cs="Times New Roman"/>
            <w:webHidden/>
            <w:sz w:val="22"/>
            <w:szCs w:val="22"/>
          </w:rPr>
          <w:fldChar w:fldCharType="begin"/>
        </w:r>
        <w:r w:rsidR="00EF204E" w:rsidRPr="00EE1BD5">
          <w:rPr>
            <w:rFonts w:ascii="Times New Roman" w:hAnsi="Times New Roman" w:cs="Times New Roman"/>
            <w:webHidden/>
            <w:sz w:val="22"/>
            <w:szCs w:val="22"/>
          </w:rPr>
          <w:instrText xml:space="preserve"> PAGEREF _Toc469005585 \h </w:instrText>
        </w:r>
        <w:r w:rsidRPr="00EE1BD5">
          <w:rPr>
            <w:rFonts w:ascii="Times New Roman" w:hAnsi="Times New Roman" w:cs="Times New Roman"/>
            <w:webHidden/>
            <w:sz w:val="22"/>
            <w:szCs w:val="22"/>
          </w:rPr>
        </w:r>
        <w:r w:rsidRPr="00EE1BD5">
          <w:rPr>
            <w:rFonts w:ascii="Times New Roman" w:hAnsi="Times New Roman" w:cs="Times New Roman"/>
            <w:webHidden/>
            <w:sz w:val="22"/>
            <w:szCs w:val="22"/>
          </w:rPr>
          <w:fldChar w:fldCharType="separate"/>
        </w:r>
        <w:r w:rsidR="00653A04">
          <w:rPr>
            <w:rFonts w:ascii="Times New Roman" w:hAnsi="Times New Roman" w:cs="Times New Roman"/>
            <w:webHidden/>
            <w:sz w:val="22"/>
            <w:szCs w:val="22"/>
          </w:rPr>
          <w:t>1</w:t>
        </w:r>
        <w:r w:rsidRPr="00EE1BD5">
          <w:rPr>
            <w:rFonts w:ascii="Times New Roman" w:hAnsi="Times New Roman" w:cs="Times New Roman"/>
            <w:webHidden/>
            <w:sz w:val="22"/>
            <w:szCs w:val="22"/>
          </w:rPr>
          <w:fldChar w:fldCharType="end"/>
        </w:r>
      </w:hyperlink>
    </w:p>
    <w:p w:rsidR="00EF204E" w:rsidRPr="00EE1BD5" w:rsidRDefault="00E526E5" w:rsidP="001E038C">
      <w:pPr>
        <w:pStyle w:val="TOC2"/>
        <w:spacing w:after="60"/>
        <w:rPr>
          <w:rFonts w:ascii="Times New Roman" w:eastAsiaTheme="minorEastAsia" w:hAnsi="Times New Roman" w:cs="Times New Roman"/>
          <w:b w:val="0"/>
          <w:bCs w:val="0"/>
          <w:snapToGrid/>
          <w:sz w:val="22"/>
          <w:szCs w:val="22"/>
          <w:lang w:val="en-US" w:eastAsia="ja-JP"/>
        </w:rPr>
      </w:pPr>
      <w:hyperlink w:anchor="_Toc469005586" w:history="1">
        <w:r w:rsidR="00EF204E" w:rsidRPr="00EE1BD5">
          <w:rPr>
            <w:rStyle w:val="Hyperlink"/>
            <w:rFonts w:ascii="Times New Roman" w:hAnsi="Times New Roman" w:cs="Times New Roman"/>
            <w:color w:val="auto"/>
            <w:sz w:val="22"/>
            <w:szCs w:val="22"/>
            <w:lang w:val="fr-CH"/>
          </w:rPr>
          <w:t>2.3</w:t>
        </w:r>
        <w:r w:rsidR="00EF204E" w:rsidRPr="00EE1BD5">
          <w:rPr>
            <w:rFonts w:ascii="Times New Roman" w:eastAsiaTheme="minorEastAsia" w:hAnsi="Times New Roman" w:cs="Times New Roman"/>
            <w:b w:val="0"/>
            <w:bCs w:val="0"/>
            <w:snapToGrid/>
            <w:sz w:val="22"/>
            <w:szCs w:val="22"/>
            <w:lang w:val="en-US" w:eastAsia="ja-JP"/>
          </w:rPr>
          <w:tab/>
        </w:r>
        <w:r w:rsidR="00EF204E" w:rsidRPr="00EE1BD5">
          <w:rPr>
            <w:rStyle w:val="Hyperlink"/>
            <w:rFonts w:ascii="Times New Roman" w:hAnsi="Times New Roman" w:cs="Times New Roman"/>
            <w:color w:val="auto"/>
            <w:sz w:val="22"/>
            <w:szCs w:val="22"/>
            <w:lang w:val="fr-CH"/>
          </w:rPr>
          <w:t>Propositions visant à inclure des préparations pesticides extrêmement dangereuses (article 6 de la Convention)</w:t>
        </w:r>
        <w:r w:rsidR="00EF204E" w:rsidRPr="00EE1BD5">
          <w:rPr>
            <w:rFonts w:ascii="Times New Roman" w:hAnsi="Times New Roman" w:cs="Times New Roman"/>
            <w:webHidden/>
            <w:sz w:val="22"/>
            <w:szCs w:val="22"/>
          </w:rPr>
          <w:tab/>
        </w:r>
        <w:r w:rsidRPr="00EE1BD5">
          <w:rPr>
            <w:rFonts w:ascii="Times New Roman" w:hAnsi="Times New Roman" w:cs="Times New Roman"/>
            <w:webHidden/>
            <w:sz w:val="22"/>
            <w:szCs w:val="22"/>
          </w:rPr>
          <w:fldChar w:fldCharType="begin"/>
        </w:r>
        <w:r w:rsidR="00EF204E" w:rsidRPr="00EE1BD5">
          <w:rPr>
            <w:rFonts w:ascii="Times New Roman" w:hAnsi="Times New Roman" w:cs="Times New Roman"/>
            <w:webHidden/>
            <w:sz w:val="22"/>
            <w:szCs w:val="22"/>
          </w:rPr>
          <w:instrText xml:space="preserve"> PAGEREF _Toc469005586 \h </w:instrText>
        </w:r>
        <w:r w:rsidRPr="00EE1BD5">
          <w:rPr>
            <w:rFonts w:ascii="Times New Roman" w:hAnsi="Times New Roman" w:cs="Times New Roman"/>
            <w:webHidden/>
            <w:sz w:val="22"/>
            <w:szCs w:val="22"/>
          </w:rPr>
        </w:r>
        <w:r w:rsidRPr="00EE1BD5">
          <w:rPr>
            <w:rFonts w:ascii="Times New Roman" w:hAnsi="Times New Roman" w:cs="Times New Roman"/>
            <w:webHidden/>
            <w:sz w:val="22"/>
            <w:szCs w:val="22"/>
          </w:rPr>
          <w:fldChar w:fldCharType="separate"/>
        </w:r>
        <w:r w:rsidR="00653A04">
          <w:rPr>
            <w:rFonts w:ascii="Times New Roman" w:hAnsi="Times New Roman" w:cs="Times New Roman"/>
            <w:webHidden/>
            <w:sz w:val="22"/>
            <w:szCs w:val="22"/>
          </w:rPr>
          <w:t>2</w:t>
        </w:r>
        <w:r w:rsidRPr="00EE1BD5">
          <w:rPr>
            <w:rFonts w:ascii="Times New Roman" w:hAnsi="Times New Roman" w:cs="Times New Roman"/>
            <w:webHidden/>
            <w:sz w:val="22"/>
            <w:szCs w:val="22"/>
          </w:rPr>
          <w:fldChar w:fldCharType="end"/>
        </w:r>
      </w:hyperlink>
    </w:p>
    <w:p w:rsidR="00EF204E" w:rsidRPr="00EE1BD5" w:rsidRDefault="00E526E5" w:rsidP="001E038C">
      <w:pPr>
        <w:pStyle w:val="TOC2"/>
        <w:spacing w:after="60"/>
        <w:rPr>
          <w:rFonts w:ascii="Times New Roman" w:eastAsiaTheme="minorEastAsia" w:hAnsi="Times New Roman" w:cs="Times New Roman"/>
          <w:b w:val="0"/>
          <w:bCs w:val="0"/>
          <w:snapToGrid/>
          <w:sz w:val="22"/>
          <w:szCs w:val="22"/>
          <w:lang w:val="en-US" w:eastAsia="ja-JP"/>
        </w:rPr>
      </w:pPr>
      <w:hyperlink w:anchor="_Toc469005587" w:history="1">
        <w:r w:rsidR="00EF204E" w:rsidRPr="00EE1BD5">
          <w:rPr>
            <w:rStyle w:val="Hyperlink"/>
            <w:rFonts w:ascii="Times New Roman" w:hAnsi="Times New Roman" w:cs="Times New Roman"/>
            <w:color w:val="auto"/>
            <w:sz w:val="22"/>
            <w:szCs w:val="22"/>
            <w:lang w:val="fr-CH"/>
          </w:rPr>
          <w:t>2.4</w:t>
        </w:r>
        <w:r w:rsidR="00EF204E" w:rsidRPr="00EE1BD5">
          <w:rPr>
            <w:rFonts w:ascii="Times New Roman" w:eastAsiaTheme="minorEastAsia" w:hAnsi="Times New Roman" w:cs="Times New Roman"/>
            <w:b w:val="0"/>
            <w:bCs w:val="0"/>
            <w:snapToGrid/>
            <w:sz w:val="22"/>
            <w:szCs w:val="22"/>
            <w:lang w:val="en-US" w:eastAsia="ja-JP"/>
          </w:rPr>
          <w:tab/>
        </w:r>
        <w:r w:rsidR="00EF204E" w:rsidRPr="00EE1BD5">
          <w:rPr>
            <w:rStyle w:val="Hyperlink"/>
            <w:rFonts w:ascii="Times New Roman" w:hAnsi="Times New Roman" w:cs="Times New Roman"/>
            <w:color w:val="auto"/>
            <w:sz w:val="22"/>
            <w:szCs w:val="22"/>
            <w:lang w:val="fr-CH"/>
          </w:rPr>
          <w:t>Produits chimiques soumis à la procédure PIC et distribution des documents d’orientation des décisions (article 7 de la Convention)</w:t>
        </w:r>
        <w:r w:rsidR="00EF204E" w:rsidRPr="00EE1BD5">
          <w:rPr>
            <w:rFonts w:ascii="Times New Roman" w:hAnsi="Times New Roman" w:cs="Times New Roman"/>
            <w:webHidden/>
            <w:sz w:val="22"/>
            <w:szCs w:val="22"/>
          </w:rPr>
          <w:tab/>
        </w:r>
        <w:r w:rsidRPr="00EE1BD5">
          <w:rPr>
            <w:rFonts w:ascii="Times New Roman" w:hAnsi="Times New Roman" w:cs="Times New Roman"/>
            <w:webHidden/>
            <w:sz w:val="22"/>
            <w:szCs w:val="22"/>
          </w:rPr>
          <w:fldChar w:fldCharType="begin"/>
        </w:r>
        <w:r w:rsidR="00EF204E" w:rsidRPr="00EE1BD5">
          <w:rPr>
            <w:rFonts w:ascii="Times New Roman" w:hAnsi="Times New Roman" w:cs="Times New Roman"/>
            <w:webHidden/>
            <w:sz w:val="22"/>
            <w:szCs w:val="22"/>
          </w:rPr>
          <w:instrText xml:space="preserve"> PAGEREF _Toc469005587 \h </w:instrText>
        </w:r>
        <w:r w:rsidRPr="00EE1BD5">
          <w:rPr>
            <w:rFonts w:ascii="Times New Roman" w:hAnsi="Times New Roman" w:cs="Times New Roman"/>
            <w:webHidden/>
            <w:sz w:val="22"/>
            <w:szCs w:val="22"/>
          </w:rPr>
        </w:r>
        <w:r w:rsidRPr="00EE1BD5">
          <w:rPr>
            <w:rFonts w:ascii="Times New Roman" w:hAnsi="Times New Roman" w:cs="Times New Roman"/>
            <w:webHidden/>
            <w:sz w:val="22"/>
            <w:szCs w:val="22"/>
          </w:rPr>
          <w:fldChar w:fldCharType="separate"/>
        </w:r>
        <w:r w:rsidR="00653A04">
          <w:rPr>
            <w:rFonts w:ascii="Times New Roman" w:hAnsi="Times New Roman" w:cs="Times New Roman"/>
            <w:webHidden/>
            <w:sz w:val="22"/>
            <w:szCs w:val="22"/>
          </w:rPr>
          <w:t>3</w:t>
        </w:r>
        <w:r w:rsidRPr="00EE1BD5">
          <w:rPr>
            <w:rFonts w:ascii="Times New Roman" w:hAnsi="Times New Roman" w:cs="Times New Roman"/>
            <w:webHidden/>
            <w:sz w:val="22"/>
            <w:szCs w:val="22"/>
          </w:rPr>
          <w:fldChar w:fldCharType="end"/>
        </w:r>
      </w:hyperlink>
    </w:p>
    <w:p w:rsidR="00EF204E" w:rsidRPr="00EE1BD5" w:rsidRDefault="00E526E5" w:rsidP="001E038C">
      <w:pPr>
        <w:pStyle w:val="TOC2"/>
        <w:spacing w:after="60"/>
        <w:rPr>
          <w:rFonts w:ascii="Times New Roman" w:eastAsiaTheme="minorEastAsia" w:hAnsi="Times New Roman" w:cs="Times New Roman"/>
          <w:b w:val="0"/>
          <w:bCs w:val="0"/>
          <w:snapToGrid/>
          <w:sz w:val="22"/>
          <w:szCs w:val="22"/>
          <w:lang w:val="en-US" w:eastAsia="ja-JP"/>
        </w:rPr>
      </w:pPr>
      <w:hyperlink w:anchor="_Toc469005588" w:history="1">
        <w:r w:rsidR="00EF204E" w:rsidRPr="00EE1BD5">
          <w:rPr>
            <w:rStyle w:val="Hyperlink"/>
            <w:rFonts w:ascii="Times New Roman" w:hAnsi="Times New Roman" w:cs="Times New Roman"/>
            <w:color w:val="auto"/>
            <w:sz w:val="22"/>
            <w:szCs w:val="22"/>
            <w:lang w:val="fr-CH"/>
          </w:rPr>
          <w:t>2.5</w:t>
        </w:r>
        <w:r w:rsidR="00EF204E" w:rsidRPr="00EE1BD5">
          <w:rPr>
            <w:rFonts w:ascii="Times New Roman" w:eastAsiaTheme="minorEastAsia" w:hAnsi="Times New Roman" w:cs="Times New Roman"/>
            <w:b w:val="0"/>
            <w:bCs w:val="0"/>
            <w:snapToGrid/>
            <w:sz w:val="22"/>
            <w:szCs w:val="22"/>
            <w:lang w:val="en-US" w:eastAsia="ja-JP"/>
          </w:rPr>
          <w:tab/>
        </w:r>
        <w:r w:rsidR="00EF204E" w:rsidRPr="00EE1BD5">
          <w:rPr>
            <w:rStyle w:val="Hyperlink"/>
            <w:rFonts w:ascii="Times New Roman" w:hAnsi="Times New Roman" w:cs="Times New Roman"/>
            <w:color w:val="auto"/>
            <w:sz w:val="22"/>
            <w:szCs w:val="22"/>
            <w:lang w:val="fr-CH"/>
          </w:rPr>
          <w:t>Notifications d’exportation (article 12 de la Convention)</w:t>
        </w:r>
        <w:r w:rsidR="00EF204E" w:rsidRPr="00EE1BD5">
          <w:rPr>
            <w:rFonts w:ascii="Times New Roman" w:hAnsi="Times New Roman" w:cs="Times New Roman"/>
            <w:webHidden/>
            <w:sz w:val="22"/>
            <w:szCs w:val="22"/>
          </w:rPr>
          <w:tab/>
        </w:r>
        <w:r w:rsidRPr="00EE1BD5">
          <w:rPr>
            <w:rFonts w:ascii="Times New Roman" w:hAnsi="Times New Roman" w:cs="Times New Roman"/>
            <w:webHidden/>
            <w:sz w:val="22"/>
            <w:szCs w:val="22"/>
          </w:rPr>
          <w:fldChar w:fldCharType="begin"/>
        </w:r>
        <w:r w:rsidR="00EF204E" w:rsidRPr="00EE1BD5">
          <w:rPr>
            <w:rFonts w:ascii="Times New Roman" w:hAnsi="Times New Roman" w:cs="Times New Roman"/>
            <w:webHidden/>
            <w:sz w:val="22"/>
            <w:szCs w:val="22"/>
          </w:rPr>
          <w:instrText xml:space="preserve"> PAGEREF _Toc469005588 \h </w:instrText>
        </w:r>
        <w:r w:rsidRPr="00EE1BD5">
          <w:rPr>
            <w:rFonts w:ascii="Times New Roman" w:hAnsi="Times New Roman" w:cs="Times New Roman"/>
            <w:webHidden/>
            <w:sz w:val="22"/>
            <w:szCs w:val="22"/>
          </w:rPr>
        </w:r>
        <w:r w:rsidRPr="00EE1BD5">
          <w:rPr>
            <w:rFonts w:ascii="Times New Roman" w:hAnsi="Times New Roman" w:cs="Times New Roman"/>
            <w:webHidden/>
            <w:sz w:val="22"/>
            <w:szCs w:val="22"/>
          </w:rPr>
          <w:fldChar w:fldCharType="separate"/>
        </w:r>
        <w:r w:rsidR="00653A04">
          <w:rPr>
            <w:rFonts w:ascii="Times New Roman" w:hAnsi="Times New Roman" w:cs="Times New Roman"/>
            <w:webHidden/>
            <w:sz w:val="22"/>
            <w:szCs w:val="22"/>
          </w:rPr>
          <w:t>3</w:t>
        </w:r>
        <w:r w:rsidRPr="00EE1BD5">
          <w:rPr>
            <w:rFonts w:ascii="Times New Roman" w:hAnsi="Times New Roman" w:cs="Times New Roman"/>
            <w:webHidden/>
            <w:sz w:val="22"/>
            <w:szCs w:val="22"/>
          </w:rPr>
          <w:fldChar w:fldCharType="end"/>
        </w:r>
      </w:hyperlink>
    </w:p>
    <w:p w:rsidR="00EF204E" w:rsidRPr="00EE1BD5" w:rsidRDefault="00E526E5" w:rsidP="001E038C">
      <w:pPr>
        <w:pStyle w:val="TOC2"/>
        <w:spacing w:after="60"/>
        <w:rPr>
          <w:rFonts w:ascii="Times New Roman" w:eastAsiaTheme="minorEastAsia" w:hAnsi="Times New Roman" w:cs="Times New Roman"/>
          <w:b w:val="0"/>
          <w:bCs w:val="0"/>
          <w:snapToGrid/>
          <w:sz w:val="22"/>
          <w:szCs w:val="22"/>
          <w:lang w:val="en-US" w:eastAsia="ja-JP"/>
        </w:rPr>
      </w:pPr>
      <w:hyperlink w:anchor="_Toc469005589" w:history="1">
        <w:r w:rsidR="00EF204E" w:rsidRPr="00EE1BD5">
          <w:rPr>
            <w:rStyle w:val="Hyperlink"/>
            <w:rFonts w:ascii="Times New Roman" w:hAnsi="Times New Roman" w:cs="Times New Roman"/>
            <w:color w:val="auto"/>
            <w:sz w:val="22"/>
            <w:szCs w:val="22"/>
            <w:lang w:val="fr-CH"/>
          </w:rPr>
          <w:t>2.6</w:t>
        </w:r>
        <w:r w:rsidR="00EF204E" w:rsidRPr="00EE1BD5">
          <w:rPr>
            <w:rFonts w:ascii="Times New Roman" w:eastAsiaTheme="minorEastAsia" w:hAnsi="Times New Roman" w:cs="Times New Roman"/>
            <w:b w:val="0"/>
            <w:bCs w:val="0"/>
            <w:snapToGrid/>
            <w:sz w:val="22"/>
            <w:szCs w:val="22"/>
            <w:lang w:val="en-US" w:eastAsia="ja-JP"/>
          </w:rPr>
          <w:tab/>
        </w:r>
        <w:r w:rsidR="00EF204E" w:rsidRPr="00EE1BD5">
          <w:rPr>
            <w:rStyle w:val="Hyperlink"/>
            <w:rFonts w:ascii="Times New Roman" w:hAnsi="Times New Roman" w:cs="Times New Roman"/>
            <w:color w:val="auto"/>
            <w:sz w:val="22"/>
            <w:szCs w:val="22"/>
            <w:lang w:val="fr-CH"/>
          </w:rPr>
          <w:t>Renseignements devant accompagner les produits chimiques exp</w:t>
        </w:r>
        <w:r w:rsidR="001F3C16">
          <w:rPr>
            <w:rStyle w:val="Hyperlink"/>
            <w:rFonts w:ascii="Times New Roman" w:hAnsi="Times New Roman" w:cs="Times New Roman"/>
            <w:color w:val="auto"/>
            <w:sz w:val="22"/>
            <w:szCs w:val="22"/>
            <w:lang w:val="fr-CH"/>
          </w:rPr>
          <w:t>ortés (article 13, paragraphe 1</w:t>
        </w:r>
        <w:r w:rsidR="00EF204E" w:rsidRPr="00EE1BD5">
          <w:rPr>
            <w:rStyle w:val="Hyperlink"/>
            <w:rFonts w:ascii="Times New Roman" w:hAnsi="Times New Roman" w:cs="Times New Roman"/>
            <w:color w:val="auto"/>
            <w:sz w:val="22"/>
            <w:szCs w:val="22"/>
            <w:lang w:val="fr-CH"/>
          </w:rPr>
          <w:t xml:space="preserve"> de la Convention)</w:t>
        </w:r>
        <w:r w:rsidR="00EF204E" w:rsidRPr="00EE1BD5">
          <w:rPr>
            <w:rFonts w:ascii="Times New Roman" w:hAnsi="Times New Roman" w:cs="Times New Roman"/>
            <w:webHidden/>
            <w:sz w:val="22"/>
            <w:szCs w:val="22"/>
          </w:rPr>
          <w:tab/>
        </w:r>
        <w:r w:rsidRPr="00EE1BD5">
          <w:rPr>
            <w:rFonts w:ascii="Times New Roman" w:hAnsi="Times New Roman" w:cs="Times New Roman"/>
            <w:webHidden/>
            <w:sz w:val="22"/>
            <w:szCs w:val="22"/>
          </w:rPr>
          <w:fldChar w:fldCharType="begin"/>
        </w:r>
        <w:r w:rsidR="00EF204E" w:rsidRPr="00EE1BD5">
          <w:rPr>
            <w:rFonts w:ascii="Times New Roman" w:hAnsi="Times New Roman" w:cs="Times New Roman"/>
            <w:webHidden/>
            <w:sz w:val="22"/>
            <w:szCs w:val="22"/>
          </w:rPr>
          <w:instrText xml:space="preserve"> PAGEREF _Toc469005589 \h </w:instrText>
        </w:r>
        <w:r w:rsidRPr="00EE1BD5">
          <w:rPr>
            <w:rFonts w:ascii="Times New Roman" w:hAnsi="Times New Roman" w:cs="Times New Roman"/>
            <w:webHidden/>
            <w:sz w:val="22"/>
            <w:szCs w:val="22"/>
          </w:rPr>
        </w:r>
        <w:r w:rsidRPr="00EE1BD5">
          <w:rPr>
            <w:rFonts w:ascii="Times New Roman" w:hAnsi="Times New Roman" w:cs="Times New Roman"/>
            <w:webHidden/>
            <w:sz w:val="22"/>
            <w:szCs w:val="22"/>
          </w:rPr>
          <w:fldChar w:fldCharType="separate"/>
        </w:r>
        <w:r w:rsidR="00653A04">
          <w:rPr>
            <w:rFonts w:ascii="Times New Roman" w:hAnsi="Times New Roman" w:cs="Times New Roman"/>
            <w:webHidden/>
            <w:sz w:val="22"/>
            <w:szCs w:val="22"/>
          </w:rPr>
          <w:t>3</w:t>
        </w:r>
        <w:r w:rsidRPr="00EE1BD5">
          <w:rPr>
            <w:rFonts w:ascii="Times New Roman" w:hAnsi="Times New Roman" w:cs="Times New Roman"/>
            <w:webHidden/>
            <w:sz w:val="22"/>
            <w:szCs w:val="22"/>
          </w:rPr>
          <w:fldChar w:fldCharType="end"/>
        </w:r>
      </w:hyperlink>
    </w:p>
    <w:p w:rsidR="00EF204E" w:rsidRPr="00EE1BD5" w:rsidRDefault="00E526E5" w:rsidP="001E038C">
      <w:pPr>
        <w:pStyle w:val="TOC2"/>
        <w:spacing w:after="60"/>
        <w:rPr>
          <w:rFonts w:ascii="Times New Roman" w:eastAsiaTheme="minorEastAsia" w:hAnsi="Times New Roman" w:cs="Times New Roman"/>
          <w:b w:val="0"/>
          <w:bCs w:val="0"/>
          <w:snapToGrid/>
          <w:sz w:val="22"/>
          <w:szCs w:val="22"/>
          <w:lang w:val="en-US" w:eastAsia="ja-JP"/>
        </w:rPr>
      </w:pPr>
      <w:hyperlink w:anchor="_Toc469005590" w:history="1">
        <w:r w:rsidR="00EF204E" w:rsidRPr="00EE1BD5">
          <w:rPr>
            <w:rStyle w:val="Hyperlink"/>
            <w:rFonts w:ascii="Times New Roman" w:hAnsi="Times New Roman" w:cs="Times New Roman"/>
            <w:color w:val="auto"/>
            <w:sz w:val="22"/>
            <w:szCs w:val="22"/>
            <w:lang w:val="fr-CH"/>
          </w:rPr>
          <w:t>2.7</w:t>
        </w:r>
        <w:r w:rsidR="00EF204E" w:rsidRPr="00EE1BD5">
          <w:rPr>
            <w:rFonts w:ascii="Times New Roman" w:eastAsiaTheme="minorEastAsia" w:hAnsi="Times New Roman" w:cs="Times New Roman"/>
            <w:b w:val="0"/>
            <w:bCs w:val="0"/>
            <w:snapToGrid/>
            <w:sz w:val="22"/>
            <w:szCs w:val="22"/>
            <w:lang w:val="en-US" w:eastAsia="ja-JP"/>
          </w:rPr>
          <w:tab/>
        </w:r>
        <w:r w:rsidR="00EF204E" w:rsidRPr="00EE1BD5">
          <w:rPr>
            <w:rStyle w:val="Hyperlink"/>
            <w:rFonts w:ascii="Times New Roman" w:hAnsi="Times New Roman" w:cs="Times New Roman"/>
            <w:color w:val="auto"/>
            <w:sz w:val="22"/>
            <w:szCs w:val="22"/>
            <w:lang w:val="fr-CH"/>
          </w:rPr>
          <w:t>Réponse concernant l’importation future d’un produit chimique (ar</w:t>
        </w:r>
        <w:r w:rsidR="001F3C16">
          <w:rPr>
            <w:rStyle w:val="Hyperlink"/>
            <w:rFonts w:ascii="Times New Roman" w:hAnsi="Times New Roman" w:cs="Times New Roman"/>
            <w:color w:val="auto"/>
            <w:sz w:val="22"/>
            <w:szCs w:val="22"/>
            <w:lang w:val="fr-CH"/>
          </w:rPr>
          <w:t>ticle 10, paragraph</w:t>
        </w:r>
        <w:r w:rsidR="001F3C16">
          <w:rPr>
            <w:rStyle w:val="Hyperlink"/>
            <w:rFonts w:ascii="Times New Roman" w:hAnsi="Times New Roman" w:cs="Times New Roman"/>
            <w:color w:val="auto"/>
            <w:sz w:val="22"/>
            <w:szCs w:val="22"/>
            <w:lang w:val="fr-CH"/>
          </w:rPr>
          <w:t>e</w:t>
        </w:r>
        <w:r w:rsidR="001F3C16">
          <w:rPr>
            <w:rStyle w:val="Hyperlink"/>
            <w:rFonts w:ascii="Times New Roman" w:hAnsi="Times New Roman" w:cs="Times New Roman"/>
            <w:color w:val="auto"/>
            <w:sz w:val="22"/>
            <w:szCs w:val="22"/>
            <w:lang w:val="fr-CH"/>
          </w:rPr>
          <w:t>s 2, 3 et 4</w:t>
        </w:r>
        <w:r w:rsidR="00EF204E" w:rsidRPr="00EE1BD5">
          <w:rPr>
            <w:rStyle w:val="Hyperlink"/>
            <w:rFonts w:ascii="Times New Roman" w:hAnsi="Times New Roman" w:cs="Times New Roman"/>
            <w:color w:val="auto"/>
            <w:sz w:val="22"/>
            <w:szCs w:val="22"/>
            <w:lang w:val="fr-CH"/>
          </w:rPr>
          <w:t xml:space="preserve"> de la Convention)</w:t>
        </w:r>
        <w:r w:rsidR="00EF204E" w:rsidRPr="00EE1BD5">
          <w:rPr>
            <w:rFonts w:ascii="Times New Roman" w:hAnsi="Times New Roman" w:cs="Times New Roman"/>
            <w:webHidden/>
            <w:sz w:val="22"/>
            <w:szCs w:val="22"/>
          </w:rPr>
          <w:tab/>
        </w:r>
        <w:r w:rsidRPr="00EE1BD5">
          <w:rPr>
            <w:rFonts w:ascii="Times New Roman" w:hAnsi="Times New Roman" w:cs="Times New Roman"/>
            <w:webHidden/>
            <w:sz w:val="22"/>
            <w:szCs w:val="22"/>
          </w:rPr>
          <w:fldChar w:fldCharType="begin"/>
        </w:r>
        <w:r w:rsidR="00EF204E" w:rsidRPr="00EE1BD5">
          <w:rPr>
            <w:rFonts w:ascii="Times New Roman" w:hAnsi="Times New Roman" w:cs="Times New Roman"/>
            <w:webHidden/>
            <w:sz w:val="22"/>
            <w:szCs w:val="22"/>
          </w:rPr>
          <w:instrText xml:space="preserve"> PAGEREF _Toc469005590 \h </w:instrText>
        </w:r>
        <w:r w:rsidRPr="00EE1BD5">
          <w:rPr>
            <w:rFonts w:ascii="Times New Roman" w:hAnsi="Times New Roman" w:cs="Times New Roman"/>
            <w:webHidden/>
            <w:sz w:val="22"/>
            <w:szCs w:val="22"/>
          </w:rPr>
        </w:r>
        <w:r w:rsidRPr="00EE1BD5">
          <w:rPr>
            <w:rFonts w:ascii="Times New Roman" w:hAnsi="Times New Roman" w:cs="Times New Roman"/>
            <w:webHidden/>
            <w:sz w:val="22"/>
            <w:szCs w:val="22"/>
          </w:rPr>
          <w:fldChar w:fldCharType="separate"/>
        </w:r>
        <w:r w:rsidR="00653A04">
          <w:rPr>
            <w:rFonts w:ascii="Times New Roman" w:hAnsi="Times New Roman" w:cs="Times New Roman"/>
            <w:webHidden/>
            <w:sz w:val="22"/>
            <w:szCs w:val="22"/>
          </w:rPr>
          <w:t>4</w:t>
        </w:r>
        <w:r w:rsidRPr="00EE1BD5">
          <w:rPr>
            <w:rFonts w:ascii="Times New Roman" w:hAnsi="Times New Roman" w:cs="Times New Roman"/>
            <w:webHidden/>
            <w:sz w:val="22"/>
            <w:szCs w:val="22"/>
          </w:rPr>
          <w:fldChar w:fldCharType="end"/>
        </w:r>
      </w:hyperlink>
    </w:p>
    <w:p w:rsidR="00EF204E" w:rsidRPr="00EE1BD5" w:rsidRDefault="00E526E5" w:rsidP="001E038C">
      <w:pPr>
        <w:pStyle w:val="TOC2"/>
        <w:spacing w:after="60"/>
        <w:rPr>
          <w:rFonts w:ascii="Times New Roman" w:eastAsiaTheme="minorEastAsia" w:hAnsi="Times New Roman" w:cs="Times New Roman"/>
          <w:b w:val="0"/>
          <w:bCs w:val="0"/>
          <w:snapToGrid/>
          <w:sz w:val="22"/>
          <w:szCs w:val="22"/>
          <w:lang w:val="en-US" w:eastAsia="ja-JP"/>
        </w:rPr>
      </w:pPr>
      <w:hyperlink w:anchor="_Toc469005591" w:history="1">
        <w:r w:rsidR="00EF204E" w:rsidRPr="00EE1BD5">
          <w:rPr>
            <w:rStyle w:val="Hyperlink"/>
            <w:rFonts w:ascii="Times New Roman" w:hAnsi="Times New Roman" w:cs="Times New Roman"/>
            <w:color w:val="auto"/>
            <w:sz w:val="22"/>
            <w:szCs w:val="22"/>
            <w:lang w:val="fr-CH"/>
          </w:rPr>
          <w:t>2.8</w:t>
        </w:r>
        <w:r w:rsidR="00EF204E" w:rsidRPr="00EE1BD5">
          <w:rPr>
            <w:rFonts w:ascii="Times New Roman" w:eastAsiaTheme="minorEastAsia" w:hAnsi="Times New Roman" w:cs="Times New Roman"/>
            <w:b w:val="0"/>
            <w:bCs w:val="0"/>
            <w:snapToGrid/>
            <w:sz w:val="22"/>
            <w:szCs w:val="22"/>
            <w:lang w:val="en-US" w:eastAsia="ja-JP"/>
          </w:rPr>
          <w:tab/>
        </w:r>
        <w:r w:rsidR="00EF204E" w:rsidRPr="00EE1BD5">
          <w:rPr>
            <w:rStyle w:val="Hyperlink"/>
            <w:rFonts w:ascii="Times New Roman" w:hAnsi="Times New Roman" w:cs="Times New Roman"/>
            <w:color w:val="auto"/>
            <w:sz w:val="22"/>
            <w:szCs w:val="22"/>
            <w:lang w:val="fr-CH"/>
          </w:rPr>
          <w:t xml:space="preserve">Renseignements sur les réponses reçues concernant l’importation future d’un produit chimique (article 10, paragraphe </w:t>
        </w:r>
        <w:r w:rsidR="001F3C16">
          <w:rPr>
            <w:rStyle w:val="Hyperlink"/>
            <w:rFonts w:ascii="Times New Roman" w:hAnsi="Times New Roman" w:cs="Times New Roman"/>
            <w:color w:val="auto"/>
            <w:sz w:val="22"/>
            <w:szCs w:val="22"/>
            <w:lang w:val="fr-CH"/>
          </w:rPr>
          <w:t>10, et article 11, paragraphe 2</w:t>
        </w:r>
        <w:r w:rsidR="00EF204E" w:rsidRPr="00EE1BD5">
          <w:rPr>
            <w:rStyle w:val="Hyperlink"/>
            <w:rFonts w:ascii="Times New Roman" w:hAnsi="Times New Roman" w:cs="Times New Roman"/>
            <w:color w:val="auto"/>
            <w:sz w:val="22"/>
            <w:szCs w:val="22"/>
            <w:lang w:val="fr-CH"/>
          </w:rPr>
          <w:t xml:space="preserve"> de la Convention)</w:t>
        </w:r>
        <w:r w:rsidR="00EF204E" w:rsidRPr="00EE1BD5">
          <w:rPr>
            <w:rFonts w:ascii="Times New Roman" w:hAnsi="Times New Roman" w:cs="Times New Roman"/>
            <w:webHidden/>
            <w:sz w:val="22"/>
            <w:szCs w:val="22"/>
          </w:rPr>
          <w:tab/>
        </w:r>
        <w:r w:rsidRPr="00EE1BD5">
          <w:rPr>
            <w:rFonts w:ascii="Times New Roman" w:hAnsi="Times New Roman" w:cs="Times New Roman"/>
            <w:webHidden/>
            <w:sz w:val="22"/>
            <w:szCs w:val="22"/>
          </w:rPr>
          <w:fldChar w:fldCharType="begin"/>
        </w:r>
        <w:r w:rsidR="00EF204E" w:rsidRPr="00EE1BD5">
          <w:rPr>
            <w:rFonts w:ascii="Times New Roman" w:hAnsi="Times New Roman" w:cs="Times New Roman"/>
            <w:webHidden/>
            <w:sz w:val="22"/>
            <w:szCs w:val="22"/>
          </w:rPr>
          <w:instrText xml:space="preserve"> PAGEREF _Toc469005591 \h </w:instrText>
        </w:r>
        <w:r w:rsidRPr="00EE1BD5">
          <w:rPr>
            <w:rFonts w:ascii="Times New Roman" w:hAnsi="Times New Roman" w:cs="Times New Roman"/>
            <w:webHidden/>
            <w:sz w:val="22"/>
            <w:szCs w:val="22"/>
          </w:rPr>
        </w:r>
        <w:r w:rsidRPr="00EE1BD5">
          <w:rPr>
            <w:rFonts w:ascii="Times New Roman" w:hAnsi="Times New Roman" w:cs="Times New Roman"/>
            <w:webHidden/>
            <w:sz w:val="22"/>
            <w:szCs w:val="22"/>
          </w:rPr>
          <w:fldChar w:fldCharType="separate"/>
        </w:r>
        <w:r w:rsidR="00653A04">
          <w:rPr>
            <w:rFonts w:ascii="Times New Roman" w:hAnsi="Times New Roman" w:cs="Times New Roman"/>
            <w:webHidden/>
            <w:sz w:val="22"/>
            <w:szCs w:val="22"/>
          </w:rPr>
          <w:t>4</w:t>
        </w:r>
        <w:r w:rsidRPr="00EE1BD5">
          <w:rPr>
            <w:rFonts w:ascii="Times New Roman" w:hAnsi="Times New Roman" w:cs="Times New Roman"/>
            <w:webHidden/>
            <w:sz w:val="22"/>
            <w:szCs w:val="22"/>
          </w:rPr>
          <w:fldChar w:fldCharType="end"/>
        </w:r>
      </w:hyperlink>
    </w:p>
    <w:p w:rsidR="00EF204E" w:rsidRPr="00EE1BD5" w:rsidRDefault="00E526E5" w:rsidP="001E038C">
      <w:pPr>
        <w:pStyle w:val="TOC2"/>
        <w:spacing w:after="60"/>
        <w:rPr>
          <w:rFonts w:ascii="Times New Roman" w:eastAsiaTheme="minorEastAsia" w:hAnsi="Times New Roman" w:cs="Times New Roman"/>
          <w:b w:val="0"/>
          <w:bCs w:val="0"/>
          <w:snapToGrid/>
          <w:sz w:val="22"/>
          <w:szCs w:val="22"/>
          <w:lang w:val="en-US" w:eastAsia="ja-JP"/>
        </w:rPr>
      </w:pPr>
      <w:hyperlink w:anchor="_Toc469005592" w:history="1">
        <w:r w:rsidR="00EF204E" w:rsidRPr="00EE1BD5">
          <w:rPr>
            <w:rStyle w:val="Hyperlink"/>
            <w:rFonts w:ascii="Times New Roman" w:hAnsi="Times New Roman" w:cs="Times New Roman"/>
            <w:color w:val="auto"/>
            <w:sz w:val="22"/>
            <w:szCs w:val="22"/>
            <w:lang w:val="fr-CH"/>
          </w:rPr>
          <w:t>2.9</w:t>
        </w:r>
        <w:r w:rsidR="00EF204E" w:rsidRPr="00EE1BD5">
          <w:rPr>
            <w:rFonts w:ascii="Times New Roman" w:eastAsiaTheme="minorEastAsia" w:hAnsi="Times New Roman" w:cs="Times New Roman"/>
            <w:b w:val="0"/>
            <w:bCs w:val="0"/>
            <w:snapToGrid/>
            <w:sz w:val="22"/>
            <w:szCs w:val="22"/>
            <w:lang w:val="en-US" w:eastAsia="ja-JP"/>
          </w:rPr>
          <w:tab/>
        </w:r>
        <w:r w:rsidR="00EF204E" w:rsidRPr="00EE1BD5">
          <w:rPr>
            <w:rStyle w:val="Hyperlink"/>
            <w:rFonts w:ascii="Times New Roman" w:hAnsi="Times New Roman" w:cs="Times New Roman"/>
            <w:color w:val="auto"/>
            <w:sz w:val="22"/>
            <w:szCs w:val="22"/>
            <w:lang w:val="fr-CH"/>
          </w:rPr>
          <w:t>Echange de renseignements sur les produits chimiques dont le Comité d’étude des produits chimiques a recommandé l’inscription à l’annexe III mais pour lesquels la Conférence des Parties doit encore prendre une décision finale (décisions RC-3/3 et RC-4/4 et RC-6/8 de la Conférence des Parties)</w:t>
        </w:r>
        <w:r w:rsidR="00EF204E" w:rsidRPr="00EE1BD5">
          <w:rPr>
            <w:rFonts w:ascii="Times New Roman" w:hAnsi="Times New Roman" w:cs="Times New Roman"/>
            <w:webHidden/>
            <w:sz w:val="22"/>
            <w:szCs w:val="22"/>
          </w:rPr>
          <w:tab/>
        </w:r>
        <w:r w:rsidRPr="00EE1BD5">
          <w:rPr>
            <w:rFonts w:ascii="Times New Roman" w:hAnsi="Times New Roman" w:cs="Times New Roman"/>
            <w:webHidden/>
            <w:sz w:val="22"/>
            <w:szCs w:val="22"/>
          </w:rPr>
          <w:fldChar w:fldCharType="begin"/>
        </w:r>
        <w:r w:rsidR="00EF204E" w:rsidRPr="00EE1BD5">
          <w:rPr>
            <w:rFonts w:ascii="Times New Roman" w:hAnsi="Times New Roman" w:cs="Times New Roman"/>
            <w:webHidden/>
            <w:sz w:val="22"/>
            <w:szCs w:val="22"/>
          </w:rPr>
          <w:instrText xml:space="preserve"> PAGEREF _Toc469005592 \h </w:instrText>
        </w:r>
        <w:r w:rsidRPr="00EE1BD5">
          <w:rPr>
            <w:rFonts w:ascii="Times New Roman" w:hAnsi="Times New Roman" w:cs="Times New Roman"/>
            <w:webHidden/>
            <w:sz w:val="22"/>
            <w:szCs w:val="22"/>
          </w:rPr>
        </w:r>
        <w:r w:rsidRPr="00EE1BD5">
          <w:rPr>
            <w:rFonts w:ascii="Times New Roman" w:hAnsi="Times New Roman" w:cs="Times New Roman"/>
            <w:webHidden/>
            <w:sz w:val="22"/>
            <w:szCs w:val="22"/>
          </w:rPr>
          <w:fldChar w:fldCharType="separate"/>
        </w:r>
        <w:r w:rsidR="00653A04">
          <w:rPr>
            <w:rFonts w:ascii="Times New Roman" w:hAnsi="Times New Roman" w:cs="Times New Roman"/>
            <w:webHidden/>
            <w:sz w:val="22"/>
            <w:szCs w:val="22"/>
          </w:rPr>
          <w:t>5</w:t>
        </w:r>
        <w:r w:rsidRPr="00EE1BD5">
          <w:rPr>
            <w:rFonts w:ascii="Times New Roman" w:hAnsi="Times New Roman" w:cs="Times New Roman"/>
            <w:webHidden/>
            <w:sz w:val="22"/>
            <w:szCs w:val="22"/>
          </w:rPr>
          <w:fldChar w:fldCharType="end"/>
        </w:r>
      </w:hyperlink>
    </w:p>
    <w:p w:rsidR="00EF204E" w:rsidRPr="00EE1BD5" w:rsidRDefault="00E526E5" w:rsidP="001E038C">
      <w:pPr>
        <w:pStyle w:val="TOC2"/>
        <w:spacing w:after="60"/>
        <w:rPr>
          <w:rFonts w:ascii="Times New Roman" w:eastAsiaTheme="minorEastAsia" w:hAnsi="Times New Roman" w:cs="Times New Roman"/>
          <w:b w:val="0"/>
          <w:bCs w:val="0"/>
          <w:snapToGrid/>
          <w:sz w:val="22"/>
          <w:szCs w:val="22"/>
          <w:lang w:val="en-US" w:eastAsia="ja-JP"/>
        </w:rPr>
      </w:pPr>
      <w:hyperlink w:anchor="_Toc469005593" w:history="1">
        <w:r w:rsidR="00EF204E" w:rsidRPr="00EE1BD5">
          <w:rPr>
            <w:rStyle w:val="Hyperlink"/>
            <w:rFonts w:ascii="Times New Roman" w:hAnsi="Times New Roman" w:cs="Times New Roman"/>
            <w:color w:val="auto"/>
            <w:sz w:val="22"/>
            <w:szCs w:val="22"/>
            <w:lang w:val="fr-CH"/>
          </w:rPr>
          <w:t>2.10</w:t>
        </w:r>
        <w:r w:rsidR="00EF204E" w:rsidRPr="00EE1BD5">
          <w:rPr>
            <w:rFonts w:ascii="Times New Roman" w:eastAsiaTheme="minorEastAsia" w:hAnsi="Times New Roman" w:cs="Times New Roman"/>
            <w:b w:val="0"/>
            <w:bCs w:val="0"/>
            <w:snapToGrid/>
            <w:sz w:val="22"/>
            <w:szCs w:val="22"/>
            <w:lang w:val="en-US" w:eastAsia="ja-JP"/>
          </w:rPr>
          <w:tab/>
        </w:r>
        <w:r w:rsidR="00EF204E" w:rsidRPr="00EE1BD5">
          <w:rPr>
            <w:rStyle w:val="Hyperlink"/>
            <w:rFonts w:ascii="Times New Roman" w:hAnsi="Times New Roman" w:cs="Times New Roman"/>
            <w:color w:val="auto"/>
            <w:sz w:val="22"/>
            <w:szCs w:val="22"/>
            <w:lang w:val="fr-CH"/>
          </w:rPr>
          <w:t>Renseignements sur les mouvements de tr</w:t>
        </w:r>
        <w:r w:rsidR="001F3C16">
          <w:rPr>
            <w:rStyle w:val="Hyperlink"/>
            <w:rFonts w:ascii="Times New Roman" w:hAnsi="Times New Roman" w:cs="Times New Roman"/>
            <w:color w:val="auto"/>
            <w:sz w:val="22"/>
            <w:szCs w:val="22"/>
            <w:lang w:val="fr-CH"/>
          </w:rPr>
          <w:t>ansit (article 14, paragraphe 5</w:t>
        </w:r>
        <w:r w:rsidR="00EF204E" w:rsidRPr="00EE1BD5">
          <w:rPr>
            <w:rStyle w:val="Hyperlink"/>
            <w:rFonts w:ascii="Times New Roman" w:hAnsi="Times New Roman" w:cs="Times New Roman"/>
            <w:color w:val="auto"/>
            <w:sz w:val="22"/>
            <w:szCs w:val="22"/>
            <w:lang w:val="fr-CH"/>
          </w:rPr>
          <w:t xml:space="preserve"> de la Convention)</w:t>
        </w:r>
        <w:r w:rsidR="00EF204E" w:rsidRPr="00EE1BD5">
          <w:rPr>
            <w:rFonts w:ascii="Times New Roman" w:hAnsi="Times New Roman" w:cs="Times New Roman"/>
            <w:webHidden/>
            <w:sz w:val="22"/>
            <w:szCs w:val="22"/>
          </w:rPr>
          <w:tab/>
        </w:r>
        <w:r w:rsidRPr="00EE1BD5">
          <w:rPr>
            <w:rFonts w:ascii="Times New Roman" w:hAnsi="Times New Roman" w:cs="Times New Roman"/>
            <w:webHidden/>
            <w:sz w:val="22"/>
            <w:szCs w:val="22"/>
          </w:rPr>
          <w:fldChar w:fldCharType="begin"/>
        </w:r>
        <w:r w:rsidR="00EF204E" w:rsidRPr="00EE1BD5">
          <w:rPr>
            <w:rFonts w:ascii="Times New Roman" w:hAnsi="Times New Roman" w:cs="Times New Roman"/>
            <w:webHidden/>
            <w:sz w:val="22"/>
            <w:szCs w:val="22"/>
          </w:rPr>
          <w:instrText xml:space="preserve"> PAGEREF _Toc469005593 \h </w:instrText>
        </w:r>
        <w:r w:rsidRPr="00EE1BD5">
          <w:rPr>
            <w:rFonts w:ascii="Times New Roman" w:hAnsi="Times New Roman" w:cs="Times New Roman"/>
            <w:webHidden/>
            <w:sz w:val="22"/>
            <w:szCs w:val="22"/>
          </w:rPr>
        </w:r>
        <w:r w:rsidRPr="00EE1BD5">
          <w:rPr>
            <w:rFonts w:ascii="Times New Roman" w:hAnsi="Times New Roman" w:cs="Times New Roman"/>
            <w:webHidden/>
            <w:sz w:val="22"/>
            <w:szCs w:val="22"/>
          </w:rPr>
          <w:fldChar w:fldCharType="separate"/>
        </w:r>
        <w:r w:rsidR="00653A04">
          <w:rPr>
            <w:rFonts w:ascii="Times New Roman" w:hAnsi="Times New Roman" w:cs="Times New Roman"/>
            <w:webHidden/>
            <w:sz w:val="22"/>
            <w:szCs w:val="22"/>
          </w:rPr>
          <w:t>6</w:t>
        </w:r>
        <w:r w:rsidRPr="00EE1BD5">
          <w:rPr>
            <w:rFonts w:ascii="Times New Roman" w:hAnsi="Times New Roman" w:cs="Times New Roman"/>
            <w:webHidden/>
            <w:sz w:val="22"/>
            <w:szCs w:val="22"/>
          </w:rPr>
          <w:fldChar w:fldCharType="end"/>
        </w:r>
      </w:hyperlink>
    </w:p>
    <w:p w:rsidR="00EF204E" w:rsidRPr="00EE1BD5" w:rsidRDefault="00E526E5" w:rsidP="001E038C">
      <w:pPr>
        <w:pStyle w:val="TOC2"/>
        <w:spacing w:after="60"/>
        <w:rPr>
          <w:rStyle w:val="Hyperlink"/>
          <w:rFonts w:ascii="Times New Roman" w:hAnsi="Times New Roman" w:cs="Times New Roman"/>
          <w:color w:val="auto"/>
          <w:sz w:val="22"/>
          <w:szCs w:val="22"/>
        </w:rPr>
      </w:pPr>
      <w:hyperlink w:anchor="_Toc469005594" w:history="1">
        <w:r w:rsidR="00EF204E" w:rsidRPr="00EE1BD5">
          <w:rPr>
            <w:rStyle w:val="Hyperlink"/>
            <w:rFonts w:ascii="Times New Roman" w:hAnsi="Times New Roman" w:cs="Times New Roman"/>
            <w:color w:val="auto"/>
            <w:sz w:val="22"/>
            <w:szCs w:val="22"/>
            <w:lang w:val="fr-CH"/>
          </w:rPr>
          <w:t>2.11</w:t>
        </w:r>
        <w:r w:rsidR="00EF204E" w:rsidRPr="00EE1BD5">
          <w:rPr>
            <w:rFonts w:ascii="Times New Roman" w:eastAsiaTheme="minorEastAsia" w:hAnsi="Times New Roman" w:cs="Times New Roman"/>
            <w:b w:val="0"/>
            <w:bCs w:val="0"/>
            <w:snapToGrid/>
            <w:sz w:val="22"/>
            <w:szCs w:val="22"/>
            <w:lang w:val="en-US" w:eastAsia="ja-JP"/>
          </w:rPr>
          <w:tab/>
        </w:r>
        <w:r w:rsidR="00EF204E" w:rsidRPr="00EE1BD5">
          <w:rPr>
            <w:rStyle w:val="Hyperlink"/>
            <w:rFonts w:ascii="Times New Roman" w:hAnsi="Times New Roman" w:cs="Times New Roman"/>
            <w:color w:val="auto"/>
            <w:sz w:val="22"/>
            <w:szCs w:val="22"/>
            <w:lang w:val="fr-CH"/>
          </w:rPr>
          <w:t>Que</w:t>
        </w:r>
        <w:r w:rsidR="00747640">
          <w:rPr>
            <w:rStyle w:val="Hyperlink"/>
            <w:rFonts w:ascii="Times New Roman" w:hAnsi="Times New Roman" w:cs="Times New Roman"/>
            <w:color w:val="auto"/>
            <w:sz w:val="22"/>
            <w:szCs w:val="22"/>
            <w:lang w:val="fr-CH"/>
          </w:rPr>
          <w:t>s</w:t>
        </w:r>
        <w:r w:rsidR="00EF204E" w:rsidRPr="00EE1BD5">
          <w:rPr>
            <w:rStyle w:val="Hyperlink"/>
            <w:rFonts w:ascii="Times New Roman" w:hAnsi="Times New Roman" w:cs="Times New Roman"/>
            <w:color w:val="auto"/>
            <w:sz w:val="22"/>
            <w:szCs w:val="22"/>
            <w:lang w:val="fr-CH"/>
          </w:rPr>
          <w:t>tionnaire sur l</w:t>
        </w:r>
        <w:r w:rsidR="00517EDF">
          <w:rPr>
            <w:rStyle w:val="Hyperlink"/>
            <w:rFonts w:ascii="Times New Roman" w:hAnsi="Times New Roman" w:cs="Times New Roman"/>
            <w:color w:val="auto"/>
            <w:sz w:val="22"/>
            <w:szCs w:val="22"/>
            <w:lang w:val="fr-CH"/>
          </w:rPr>
          <w:t>es</w:t>
        </w:r>
        <w:r w:rsidR="00EF204E" w:rsidRPr="00EE1BD5">
          <w:rPr>
            <w:rStyle w:val="Hyperlink"/>
            <w:rFonts w:ascii="Times New Roman" w:hAnsi="Times New Roman" w:cs="Times New Roman"/>
            <w:color w:val="auto"/>
            <w:sz w:val="22"/>
            <w:szCs w:val="22"/>
            <w:lang w:val="fr-CH"/>
          </w:rPr>
          <w:t xml:space="preserve"> definition</w:t>
        </w:r>
        <w:r w:rsidR="00517EDF">
          <w:rPr>
            <w:rStyle w:val="Hyperlink"/>
            <w:rFonts w:ascii="Times New Roman" w:hAnsi="Times New Roman" w:cs="Times New Roman"/>
            <w:color w:val="auto"/>
            <w:sz w:val="22"/>
            <w:szCs w:val="22"/>
            <w:lang w:val="fr-CH"/>
          </w:rPr>
          <w:t>s</w:t>
        </w:r>
        <w:r w:rsidR="00EF204E" w:rsidRPr="00EE1BD5">
          <w:rPr>
            <w:rStyle w:val="Hyperlink"/>
            <w:rFonts w:ascii="Times New Roman" w:hAnsi="Times New Roman" w:cs="Times New Roman"/>
            <w:color w:val="auto"/>
            <w:sz w:val="22"/>
            <w:szCs w:val="22"/>
            <w:lang w:val="fr-CH"/>
          </w:rPr>
          <w:t xml:space="preserve"> d</w:t>
        </w:r>
        <w:r w:rsidR="00517EDF">
          <w:rPr>
            <w:rStyle w:val="Hyperlink"/>
            <w:rFonts w:ascii="Times New Roman" w:hAnsi="Times New Roman" w:cs="Times New Roman"/>
            <w:color w:val="auto"/>
            <w:sz w:val="22"/>
            <w:szCs w:val="22"/>
            <w:lang w:val="fr-CH"/>
          </w:rPr>
          <w:t>u ter</w:t>
        </w:r>
        <w:r w:rsidR="00517EDF">
          <w:rPr>
            <w:rStyle w:val="Hyperlink"/>
            <w:rFonts w:ascii="Times New Roman" w:hAnsi="Times New Roman" w:cs="Times New Roman"/>
            <w:color w:val="auto"/>
            <w:sz w:val="22"/>
            <w:szCs w:val="22"/>
            <w:lang w:val="fr-CH"/>
          </w:rPr>
          <w:t>m</w:t>
        </w:r>
        <w:r w:rsidR="00EF204E" w:rsidRPr="00EE1BD5">
          <w:rPr>
            <w:rStyle w:val="Hyperlink"/>
            <w:rFonts w:ascii="Times New Roman" w:hAnsi="Times New Roman" w:cs="Times New Roman"/>
            <w:color w:val="auto"/>
            <w:sz w:val="22"/>
            <w:szCs w:val="22"/>
            <w:lang w:val="fr-CH"/>
          </w:rPr>
          <w:t xml:space="preserve">e </w:t>
        </w:r>
        <w:r w:rsidR="00517EDF">
          <w:rPr>
            <w:rStyle w:val="Hyperlink"/>
            <w:rFonts w:ascii="Times New Roman" w:hAnsi="Times New Roman" w:cs="Times New Roman"/>
            <w:color w:val="auto"/>
            <w:sz w:val="22"/>
            <w:szCs w:val="22"/>
            <w:lang w:val="fr-CH"/>
          </w:rPr>
          <w:t>« </w:t>
        </w:r>
        <w:r w:rsidR="00EF204E" w:rsidRPr="00EE1BD5">
          <w:rPr>
            <w:rStyle w:val="Hyperlink"/>
            <w:rFonts w:ascii="Times New Roman" w:hAnsi="Times New Roman" w:cs="Times New Roman"/>
            <w:color w:val="auto"/>
            <w:sz w:val="22"/>
            <w:szCs w:val="22"/>
            <w:lang w:val="fr-CH"/>
          </w:rPr>
          <w:t>pesticide</w:t>
        </w:r>
        <w:r w:rsidR="00517EDF">
          <w:rPr>
            <w:rStyle w:val="Hyperlink"/>
            <w:rFonts w:ascii="Times New Roman" w:hAnsi="Times New Roman" w:cs="Times New Roman"/>
            <w:color w:val="auto"/>
            <w:sz w:val="22"/>
            <w:szCs w:val="22"/>
            <w:lang w:val="fr-CH"/>
          </w:rPr>
          <w:t> »</w:t>
        </w:r>
        <w:r w:rsidR="00EF204E" w:rsidRPr="00EE1BD5">
          <w:rPr>
            <w:rFonts w:ascii="Times New Roman" w:hAnsi="Times New Roman" w:cs="Times New Roman"/>
            <w:webHidden/>
            <w:sz w:val="22"/>
            <w:szCs w:val="22"/>
          </w:rPr>
          <w:tab/>
        </w:r>
        <w:r w:rsidRPr="00EE1BD5">
          <w:rPr>
            <w:rFonts w:ascii="Times New Roman" w:hAnsi="Times New Roman" w:cs="Times New Roman"/>
            <w:webHidden/>
            <w:sz w:val="22"/>
            <w:szCs w:val="22"/>
          </w:rPr>
          <w:fldChar w:fldCharType="begin"/>
        </w:r>
        <w:r w:rsidR="00EF204E" w:rsidRPr="00EE1BD5">
          <w:rPr>
            <w:rFonts w:ascii="Times New Roman" w:hAnsi="Times New Roman" w:cs="Times New Roman"/>
            <w:webHidden/>
            <w:sz w:val="22"/>
            <w:szCs w:val="22"/>
          </w:rPr>
          <w:instrText xml:space="preserve"> PAGEREF _Toc469005594 \h </w:instrText>
        </w:r>
        <w:r w:rsidRPr="00EE1BD5">
          <w:rPr>
            <w:rFonts w:ascii="Times New Roman" w:hAnsi="Times New Roman" w:cs="Times New Roman"/>
            <w:webHidden/>
            <w:sz w:val="22"/>
            <w:szCs w:val="22"/>
          </w:rPr>
        </w:r>
        <w:r w:rsidRPr="00EE1BD5">
          <w:rPr>
            <w:rFonts w:ascii="Times New Roman" w:hAnsi="Times New Roman" w:cs="Times New Roman"/>
            <w:webHidden/>
            <w:sz w:val="22"/>
            <w:szCs w:val="22"/>
          </w:rPr>
          <w:fldChar w:fldCharType="separate"/>
        </w:r>
        <w:r w:rsidR="00653A04">
          <w:rPr>
            <w:rFonts w:ascii="Times New Roman" w:hAnsi="Times New Roman" w:cs="Times New Roman"/>
            <w:webHidden/>
            <w:sz w:val="22"/>
            <w:szCs w:val="22"/>
          </w:rPr>
          <w:t>6</w:t>
        </w:r>
        <w:r w:rsidRPr="00EE1BD5">
          <w:rPr>
            <w:rFonts w:ascii="Times New Roman" w:hAnsi="Times New Roman" w:cs="Times New Roman"/>
            <w:webHidden/>
            <w:sz w:val="22"/>
            <w:szCs w:val="22"/>
          </w:rPr>
          <w:fldChar w:fldCharType="end"/>
        </w:r>
      </w:hyperlink>
    </w:p>
    <w:p w:rsidR="001E038C" w:rsidRPr="00EE1BD5" w:rsidRDefault="001E038C" w:rsidP="001E038C">
      <w:pPr>
        <w:rPr>
          <w:rFonts w:eastAsiaTheme="minorEastAsia"/>
          <w:noProof/>
          <w:lang w:val="en-GB"/>
        </w:rPr>
      </w:pPr>
    </w:p>
    <w:p w:rsidR="00EF204E" w:rsidRPr="00EE1BD5" w:rsidRDefault="00E526E5" w:rsidP="001E038C">
      <w:pPr>
        <w:pStyle w:val="TOC1"/>
        <w:rPr>
          <w:rFonts w:eastAsiaTheme="minorEastAsia"/>
          <w:b w:val="0"/>
          <w:bCs w:val="0"/>
          <w:snapToGrid/>
          <w:lang w:val="en-US"/>
        </w:rPr>
      </w:pPr>
      <w:hyperlink w:anchor="_Toc469005595" w:history="1">
        <w:r w:rsidR="00EF204E" w:rsidRPr="00EE1BD5">
          <w:rPr>
            <w:rStyle w:val="Hyperlink"/>
            <w:color w:val="auto"/>
            <w:lang w:val="fr-CH"/>
          </w:rPr>
          <w:t>3.</w:t>
        </w:r>
        <w:r w:rsidR="00EF204E" w:rsidRPr="00EE1BD5">
          <w:rPr>
            <w:rFonts w:eastAsiaTheme="minorEastAsia"/>
            <w:b w:val="0"/>
            <w:bCs w:val="0"/>
            <w:snapToGrid/>
            <w:lang w:val="en-US"/>
          </w:rPr>
          <w:tab/>
        </w:r>
        <w:r w:rsidR="00EF204E" w:rsidRPr="00EE1BD5">
          <w:rPr>
            <w:rStyle w:val="Hyperlink"/>
            <w:color w:val="auto"/>
            <w:lang w:val="fr-CH"/>
          </w:rPr>
          <w:t>RENSEIGNEMENTS SUPPLEMENTAIRES DESTINES AUX AUTORITES NATIONALES DESIGNEES</w:t>
        </w:r>
        <w:r w:rsidR="00EF204E" w:rsidRPr="00EE1BD5">
          <w:rPr>
            <w:webHidden/>
          </w:rPr>
          <w:tab/>
        </w:r>
        <w:r w:rsidRPr="00EE1BD5">
          <w:rPr>
            <w:webHidden/>
          </w:rPr>
          <w:fldChar w:fldCharType="begin"/>
        </w:r>
        <w:r w:rsidR="00EF204E" w:rsidRPr="00EE1BD5">
          <w:rPr>
            <w:webHidden/>
          </w:rPr>
          <w:instrText xml:space="preserve"> PAGEREF _Toc469005595 \h </w:instrText>
        </w:r>
        <w:r w:rsidRPr="00EE1BD5">
          <w:rPr>
            <w:webHidden/>
          </w:rPr>
        </w:r>
        <w:r w:rsidRPr="00EE1BD5">
          <w:rPr>
            <w:webHidden/>
          </w:rPr>
          <w:fldChar w:fldCharType="separate"/>
        </w:r>
        <w:r w:rsidR="00653A04">
          <w:rPr>
            <w:webHidden/>
          </w:rPr>
          <w:t>6</w:t>
        </w:r>
        <w:r w:rsidRPr="00EE1BD5">
          <w:rPr>
            <w:webHidden/>
          </w:rPr>
          <w:fldChar w:fldCharType="end"/>
        </w:r>
      </w:hyperlink>
    </w:p>
    <w:p w:rsidR="00EF204E" w:rsidRPr="00EE1BD5" w:rsidRDefault="00E526E5" w:rsidP="001E038C">
      <w:pPr>
        <w:pStyle w:val="TOC2"/>
        <w:spacing w:after="60"/>
        <w:rPr>
          <w:rFonts w:ascii="Times New Roman" w:eastAsiaTheme="minorEastAsia" w:hAnsi="Times New Roman" w:cs="Times New Roman"/>
          <w:b w:val="0"/>
          <w:bCs w:val="0"/>
          <w:snapToGrid/>
          <w:sz w:val="22"/>
          <w:szCs w:val="22"/>
          <w:lang w:val="en-US" w:eastAsia="ja-JP"/>
        </w:rPr>
      </w:pPr>
      <w:hyperlink w:anchor="_Toc469005596" w:history="1">
        <w:r w:rsidR="00EF204E" w:rsidRPr="00EE1BD5">
          <w:rPr>
            <w:rStyle w:val="Hyperlink"/>
            <w:rFonts w:ascii="Times New Roman" w:hAnsi="Times New Roman" w:cs="Times New Roman"/>
            <w:color w:val="auto"/>
            <w:sz w:val="22"/>
            <w:szCs w:val="22"/>
            <w:lang w:val="fr-CH"/>
          </w:rPr>
          <w:t>3.1</w:t>
        </w:r>
        <w:r w:rsidR="00EF204E" w:rsidRPr="00EE1BD5">
          <w:rPr>
            <w:rFonts w:ascii="Times New Roman" w:eastAsiaTheme="minorEastAsia" w:hAnsi="Times New Roman" w:cs="Times New Roman"/>
            <w:b w:val="0"/>
            <w:bCs w:val="0"/>
            <w:snapToGrid/>
            <w:sz w:val="22"/>
            <w:szCs w:val="22"/>
            <w:lang w:val="en-US" w:eastAsia="ja-JP"/>
          </w:rPr>
          <w:tab/>
        </w:r>
        <w:r w:rsidR="00EF204E" w:rsidRPr="00EE1BD5">
          <w:rPr>
            <w:rStyle w:val="Hyperlink"/>
            <w:rFonts w:ascii="Times New Roman" w:hAnsi="Times New Roman" w:cs="Times New Roman"/>
            <w:color w:val="auto"/>
            <w:sz w:val="22"/>
            <w:szCs w:val="22"/>
            <w:lang w:val="fr-CH"/>
          </w:rPr>
          <w:t>Renseignements sur l’état de ratification</w:t>
        </w:r>
        <w:r w:rsidR="00517EDF">
          <w:rPr>
            <w:rStyle w:val="Hyperlink"/>
            <w:rFonts w:ascii="Times New Roman" w:hAnsi="Times New Roman" w:cs="Times New Roman"/>
            <w:color w:val="auto"/>
            <w:sz w:val="22"/>
            <w:szCs w:val="22"/>
            <w:lang w:val="fr-CH"/>
          </w:rPr>
          <w:t>s</w:t>
        </w:r>
        <w:r w:rsidR="00EF204E" w:rsidRPr="00EE1BD5">
          <w:rPr>
            <w:rStyle w:val="Hyperlink"/>
            <w:rFonts w:ascii="Times New Roman" w:hAnsi="Times New Roman" w:cs="Times New Roman"/>
            <w:color w:val="auto"/>
            <w:sz w:val="22"/>
            <w:szCs w:val="22"/>
            <w:lang w:val="fr-CH"/>
          </w:rPr>
          <w:t xml:space="preserve"> de la Convention</w:t>
        </w:r>
        <w:r w:rsidR="00EF204E" w:rsidRPr="00EE1BD5">
          <w:rPr>
            <w:rFonts w:ascii="Times New Roman" w:hAnsi="Times New Roman" w:cs="Times New Roman"/>
            <w:webHidden/>
            <w:sz w:val="22"/>
            <w:szCs w:val="22"/>
          </w:rPr>
          <w:tab/>
        </w:r>
        <w:r w:rsidRPr="00EE1BD5">
          <w:rPr>
            <w:rFonts w:ascii="Times New Roman" w:hAnsi="Times New Roman" w:cs="Times New Roman"/>
            <w:webHidden/>
            <w:sz w:val="22"/>
            <w:szCs w:val="22"/>
          </w:rPr>
          <w:fldChar w:fldCharType="begin"/>
        </w:r>
        <w:r w:rsidR="00EF204E" w:rsidRPr="00EE1BD5">
          <w:rPr>
            <w:rFonts w:ascii="Times New Roman" w:hAnsi="Times New Roman" w:cs="Times New Roman"/>
            <w:webHidden/>
            <w:sz w:val="22"/>
            <w:szCs w:val="22"/>
          </w:rPr>
          <w:instrText xml:space="preserve"> PAGEREF _Toc469005596 \h </w:instrText>
        </w:r>
        <w:r w:rsidRPr="00EE1BD5">
          <w:rPr>
            <w:rFonts w:ascii="Times New Roman" w:hAnsi="Times New Roman" w:cs="Times New Roman"/>
            <w:webHidden/>
            <w:sz w:val="22"/>
            <w:szCs w:val="22"/>
          </w:rPr>
        </w:r>
        <w:r w:rsidRPr="00EE1BD5">
          <w:rPr>
            <w:rFonts w:ascii="Times New Roman" w:hAnsi="Times New Roman" w:cs="Times New Roman"/>
            <w:webHidden/>
            <w:sz w:val="22"/>
            <w:szCs w:val="22"/>
          </w:rPr>
          <w:fldChar w:fldCharType="separate"/>
        </w:r>
        <w:r w:rsidR="00653A04">
          <w:rPr>
            <w:rFonts w:ascii="Times New Roman" w:hAnsi="Times New Roman" w:cs="Times New Roman"/>
            <w:webHidden/>
            <w:sz w:val="22"/>
            <w:szCs w:val="22"/>
          </w:rPr>
          <w:t>6</w:t>
        </w:r>
        <w:r w:rsidRPr="00EE1BD5">
          <w:rPr>
            <w:rFonts w:ascii="Times New Roman" w:hAnsi="Times New Roman" w:cs="Times New Roman"/>
            <w:webHidden/>
            <w:sz w:val="22"/>
            <w:szCs w:val="22"/>
          </w:rPr>
          <w:fldChar w:fldCharType="end"/>
        </w:r>
      </w:hyperlink>
    </w:p>
    <w:p w:rsidR="00EF204E" w:rsidRPr="00EE1BD5" w:rsidRDefault="00E526E5" w:rsidP="001E038C">
      <w:pPr>
        <w:pStyle w:val="TOC2"/>
        <w:spacing w:after="60"/>
        <w:rPr>
          <w:rFonts w:ascii="Times New Roman" w:eastAsiaTheme="minorEastAsia" w:hAnsi="Times New Roman" w:cs="Times New Roman"/>
          <w:b w:val="0"/>
          <w:bCs w:val="0"/>
          <w:snapToGrid/>
          <w:sz w:val="22"/>
          <w:szCs w:val="22"/>
          <w:lang w:val="en-US" w:eastAsia="ja-JP"/>
        </w:rPr>
      </w:pPr>
      <w:hyperlink w:anchor="_Toc469005597" w:history="1">
        <w:r w:rsidR="00EF204E" w:rsidRPr="00EE1BD5">
          <w:rPr>
            <w:rStyle w:val="Hyperlink"/>
            <w:rFonts w:ascii="Times New Roman" w:hAnsi="Times New Roman" w:cs="Times New Roman"/>
            <w:color w:val="auto"/>
            <w:sz w:val="22"/>
            <w:szCs w:val="22"/>
            <w:lang w:val="fr-CH"/>
          </w:rPr>
          <w:t>3.2</w:t>
        </w:r>
        <w:r w:rsidR="00EF204E" w:rsidRPr="00EE1BD5">
          <w:rPr>
            <w:rFonts w:ascii="Times New Roman" w:eastAsiaTheme="minorEastAsia" w:hAnsi="Times New Roman" w:cs="Times New Roman"/>
            <w:b w:val="0"/>
            <w:bCs w:val="0"/>
            <w:snapToGrid/>
            <w:sz w:val="22"/>
            <w:szCs w:val="22"/>
            <w:lang w:val="en-US" w:eastAsia="ja-JP"/>
          </w:rPr>
          <w:tab/>
        </w:r>
        <w:r w:rsidR="00EF204E" w:rsidRPr="00EE1BD5">
          <w:rPr>
            <w:rStyle w:val="Hyperlink"/>
            <w:rFonts w:ascii="Times New Roman" w:hAnsi="Times New Roman" w:cs="Times New Roman"/>
            <w:color w:val="auto"/>
            <w:sz w:val="22"/>
            <w:szCs w:val="22"/>
            <w:lang w:val="fr-CH"/>
          </w:rPr>
          <w:t>Liste des documents et publications disponibles relatifs à la mise ne oeuvre de la Con-vention de Rotterdam</w:t>
        </w:r>
        <w:r w:rsidR="00EF204E" w:rsidRPr="00EE1BD5">
          <w:rPr>
            <w:rFonts w:ascii="Times New Roman" w:hAnsi="Times New Roman" w:cs="Times New Roman"/>
            <w:webHidden/>
            <w:sz w:val="22"/>
            <w:szCs w:val="22"/>
          </w:rPr>
          <w:tab/>
        </w:r>
        <w:r w:rsidRPr="00EE1BD5">
          <w:rPr>
            <w:rFonts w:ascii="Times New Roman" w:hAnsi="Times New Roman" w:cs="Times New Roman"/>
            <w:webHidden/>
            <w:sz w:val="22"/>
            <w:szCs w:val="22"/>
          </w:rPr>
          <w:fldChar w:fldCharType="begin"/>
        </w:r>
        <w:r w:rsidR="00EF204E" w:rsidRPr="00EE1BD5">
          <w:rPr>
            <w:rFonts w:ascii="Times New Roman" w:hAnsi="Times New Roman" w:cs="Times New Roman"/>
            <w:webHidden/>
            <w:sz w:val="22"/>
            <w:szCs w:val="22"/>
          </w:rPr>
          <w:instrText xml:space="preserve"> PAGEREF _Toc469005597 \h </w:instrText>
        </w:r>
        <w:r w:rsidRPr="00EE1BD5">
          <w:rPr>
            <w:rFonts w:ascii="Times New Roman" w:hAnsi="Times New Roman" w:cs="Times New Roman"/>
            <w:webHidden/>
            <w:sz w:val="22"/>
            <w:szCs w:val="22"/>
          </w:rPr>
        </w:r>
        <w:r w:rsidRPr="00EE1BD5">
          <w:rPr>
            <w:rFonts w:ascii="Times New Roman" w:hAnsi="Times New Roman" w:cs="Times New Roman"/>
            <w:webHidden/>
            <w:sz w:val="22"/>
            <w:szCs w:val="22"/>
          </w:rPr>
          <w:fldChar w:fldCharType="separate"/>
        </w:r>
        <w:r w:rsidR="00653A04">
          <w:rPr>
            <w:rFonts w:ascii="Times New Roman" w:hAnsi="Times New Roman" w:cs="Times New Roman"/>
            <w:webHidden/>
            <w:sz w:val="22"/>
            <w:szCs w:val="22"/>
          </w:rPr>
          <w:t>7</w:t>
        </w:r>
        <w:r w:rsidRPr="00EE1BD5">
          <w:rPr>
            <w:rFonts w:ascii="Times New Roman" w:hAnsi="Times New Roman" w:cs="Times New Roman"/>
            <w:webHidden/>
            <w:sz w:val="22"/>
            <w:szCs w:val="22"/>
          </w:rPr>
          <w:fldChar w:fldCharType="end"/>
        </w:r>
      </w:hyperlink>
    </w:p>
    <w:p w:rsidR="001E038C" w:rsidRPr="00EE1BD5" w:rsidRDefault="00E526E5" w:rsidP="001E038C">
      <w:pPr>
        <w:pStyle w:val="TOC2"/>
        <w:spacing w:after="60"/>
        <w:rPr>
          <w:rFonts w:ascii="Times New Roman" w:eastAsiaTheme="minorEastAsia" w:hAnsi="Times New Roman" w:cs="Times New Roman"/>
          <w:b w:val="0"/>
          <w:bCs w:val="0"/>
          <w:snapToGrid/>
          <w:sz w:val="22"/>
          <w:szCs w:val="22"/>
          <w:lang w:val="en-US" w:eastAsia="ja-JP"/>
        </w:rPr>
      </w:pPr>
      <w:hyperlink w:anchor="_Toc469005598" w:history="1">
        <w:r w:rsidR="00EF204E" w:rsidRPr="00EE1BD5">
          <w:rPr>
            <w:rStyle w:val="Hyperlink"/>
            <w:rFonts w:ascii="Times New Roman" w:hAnsi="Times New Roman" w:cs="Times New Roman"/>
            <w:color w:val="auto"/>
            <w:sz w:val="22"/>
            <w:szCs w:val="22"/>
            <w:lang w:val="fr-CH"/>
          </w:rPr>
          <w:t>3.3</w:t>
        </w:r>
        <w:r w:rsidR="00EF204E" w:rsidRPr="00EE1BD5">
          <w:rPr>
            <w:rFonts w:ascii="Times New Roman" w:eastAsiaTheme="minorEastAsia" w:hAnsi="Times New Roman" w:cs="Times New Roman"/>
            <w:b w:val="0"/>
            <w:bCs w:val="0"/>
            <w:snapToGrid/>
            <w:sz w:val="22"/>
            <w:szCs w:val="22"/>
            <w:lang w:val="en-US" w:eastAsia="ja-JP"/>
          </w:rPr>
          <w:tab/>
        </w:r>
        <w:r w:rsidR="00EF204E" w:rsidRPr="00EE1BD5">
          <w:rPr>
            <w:rStyle w:val="Hyperlink"/>
            <w:rFonts w:ascii="Times New Roman" w:hAnsi="Times New Roman" w:cs="Times New Roman"/>
            <w:color w:val="auto"/>
            <w:sz w:val="22"/>
            <w:szCs w:val="22"/>
            <w:lang w:val="fr-CH"/>
          </w:rPr>
          <w:t>Kit des ressources sur la Convention de Rotterdam</w:t>
        </w:r>
        <w:r w:rsidR="00EF204E" w:rsidRPr="00EE1BD5">
          <w:rPr>
            <w:rFonts w:ascii="Times New Roman" w:hAnsi="Times New Roman" w:cs="Times New Roman"/>
            <w:webHidden/>
            <w:sz w:val="22"/>
            <w:szCs w:val="22"/>
          </w:rPr>
          <w:tab/>
        </w:r>
        <w:r w:rsidRPr="00EE1BD5">
          <w:rPr>
            <w:rFonts w:ascii="Times New Roman" w:hAnsi="Times New Roman" w:cs="Times New Roman"/>
            <w:webHidden/>
            <w:sz w:val="22"/>
            <w:szCs w:val="22"/>
          </w:rPr>
          <w:fldChar w:fldCharType="begin"/>
        </w:r>
        <w:r w:rsidR="00EF204E" w:rsidRPr="00EE1BD5">
          <w:rPr>
            <w:rFonts w:ascii="Times New Roman" w:hAnsi="Times New Roman" w:cs="Times New Roman"/>
            <w:webHidden/>
            <w:sz w:val="22"/>
            <w:szCs w:val="22"/>
          </w:rPr>
          <w:instrText xml:space="preserve"> PAGEREF _Toc469005598 \h </w:instrText>
        </w:r>
        <w:r w:rsidRPr="00EE1BD5">
          <w:rPr>
            <w:rFonts w:ascii="Times New Roman" w:hAnsi="Times New Roman" w:cs="Times New Roman"/>
            <w:webHidden/>
            <w:sz w:val="22"/>
            <w:szCs w:val="22"/>
          </w:rPr>
        </w:r>
        <w:r w:rsidRPr="00EE1BD5">
          <w:rPr>
            <w:rFonts w:ascii="Times New Roman" w:hAnsi="Times New Roman" w:cs="Times New Roman"/>
            <w:webHidden/>
            <w:sz w:val="22"/>
            <w:szCs w:val="22"/>
          </w:rPr>
          <w:fldChar w:fldCharType="separate"/>
        </w:r>
        <w:r w:rsidR="00653A04">
          <w:rPr>
            <w:rFonts w:ascii="Times New Roman" w:hAnsi="Times New Roman" w:cs="Times New Roman"/>
            <w:webHidden/>
            <w:sz w:val="22"/>
            <w:szCs w:val="22"/>
          </w:rPr>
          <w:t>8</w:t>
        </w:r>
        <w:r w:rsidRPr="00EE1BD5">
          <w:rPr>
            <w:rFonts w:ascii="Times New Roman" w:hAnsi="Times New Roman" w:cs="Times New Roman"/>
            <w:webHidden/>
            <w:sz w:val="22"/>
            <w:szCs w:val="22"/>
          </w:rPr>
          <w:fldChar w:fldCharType="end"/>
        </w:r>
      </w:hyperlink>
    </w:p>
    <w:p w:rsidR="001E038C" w:rsidRPr="00EE1BD5" w:rsidRDefault="001E038C" w:rsidP="001E038C">
      <w:pPr>
        <w:pStyle w:val="TOC2"/>
        <w:spacing w:after="60"/>
        <w:rPr>
          <w:rFonts w:ascii="Times New Roman" w:eastAsiaTheme="minorEastAsia" w:hAnsi="Times New Roman" w:cs="Times New Roman"/>
          <w:b w:val="0"/>
          <w:bCs w:val="0"/>
          <w:snapToGrid/>
          <w:sz w:val="22"/>
          <w:szCs w:val="22"/>
          <w:lang w:val="en-US" w:eastAsia="ja-JP"/>
        </w:rPr>
      </w:pPr>
    </w:p>
    <w:p w:rsidR="001E038C" w:rsidRPr="00EE1BD5" w:rsidRDefault="001E038C" w:rsidP="001E038C">
      <w:pPr>
        <w:spacing w:after="60"/>
        <w:rPr>
          <w:rFonts w:eastAsiaTheme="minorEastAsia"/>
          <w:b/>
          <w:noProof/>
          <w:sz w:val="22"/>
          <w:szCs w:val="22"/>
          <w:u w:val="single"/>
          <w:lang w:eastAsia="ja-JP"/>
        </w:rPr>
      </w:pPr>
      <w:r w:rsidRPr="00EE1BD5">
        <w:rPr>
          <w:rFonts w:eastAsiaTheme="minorEastAsia"/>
          <w:b/>
          <w:noProof/>
          <w:sz w:val="22"/>
          <w:szCs w:val="22"/>
          <w:u w:val="single"/>
          <w:lang w:eastAsia="ja-JP"/>
        </w:rPr>
        <w:t>APPENDICE I</w:t>
      </w:r>
    </w:p>
    <w:p w:rsidR="00EF204E" w:rsidRPr="00EE1BD5" w:rsidRDefault="00E526E5" w:rsidP="001E038C">
      <w:pPr>
        <w:pStyle w:val="TOC1"/>
        <w:rPr>
          <w:rFonts w:eastAsiaTheme="minorEastAsia"/>
          <w:b w:val="0"/>
          <w:bCs w:val="0"/>
          <w:snapToGrid/>
          <w:lang w:val="en-US"/>
        </w:rPr>
      </w:pPr>
      <w:hyperlink w:anchor="_Toc469005600" w:history="1">
        <w:r w:rsidR="00EF204E" w:rsidRPr="00EE1BD5">
          <w:rPr>
            <w:rStyle w:val="Hyperlink"/>
            <w:color w:val="auto"/>
            <w:lang w:val="fr-CH"/>
          </w:rPr>
          <w:t xml:space="preserve">SYNOPSIS DES NOTIFICATIONS DE MESURES DE </w:t>
        </w:r>
        <w:r w:rsidR="001F3C16">
          <w:rPr>
            <w:rStyle w:val="Hyperlink"/>
            <w:color w:val="auto"/>
            <w:lang w:val="fr-CH"/>
          </w:rPr>
          <w:t>RÉGLEMENTATION</w:t>
        </w:r>
        <w:r w:rsidR="00EF204E" w:rsidRPr="00EE1BD5">
          <w:rPr>
            <w:rStyle w:val="Hyperlink"/>
            <w:color w:val="auto"/>
            <w:lang w:val="fr-CH"/>
          </w:rPr>
          <w:t xml:space="preserve"> FINALE REÇUES DEPUIS LA DERNIERE CIRCULAIRE PIC</w:t>
        </w:r>
        <w:r w:rsidR="00EF204E" w:rsidRPr="00EE1BD5">
          <w:rPr>
            <w:webHidden/>
          </w:rPr>
          <w:tab/>
        </w:r>
        <w:r w:rsidRPr="00EE1BD5">
          <w:rPr>
            <w:webHidden/>
          </w:rPr>
          <w:fldChar w:fldCharType="begin"/>
        </w:r>
        <w:r w:rsidR="00EF204E" w:rsidRPr="00EE1BD5">
          <w:rPr>
            <w:webHidden/>
          </w:rPr>
          <w:instrText xml:space="preserve"> PAGEREF _Toc469005600 \h </w:instrText>
        </w:r>
        <w:r w:rsidRPr="00EE1BD5">
          <w:rPr>
            <w:webHidden/>
          </w:rPr>
        </w:r>
        <w:r w:rsidRPr="00EE1BD5">
          <w:rPr>
            <w:webHidden/>
          </w:rPr>
          <w:fldChar w:fldCharType="separate"/>
        </w:r>
        <w:r w:rsidR="00653A04">
          <w:rPr>
            <w:webHidden/>
          </w:rPr>
          <w:t>9</w:t>
        </w:r>
        <w:r w:rsidRPr="00EE1BD5">
          <w:rPr>
            <w:webHidden/>
          </w:rPr>
          <w:fldChar w:fldCharType="end"/>
        </w:r>
      </w:hyperlink>
    </w:p>
    <w:p w:rsidR="001E038C" w:rsidRPr="00EE1BD5" w:rsidRDefault="001E038C" w:rsidP="001E038C">
      <w:pPr>
        <w:rPr>
          <w:rFonts w:eastAsiaTheme="minorEastAsia"/>
          <w:noProof/>
          <w:lang w:val="en-GB"/>
        </w:rPr>
      </w:pPr>
    </w:p>
    <w:p w:rsidR="001E038C" w:rsidRPr="00EE1BD5" w:rsidRDefault="001E038C" w:rsidP="001E038C">
      <w:pPr>
        <w:spacing w:after="60"/>
        <w:rPr>
          <w:rFonts w:eastAsiaTheme="minorEastAsia"/>
          <w:b/>
          <w:noProof/>
          <w:sz w:val="22"/>
          <w:szCs w:val="22"/>
          <w:u w:val="single"/>
          <w:lang w:eastAsia="ja-JP"/>
        </w:rPr>
      </w:pPr>
      <w:r w:rsidRPr="00EE1BD5">
        <w:rPr>
          <w:rFonts w:eastAsiaTheme="minorEastAsia"/>
          <w:b/>
          <w:noProof/>
          <w:sz w:val="22"/>
          <w:szCs w:val="22"/>
          <w:u w:val="single"/>
          <w:lang w:eastAsia="ja-JP"/>
        </w:rPr>
        <w:t>APPENDICE II</w:t>
      </w:r>
    </w:p>
    <w:p w:rsidR="00EF204E" w:rsidRPr="00EE1BD5" w:rsidRDefault="00E526E5" w:rsidP="001E038C">
      <w:pPr>
        <w:pStyle w:val="TOC1"/>
        <w:rPr>
          <w:rFonts w:eastAsiaTheme="minorEastAsia"/>
          <w:b w:val="0"/>
          <w:bCs w:val="0"/>
          <w:snapToGrid/>
          <w:lang w:val="en-US"/>
        </w:rPr>
      </w:pPr>
      <w:hyperlink w:anchor="_Toc469005605" w:history="1">
        <w:r w:rsidR="00EF204E" w:rsidRPr="00EE1BD5">
          <w:rPr>
            <w:rStyle w:val="Hyperlink"/>
            <w:color w:val="auto"/>
            <w:lang w:val="fr-CH"/>
          </w:rPr>
          <w:t>PROPOSITIONS VISANT A INCLURE DES PREPARATIONS PESTICIDES EXTRÊMEMENT DANGEREUSES REÇUES DES PARTIES</w:t>
        </w:r>
        <w:r w:rsidR="00EC1F67">
          <w:rPr>
            <w:rStyle w:val="Hyperlink"/>
            <w:color w:val="auto"/>
            <w:lang w:val="fr-CH"/>
          </w:rPr>
          <w:t xml:space="preserve"> DANS LA PROCEDURE PIC</w:t>
        </w:r>
        <w:r w:rsidR="00EF204E" w:rsidRPr="00EE1BD5">
          <w:rPr>
            <w:webHidden/>
          </w:rPr>
          <w:tab/>
        </w:r>
        <w:r w:rsidRPr="00EE1BD5">
          <w:rPr>
            <w:webHidden/>
          </w:rPr>
          <w:fldChar w:fldCharType="begin"/>
        </w:r>
        <w:r w:rsidR="00EF204E" w:rsidRPr="00EE1BD5">
          <w:rPr>
            <w:webHidden/>
          </w:rPr>
          <w:instrText xml:space="preserve"> PAGEREF _Toc469005605 \h </w:instrText>
        </w:r>
        <w:r w:rsidRPr="00EE1BD5">
          <w:rPr>
            <w:webHidden/>
          </w:rPr>
        </w:r>
        <w:r w:rsidRPr="00EE1BD5">
          <w:rPr>
            <w:webHidden/>
          </w:rPr>
          <w:fldChar w:fldCharType="separate"/>
        </w:r>
        <w:r w:rsidR="00653A04">
          <w:rPr>
            <w:webHidden/>
          </w:rPr>
          <w:t>20</w:t>
        </w:r>
        <w:r w:rsidRPr="00EE1BD5">
          <w:rPr>
            <w:webHidden/>
          </w:rPr>
          <w:fldChar w:fldCharType="end"/>
        </w:r>
      </w:hyperlink>
    </w:p>
    <w:p w:rsidR="001E038C" w:rsidRPr="00EE1BD5" w:rsidRDefault="001E038C" w:rsidP="001E038C">
      <w:pPr>
        <w:rPr>
          <w:rFonts w:eastAsiaTheme="minorEastAsia"/>
          <w:noProof/>
          <w:lang w:val="en-GB"/>
        </w:rPr>
      </w:pPr>
    </w:p>
    <w:p w:rsidR="001E038C" w:rsidRPr="00EE1BD5" w:rsidRDefault="001E038C" w:rsidP="001E038C">
      <w:pPr>
        <w:spacing w:after="60"/>
        <w:rPr>
          <w:rFonts w:eastAsiaTheme="minorEastAsia"/>
          <w:b/>
          <w:noProof/>
          <w:sz w:val="22"/>
          <w:szCs w:val="22"/>
          <w:u w:val="single"/>
          <w:lang w:eastAsia="ja-JP"/>
        </w:rPr>
      </w:pPr>
      <w:r w:rsidRPr="00EE1BD5">
        <w:rPr>
          <w:rFonts w:eastAsiaTheme="minorEastAsia"/>
          <w:b/>
          <w:noProof/>
          <w:sz w:val="22"/>
          <w:szCs w:val="22"/>
          <w:u w:val="single"/>
          <w:lang w:eastAsia="ja-JP"/>
        </w:rPr>
        <w:t>APPENDICE III</w:t>
      </w:r>
    </w:p>
    <w:p w:rsidR="00EF204E" w:rsidRPr="00EE1BD5" w:rsidRDefault="00E526E5" w:rsidP="001E038C">
      <w:pPr>
        <w:pStyle w:val="TOC1"/>
        <w:rPr>
          <w:rStyle w:val="Hyperlink"/>
          <w:color w:val="auto"/>
        </w:rPr>
      </w:pPr>
      <w:hyperlink w:anchor="_Toc469005609" w:history="1">
        <w:r w:rsidR="00EF204E" w:rsidRPr="00EE1BD5">
          <w:rPr>
            <w:rStyle w:val="Hyperlink"/>
            <w:rFonts w:eastAsia="SimSun"/>
            <w:color w:val="auto"/>
            <w:lang w:val="fr-CH" w:eastAsia="zh-CN"/>
          </w:rPr>
          <w:t xml:space="preserve">PRODUITS CHIMIQUES SOUMIS À LA PROCEDURE </w:t>
        </w:r>
        <w:r w:rsidR="00EC1F67">
          <w:rPr>
            <w:rStyle w:val="Hyperlink"/>
            <w:rFonts w:eastAsia="SimSun"/>
            <w:color w:val="auto"/>
            <w:lang w:val="fr-CH" w:eastAsia="zh-CN"/>
          </w:rPr>
          <w:t>PIC</w:t>
        </w:r>
        <w:r w:rsidR="00EF204E" w:rsidRPr="00EE1BD5">
          <w:rPr>
            <w:webHidden/>
          </w:rPr>
          <w:tab/>
        </w:r>
        <w:r w:rsidRPr="00EE1BD5">
          <w:rPr>
            <w:webHidden/>
          </w:rPr>
          <w:fldChar w:fldCharType="begin"/>
        </w:r>
        <w:r w:rsidR="00EF204E" w:rsidRPr="00EE1BD5">
          <w:rPr>
            <w:webHidden/>
          </w:rPr>
          <w:instrText xml:space="preserve"> PAGEREF _Toc469005609 \h </w:instrText>
        </w:r>
        <w:r w:rsidRPr="00EE1BD5">
          <w:rPr>
            <w:webHidden/>
          </w:rPr>
        </w:r>
        <w:r w:rsidRPr="00EE1BD5">
          <w:rPr>
            <w:webHidden/>
          </w:rPr>
          <w:fldChar w:fldCharType="separate"/>
        </w:r>
        <w:r w:rsidR="00653A04">
          <w:rPr>
            <w:webHidden/>
          </w:rPr>
          <w:t>21</w:t>
        </w:r>
        <w:r w:rsidRPr="00EE1BD5">
          <w:rPr>
            <w:webHidden/>
          </w:rPr>
          <w:fldChar w:fldCharType="end"/>
        </w:r>
      </w:hyperlink>
    </w:p>
    <w:p w:rsidR="001E038C" w:rsidRPr="00EE1BD5" w:rsidRDefault="001E038C" w:rsidP="001E038C">
      <w:pPr>
        <w:rPr>
          <w:rFonts w:eastAsiaTheme="minorEastAsia"/>
          <w:noProof/>
          <w:lang w:val="en-GB" w:eastAsia="ja-JP"/>
        </w:rPr>
      </w:pPr>
    </w:p>
    <w:p w:rsidR="001E038C" w:rsidRPr="00EE1BD5" w:rsidRDefault="001E038C" w:rsidP="001E038C">
      <w:pPr>
        <w:spacing w:after="60"/>
        <w:rPr>
          <w:rFonts w:eastAsiaTheme="minorEastAsia"/>
          <w:b/>
          <w:noProof/>
          <w:sz w:val="22"/>
          <w:szCs w:val="22"/>
          <w:u w:val="single"/>
          <w:lang w:eastAsia="ja-JP"/>
        </w:rPr>
      </w:pPr>
      <w:r w:rsidRPr="00EE1BD5">
        <w:rPr>
          <w:rFonts w:eastAsiaTheme="minorEastAsia"/>
          <w:b/>
          <w:noProof/>
          <w:sz w:val="22"/>
          <w:szCs w:val="22"/>
          <w:u w:val="single"/>
          <w:lang w:eastAsia="ja-JP"/>
        </w:rPr>
        <w:t>APPENDICE IV</w:t>
      </w:r>
    </w:p>
    <w:p w:rsidR="00EF204E" w:rsidRPr="00EE1BD5" w:rsidRDefault="00E526E5" w:rsidP="001E038C">
      <w:pPr>
        <w:pStyle w:val="TOC1"/>
        <w:rPr>
          <w:rFonts w:eastAsiaTheme="minorEastAsia"/>
          <w:b w:val="0"/>
          <w:bCs w:val="0"/>
          <w:snapToGrid/>
          <w:lang w:val="en-US"/>
        </w:rPr>
      </w:pPr>
      <w:hyperlink w:anchor="_Toc469005611" w:history="1">
        <w:r w:rsidR="00EF204E" w:rsidRPr="003C616B">
          <w:rPr>
            <w:rStyle w:val="Hyperlink"/>
            <w:color w:val="auto"/>
            <w:lang w:val="fr-CH"/>
          </w:rPr>
          <w:t>RÉCAPITULATION DE TOUTES LES DECISIONS CONCERNANT L’IMPORTATION</w:t>
        </w:r>
        <w:r w:rsidR="003C616B" w:rsidRPr="003C616B">
          <w:t xml:space="preserve"> </w:t>
        </w:r>
        <w:r w:rsidR="003C616B" w:rsidRPr="003C616B">
          <w:rPr>
            <w:rStyle w:val="Hyperlink"/>
            <w:color w:val="auto"/>
            <w:lang w:val="fr-CH"/>
          </w:rPr>
          <w:t>REÇUES DES PARTIES ET LES CAS OÙ DES RÉPONSES N’ONT PAS ÉTÉ SOUMISES</w:t>
        </w:r>
        <w:r w:rsidR="00EF204E" w:rsidRPr="00EE1BD5">
          <w:rPr>
            <w:webHidden/>
          </w:rPr>
          <w:tab/>
        </w:r>
        <w:r w:rsidRPr="00EE1BD5">
          <w:rPr>
            <w:webHidden/>
          </w:rPr>
          <w:fldChar w:fldCharType="begin"/>
        </w:r>
        <w:r w:rsidR="00EF204E" w:rsidRPr="00EE1BD5">
          <w:rPr>
            <w:webHidden/>
          </w:rPr>
          <w:instrText xml:space="preserve"> PAGEREF _Toc469005611 \h </w:instrText>
        </w:r>
        <w:r w:rsidRPr="00EE1BD5">
          <w:rPr>
            <w:webHidden/>
          </w:rPr>
        </w:r>
        <w:r w:rsidRPr="00EE1BD5">
          <w:rPr>
            <w:webHidden/>
          </w:rPr>
          <w:fldChar w:fldCharType="separate"/>
        </w:r>
        <w:r w:rsidR="00653A04">
          <w:rPr>
            <w:webHidden/>
          </w:rPr>
          <w:t>25</w:t>
        </w:r>
        <w:r w:rsidRPr="00EE1BD5">
          <w:rPr>
            <w:webHidden/>
          </w:rPr>
          <w:fldChar w:fldCharType="end"/>
        </w:r>
      </w:hyperlink>
    </w:p>
    <w:p w:rsidR="001E038C" w:rsidRPr="00EE1BD5" w:rsidRDefault="001E038C" w:rsidP="001E038C">
      <w:pPr>
        <w:rPr>
          <w:rFonts w:eastAsiaTheme="minorEastAsia"/>
          <w:noProof/>
          <w:lang w:val="en-GB"/>
        </w:rPr>
      </w:pPr>
    </w:p>
    <w:p w:rsidR="001E038C" w:rsidRPr="00EE1BD5" w:rsidRDefault="001E038C" w:rsidP="001E038C">
      <w:pPr>
        <w:spacing w:after="60"/>
        <w:rPr>
          <w:rFonts w:eastAsiaTheme="minorEastAsia"/>
          <w:b/>
          <w:noProof/>
          <w:sz w:val="22"/>
          <w:szCs w:val="22"/>
          <w:u w:val="single"/>
          <w:lang w:eastAsia="ja-JP"/>
        </w:rPr>
      </w:pPr>
      <w:r w:rsidRPr="00EE1BD5">
        <w:rPr>
          <w:rFonts w:eastAsiaTheme="minorEastAsia"/>
          <w:b/>
          <w:noProof/>
          <w:sz w:val="22"/>
          <w:szCs w:val="22"/>
          <w:u w:val="single"/>
          <w:lang w:eastAsia="ja-JP"/>
        </w:rPr>
        <w:t>APPENDICE V</w:t>
      </w:r>
    </w:p>
    <w:p w:rsidR="00EF204E" w:rsidRPr="00EE1BD5" w:rsidRDefault="00E526E5" w:rsidP="001E038C">
      <w:pPr>
        <w:pStyle w:val="TOC1"/>
        <w:rPr>
          <w:rFonts w:eastAsiaTheme="minorEastAsia"/>
          <w:b w:val="0"/>
          <w:bCs w:val="0"/>
          <w:snapToGrid/>
          <w:lang w:val="en-US"/>
        </w:rPr>
      </w:pPr>
      <w:hyperlink w:anchor="_Toc469005614" w:history="1">
        <w:r w:rsidR="00EF204E" w:rsidRPr="00EE1BD5">
          <w:rPr>
            <w:rStyle w:val="Hyperlink"/>
            <w:color w:val="auto"/>
            <w:lang w:val="fr-CH" w:eastAsia="en-US"/>
          </w:rPr>
          <w:t xml:space="preserve">NOTIFICATIONS DE MESURE DE </w:t>
        </w:r>
        <w:r w:rsidR="001F3C16">
          <w:rPr>
            <w:rStyle w:val="Hyperlink"/>
            <w:color w:val="auto"/>
            <w:lang w:val="fr-CH" w:eastAsia="en-US"/>
          </w:rPr>
          <w:t>RÉGLEMENTATION</w:t>
        </w:r>
        <w:r w:rsidR="00EF204E" w:rsidRPr="00EE1BD5">
          <w:rPr>
            <w:rStyle w:val="Hyperlink"/>
            <w:color w:val="auto"/>
            <w:lang w:val="fr-CH" w:eastAsia="en-US"/>
          </w:rPr>
          <w:t xml:space="preserve"> FINALE POUR LES PRODUITS CHIMIQUE</w:t>
        </w:r>
        <w:r w:rsidR="00960E55">
          <w:rPr>
            <w:rStyle w:val="Hyperlink"/>
            <w:color w:val="auto"/>
            <w:lang w:val="fr-CH" w:eastAsia="en-US"/>
          </w:rPr>
          <w:t>S</w:t>
        </w:r>
        <w:r w:rsidR="00EF204E" w:rsidRPr="00EE1BD5">
          <w:rPr>
            <w:rStyle w:val="Hyperlink"/>
            <w:color w:val="auto"/>
            <w:lang w:val="fr-CH" w:eastAsia="en-US"/>
          </w:rPr>
          <w:t xml:space="preserve"> QUI NE SONT PAS INSCRITS A L’ANNEXE III</w:t>
        </w:r>
        <w:r w:rsidR="00EF204E" w:rsidRPr="00EE1BD5">
          <w:rPr>
            <w:webHidden/>
          </w:rPr>
          <w:tab/>
        </w:r>
        <w:r w:rsidRPr="00EE1BD5">
          <w:rPr>
            <w:webHidden/>
          </w:rPr>
          <w:fldChar w:fldCharType="begin"/>
        </w:r>
        <w:r w:rsidR="00EF204E" w:rsidRPr="00EE1BD5">
          <w:rPr>
            <w:webHidden/>
          </w:rPr>
          <w:instrText xml:space="preserve"> PAGEREF _Toc469005614 \h </w:instrText>
        </w:r>
        <w:r w:rsidRPr="00EE1BD5">
          <w:rPr>
            <w:webHidden/>
          </w:rPr>
        </w:r>
        <w:r w:rsidRPr="00EE1BD5">
          <w:rPr>
            <w:webHidden/>
          </w:rPr>
          <w:fldChar w:fldCharType="separate"/>
        </w:r>
        <w:r w:rsidR="00653A04">
          <w:rPr>
            <w:webHidden/>
          </w:rPr>
          <w:t>29</w:t>
        </w:r>
        <w:r w:rsidRPr="00EE1BD5">
          <w:rPr>
            <w:webHidden/>
          </w:rPr>
          <w:fldChar w:fldCharType="end"/>
        </w:r>
      </w:hyperlink>
    </w:p>
    <w:p w:rsidR="001E038C" w:rsidRPr="00EE1BD5" w:rsidRDefault="001E038C" w:rsidP="001E038C">
      <w:pPr>
        <w:rPr>
          <w:rFonts w:eastAsiaTheme="minorEastAsia"/>
          <w:noProof/>
          <w:lang w:val="en-GB"/>
        </w:rPr>
      </w:pPr>
    </w:p>
    <w:p w:rsidR="001E038C" w:rsidRPr="00EE1BD5" w:rsidRDefault="001E038C" w:rsidP="001E038C">
      <w:pPr>
        <w:spacing w:after="60"/>
        <w:rPr>
          <w:rFonts w:eastAsiaTheme="minorEastAsia"/>
          <w:b/>
          <w:noProof/>
          <w:sz w:val="22"/>
          <w:szCs w:val="22"/>
          <w:u w:val="single"/>
          <w:lang w:eastAsia="ja-JP"/>
        </w:rPr>
      </w:pPr>
      <w:r w:rsidRPr="00EE1BD5">
        <w:rPr>
          <w:rFonts w:eastAsiaTheme="minorEastAsia"/>
          <w:b/>
          <w:noProof/>
          <w:sz w:val="22"/>
          <w:szCs w:val="22"/>
          <w:u w:val="single"/>
          <w:lang w:eastAsia="ja-JP"/>
        </w:rPr>
        <w:t>APPENDICE VI</w:t>
      </w:r>
    </w:p>
    <w:p w:rsidR="00EF204E" w:rsidRDefault="00E526E5" w:rsidP="001E038C">
      <w:pPr>
        <w:pStyle w:val="TOC1"/>
        <w:rPr>
          <w:rFonts w:asciiTheme="minorHAnsi" w:eastAsiaTheme="minorEastAsia" w:hAnsiTheme="minorHAnsi" w:cstheme="minorBidi"/>
          <w:b w:val="0"/>
          <w:bCs w:val="0"/>
          <w:snapToGrid/>
          <w:lang w:val="en-US"/>
        </w:rPr>
      </w:pPr>
      <w:hyperlink w:anchor="_Toc469005619" w:history="1">
        <w:r w:rsidR="00EF204E" w:rsidRPr="00EE1BD5">
          <w:rPr>
            <w:rStyle w:val="Hyperlink"/>
            <w:color w:val="auto"/>
            <w:lang w:val="fr-CH"/>
          </w:rPr>
          <w:t>ECHANGE D’INFORMATIONS SUR LES PRODUITS CHIMIQUES DONT LE COMITE D’ETUDE DES PRODUITS CHIMIQUES A RECOMMANDE L’INSCRIPTION A L’ANNEXE III DE LA CONVENTION MAIS POUR L</w:t>
        </w:r>
        <w:r w:rsidR="00EF204E" w:rsidRPr="00EE1BD5">
          <w:rPr>
            <w:rStyle w:val="Hyperlink"/>
            <w:color w:val="auto"/>
            <w:lang w:val="fr-CH"/>
          </w:rPr>
          <w:t>E</w:t>
        </w:r>
        <w:r w:rsidR="00EF204E" w:rsidRPr="00EE1BD5">
          <w:rPr>
            <w:rStyle w:val="Hyperlink"/>
            <w:color w:val="auto"/>
            <w:lang w:val="fr-CH"/>
          </w:rPr>
          <w:t>SQUELS LA CONFERENCE DES PARTIES N’A PAS ENCORE PRIS DE DECISION</w:t>
        </w:r>
        <w:r w:rsidR="00517EDF">
          <w:rPr>
            <w:rStyle w:val="Hyperlink"/>
            <w:color w:val="auto"/>
            <w:lang w:val="fr-CH"/>
          </w:rPr>
          <w:t xml:space="preserve"> FINALE</w:t>
        </w:r>
        <w:r w:rsidR="00EF204E" w:rsidRPr="00EE1BD5">
          <w:rPr>
            <w:webHidden/>
          </w:rPr>
          <w:tab/>
        </w:r>
        <w:r w:rsidRPr="00EE1BD5">
          <w:rPr>
            <w:webHidden/>
          </w:rPr>
          <w:fldChar w:fldCharType="begin"/>
        </w:r>
        <w:r w:rsidR="00EF204E" w:rsidRPr="00EE1BD5">
          <w:rPr>
            <w:webHidden/>
          </w:rPr>
          <w:instrText xml:space="preserve"> PAGEREF _Toc469005619 \h </w:instrText>
        </w:r>
        <w:r w:rsidRPr="00EE1BD5">
          <w:rPr>
            <w:webHidden/>
          </w:rPr>
        </w:r>
        <w:r w:rsidRPr="00EE1BD5">
          <w:rPr>
            <w:webHidden/>
          </w:rPr>
          <w:fldChar w:fldCharType="separate"/>
        </w:r>
        <w:r w:rsidR="00653A04">
          <w:rPr>
            <w:webHidden/>
          </w:rPr>
          <w:t>50</w:t>
        </w:r>
        <w:r w:rsidRPr="00EE1BD5">
          <w:rPr>
            <w:webHidden/>
          </w:rPr>
          <w:fldChar w:fldCharType="end"/>
        </w:r>
      </w:hyperlink>
    </w:p>
    <w:p w:rsidR="004C4AB1" w:rsidRPr="00ED711A" w:rsidRDefault="00E526E5" w:rsidP="008756AE">
      <w:pPr>
        <w:tabs>
          <w:tab w:val="left" w:pos="720"/>
          <w:tab w:val="right" w:leader="dot" w:pos="9540"/>
        </w:tabs>
        <w:spacing w:after="60"/>
        <w:ind w:right="23"/>
        <w:rPr>
          <w:snapToGrid w:val="0"/>
          <w:sz w:val="22"/>
          <w:szCs w:val="22"/>
          <w:lang w:val="en-GB"/>
        </w:rPr>
      </w:pPr>
      <w:r w:rsidRPr="00ED711A">
        <w:rPr>
          <w:rFonts w:eastAsia="SimHei"/>
          <w:b/>
          <w:snapToGrid w:val="0"/>
          <w:sz w:val="22"/>
          <w:szCs w:val="22"/>
        </w:rPr>
        <w:fldChar w:fldCharType="end"/>
      </w:r>
    </w:p>
    <w:p w:rsidR="004C4AB1" w:rsidRPr="00ED711A" w:rsidRDefault="004C4AB1" w:rsidP="009B2CBE">
      <w:pPr>
        <w:rPr>
          <w:snapToGrid w:val="0"/>
          <w:sz w:val="22"/>
          <w:szCs w:val="22"/>
          <w:lang w:val="en-GB"/>
        </w:rPr>
        <w:sectPr w:rsidR="004C4AB1" w:rsidRPr="00ED711A">
          <w:pgSz w:w="11907" w:h="16839"/>
          <w:pgMar w:top="1134" w:right="1418" w:bottom="1134" w:left="1418" w:header="709" w:footer="709" w:gutter="0"/>
          <w:cols w:space="720"/>
        </w:sectPr>
      </w:pPr>
    </w:p>
    <w:p w:rsidR="001F3F1A" w:rsidRPr="00ED711A" w:rsidRDefault="001F3F1A" w:rsidP="001F3F1A">
      <w:pPr>
        <w:jc w:val="center"/>
        <w:rPr>
          <w:b/>
          <w:lang w:val="en-GB"/>
        </w:rPr>
      </w:pPr>
      <w:r w:rsidRPr="00ED711A">
        <w:rPr>
          <w:b/>
          <w:lang w:val="en-GB"/>
        </w:rPr>
        <w:lastRenderedPageBreak/>
        <w:t>INTRODUCTION</w:t>
      </w:r>
    </w:p>
    <w:p w:rsidR="001F3F1A" w:rsidRPr="00ED711A" w:rsidRDefault="001F3F1A" w:rsidP="001F3F1A">
      <w:pPr>
        <w:jc w:val="center"/>
        <w:rPr>
          <w:b/>
          <w:sz w:val="22"/>
          <w:szCs w:val="22"/>
          <w:lang w:val="en-GB"/>
        </w:rPr>
      </w:pPr>
    </w:p>
    <w:p w:rsidR="001F3F1A" w:rsidRPr="00ED711A" w:rsidRDefault="001F3F1A" w:rsidP="001F3F1A">
      <w:pPr>
        <w:jc w:val="center"/>
        <w:rPr>
          <w:b/>
          <w:sz w:val="22"/>
          <w:szCs w:val="22"/>
          <w:lang w:val="en-GB"/>
        </w:rPr>
      </w:pPr>
    </w:p>
    <w:p w:rsidR="001F3F1A" w:rsidRPr="00ED711A" w:rsidRDefault="004828B8" w:rsidP="00D56D2C">
      <w:pPr>
        <w:numPr>
          <w:ilvl w:val="0"/>
          <w:numId w:val="1"/>
        </w:numPr>
        <w:ind w:left="0" w:firstLine="0"/>
        <w:outlineLvl w:val="0"/>
        <w:rPr>
          <w:snapToGrid w:val="0"/>
          <w:sz w:val="22"/>
          <w:szCs w:val="22"/>
          <w:lang w:val="fr-CH"/>
        </w:rPr>
      </w:pPr>
      <w:bookmarkStart w:id="5" w:name="_Toc264393102"/>
      <w:bookmarkStart w:id="6" w:name="_Toc264391955"/>
      <w:bookmarkStart w:id="7" w:name="_Toc469005582"/>
      <w:r w:rsidRPr="00ED711A">
        <w:rPr>
          <w:b/>
          <w:snapToGrid w:val="0"/>
          <w:sz w:val="22"/>
          <w:szCs w:val="22"/>
          <w:lang w:val="fr-CH"/>
        </w:rPr>
        <w:t>OBJET DE LA</w:t>
      </w:r>
      <w:r w:rsidR="001F3F1A" w:rsidRPr="00ED711A">
        <w:rPr>
          <w:b/>
          <w:snapToGrid w:val="0"/>
          <w:sz w:val="22"/>
          <w:szCs w:val="22"/>
          <w:lang w:val="fr-CH"/>
        </w:rPr>
        <w:t xml:space="preserve"> </w:t>
      </w:r>
      <w:r w:rsidRPr="00ED711A">
        <w:rPr>
          <w:b/>
          <w:snapToGrid w:val="0"/>
          <w:sz w:val="22"/>
          <w:szCs w:val="22"/>
          <w:lang w:val="fr-CH"/>
        </w:rPr>
        <w:t>CIRCULAIRE PIC</w:t>
      </w:r>
      <w:bookmarkEnd w:id="5"/>
      <w:bookmarkEnd w:id="6"/>
      <w:bookmarkEnd w:id="7"/>
    </w:p>
    <w:p w:rsidR="001F3F1A" w:rsidRPr="00ED711A" w:rsidRDefault="001F3F1A" w:rsidP="001F3F1A">
      <w:pPr>
        <w:outlineLvl w:val="0"/>
        <w:rPr>
          <w:snapToGrid w:val="0"/>
          <w:sz w:val="22"/>
          <w:szCs w:val="22"/>
          <w:lang w:val="fr-CH"/>
        </w:rPr>
      </w:pPr>
    </w:p>
    <w:p w:rsidR="004828B8" w:rsidRPr="00ED711A" w:rsidRDefault="004828B8" w:rsidP="00E51441">
      <w:pPr>
        <w:pStyle w:val="BlockText"/>
        <w:ind w:left="0" w:right="0"/>
        <w:rPr>
          <w:rFonts w:eastAsia="Arial" w:hAnsi="Times New Roman" w:cs="Times New Roman"/>
          <w:color w:val="auto"/>
          <w:lang w:val="fr-FR"/>
        </w:rPr>
      </w:pPr>
      <w:r w:rsidRPr="00ED711A">
        <w:rPr>
          <w:rFonts w:hAnsi="Times New Roman" w:cs="Times New Roman"/>
          <w:color w:val="auto"/>
          <w:lang w:val="fr-FR"/>
        </w:rPr>
        <w:t xml:space="preserve">La Convention de Rotterdam </w:t>
      </w:r>
      <w:r w:rsidR="00517EDF">
        <w:rPr>
          <w:rFonts w:hAnsi="Times New Roman" w:cs="Times New Roman"/>
          <w:color w:val="auto"/>
          <w:lang w:val="fr-FR"/>
        </w:rPr>
        <w:t xml:space="preserve">sur </w:t>
      </w:r>
      <w:r w:rsidRPr="00ED711A">
        <w:rPr>
          <w:rFonts w:hAnsi="Times New Roman" w:cs="Times New Roman"/>
          <w:color w:val="auto"/>
          <w:lang w:val="fr-FR"/>
        </w:rPr>
        <w:t xml:space="preserve">la procédure de consentement préalable en connaissance de cause applicable à certains produits chimiques </w:t>
      </w:r>
      <w:r w:rsidR="00517EDF">
        <w:rPr>
          <w:rFonts w:hAnsi="Times New Roman" w:cs="Times New Roman"/>
          <w:color w:val="auto"/>
          <w:lang w:val="fr-FR"/>
        </w:rPr>
        <w:t>et pesticides</w:t>
      </w:r>
      <w:r w:rsidR="00517EDF" w:rsidRPr="00ED711A">
        <w:rPr>
          <w:rFonts w:hAnsi="Times New Roman" w:cs="Times New Roman"/>
          <w:color w:val="auto"/>
          <w:lang w:val="fr-FR"/>
        </w:rPr>
        <w:t xml:space="preserve"> </w:t>
      </w:r>
      <w:r w:rsidRPr="00ED711A">
        <w:rPr>
          <w:rFonts w:hAnsi="Times New Roman" w:cs="Times New Roman"/>
          <w:color w:val="auto"/>
          <w:lang w:val="fr-FR"/>
        </w:rPr>
        <w:t xml:space="preserve">dangereux </w:t>
      </w:r>
      <w:r w:rsidR="00517EDF">
        <w:rPr>
          <w:rFonts w:hAnsi="Times New Roman" w:cs="Times New Roman"/>
          <w:color w:val="auto"/>
          <w:lang w:val="fr-FR"/>
        </w:rPr>
        <w:t>qui font</w:t>
      </w:r>
      <w:r w:rsidRPr="00ED711A">
        <w:rPr>
          <w:rFonts w:hAnsi="Times New Roman" w:cs="Times New Roman"/>
          <w:color w:val="auto"/>
          <w:lang w:val="fr-FR"/>
        </w:rPr>
        <w:t xml:space="preserve"> l</w:t>
      </w:r>
      <w:r w:rsidR="000D310E" w:rsidRPr="00ED711A">
        <w:rPr>
          <w:rFonts w:hAnsi="Times New Roman" w:cs="Times New Roman"/>
          <w:color w:val="auto"/>
          <w:lang w:val="fr-FR"/>
        </w:rPr>
        <w:t>’</w:t>
      </w:r>
      <w:r w:rsidRPr="00ED711A">
        <w:rPr>
          <w:rFonts w:hAnsi="Times New Roman" w:cs="Times New Roman"/>
          <w:color w:val="auto"/>
          <w:lang w:val="fr-FR"/>
        </w:rPr>
        <w:t>objet d</w:t>
      </w:r>
      <w:r w:rsidR="000D310E" w:rsidRPr="00ED711A">
        <w:rPr>
          <w:rFonts w:hAnsi="Times New Roman" w:cs="Times New Roman"/>
          <w:color w:val="auto"/>
          <w:lang w:val="fr-FR"/>
        </w:rPr>
        <w:t>’</w:t>
      </w:r>
      <w:r w:rsidRPr="00ED711A">
        <w:rPr>
          <w:rFonts w:hAnsi="Times New Roman" w:cs="Times New Roman"/>
          <w:color w:val="auto"/>
          <w:lang w:val="fr-FR"/>
        </w:rPr>
        <w:t xml:space="preserve">un commerce international est </w:t>
      </w:r>
      <w:proofErr w:type="gramStart"/>
      <w:r w:rsidRPr="00ED711A">
        <w:rPr>
          <w:rFonts w:hAnsi="Times New Roman" w:cs="Times New Roman"/>
          <w:color w:val="auto"/>
          <w:lang w:val="fr-FR"/>
        </w:rPr>
        <w:t>entrée</w:t>
      </w:r>
      <w:proofErr w:type="gramEnd"/>
      <w:r w:rsidRPr="00ED711A">
        <w:rPr>
          <w:rFonts w:hAnsi="Times New Roman" w:cs="Times New Roman"/>
          <w:color w:val="auto"/>
          <w:lang w:val="fr-FR"/>
        </w:rPr>
        <w:t xml:space="preserve"> en vigueur le 24 février 2004. </w:t>
      </w:r>
    </w:p>
    <w:p w:rsidR="004828B8" w:rsidRPr="00ED711A" w:rsidRDefault="004828B8" w:rsidP="00E51441">
      <w:pPr>
        <w:pStyle w:val="BlockText"/>
        <w:ind w:left="0" w:right="0"/>
        <w:rPr>
          <w:rFonts w:eastAsia="Arial" w:hAnsi="Times New Roman" w:cs="Times New Roman"/>
          <w:color w:val="auto"/>
          <w:lang w:val="fr-FR"/>
        </w:rPr>
      </w:pPr>
    </w:p>
    <w:p w:rsidR="004828B8" w:rsidRPr="00ED711A" w:rsidRDefault="004828B8" w:rsidP="00E51441">
      <w:pPr>
        <w:pStyle w:val="BlockText"/>
        <w:ind w:left="0" w:right="0"/>
        <w:rPr>
          <w:rFonts w:eastAsia="Arial" w:hAnsi="Times New Roman" w:cs="Times New Roman"/>
          <w:color w:val="auto"/>
          <w:lang w:val="fr-FR"/>
        </w:rPr>
      </w:pPr>
      <w:r w:rsidRPr="00ED711A">
        <w:rPr>
          <w:rFonts w:hAnsi="Times New Roman" w:cs="Times New Roman"/>
          <w:color w:val="auto"/>
          <w:lang w:val="fr-FR"/>
        </w:rPr>
        <w:t>La Circulaire PIC a pour objet de communiquer à toutes les Parties, par l</w:t>
      </w:r>
      <w:r w:rsidR="000D310E" w:rsidRPr="00ED711A">
        <w:rPr>
          <w:rFonts w:hAnsi="Times New Roman" w:cs="Times New Roman"/>
          <w:color w:val="auto"/>
          <w:lang w:val="fr-FR"/>
        </w:rPr>
        <w:t>’</w:t>
      </w:r>
      <w:r w:rsidRPr="00ED711A">
        <w:rPr>
          <w:rFonts w:hAnsi="Times New Roman" w:cs="Times New Roman"/>
          <w:color w:val="auto"/>
          <w:lang w:val="fr-FR"/>
        </w:rPr>
        <w:t xml:space="preserve">intermédiaire des Autorités Nationales Désignées, les renseignements qui doivent être diffusés par le Secrétariat, conformément aux </w:t>
      </w:r>
      <w:r w:rsidR="000D310E" w:rsidRPr="00ED711A">
        <w:rPr>
          <w:rFonts w:hAnsi="Times New Roman" w:cs="Times New Roman"/>
          <w:color w:val="auto"/>
          <w:lang w:val="fr-FR"/>
        </w:rPr>
        <w:t>article</w:t>
      </w:r>
      <w:r w:rsidRPr="00ED711A">
        <w:rPr>
          <w:rFonts w:hAnsi="Times New Roman" w:cs="Times New Roman"/>
          <w:color w:val="auto"/>
          <w:lang w:val="fr-FR"/>
        </w:rPr>
        <w:t xml:space="preserve">s 4, 5, 6, 7, 10, 11, 13et 14 de la Convention. Toutefois, les </w:t>
      </w:r>
      <w:r w:rsidR="00B578E3">
        <w:rPr>
          <w:rFonts w:hAnsi="Times New Roman" w:cs="Times New Roman"/>
          <w:color w:val="auto"/>
          <w:lang w:val="fr-FR"/>
        </w:rPr>
        <w:t>d</w:t>
      </w:r>
      <w:r w:rsidRPr="00ED711A">
        <w:rPr>
          <w:rFonts w:hAnsi="Times New Roman" w:cs="Times New Roman"/>
          <w:color w:val="auto"/>
          <w:lang w:val="fr-FR"/>
        </w:rPr>
        <w:t>ocuments d</w:t>
      </w:r>
      <w:r w:rsidR="000D310E" w:rsidRPr="00ED711A">
        <w:rPr>
          <w:rFonts w:hAnsi="Times New Roman" w:cs="Times New Roman"/>
          <w:color w:val="auto"/>
          <w:lang w:val="fr-FR"/>
        </w:rPr>
        <w:t>’</w:t>
      </w:r>
      <w:r w:rsidR="00B578E3">
        <w:rPr>
          <w:rFonts w:hAnsi="Times New Roman" w:cs="Times New Roman"/>
          <w:color w:val="auto"/>
          <w:lang w:val="fr-FR"/>
        </w:rPr>
        <w:t>o</w:t>
      </w:r>
      <w:r w:rsidRPr="00ED711A">
        <w:rPr>
          <w:rFonts w:hAnsi="Times New Roman" w:cs="Times New Roman"/>
          <w:color w:val="auto"/>
          <w:lang w:val="fr-FR"/>
        </w:rPr>
        <w:t xml:space="preserve">rientation des </w:t>
      </w:r>
      <w:r w:rsidR="00B578E3">
        <w:rPr>
          <w:rFonts w:hAnsi="Times New Roman" w:cs="Times New Roman"/>
          <w:color w:val="auto"/>
          <w:lang w:val="fr-FR"/>
        </w:rPr>
        <w:t>d</w:t>
      </w:r>
      <w:r w:rsidRPr="00ED711A">
        <w:rPr>
          <w:rFonts w:hAnsi="Times New Roman" w:cs="Times New Roman"/>
          <w:color w:val="auto"/>
          <w:lang w:val="fr-FR"/>
        </w:rPr>
        <w:t>écisions qui doivent être envoyés aux Parties conformément au paragraphe 3 de l</w:t>
      </w:r>
      <w:r w:rsidR="000D310E" w:rsidRPr="00ED711A">
        <w:rPr>
          <w:rFonts w:hAnsi="Times New Roman" w:cs="Times New Roman"/>
          <w:color w:val="auto"/>
          <w:lang w:val="fr-FR"/>
        </w:rPr>
        <w:t>’article</w:t>
      </w:r>
      <w:r w:rsidRPr="00ED711A">
        <w:rPr>
          <w:rFonts w:hAnsi="Times New Roman" w:cs="Times New Roman"/>
          <w:color w:val="auto"/>
          <w:lang w:val="fr-FR"/>
        </w:rPr>
        <w:t xml:space="preserve"> 7, sont transmis séparément.</w:t>
      </w:r>
    </w:p>
    <w:p w:rsidR="004828B8" w:rsidRPr="00ED711A" w:rsidRDefault="004828B8" w:rsidP="00E51441">
      <w:pPr>
        <w:pStyle w:val="BlockText"/>
        <w:ind w:left="0" w:right="0"/>
        <w:rPr>
          <w:rFonts w:eastAsia="Arial" w:hAnsi="Times New Roman" w:cs="Times New Roman"/>
          <w:color w:val="auto"/>
          <w:lang w:val="fr-FR"/>
        </w:rPr>
      </w:pPr>
    </w:p>
    <w:p w:rsidR="004828B8" w:rsidRPr="00ED711A" w:rsidRDefault="004828B8" w:rsidP="00E51441">
      <w:pPr>
        <w:pStyle w:val="BodyTextIndent3"/>
        <w:ind w:right="0" w:firstLine="0"/>
        <w:rPr>
          <w:rFonts w:eastAsia="Arial"/>
          <w:szCs w:val="22"/>
          <w:lang w:val="fr-FR"/>
        </w:rPr>
      </w:pPr>
      <w:r w:rsidRPr="00ED711A">
        <w:rPr>
          <w:szCs w:val="22"/>
          <w:lang w:val="fr-FR"/>
        </w:rPr>
        <w:t>La Circulaire PIC est publiée tous les six mois, en juin et décembre. La présente circulaire contient des informations concernant la période allant du 1</w:t>
      </w:r>
      <w:r w:rsidR="005D18AF" w:rsidRPr="00ED711A">
        <w:rPr>
          <w:szCs w:val="22"/>
          <w:vertAlign w:val="superscript"/>
          <w:lang w:val="fr-FR"/>
        </w:rPr>
        <w:t>er</w:t>
      </w:r>
      <w:r w:rsidRPr="00ED711A">
        <w:rPr>
          <w:szCs w:val="22"/>
          <w:vertAlign w:val="superscript"/>
          <w:lang w:val="fr-FR"/>
        </w:rPr>
        <w:t xml:space="preserve"> </w:t>
      </w:r>
      <w:r w:rsidRPr="00ED711A">
        <w:rPr>
          <w:szCs w:val="22"/>
          <w:lang w:val="fr-FR"/>
        </w:rPr>
        <w:t>mai 2016 au 31 octobre 2016, reçues durant cette période. Afin de permettre un temps adéquat de traitement des renseignements pour la préparation de la Circulaire PIC, les renseignements reçus après le 31 octobre 2016 n</w:t>
      </w:r>
      <w:r w:rsidR="000D310E" w:rsidRPr="00ED711A">
        <w:rPr>
          <w:szCs w:val="22"/>
          <w:lang w:val="fr-FR"/>
        </w:rPr>
        <w:t>’</w:t>
      </w:r>
      <w:r w:rsidRPr="00ED711A">
        <w:rPr>
          <w:szCs w:val="22"/>
          <w:lang w:val="fr-FR"/>
        </w:rPr>
        <w:t xml:space="preserve">ont, en général, pas été inclus dans cette Circulaire et ils seront inclus dans la prochaine Circulaire PIC. </w:t>
      </w:r>
    </w:p>
    <w:p w:rsidR="004828B8" w:rsidRPr="00ED711A" w:rsidRDefault="004828B8" w:rsidP="00E51441">
      <w:pPr>
        <w:pStyle w:val="BlockText"/>
        <w:ind w:left="0" w:right="0"/>
        <w:rPr>
          <w:rFonts w:eastAsia="Arial" w:hAnsi="Times New Roman" w:cs="Times New Roman"/>
          <w:color w:val="auto"/>
          <w:lang w:val="fr-FR"/>
        </w:rPr>
      </w:pPr>
    </w:p>
    <w:p w:rsidR="001F3F1A" w:rsidRPr="00ED711A" w:rsidRDefault="004828B8" w:rsidP="00E51441">
      <w:pPr>
        <w:jc w:val="both"/>
        <w:rPr>
          <w:sz w:val="22"/>
          <w:szCs w:val="22"/>
          <w:lang w:val="fr-CH"/>
        </w:rPr>
      </w:pPr>
      <w:r w:rsidRPr="00ED711A">
        <w:rPr>
          <w:sz w:val="22"/>
          <w:szCs w:val="22"/>
          <w:lang w:val="fr-FR"/>
        </w:rPr>
        <w:t>Le Secrétariat s</w:t>
      </w:r>
      <w:r w:rsidR="000D310E" w:rsidRPr="00ED711A">
        <w:rPr>
          <w:sz w:val="22"/>
          <w:szCs w:val="22"/>
          <w:lang w:val="fr-FR"/>
        </w:rPr>
        <w:t>’</w:t>
      </w:r>
      <w:r w:rsidRPr="00ED711A">
        <w:rPr>
          <w:sz w:val="22"/>
          <w:szCs w:val="22"/>
          <w:lang w:val="fr-FR"/>
        </w:rPr>
        <w:t xml:space="preserve">est efforcé de faire en sorte que les renseignements figurant dans cette Circulaire PIC soient à la fois complets et exacts. Les Autorités Nationales Désignées sont invitées à vérifier les renseignements correspondant à leur pays et à communiquer au Secrétariat </w:t>
      </w:r>
      <w:proofErr w:type="gramStart"/>
      <w:r w:rsidR="00517EDF">
        <w:rPr>
          <w:sz w:val="22"/>
          <w:szCs w:val="22"/>
          <w:lang w:val="fr-FR"/>
        </w:rPr>
        <w:t>toute</w:t>
      </w:r>
      <w:r w:rsidRPr="00ED711A">
        <w:rPr>
          <w:sz w:val="22"/>
          <w:szCs w:val="22"/>
          <w:lang w:val="fr-FR"/>
        </w:rPr>
        <w:t xml:space="preserve"> erreurs</w:t>
      </w:r>
      <w:proofErr w:type="gramEnd"/>
      <w:r w:rsidR="00517EDF">
        <w:rPr>
          <w:sz w:val="22"/>
          <w:szCs w:val="22"/>
          <w:lang w:val="fr-FR"/>
        </w:rPr>
        <w:t>,</w:t>
      </w:r>
      <w:r w:rsidRPr="00ED711A">
        <w:rPr>
          <w:sz w:val="22"/>
          <w:szCs w:val="22"/>
          <w:lang w:val="fr-FR"/>
        </w:rPr>
        <w:t xml:space="preserve"> </w:t>
      </w:r>
      <w:r w:rsidR="00517EDF">
        <w:rPr>
          <w:sz w:val="22"/>
          <w:szCs w:val="22"/>
          <w:lang w:val="fr-FR"/>
        </w:rPr>
        <w:t>incohérence</w:t>
      </w:r>
      <w:r w:rsidR="00517EDF">
        <w:rPr>
          <w:sz w:val="22"/>
          <w:szCs w:val="22"/>
          <w:lang w:val="fr-FR"/>
        </w:rPr>
        <w:t xml:space="preserve"> </w:t>
      </w:r>
      <w:r w:rsidRPr="00ED711A">
        <w:rPr>
          <w:sz w:val="22"/>
          <w:szCs w:val="22"/>
          <w:lang w:val="fr-FR"/>
        </w:rPr>
        <w:t>ou omission qu</w:t>
      </w:r>
      <w:r w:rsidR="000D310E" w:rsidRPr="00ED711A">
        <w:rPr>
          <w:sz w:val="22"/>
          <w:szCs w:val="22"/>
          <w:lang w:val="fr-FR"/>
        </w:rPr>
        <w:t>’</w:t>
      </w:r>
      <w:r w:rsidRPr="00ED711A">
        <w:rPr>
          <w:sz w:val="22"/>
          <w:szCs w:val="22"/>
          <w:lang w:val="fr-FR"/>
        </w:rPr>
        <w:t xml:space="preserve">elles </w:t>
      </w:r>
      <w:r w:rsidR="00517EDF">
        <w:rPr>
          <w:sz w:val="22"/>
          <w:szCs w:val="22"/>
          <w:lang w:val="fr-FR"/>
        </w:rPr>
        <w:t>aperçoivent</w:t>
      </w:r>
      <w:r w:rsidRPr="00ED711A">
        <w:rPr>
          <w:sz w:val="22"/>
          <w:szCs w:val="22"/>
          <w:lang w:val="fr-FR"/>
        </w:rPr>
        <w:t>.</w:t>
      </w:r>
    </w:p>
    <w:p w:rsidR="00D60DC0" w:rsidRPr="00ED711A" w:rsidRDefault="00D60DC0" w:rsidP="001F3F1A">
      <w:pPr>
        <w:jc w:val="both"/>
        <w:rPr>
          <w:snapToGrid w:val="0"/>
          <w:sz w:val="22"/>
          <w:szCs w:val="22"/>
          <w:lang w:val="fr-CH"/>
        </w:rPr>
      </w:pPr>
    </w:p>
    <w:p w:rsidR="001F3F1A" w:rsidRPr="00ED711A" w:rsidRDefault="001F3F1A" w:rsidP="001F3F1A">
      <w:pPr>
        <w:jc w:val="both"/>
        <w:rPr>
          <w:snapToGrid w:val="0"/>
          <w:sz w:val="22"/>
          <w:szCs w:val="22"/>
          <w:lang w:val="fr-CH"/>
        </w:rPr>
      </w:pPr>
    </w:p>
    <w:p w:rsidR="001F3F1A" w:rsidRPr="00ED711A" w:rsidRDefault="001F3F1A" w:rsidP="001F3F1A">
      <w:pPr>
        <w:outlineLvl w:val="0"/>
        <w:rPr>
          <w:b/>
          <w:snapToGrid w:val="0"/>
          <w:sz w:val="22"/>
          <w:szCs w:val="22"/>
          <w:lang w:val="fr-CH"/>
        </w:rPr>
      </w:pPr>
      <w:bookmarkStart w:id="8" w:name="_Toc264393103"/>
      <w:bookmarkStart w:id="9" w:name="_Toc264391956"/>
      <w:bookmarkStart w:id="10" w:name="_Toc469005583"/>
      <w:r w:rsidRPr="00ED711A">
        <w:rPr>
          <w:b/>
          <w:snapToGrid w:val="0"/>
          <w:sz w:val="22"/>
          <w:szCs w:val="22"/>
          <w:lang w:val="fr-CH"/>
        </w:rPr>
        <w:t>2.</w:t>
      </w:r>
      <w:r w:rsidRPr="00ED711A">
        <w:rPr>
          <w:b/>
          <w:snapToGrid w:val="0"/>
          <w:sz w:val="22"/>
          <w:szCs w:val="22"/>
          <w:lang w:val="fr-CH"/>
        </w:rPr>
        <w:tab/>
      </w:r>
      <w:bookmarkEnd w:id="8"/>
      <w:bookmarkEnd w:id="9"/>
      <w:r w:rsidR="004828B8" w:rsidRPr="00ED711A">
        <w:rPr>
          <w:b/>
          <w:snapToGrid w:val="0"/>
          <w:sz w:val="22"/>
          <w:szCs w:val="22"/>
          <w:lang w:val="fr-CH"/>
        </w:rPr>
        <w:t>MISE EN OEUVRE DE LA CONVENTION DE ROTTERDAM</w:t>
      </w:r>
      <w:bookmarkEnd w:id="10"/>
    </w:p>
    <w:p w:rsidR="001F3F1A" w:rsidRPr="00ED711A" w:rsidRDefault="001F3F1A" w:rsidP="001F3F1A">
      <w:pPr>
        <w:outlineLvl w:val="0"/>
        <w:rPr>
          <w:snapToGrid w:val="0"/>
          <w:sz w:val="22"/>
          <w:szCs w:val="22"/>
          <w:lang w:val="fr-CH"/>
        </w:rPr>
      </w:pPr>
    </w:p>
    <w:p w:rsidR="001F3F1A" w:rsidRPr="00ED711A" w:rsidRDefault="001F3F1A" w:rsidP="00E51441">
      <w:pPr>
        <w:jc w:val="both"/>
        <w:outlineLvl w:val="1"/>
        <w:rPr>
          <w:b/>
          <w:snapToGrid w:val="0"/>
          <w:sz w:val="22"/>
          <w:szCs w:val="22"/>
          <w:lang w:val="fr-CH"/>
        </w:rPr>
      </w:pPr>
      <w:bookmarkStart w:id="11" w:name="_Toc264393104"/>
      <w:bookmarkStart w:id="12" w:name="_Toc264391957"/>
      <w:bookmarkStart w:id="13" w:name="_Toc469005584"/>
      <w:r w:rsidRPr="00ED711A">
        <w:rPr>
          <w:b/>
          <w:snapToGrid w:val="0"/>
          <w:sz w:val="22"/>
          <w:szCs w:val="22"/>
          <w:lang w:val="fr-CH"/>
        </w:rPr>
        <w:t>2.1</w:t>
      </w:r>
      <w:r w:rsidRPr="00ED711A">
        <w:rPr>
          <w:b/>
          <w:snapToGrid w:val="0"/>
          <w:sz w:val="22"/>
          <w:szCs w:val="22"/>
          <w:lang w:val="fr-CH"/>
        </w:rPr>
        <w:tab/>
      </w:r>
      <w:bookmarkEnd w:id="11"/>
      <w:bookmarkEnd w:id="12"/>
      <w:r w:rsidR="004828B8" w:rsidRPr="00ED711A">
        <w:rPr>
          <w:b/>
          <w:snapToGrid w:val="0"/>
          <w:sz w:val="22"/>
          <w:szCs w:val="22"/>
          <w:lang w:val="fr-CH"/>
        </w:rPr>
        <w:t xml:space="preserve">Autorités nationales désignées </w:t>
      </w:r>
      <w:r w:rsidR="004828B8" w:rsidRPr="00ED711A">
        <w:rPr>
          <w:snapToGrid w:val="0"/>
          <w:sz w:val="22"/>
          <w:szCs w:val="22"/>
          <w:lang w:val="fr-CH"/>
        </w:rPr>
        <w:t>(</w:t>
      </w:r>
      <w:r w:rsidR="000D310E" w:rsidRPr="00ED711A">
        <w:rPr>
          <w:snapToGrid w:val="0"/>
          <w:sz w:val="22"/>
          <w:szCs w:val="22"/>
          <w:lang w:val="fr-CH"/>
        </w:rPr>
        <w:t>article</w:t>
      </w:r>
      <w:r w:rsidR="004828B8" w:rsidRPr="00ED711A">
        <w:rPr>
          <w:snapToGrid w:val="0"/>
          <w:sz w:val="22"/>
          <w:szCs w:val="22"/>
          <w:lang w:val="fr-CH"/>
        </w:rPr>
        <w:t xml:space="preserve"> 4 de la Convention)</w:t>
      </w:r>
      <w:bookmarkEnd w:id="13"/>
    </w:p>
    <w:p w:rsidR="001F3F1A" w:rsidRPr="00ED711A" w:rsidRDefault="001F3F1A" w:rsidP="00E51441">
      <w:pPr>
        <w:jc w:val="both"/>
        <w:rPr>
          <w:snapToGrid w:val="0"/>
          <w:sz w:val="22"/>
          <w:szCs w:val="22"/>
          <w:lang w:val="fr-CH"/>
        </w:rPr>
      </w:pPr>
    </w:p>
    <w:p w:rsidR="001F3F1A" w:rsidRPr="00ED711A" w:rsidRDefault="004828B8" w:rsidP="00E51441">
      <w:pPr>
        <w:jc w:val="both"/>
        <w:rPr>
          <w:sz w:val="22"/>
          <w:szCs w:val="22"/>
          <w:lang w:val="fr-CH"/>
        </w:rPr>
      </w:pPr>
      <w:r w:rsidRPr="00ED711A">
        <w:rPr>
          <w:sz w:val="22"/>
          <w:szCs w:val="22"/>
          <w:lang w:val="fr-FR"/>
        </w:rPr>
        <w:t>Conformément au paragraphe 4 de l</w:t>
      </w:r>
      <w:r w:rsidR="000D310E" w:rsidRPr="00ED711A">
        <w:rPr>
          <w:sz w:val="22"/>
          <w:szCs w:val="22"/>
          <w:lang w:val="fr-FR"/>
        </w:rPr>
        <w:t>’article</w:t>
      </w:r>
      <w:r w:rsidRPr="00ED711A">
        <w:rPr>
          <w:sz w:val="22"/>
          <w:szCs w:val="22"/>
          <w:lang w:val="fr-FR"/>
        </w:rPr>
        <w:t xml:space="preserve"> 4 de la Convention, le Secrétariat informe les Parties des notifications de désignations ou des changements des Autorités Nationales Désignées (AND). Une liste complète des AND contenant toutes les coordonnées est adressée avec la présente Circulaire PIC. Les AND peuvent également accéder à cette information sur le site Internet Convention de Rotterdam (</w:t>
      </w:r>
      <w:hyperlink r:id="rId11" w:history="1">
        <w:r w:rsidRPr="00676EE7">
          <w:rPr>
            <w:rStyle w:val="Hyperlink"/>
            <w:sz w:val="22"/>
            <w:szCs w:val="22"/>
            <w:lang w:val="fr-FR"/>
          </w:rPr>
          <w:t>www.pic.int</w:t>
        </w:r>
      </w:hyperlink>
      <w:r w:rsidRPr="00ED711A">
        <w:rPr>
          <w:sz w:val="22"/>
          <w:szCs w:val="22"/>
          <w:lang w:val="fr-FR"/>
        </w:rPr>
        <w:t>)</w:t>
      </w:r>
      <w:r w:rsidR="00262058" w:rsidRPr="00ED711A">
        <w:rPr>
          <w:sz w:val="22"/>
          <w:szCs w:val="22"/>
          <w:lang w:val="fr-CH"/>
        </w:rPr>
        <w:t>.</w:t>
      </w:r>
    </w:p>
    <w:p w:rsidR="00262058" w:rsidRPr="00ED711A" w:rsidRDefault="00262058" w:rsidP="00E51441">
      <w:pPr>
        <w:jc w:val="both"/>
        <w:rPr>
          <w:snapToGrid w:val="0"/>
          <w:sz w:val="22"/>
          <w:szCs w:val="22"/>
          <w:lang w:val="fr-CH"/>
        </w:rPr>
      </w:pPr>
    </w:p>
    <w:p w:rsidR="001F3F1A" w:rsidRPr="00ED711A" w:rsidRDefault="001F3F1A" w:rsidP="00DC6E87">
      <w:pPr>
        <w:ind w:left="720" w:hanging="720"/>
        <w:jc w:val="both"/>
        <w:outlineLvl w:val="1"/>
        <w:rPr>
          <w:snapToGrid w:val="0"/>
          <w:sz w:val="22"/>
          <w:szCs w:val="22"/>
          <w:lang w:val="fr-CH"/>
        </w:rPr>
      </w:pPr>
      <w:bookmarkStart w:id="14" w:name="_Toc264393105"/>
      <w:bookmarkStart w:id="15" w:name="_Toc264391958"/>
      <w:bookmarkStart w:id="16" w:name="_Toc469005585"/>
      <w:r w:rsidRPr="00ED711A">
        <w:rPr>
          <w:b/>
          <w:snapToGrid w:val="0"/>
          <w:sz w:val="22"/>
          <w:szCs w:val="22"/>
          <w:lang w:val="fr-CH"/>
        </w:rPr>
        <w:t>2.2</w:t>
      </w:r>
      <w:r w:rsidRPr="00ED711A">
        <w:rPr>
          <w:b/>
          <w:snapToGrid w:val="0"/>
          <w:sz w:val="22"/>
          <w:szCs w:val="22"/>
          <w:lang w:val="fr-CH"/>
        </w:rPr>
        <w:tab/>
      </w:r>
      <w:bookmarkEnd w:id="14"/>
      <w:bookmarkEnd w:id="15"/>
      <w:r w:rsidR="00E51441" w:rsidRPr="00ED711A">
        <w:rPr>
          <w:b/>
          <w:snapToGrid w:val="0"/>
          <w:sz w:val="22"/>
          <w:szCs w:val="22"/>
          <w:lang w:val="fr-CH"/>
        </w:rPr>
        <w:t xml:space="preserve">Notifications des mesures de réglementation finale visant à interdire ou réglementer strictement un produit chimique </w:t>
      </w:r>
      <w:r w:rsidR="00E51441" w:rsidRPr="00ED711A">
        <w:rPr>
          <w:snapToGrid w:val="0"/>
          <w:sz w:val="22"/>
          <w:szCs w:val="22"/>
          <w:lang w:val="fr-CH"/>
        </w:rPr>
        <w:t>(</w:t>
      </w:r>
      <w:r w:rsidR="000D310E" w:rsidRPr="00ED711A">
        <w:rPr>
          <w:snapToGrid w:val="0"/>
          <w:sz w:val="22"/>
          <w:szCs w:val="22"/>
          <w:lang w:val="fr-CH"/>
        </w:rPr>
        <w:t>article</w:t>
      </w:r>
      <w:r w:rsidR="00E51441" w:rsidRPr="00ED711A">
        <w:rPr>
          <w:snapToGrid w:val="0"/>
          <w:sz w:val="22"/>
          <w:szCs w:val="22"/>
          <w:lang w:val="fr-CH"/>
        </w:rPr>
        <w:t xml:space="preserve"> 5 de la Convention)</w:t>
      </w:r>
      <w:bookmarkEnd w:id="16"/>
      <w:r w:rsidRPr="00ED711A">
        <w:rPr>
          <w:snapToGrid w:val="0"/>
          <w:sz w:val="22"/>
          <w:szCs w:val="22"/>
          <w:lang w:val="fr-CH"/>
        </w:rPr>
        <w:t xml:space="preserve"> </w:t>
      </w:r>
    </w:p>
    <w:p w:rsidR="001F3F1A" w:rsidRPr="00ED711A" w:rsidRDefault="001F3F1A" w:rsidP="00E51441">
      <w:pPr>
        <w:jc w:val="both"/>
        <w:rPr>
          <w:snapToGrid w:val="0"/>
          <w:sz w:val="22"/>
          <w:szCs w:val="22"/>
          <w:lang w:val="fr-CH"/>
        </w:rPr>
      </w:pPr>
    </w:p>
    <w:p w:rsidR="004828B8" w:rsidRPr="00ED711A" w:rsidRDefault="004828B8" w:rsidP="00E51441">
      <w:pPr>
        <w:pStyle w:val="BodyTextIndent3"/>
        <w:ind w:right="0" w:firstLine="0"/>
        <w:rPr>
          <w:rFonts w:eastAsia="Arial"/>
          <w:szCs w:val="22"/>
          <w:lang w:val="fr-FR"/>
        </w:rPr>
      </w:pPr>
      <w:r w:rsidRPr="00ED711A">
        <w:rPr>
          <w:szCs w:val="22"/>
          <w:lang w:val="fr-FR"/>
        </w:rPr>
        <w:t>Conformément au paragraphe 3 de l</w:t>
      </w:r>
      <w:r w:rsidR="000D310E" w:rsidRPr="00ED711A">
        <w:rPr>
          <w:szCs w:val="22"/>
          <w:lang w:val="fr-FR"/>
        </w:rPr>
        <w:t>’article</w:t>
      </w:r>
      <w:r w:rsidRPr="00ED711A">
        <w:rPr>
          <w:szCs w:val="22"/>
          <w:lang w:val="fr-FR"/>
        </w:rPr>
        <w:t xml:space="preserve"> 5 de la Convention, le Secrétariat doit diffuser des résumés des notifications de mesures de réglementation finales reçues dont il a vérifié qu</w:t>
      </w:r>
      <w:r w:rsidR="000D310E" w:rsidRPr="00ED711A">
        <w:rPr>
          <w:szCs w:val="22"/>
          <w:lang w:val="fr-FR"/>
        </w:rPr>
        <w:t>’</w:t>
      </w:r>
      <w:r w:rsidRPr="00ED711A">
        <w:rPr>
          <w:szCs w:val="22"/>
          <w:lang w:val="fr-FR"/>
        </w:rPr>
        <w:t>elles contiennent bien tous les renseignements demandés à l</w:t>
      </w:r>
      <w:r w:rsidR="000D310E" w:rsidRPr="00ED711A">
        <w:rPr>
          <w:szCs w:val="22"/>
          <w:lang w:val="fr-FR"/>
        </w:rPr>
        <w:t>’</w:t>
      </w:r>
      <w:r w:rsidR="00DE65F4" w:rsidRPr="00ED711A">
        <w:rPr>
          <w:szCs w:val="22"/>
          <w:lang w:val="fr-FR"/>
        </w:rPr>
        <w:t>annexe I</w:t>
      </w:r>
      <w:r w:rsidRPr="00ED711A">
        <w:rPr>
          <w:szCs w:val="22"/>
          <w:lang w:val="fr-FR"/>
        </w:rPr>
        <w:t xml:space="preserve"> de la Convention. En outre, le Secrétariat doit également diffuser un résumé des toutes les notifications de mesures de réglementation finales reçues, y compris des renseignements </w:t>
      </w:r>
      <w:r w:rsidR="00517EDF">
        <w:rPr>
          <w:szCs w:val="22"/>
          <w:lang w:val="fr-FR"/>
        </w:rPr>
        <w:t>reçus</w:t>
      </w:r>
      <w:r w:rsidRPr="00ED711A">
        <w:rPr>
          <w:szCs w:val="22"/>
          <w:lang w:val="fr-FR"/>
        </w:rPr>
        <w:t xml:space="preserve"> qui ne contiennent pas toutes les informations </w:t>
      </w:r>
      <w:r w:rsidR="00517EDF">
        <w:rPr>
          <w:szCs w:val="22"/>
          <w:lang w:val="fr-FR"/>
        </w:rPr>
        <w:t>requises</w:t>
      </w:r>
      <w:r w:rsidRPr="00ED711A">
        <w:rPr>
          <w:szCs w:val="22"/>
          <w:lang w:val="fr-FR"/>
        </w:rPr>
        <w:t xml:space="preserve">. </w:t>
      </w:r>
    </w:p>
    <w:p w:rsidR="004828B8" w:rsidRPr="00ED711A" w:rsidRDefault="004828B8" w:rsidP="00E51441">
      <w:pPr>
        <w:pStyle w:val="BodyTextIndent3"/>
        <w:ind w:right="0" w:firstLine="0"/>
        <w:rPr>
          <w:rFonts w:eastAsia="Arial"/>
          <w:szCs w:val="22"/>
          <w:lang w:val="fr-FR"/>
        </w:rPr>
      </w:pPr>
    </w:p>
    <w:p w:rsidR="004828B8" w:rsidRPr="00ED711A" w:rsidRDefault="004828B8" w:rsidP="00E51441">
      <w:pPr>
        <w:pStyle w:val="BodyTextIndent3"/>
        <w:ind w:right="0" w:firstLine="0"/>
        <w:rPr>
          <w:rFonts w:eastAsia="Arial"/>
          <w:szCs w:val="22"/>
          <w:lang w:val="fr-FR"/>
        </w:rPr>
      </w:pPr>
      <w:r w:rsidRPr="00ED711A">
        <w:rPr>
          <w:szCs w:val="22"/>
          <w:lang w:val="fr-FR"/>
        </w:rPr>
        <w:t>Un résumé de toutes les notifications de mesures de réglementation finales visant à interdire ou strictement réglementer certains produits chimiques, émanant des Parties depuis la dernière Circulaire PIC a été préparé. L</w:t>
      </w:r>
      <w:r w:rsidR="000D310E" w:rsidRPr="00ED711A">
        <w:rPr>
          <w:szCs w:val="22"/>
          <w:lang w:val="fr-FR"/>
        </w:rPr>
        <w:t>’</w:t>
      </w:r>
      <w:r w:rsidR="00EA56F1" w:rsidRPr="00D95932">
        <w:rPr>
          <w:b/>
          <w:bCs/>
          <w:iCs/>
          <w:szCs w:val="22"/>
          <w:lang w:val="fr-FR"/>
        </w:rPr>
        <w:t>appendice</w:t>
      </w:r>
      <w:r w:rsidRPr="00D95932">
        <w:rPr>
          <w:b/>
          <w:bCs/>
          <w:iCs/>
          <w:szCs w:val="22"/>
          <w:lang w:val="fr-FR"/>
        </w:rPr>
        <w:t xml:space="preserve"> I</w:t>
      </w:r>
      <w:r w:rsidRPr="00D95932">
        <w:rPr>
          <w:szCs w:val="22"/>
          <w:lang w:val="fr-FR"/>
        </w:rPr>
        <w:t>,</w:t>
      </w:r>
      <w:r w:rsidRPr="00ED711A">
        <w:rPr>
          <w:szCs w:val="22"/>
          <w:lang w:val="fr-FR"/>
        </w:rPr>
        <w:t xml:space="preserve"> </w:t>
      </w:r>
      <w:r w:rsidR="00EA56F1" w:rsidRPr="00D95932">
        <w:rPr>
          <w:b/>
          <w:szCs w:val="22"/>
          <w:lang w:val="fr-FR"/>
        </w:rPr>
        <w:t>p</w:t>
      </w:r>
      <w:r w:rsidRPr="00D95932">
        <w:rPr>
          <w:b/>
          <w:szCs w:val="22"/>
          <w:lang w:val="fr-FR"/>
        </w:rPr>
        <w:t>artie A</w:t>
      </w:r>
      <w:r w:rsidRPr="00ED711A">
        <w:rPr>
          <w:szCs w:val="22"/>
          <w:lang w:val="fr-FR"/>
        </w:rPr>
        <w:t>, de la Circulaire PIC contient un résumé de chaque notification dont il a été vérifié tous les renseignements demandés à l</w:t>
      </w:r>
      <w:r w:rsidR="000D310E" w:rsidRPr="00ED711A">
        <w:rPr>
          <w:szCs w:val="22"/>
          <w:lang w:val="fr-FR"/>
        </w:rPr>
        <w:t>’</w:t>
      </w:r>
      <w:r w:rsidR="00DE65F4" w:rsidRPr="00ED711A">
        <w:rPr>
          <w:szCs w:val="22"/>
          <w:lang w:val="fr-FR"/>
        </w:rPr>
        <w:t>annexe I</w:t>
      </w:r>
      <w:r w:rsidRPr="00ED711A">
        <w:rPr>
          <w:szCs w:val="22"/>
          <w:lang w:val="fr-FR"/>
        </w:rPr>
        <w:t xml:space="preserve"> de la Convention. La </w:t>
      </w:r>
      <w:r w:rsidR="00EA56F1" w:rsidRPr="00D95932">
        <w:rPr>
          <w:b/>
          <w:szCs w:val="22"/>
          <w:lang w:val="fr-FR"/>
        </w:rPr>
        <w:t>partie</w:t>
      </w:r>
      <w:r w:rsidRPr="00D95932">
        <w:rPr>
          <w:b/>
          <w:szCs w:val="22"/>
          <w:lang w:val="fr-FR"/>
        </w:rPr>
        <w:t xml:space="preserve"> B</w:t>
      </w:r>
      <w:r w:rsidRPr="00ED711A">
        <w:rPr>
          <w:szCs w:val="22"/>
          <w:lang w:val="fr-FR"/>
        </w:rPr>
        <w:t xml:space="preserve"> du même appendice contient une liste des notifications reçues pendant la même période dont </w:t>
      </w:r>
      <w:r w:rsidR="00517EDF">
        <w:rPr>
          <w:szCs w:val="22"/>
          <w:lang w:val="fr-FR"/>
        </w:rPr>
        <w:t>le Secrétariat a</w:t>
      </w:r>
      <w:r w:rsidRPr="00ED711A">
        <w:rPr>
          <w:szCs w:val="22"/>
          <w:lang w:val="fr-FR"/>
        </w:rPr>
        <w:t xml:space="preserve"> vérifié ne contiennent pas t</w:t>
      </w:r>
      <w:r w:rsidR="00517EDF">
        <w:rPr>
          <w:szCs w:val="22"/>
          <w:lang w:val="fr-FR"/>
        </w:rPr>
        <w:t xml:space="preserve">ous les renseignements demandés </w:t>
      </w:r>
      <w:r w:rsidRPr="00ED711A">
        <w:rPr>
          <w:szCs w:val="22"/>
          <w:lang w:val="fr-FR"/>
        </w:rPr>
        <w:t>à l</w:t>
      </w:r>
      <w:r w:rsidR="000D310E" w:rsidRPr="00ED711A">
        <w:rPr>
          <w:szCs w:val="22"/>
          <w:lang w:val="fr-FR"/>
        </w:rPr>
        <w:t>’</w:t>
      </w:r>
      <w:r w:rsidR="00DE65F4" w:rsidRPr="00ED711A">
        <w:rPr>
          <w:szCs w:val="22"/>
          <w:lang w:val="fr-FR"/>
        </w:rPr>
        <w:t>annexe I</w:t>
      </w:r>
      <w:r w:rsidRPr="00ED711A">
        <w:rPr>
          <w:szCs w:val="22"/>
          <w:lang w:val="fr-FR"/>
        </w:rPr>
        <w:t xml:space="preserve"> de la Convention. Enfin, la </w:t>
      </w:r>
      <w:r w:rsidR="00EA56F1" w:rsidRPr="00D95932">
        <w:rPr>
          <w:b/>
          <w:szCs w:val="22"/>
          <w:lang w:val="fr-FR"/>
        </w:rPr>
        <w:t>partie</w:t>
      </w:r>
      <w:r w:rsidRPr="00D95932">
        <w:rPr>
          <w:b/>
          <w:szCs w:val="22"/>
          <w:lang w:val="fr-FR"/>
        </w:rPr>
        <w:t xml:space="preserve"> C</w:t>
      </w:r>
      <w:r w:rsidRPr="00ED711A">
        <w:rPr>
          <w:szCs w:val="22"/>
          <w:lang w:val="fr-FR"/>
        </w:rPr>
        <w:t xml:space="preserve"> présente une liste des notifications reçues qui sont encore en cours de vérification par le Secrétariat. </w:t>
      </w:r>
    </w:p>
    <w:p w:rsidR="004828B8" w:rsidRPr="00ED711A" w:rsidRDefault="004828B8" w:rsidP="00E51441">
      <w:pPr>
        <w:pStyle w:val="BodyTextIndent3"/>
        <w:ind w:right="0" w:firstLine="0"/>
        <w:rPr>
          <w:rFonts w:eastAsia="Arial"/>
          <w:szCs w:val="22"/>
          <w:lang w:val="fr-FR"/>
        </w:rPr>
      </w:pPr>
    </w:p>
    <w:p w:rsidR="004828B8" w:rsidRPr="00ED711A" w:rsidRDefault="004828B8" w:rsidP="00E51441">
      <w:pPr>
        <w:pStyle w:val="BodyTextIndent3"/>
        <w:ind w:right="0" w:firstLine="0"/>
        <w:rPr>
          <w:rFonts w:eastAsia="Arial"/>
          <w:szCs w:val="22"/>
          <w:lang w:val="fr-FR"/>
        </w:rPr>
      </w:pPr>
      <w:r w:rsidRPr="00ED711A">
        <w:rPr>
          <w:szCs w:val="22"/>
          <w:lang w:val="fr-FR"/>
        </w:rPr>
        <w:t xml:space="preserve">La </w:t>
      </w:r>
      <w:r w:rsidR="00EA56F1" w:rsidRPr="00F56719">
        <w:rPr>
          <w:b/>
          <w:szCs w:val="22"/>
          <w:lang w:val="fr-FR"/>
        </w:rPr>
        <w:t>partie</w:t>
      </w:r>
      <w:r w:rsidRPr="00F56719">
        <w:rPr>
          <w:b/>
          <w:szCs w:val="22"/>
          <w:lang w:val="fr-FR"/>
        </w:rPr>
        <w:t xml:space="preserve"> A</w:t>
      </w:r>
      <w:r w:rsidRPr="00ED711A">
        <w:rPr>
          <w:szCs w:val="22"/>
          <w:lang w:val="fr-FR"/>
        </w:rPr>
        <w:t xml:space="preserve"> de l</w:t>
      </w:r>
      <w:r w:rsidR="000D310E" w:rsidRPr="00ED711A">
        <w:rPr>
          <w:szCs w:val="22"/>
          <w:lang w:val="fr-FR"/>
        </w:rPr>
        <w:t>’</w:t>
      </w:r>
      <w:r w:rsidR="00EA56F1" w:rsidRPr="00F56719">
        <w:rPr>
          <w:b/>
          <w:bCs/>
          <w:iCs/>
          <w:szCs w:val="22"/>
          <w:lang w:val="fr-FR"/>
        </w:rPr>
        <w:t>appendice</w:t>
      </w:r>
      <w:r w:rsidRPr="00F56719">
        <w:rPr>
          <w:b/>
          <w:bCs/>
          <w:iCs/>
          <w:szCs w:val="22"/>
          <w:lang w:val="fr-FR"/>
        </w:rPr>
        <w:t xml:space="preserve"> V</w:t>
      </w:r>
      <w:r w:rsidRPr="00ED711A">
        <w:rPr>
          <w:szCs w:val="22"/>
          <w:lang w:val="fr-FR"/>
        </w:rPr>
        <w:t xml:space="preserve"> contient un résumé tabulaire des notifications de mesures de réglementation finales concernant les produits chimiques interdits ou strictement réglementés émanant </w:t>
      </w:r>
      <w:r w:rsidRPr="00ED711A">
        <w:rPr>
          <w:szCs w:val="22"/>
          <w:lang w:val="fr-FR"/>
        </w:rPr>
        <w:lastRenderedPageBreak/>
        <w:t>des Parties de septembre 1998 au présent et dont il a été vérifié qu</w:t>
      </w:r>
      <w:r w:rsidR="000D310E" w:rsidRPr="00ED711A">
        <w:rPr>
          <w:szCs w:val="22"/>
          <w:lang w:val="fr-FR"/>
        </w:rPr>
        <w:t>’</w:t>
      </w:r>
      <w:r w:rsidRPr="00ED711A">
        <w:rPr>
          <w:szCs w:val="22"/>
          <w:lang w:val="fr-FR"/>
        </w:rPr>
        <w:t>elles contiennent tous les renseignements demandés à l</w:t>
      </w:r>
      <w:r w:rsidR="000D310E" w:rsidRPr="00ED711A">
        <w:rPr>
          <w:szCs w:val="22"/>
          <w:lang w:val="fr-FR"/>
        </w:rPr>
        <w:t>’</w:t>
      </w:r>
      <w:r w:rsidR="00DE65F4" w:rsidRPr="00ED711A">
        <w:rPr>
          <w:szCs w:val="22"/>
          <w:lang w:val="fr-FR"/>
        </w:rPr>
        <w:t>annexe I</w:t>
      </w:r>
      <w:r w:rsidRPr="00ED711A">
        <w:rPr>
          <w:szCs w:val="22"/>
          <w:lang w:val="fr-FR"/>
        </w:rPr>
        <w:t xml:space="preserve"> de la Convention. Lorsqu</w:t>
      </w:r>
      <w:r w:rsidR="000D310E" w:rsidRPr="00ED711A">
        <w:rPr>
          <w:szCs w:val="22"/>
          <w:lang w:val="fr-FR"/>
        </w:rPr>
        <w:t>’</w:t>
      </w:r>
      <w:r w:rsidRPr="00ED711A">
        <w:rPr>
          <w:szCs w:val="22"/>
          <w:lang w:val="fr-FR"/>
        </w:rPr>
        <w:t>une notification supplémentaire, dont il a été vérifié qu</w:t>
      </w:r>
      <w:r w:rsidR="000D310E" w:rsidRPr="00ED711A">
        <w:rPr>
          <w:szCs w:val="22"/>
          <w:lang w:val="fr-FR"/>
        </w:rPr>
        <w:t>’</w:t>
      </w:r>
      <w:r w:rsidRPr="00ED711A">
        <w:rPr>
          <w:szCs w:val="22"/>
          <w:lang w:val="fr-FR"/>
        </w:rPr>
        <w:t>elle contient tous les renseignements demandés à l</w:t>
      </w:r>
      <w:r w:rsidR="000D310E" w:rsidRPr="00ED711A">
        <w:rPr>
          <w:szCs w:val="22"/>
          <w:lang w:val="fr-FR"/>
        </w:rPr>
        <w:t>’</w:t>
      </w:r>
      <w:r w:rsidR="00DE65F4" w:rsidRPr="00ED711A">
        <w:rPr>
          <w:szCs w:val="22"/>
          <w:lang w:val="fr-FR"/>
        </w:rPr>
        <w:t>annexe I</w:t>
      </w:r>
      <w:r w:rsidRPr="00ED711A">
        <w:rPr>
          <w:szCs w:val="22"/>
          <w:lang w:val="fr-FR"/>
        </w:rPr>
        <w:t>, a été soumise pour un de ces produits chimiques par une seconde région considérée aux fins de la procédure PIC provisoire, elle sera envoyée au Comité intérimaire d</w:t>
      </w:r>
      <w:r w:rsidR="000D310E" w:rsidRPr="00ED711A">
        <w:rPr>
          <w:szCs w:val="22"/>
          <w:lang w:val="fr-FR"/>
        </w:rPr>
        <w:t>’</w:t>
      </w:r>
      <w:r w:rsidRPr="00ED711A">
        <w:rPr>
          <w:szCs w:val="22"/>
          <w:lang w:val="fr-FR"/>
        </w:rPr>
        <w:t>étude des produits chimiques qui évaluera la candidature de ce produit à l</w:t>
      </w:r>
      <w:r w:rsidR="000D310E" w:rsidRPr="00ED711A">
        <w:rPr>
          <w:szCs w:val="22"/>
          <w:lang w:val="fr-FR"/>
        </w:rPr>
        <w:t>’</w:t>
      </w:r>
      <w:r w:rsidRPr="00ED711A">
        <w:rPr>
          <w:szCs w:val="22"/>
          <w:lang w:val="fr-FR"/>
        </w:rPr>
        <w:t>inclusion à l</w:t>
      </w:r>
      <w:r w:rsidR="000D310E" w:rsidRPr="00ED711A">
        <w:rPr>
          <w:szCs w:val="22"/>
          <w:lang w:val="fr-FR"/>
        </w:rPr>
        <w:t>’</w:t>
      </w:r>
      <w:r w:rsidR="00DE65F4" w:rsidRPr="00ED711A">
        <w:rPr>
          <w:szCs w:val="22"/>
          <w:lang w:val="fr-FR"/>
        </w:rPr>
        <w:t>annexe III</w:t>
      </w:r>
      <w:r w:rsidRPr="00ED711A">
        <w:rPr>
          <w:szCs w:val="22"/>
          <w:lang w:val="fr-FR"/>
        </w:rPr>
        <w:t xml:space="preserve"> de la Convention.</w:t>
      </w:r>
    </w:p>
    <w:p w:rsidR="004828B8" w:rsidRPr="00ED711A" w:rsidRDefault="004828B8" w:rsidP="00E51441">
      <w:pPr>
        <w:pStyle w:val="BodyTextIndent3"/>
        <w:ind w:right="0" w:firstLine="0"/>
        <w:rPr>
          <w:rFonts w:eastAsia="Arial"/>
          <w:szCs w:val="22"/>
          <w:lang w:val="fr-FR"/>
        </w:rPr>
      </w:pPr>
    </w:p>
    <w:p w:rsidR="004828B8" w:rsidRPr="00ED711A" w:rsidRDefault="004828B8" w:rsidP="00E51441">
      <w:pPr>
        <w:pStyle w:val="CorpoA"/>
        <w:jc w:val="both"/>
        <w:rPr>
          <w:rFonts w:eastAsia="Arial"/>
          <w:color w:val="auto"/>
          <w:sz w:val="22"/>
          <w:szCs w:val="22"/>
          <w:lang w:val="fr-FR"/>
        </w:rPr>
      </w:pPr>
      <w:r w:rsidRPr="00ED711A">
        <w:rPr>
          <w:color w:val="auto"/>
          <w:sz w:val="22"/>
          <w:szCs w:val="22"/>
          <w:lang w:val="fr-FR"/>
        </w:rPr>
        <w:t>Les Parties ayant adopté des mesures de réglementation finales doivent le notifier au Secrétariat dans les délais établis aux paragraphes 1 et 2 de l</w:t>
      </w:r>
      <w:r w:rsidR="000D310E" w:rsidRPr="00ED711A">
        <w:rPr>
          <w:color w:val="auto"/>
          <w:sz w:val="22"/>
          <w:szCs w:val="22"/>
          <w:lang w:val="fr-FR"/>
        </w:rPr>
        <w:t>’article</w:t>
      </w:r>
      <w:r w:rsidRPr="00ED711A">
        <w:rPr>
          <w:color w:val="auto"/>
          <w:sz w:val="22"/>
          <w:szCs w:val="22"/>
          <w:lang w:val="fr-FR"/>
        </w:rPr>
        <w:t xml:space="preserve"> 5. Le Secrétariat voudrait attirer l</w:t>
      </w:r>
      <w:r w:rsidR="000D310E" w:rsidRPr="00ED711A">
        <w:rPr>
          <w:color w:val="auto"/>
          <w:sz w:val="22"/>
          <w:szCs w:val="22"/>
          <w:lang w:val="fr-FR"/>
        </w:rPr>
        <w:t>’</w:t>
      </w:r>
      <w:r w:rsidRPr="00ED711A">
        <w:rPr>
          <w:color w:val="auto"/>
          <w:sz w:val="22"/>
          <w:szCs w:val="22"/>
          <w:lang w:val="fr-FR"/>
        </w:rPr>
        <w:t>attention des Parties sur les produits chimiques pour lesquels il existe déjà au moins une notification et il encourage les Parties à donner la priorité à ces produits chimiques lorsqu</w:t>
      </w:r>
      <w:r w:rsidR="000D310E" w:rsidRPr="00ED711A">
        <w:rPr>
          <w:color w:val="auto"/>
          <w:sz w:val="22"/>
          <w:szCs w:val="22"/>
          <w:lang w:val="fr-FR"/>
        </w:rPr>
        <w:t>’</w:t>
      </w:r>
      <w:r w:rsidRPr="00ED711A">
        <w:rPr>
          <w:color w:val="auto"/>
          <w:sz w:val="22"/>
          <w:szCs w:val="22"/>
          <w:lang w:val="fr-FR"/>
        </w:rPr>
        <w:t>elles préparent les notifications de la mesure de réglementation finale.</w:t>
      </w:r>
    </w:p>
    <w:p w:rsidR="004828B8" w:rsidRPr="00ED711A" w:rsidRDefault="004828B8" w:rsidP="00E51441">
      <w:pPr>
        <w:pStyle w:val="BodyTextIndent3"/>
        <w:ind w:right="0" w:firstLine="0"/>
        <w:rPr>
          <w:rFonts w:eastAsia="Arial"/>
          <w:szCs w:val="22"/>
          <w:lang w:val="fr-FR"/>
        </w:rPr>
      </w:pPr>
    </w:p>
    <w:p w:rsidR="004828B8" w:rsidRPr="00ED711A" w:rsidRDefault="004828B8" w:rsidP="00E51441">
      <w:pPr>
        <w:pStyle w:val="BodyTextIndent3"/>
        <w:ind w:right="0" w:firstLine="0"/>
        <w:rPr>
          <w:rFonts w:eastAsia="Arial"/>
          <w:szCs w:val="22"/>
          <w:lang w:val="fr-FR"/>
        </w:rPr>
      </w:pPr>
      <w:r w:rsidRPr="00ED711A">
        <w:rPr>
          <w:szCs w:val="22"/>
          <w:lang w:val="fr-FR"/>
        </w:rPr>
        <w:t xml:space="preserve">La </w:t>
      </w:r>
      <w:r w:rsidR="00EA56F1" w:rsidRPr="00B578E3">
        <w:rPr>
          <w:b/>
          <w:szCs w:val="22"/>
          <w:lang w:val="fr-FR"/>
        </w:rPr>
        <w:t>partie</w:t>
      </w:r>
      <w:r w:rsidRPr="00B578E3">
        <w:rPr>
          <w:b/>
          <w:szCs w:val="22"/>
          <w:lang w:val="fr-FR"/>
        </w:rPr>
        <w:t xml:space="preserve"> B</w:t>
      </w:r>
      <w:r w:rsidRPr="00ED711A">
        <w:rPr>
          <w:szCs w:val="22"/>
          <w:lang w:val="fr-FR"/>
        </w:rPr>
        <w:t xml:space="preserve"> de l</w:t>
      </w:r>
      <w:r w:rsidR="000D310E" w:rsidRPr="00ED711A">
        <w:rPr>
          <w:szCs w:val="22"/>
          <w:lang w:val="fr-FR"/>
        </w:rPr>
        <w:t>’</w:t>
      </w:r>
      <w:r w:rsidR="00EA56F1" w:rsidRPr="00B578E3">
        <w:rPr>
          <w:b/>
          <w:bCs/>
          <w:iCs/>
          <w:szCs w:val="22"/>
          <w:lang w:val="fr-FR"/>
        </w:rPr>
        <w:t>appendice</w:t>
      </w:r>
      <w:r w:rsidRPr="00B578E3">
        <w:rPr>
          <w:b/>
          <w:bCs/>
          <w:iCs/>
          <w:szCs w:val="22"/>
          <w:lang w:val="fr-FR"/>
        </w:rPr>
        <w:t xml:space="preserve"> V</w:t>
      </w:r>
      <w:r w:rsidRPr="00B578E3">
        <w:rPr>
          <w:szCs w:val="22"/>
          <w:lang w:val="fr-FR"/>
        </w:rPr>
        <w:t xml:space="preserve"> </w:t>
      </w:r>
      <w:r w:rsidRPr="00ED711A">
        <w:rPr>
          <w:szCs w:val="22"/>
          <w:lang w:val="fr-FR"/>
        </w:rPr>
        <w:t>contient une liste de toutes les notifications reçues pendant la même période dont il a été vérifié qu</w:t>
      </w:r>
      <w:r w:rsidR="000D310E" w:rsidRPr="00ED711A">
        <w:rPr>
          <w:szCs w:val="22"/>
          <w:lang w:val="fr-FR"/>
        </w:rPr>
        <w:t>’</w:t>
      </w:r>
      <w:r w:rsidRPr="00ED711A">
        <w:rPr>
          <w:szCs w:val="22"/>
          <w:lang w:val="fr-FR"/>
        </w:rPr>
        <w:t>elles ne contiennent pas tous les renseignements demandés à l</w:t>
      </w:r>
      <w:r w:rsidR="000D310E" w:rsidRPr="00ED711A">
        <w:rPr>
          <w:szCs w:val="22"/>
          <w:lang w:val="fr-FR"/>
        </w:rPr>
        <w:t>’</w:t>
      </w:r>
      <w:r w:rsidR="00DE65F4" w:rsidRPr="00ED711A">
        <w:rPr>
          <w:szCs w:val="22"/>
          <w:lang w:val="fr-FR"/>
        </w:rPr>
        <w:t>annexe I</w:t>
      </w:r>
      <w:r w:rsidRPr="00ED711A">
        <w:rPr>
          <w:szCs w:val="22"/>
          <w:lang w:val="fr-FR"/>
        </w:rPr>
        <w:t xml:space="preserve"> de la Convention.</w:t>
      </w:r>
    </w:p>
    <w:p w:rsidR="004828B8" w:rsidRPr="00ED711A" w:rsidRDefault="004828B8" w:rsidP="00E51441">
      <w:pPr>
        <w:pStyle w:val="BodyTextIndent3"/>
        <w:ind w:right="0" w:firstLine="0"/>
        <w:rPr>
          <w:rFonts w:eastAsia="Arial"/>
          <w:szCs w:val="22"/>
          <w:lang w:val="fr-FR"/>
        </w:rPr>
      </w:pPr>
    </w:p>
    <w:p w:rsidR="004828B8" w:rsidRPr="00ED711A" w:rsidRDefault="004828B8" w:rsidP="00E51441">
      <w:pPr>
        <w:pStyle w:val="BodyTextIndent3"/>
        <w:ind w:right="0" w:firstLine="0"/>
        <w:rPr>
          <w:rFonts w:eastAsia="Arial"/>
          <w:szCs w:val="22"/>
          <w:lang w:val="fr-FR"/>
        </w:rPr>
      </w:pPr>
      <w:r w:rsidRPr="00ED711A">
        <w:rPr>
          <w:szCs w:val="22"/>
          <w:lang w:val="fr-FR"/>
        </w:rPr>
        <w:t>Les renseignements sur les notifications émanant des Parties concernant les produits chimiques inscrits à l</w:t>
      </w:r>
      <w:r w:rsidR="000D310E" w:rsidRPr="00ED711A">
        <w:rPr>
          <w:szCs w:val="22"/>
          <w:lang w:val="fr-FR"/>
        </w:rPr>
        <w:t>’</w:t>
      </w:r>
      <w:r w:rsidR="00DE65F4" w:rsidRPr="00ED711A">
        <w:rPr>
          <w:szCs w:val="22"/>
          <w:lang w:val="fr-FR"/>
        </w:rPr>
        <w:t>annexe III</w:t>
      </w:r>
      <w:r w:rsidRPr="00ED711A">
        <w:rPr>
          <w:szCs w:val="22"/>
          <w:lang w:val="fr-FR"/>
        </w:rPr>
        <w:t xml:space="preserve"> de la Convention et dont il a été vérifié qu</w:t>
      </w:r>
      <w:r w:rsidR="000D310E" w:rsidRPr="00ED711A">
        <w:rPr>
          <w:szCs w:val="22"/>
          <w:lang w:val="fr-FR"/>
        </w:rPr>
        <w:t>’</w:t>
      </w:r>
      <w:r w:rsidRPr="00ED711A">
        <w:rPr>
          <w:szCs w:val="22"/>
          <w:lang w:val="fr-FR"/>
        </w:rPr>
        <w:t>elles contiennent bien tous les renseignements demandés à l</w:t>
      </w:r>
      <w:r w:rsidR="000D310E" w:rsidRPr="00ED711A">
        <w:rPr>
          <w:szCs w:val="22"/>
          <w:lang w:val="fr-FR"/>
        </w:rPr>
        <w:t>’</w:t>
      </w:r>
      <w:r w:rsidR="00DE65F4" w:rsidRPr="00ED711A">
        <w:rPr>
          <w:szCs w:val="22"/>
          <w:lang w:val="fr-FR"/>
        </w:rPr>
        <w:t>annexe I</w:t>
      </w:r>
      <w:r w:rsidRPr="00ED711A">
        <w:rPr>
          <w:szCs w:val="22"/>
          <w:lang w:val="fr-FR"/>
        </w:rPr>
        <w:t xml:space="preserve"> de la Convention, ont été inclus sur le site web de la Convention </w:t>
      </w:r>
      <w:r w:rsidRPr="00676EE7">
        <w:rPr>
          <w:color w:val="0000FF"/>
          <w:szCs w:val="22"/>
          <w:lang w:val="fr-FR"/>
        </w:rPr>
        <w:t>(</w:t>
      </w:r>
      <w:hyperlink r:id="rId12" w:history="1">
        <w:r w:rsidRPr="00676EE7">
          <w:rPr>
            <w:rStyle w:val="Hyperlink"/>
            <w:szCs w:val="22"/>
            <w:lang w:val="fr-FR"/>
          </w:rPr>
          <w:t>www.pic.int</w:t>
        </w:r>
      </w:hyperlink>
      <w:r w:rsidRPr="00ED711A">
        <w:rPr>
          <w:szCs w:val="22"/>
          <w:lang w:val="fr-FR"/>
        </w:rPr>
        <w:t xml:space="preserve">) dans la section intitulée « Base de données des notifications ». </w:t>
      </w:r>
    </w:p>
    <w:p w:rsidR="004828B8" w:rsidRPr="00ED711A" w:rsidRDefault="004828B8" w:rsidP="00E51441">
      <w:pPr>
        <w:pStyle w:val="BodyTextIndent3"/>
        <w:ind w:right="0" w:firstLine="0"/>
        <w:rPr>
          <w:rFonts w:eastAsia="Arial"/>
          <w:szCs w:val="22"/>
          <w:lang w:val="fr-FR"/>
        </w:rPr>
      </w:pPr>
    </w:p>
    <w:p w:rsidR="004828B8" w:rsidRPr="00ED711A" w:rsidRDefault="004828B8" w:rsidP="00E51441">
      <w:pPr>
        <w:pStyle w:val="BodyTextIndent3"/>
        <w:ind w:right="0" w:firstLine="0"/>
        <w:rPr>
          <w:rFonts w:eastAsia="Arial"/>
          <w:szCs w:val="22"/>
          <w:lang w:val="fr-FR"/>
        </w:rPr>
      </w:pPr>
      <w:r w:rsidRPr="00ED711A">
        <w:rPr>
          <w:szCs w:val="22"/>
          <w:lang w:val="fr-FR"/>
        </w:rPr>
        <w:t>Un résumé de toutes les notifications reçues avant l</w:t>
      </w:r>
      <w:r w:rsidR="000D310E" w:rsidRPr="00ED711A">
        <w:rPr>
          <w:szCs w:val="22"/>
          <w:lang w:val="fr-FR"/>
        </w:rPr>
        <w:t>’</w:t>
      </w:r>
      <w:r w:rsidRPr="00ED711A">
        <w:rPr>
          <w:szCs w:val="22"/>
          <w:lang w:val="fr-FR"/>
        </w:rPr>
        <w:t xml:space="preserve">adoption de la Convention (conformément à la procédure PIC originale) a été </w:t>
      </w:r>
      <w:proofErr w:type="gramStart"/>
      <w:r w:rsidRPr="00ED711A">
        <w:rPr>
          <w:szCs w:val="22"/>
          <w:lang w:val="fr-FR"/>
        </w:rPr>
        <w:t>publié</w:t>
      </w:r>
      <w:proofErr w:type="gramEnd"/>
      <w:r w:rsidRPr="00ED711A">
        <w:rPr>
          <w:szCs w:val="22"/>
          <w:lang w:val="fr-FR"/>
        </w:rPr>
        <w:t xml:space="preserve"> dans la </w:t>
      </w:r>
      <w:r w:rsidRPr="00B578E3">
        <w:rPr>
          <w:b/>
          <w:szCs w:val="22"/>
          <w:lang w:val="fr-FR"/>
        </w:rPr>
        <w:t>Circulaire PIC X</w:t>
      </w:r>
      <w:r w:rsidRPr="00ED711A">
        <w:rPr>
          <w:szCs w:val="22"/>
          <w:lang w:val="fr-FR"/>
        </w:rPr>
        <w:t xml:space="preserve"> en décembre 1999 et est disponible sur le site web de la Convention de Rotterdam (</w:t>
      </w:r>
      <w:hyperlink r:id="rId13" w:history="1">
        <w:r w:rsidRPr="00676EE7">
          <w:rPr>
            <w:rStyle w:val="Hyperlink"/>
            <w:szCs w:val="22"/>
            <w:lang w:val="fr-FR"/>
          </w:rPr>
          <w:t>www.pic.int</w:t>
        </w:r>
      </w:hyperlink>
      <w:r w:rsidRPr="00ED711A">
        <w:rPr>
          <w:szCs w:val="22"/>
          <w:lang w:val="fr-FR"/>
        </w:rPr>
        <w:t>). Les notifications soumises avant l</w:t>
      </w:r>
      <w:r w:rsidR="000D310E" w:rsidRPr="00ED711A">
        <w:rPr>
          <w:szCs w:val="22"/>
          <w:lang w:val="fr-FR"/>
        </w:rPr>
        <w:t>’</w:t>
      </w:r>
      <w:r w:rsidRPr="00ED711A">
        <w:rPr>
          <w:szCs w:val="22"/>
          <w:lang w:val="fr-FR"/>
        </w:rPr>
        <w:t>adoption de la Convention ne remplissent pas les conditions de l</w:t>
      </w:r>
      <w:r w:rsidR="000D310E" w:rsidRPr="00ED711A">
        <w:rPr>
          <w:szCs w:val="22"/>
          <w:lang w:val="fr-FR"/>
        </w:rPr>
        <w:t>’</w:t>
      </w:r>
      <w:r w:rsidR="00DE65F4" w:rsidRPr="00ED711A">
        <w:rPr>
          <w:szCs w:val="22"/>
          <w:lang w:val="fr-FR"/>
        </w:rPr>
        <w:t>annexe I</w:t>
      </w:r>
      <w:r w:rsidRPr="00ED711A">
        <w:rPr>
          <w:szCs w:val="22"/>
          <w:lang w:val="fr-FR"/>
        </w:rPr>
        <w:t xml:space="preserve">, car les renseignements devant figurer dans les notifications selon la procédure PIC originale étaient différents des renseignements demandés par la Convention. Il faut noter bien que les Parties ne soient pas obligées de </w:t>
      </w:r>
      <w:r w:rsidR="00517EDF">
        <w:rPr>
          <w:szCs w:val="22"/>
          <w:lang w:val="fr-FR"/>
        </w:rPr>
        <w:t>transmettre</w:t>
      </w:r>
      <w:r w:rsidRPr="00ED711A">
        <w:rPr>
          <w:szCs w:val="22"/>
          <w:lang w:val="fr-FR"/>
        </w:rPr>
        <w:t xml:space="preserve"> à nouveau des notifications qu</w:t>
      </w:r>
      <w:r w:rsidR="000D310E" w:rsidRPr="00ED711A">
        <w:rPr>
          <w:szCs w:val="22"/>
          <w:lang w:val="fr-FR"/>
        </w:rPr>
        <w:t>’</w:t>
      </w:r>
      <w:r w:rsidRPr="00ED711A">
        <w:rPr>
          <w:szCs w:val="22"/>
          <w:lang w:val="fr-FR"/>
        </w:rPr>
        <w:t xml:space="preserve">elles ont </w:t>
      </w:r>
      <w:r w:rsidR="00517EDF">
        <w:rPr>
          <w:szCs w:val="22"/>
          <w:lang w:val="fr-FR"/>
        </w:rPr>
        <w:t>déjà</w:t>
      </w:r>
      <w:r w:rsidR="00517EDF" w:rsidRPr="00ED711A">
        <w:rPr>
          <w:szCs w:val="22"/>
          <w:lang w:val="fr-FR"/>
        </w:rPr>
        <w:t xml:space="preserve"> </w:t>
      </w:r>
      <w:r w:rsidR="00517EDF">
        <w:rPr>
          <w:szCs w:val="22"/>
          <w:lang w:val="fr-FR"/>
        </w:rPr>
        <w:t>transmises</w:t>
      </w:r>
      <w:r w:rsidRPr="00ED711A">
        <w:rPr>
          <w:szCs w:val="22"/>
          <w:lang w:val="fr-FR"/>
        </w:rPr>
        <w:t xml:space="preserve"> selon la procédure PIC originale (paragraphe 2 de l</w:t>
      </w:r>
      <w:r w:rsidR="000D310E" w:rsidRPr="00ED711A">
        <w:rPr>
          <w:szCs w:val="22"/>
          <w:lang w:val="fr-FR"/>
        </w:rPr>
        <w:t>’article</w:t>
      </w:r>
      <w:r w:rsidRPr="00ED711A">
        <w:rPr>
          <w:szCs w:val="22"/>
          <w:lang w:val="fr-FR"/>
        </w:rPr>
        <w:t xml:space="preserve"> 5 de la Convention), elles peuvent considérer de le faire pour les produits chimiques qui ne sont pas actuellement inscrits à l</w:t>
      </w:r>
      <w:r w:rsidR="000D310E" w:rsidRPr="00ED711A">
        <w:rPr>
          <w:szCs w:val="22"/>
          <w:lang w:val="fr-FR"/>
        </w:rPr>
        <w:t>’</w:t>
      </w:r>
      <w:r w:rsidR="00DE65F4" w:rsidRPr="00ED711A">
        <w:rPr>
          <w:szCs w:val="22"/>
          <w:lang w:val="fr-FR"/>
        </w:rPr>
        <w:t>annexe III</w:t>
      </w:r>
      <w:r w:rsidRPr="00ED711A">
        <w:rPr>
          <w:szCs w:val="22"/>
          <w:lang w:val="fr-FR"/>
        </w:rPr>
        <w:t xml:space="preserve"> si des renseignements justificatifs suffisants sont disponibles. </w:t>
      </w:r>
    </w:p>
    <w:p w:rsidR="004828B8" w:rsidRPr="00ED711A" w:rsidRDefault="004828B8" w:rsidP="00E51441">
      <w:pPr>
        <w:pStyle w:val="BodyTextIndent3"/>
        <w:ind w:right="0" w:firstLine="0"/>
        <w:rPr>
          <w:rFonts w:eastAsia="Arial"/>
          <w:szCs w:val="22"/>
          <w:lang w:val="fr-FR"/>
        </w:rPr>
      </w:pPr>
    </w:p>
    <w:p w:rsidR="001F3F1A" w:rsidRPr="00ED711A" w:rsidRDefault="004828B8" w:rsidP="007973B8">
      <w:pPr>
        <w:jc w:val="both"/>
        <w:rPr>
          <w:sz w:val="22"/>
          <w:szCs w:val="22"/>
          <w:lang w:val="fr-CH"/>
        </w:rPr>
      </w:pPr>
      <w:r w:rsidRPr="00ED711A">
        <w:rPr>
          <w:sz w:val="22"/>
          <w:szCs w:val="22"/>
          <w:lang w:val="fr-FR"/>
        </w:rPr>
        <w:t>Afin de faciliter la présentation des notifications, un</w:t>
      </w:r>
      <w:r w:rsidRPr="00ED711A">
        <w:rPr>
          <w:i/>
          <w:iCs/>
          <w:sz w:val="22"/>
          <w:szCs w:val="22"/>
          <w:lang w:val="fr-FR"/>
        </w:rPr>
        <w:t xml:space="preserve"> Formulaire de notification de mesure de réglementation finale visant à interdire ou strictement réglementer un produit chimique</w:t>
      </w:r>
      <w:r w:rsidRPr="00ED711A">
        <w:rPr>
          <w:sz w:val="22"/>
          <w:szCs w:val="22"/>
          <w:lang w:val="fr-FR"/>
        </w:rPr>
        <w:t xml:space="preserve"> et </w:t>
      </w:r>
      <w:r w:rsidR="00517EDF">
        <w:rPr>
          <w:sz w:val="22"/>
          <w:szCs w:val="22"/>
          <w:lang w:val="fr-FR"/>
        </w:rPr>
        <w:t>des instructions à suivre pour</w:t>
      </w:r>
      <w:r w:rsidR="00517EDF" w:rsidRPr="00ED711A">
        <w:rPr>
          <w:sz w:val="22"/>
          <w:szCs w:val="22"/>
          <w:lang w:val="fr-FR"/>
        </w:rPr>
        <w:t xml:space="preserve"> </w:t>
      </w:r>
      <w:r w:rsidR="00517EDF">
        <w:rPr>
          <w:sz w:val="22"/>
          <w:szCs w:val="22"/>
          <w:lang w:val="fr-FR"/>
        </w:rPr>
        <w:t xml:space="preserve">le </w:t>
      </w:r>
      <w:r w:rsidR="00517EDF">
        <w:rPr>
          <w:sz w:val="22"/>
          <w:szCs w:val="22"/>
          <w:lang w:val="fr-FR"/>
        </w:rPr>
        <w:t>compléter</w:t>
      </w:r>
      <w:r w:rsidRPr="00ED711A">
        <w:rPr>
          <w:sz w:val="22"/>
          <w:szCs w:val="22"/>
          <w:lang w:val="fr-FR"/>
        </w:rPr>
        <w:t xml:space="preserve"> ont été développés. Il est possible d</w:t>
      </w:r>
      <w:r w:rsidR="000D310E" w:rsidRPr="00ED711A">
        <w:rPr>
          <w:sz w:val="22"/>
          <w:szCs w:val="22"/>
          <w:lang w:val="fr-FR"/>
        </w:rPr>
        <w:t>’</w:t>
      </w:r>
      <w:r w:rsidRPr="00ED711A">
        <w:rPr>
          <w:sz w:val="22"/>
          <w:szCs w:val="22"/>
          <w:lang w:val="fr-FR"/>
        </w:rPr>
        <w:t xml:space="preserve">obtenir des copies du formulaire et des instructions sur le site web de la Convention de Rotterdam </w:t>
      </w:r>
      <w:r w:rsidR="00BD3BEA" w:rsidRPr="00ED711A">
        <w:rPr>
          <w:sz w:val="22"/>
          <w:szCs w:val="22"/>
          <w:lang w:val="fr-FR"/>
        </w:rPr>
        <w:t>(</w:t>
      </w:r>
      <w:hyperlink r:id="rId14" w:history="1">
        <w:r w:rsidR="00BD3BEA" w:rsidRPr="00676EE7">
          <w:rPr>
            <w:rStyle w:val="Hyperlink"/>
            <w:sz w:val="22"/>
            <w:szCs w:val="22"/>
            <w:lang w:val="fr-FR"/>
          </w:rPr>
          <w:t>www.pic.int</w:t>
        </w:r>
      </w:hyperlink>
      <w:r w:rsidR="00BD3BEA" w:rsidRPr="00ED711A">
        <w:rPr>
          <w:sz w:val="22"/>
          <w:szCs w:val="22"/>
          <w:lang w:val="fr-FR"/>
        </w:rPr>
        <w:t>)</w:t>
      </w:r>
      <w:r w:rsidRPr="00ED711A">
        <w:rPr>
          <w:sz w:val="22"/>
          <w:szCs w:val="22"/>
          <w:lang w:val="fr-FR"/>
        </w:rPr>
        <w:t xml:space="preserve"> ou, sur demande, au Secrétariat (</w:t>
      </w:r>
      <w:hyperlink r:id="rId15" w:history="1">
        <w:r w:rsidRPr="00BD3BEA">
          <w:rPr>
            <w:snapToGrid w:val="0"/>
            <w:color w:val="0000FF"/>
            <w:sz w:val="22"/>
            <w:szCs w:val="22"/>
            <w:u w:val="single"/>
            <w:lang w:val="fr-CH"/>
          </w:rPr>
          <w:t>pic@fao.org</w:t>
        </w:r>
      </w:hyperlink>
      <w:r w:rsidRPr="00ED711A">
        <w:rPr>
          <w:sz w:val="22"/>
          <w:szCs w:val="22"/>
          <w:lang w:val="fr-FR"/>
        </w:rPr>
        <w:t xml:space="preserve"> ou </w:t>
      </w:r>
      <w:hyperlink r:id="rId16" w:history="1">
        <w:r w:rsidRPr="00BD3BEA">
          <w:rPr>
            <w:snapToGrid w:val="0"/>
            <w:color w:val="0000FF"/>
            <w:sz w:val="22"/>
            <w:szCs w:val="22"/>
            <w:u w:val="single"/>
            <w:lang w:val="fr-CH"/>
          </w:rPr>
          <w:t>pic@pic.int</w:t>
        </w:r>
      </w:hyperlink>
      <w:r w:rsidRPr="00ED711A">
        <w:rPr>
          <w:lang w:val="fr-CH"/>
        </w:rPr>
        <w:t xml:space="preserve"> et </w:t>
      </w:r>
      <w:hyperlink r:id="rId17" w:history="1">
        <w:r w:rsidRPr="00BD3BEA">
          <w:rPr>
            <w:rStyle w:val="Hyperlink"/>
            <w:sz w:val="22"/>
            <w:szCs w:val="22"/>
            <w:lang w:val="fr-CH"/>
          </w:rPr>
          <w:t>pic@brsmeas.org</w:t>
        </w:r>
      </w:hyperlink>
      <w:r w:rsidRPr="00ED711A">
        <w:rPr>
          <w:sz w:val="22"/>
          <w:szCs w:val="22"/>
          <w:lang w:val="fr-FR"/>
        </w:rPr>
        <w:t>). Les notifications de mesure de réglementation finale doivent être présentées par le canal officiel de communication de la Partie, comme par exemple l</w:t>
      </w:r>
      <w:r w:rsidR="000D310E" w:rsidRPr="00ED711A">
        <w:rPr>
          <w:sz w:val="22"/>
          <w:szCs w:val="22"/>
          <w:lang w:val="fr-FR"/>
        </w:rPr>
        <w:t>’</w:t>
      </w:r>
      <w:r w:rsidRPr="00ED711A">
        <w:rPr>
          <w:sz w:val="22"/>
          <w:szCs w:val="22"/>
          <w:lang w:val="fr-FR"/>
        </w:rPr>
        <w:t>Autorité nationale désignée</w:t>
      </w:r>
      <w:r w:rsidR="00262058" w:rsidRPr="00ED711A">
        <w:rPr>
          <w:sz w:val="22"/>
          <w:szCs w:val="22"/>
          <w:lang w:val="fr-CH"/>
        </w:rPr>
        <w:t>.</w:t>
      </w:r>
    </w:p>
    <w:p w:rsidR="001F3F1A" w:rsidRPr="00ED711A" w:rsidRDefault="001F3F1A" w:rsidP="007973B8">
      <w:pPr>
        <w:jc w:val="both"/>
        <w:rPr>
          <w:sz w:val="22"/>
          <w:szCs w:val="22"/>
          <w:lang w:val="fr-CH"/>
        </w:rPr>
      </w:pPr>
    </w:p>
    <w:p w:rsidR="001F3F1A" w:rsidRPr="00ED711A" w:rsidRDefault="001F3F1A" w:rsidP="007973B8">
      <w:pPr>
        <w:ind w:left="720" w:hanging="720"/>
        <w:jc w:val="both"/>
        <w:outlineLvl w:val="1"/>
        <w:rPr>
          <w:sz w:val="22"/>
          <w:szCs w:val="22"/>
          <w:lang w:val="fr-CH"/>
        </w:rPr>
      </w:pPr>
      <w:bookmarkStart w:id="17" w:name="_Toc264393106"/>
      <w:bookmarkStart w:id="18" w:name="_Toc264391959"/>
      <w:bookmarkStart w:id="19" w:name="_Toc248307661"/>
      <w:bookmarkStart w:id="20" w:name="_Toc248296424"/>
      <w:bookmarkStart w:id="21" w:name="_Toc232307866"/>
      <w:bookmarkStart w:id="22" w:name="_Toc201033290"/>
      <w:bookmarkStart w:id="23" w:name="_Toc199906459"/>
      <w:bookmarkStart w:id="24" w:name="_Toc168731337"/>
      <w:bookmarkStart w:id="25" w:name="_Toc469005586"/>
      <w:r w:rsidRPr="00ED711A">
        <w:rPr>
          <w:b/>
          <w:sz w:val="22"/>
          <w:szCs w:val="22"/>
          <w:lang w:val="fr-CH"/>
        </w:rPr>
        <w:t>2.3</w:t>
      </w:r>
      <w:r w:rsidRPr="00ED711A">
        <w:rPr>
          <w:b/>
          <w:sz w:val="22"/>
          <w:szCs w:val="22"/>
          <w:lang w:val="fr-CH"/>
        </w:rPr>
        <w:tab/>
      </w:r>
      <w:bookmarkEnd w:id="17"/>
      <w:bookmarkEnd w:id="18"/>
      <w:bookmarkEnd w:id="19"/>
      <w:bookmarkEnd w:id="20"/>
      <w:bookmarkEnd w:id="21"/>
      <w:bookmarkEnd w:id="22"/>
      <w:bookmarkEnd w:id="23"/>
      <w:bookmarkEnd w:id="24"/>
      <w:r w:rsidR="00E51441" w:rsidRPr="00ED711A">
        <w:rPr>
          <w:b/>
          <w:sz w:val="22"/>
          <w:szCs w:val="22"/>
          <w:lang w:val="fr-CH"/>
        </w:rPr>
        <w:t xml:space="preserve">Propositions visant à inclure des préparations pesticides extrêmement dangereuses </w:t>
      </w:r>
      <w:r w:rsidR="00E51441" w:rsidRPr="00ED711A">
        <w:rPr>
          <w:sz w:val="22"/>
          <w:szCs w:val="22"/>
          <w:lang w:val="fr-CH"/>
        </w:rPr>
        <w:t>(</w:t>
      </w:r>
      <w:r w:rsidR="000D310E" w:rsidRPr="00ED711A">
        <w:rPr>
          <w:sz w:val="22"/>
          <w:szCs w:val="22"/>
          <w:lang w:val="fr-CH"/>
        </w:rPr>
        <w:t>article</w:t>
      </w:r>
      <w:r w:rsidR="00E51441" w:rsidRPr="00ED711A">
        <w:rPr>
          <w:sz w:val="22"/>
          <w:szCs w:val="22"/>
          <w:lang w:val="fr-CH"/>
        </w:rPr>
        <w:t xml:space="preserve"> 6 de la Convention)</w:t>
      </w:r>
      <w:bookmarkEnd w:id="25"/>
      <w:r w:rsidRPr="00ED711A">
        <w:rPr>
          <w:snapToGrid w:val="0"/>
          <w:sz w:val="22"/>
          <w:szCs w:val="22"/>
          <w:lang w:val="fr-CH"/>
        </w:rPr>
        <w:t xml:space="preserve"> </w:t>
      </w:r>
    </w:p>
    <w:p w:rsidR="001F3F1A" w:rsidRPr="00ED711A" w:rsidRDefault="001F3F1A" w:rsidP="007973B8">
      <w:pPr>
        <w:jc w:val="both"/>
        <w:rPr>
          <w:snapToGrid w:val="0"/>
          <w:sz w:val="22"/>
          <w:szCs w:val="22"/>
          <w:lang w:val="fr-CH"/>
        </w:rPr>
      </w:pPr>
    </w:p>
    <w:p w:rsidR="002A319D" w:rsidRPr="00ED711A" w:rsidRDefault="002A319D" w:rsidP="007973B8">
      <w:pPr>
        <w:pStyle w:val="BodyTextIndent3"/>
        <w:ind w:right="0" w:firstLine="0"/>
        <w:rPr>
          <w:rFonts w:eastAsia="Arial"/>
          <w:szCs w:val="22"/>
          <w:lang w:val="fr-FR"/>
        </w:rPr>
      </w:pPr>
      <w:r w:rsidRPr="00ED711A">
        <w:rPr>
          <w:szCs w:val="22"/>
          <w:lang w:val="fr-FR"/>
        </w:rPr>
        <w:t>Conformément au paragraphe 2 de l</w:t>
      </w:r>
      <w:r w:rsidR="000D310E" w:rsidRPr="00ED711A">
        <w:rPr>
          <w:szCs w:val="22"/>
          <w:lang w:val="fr-FR"/>
        </w:rPr>
        <w:t>’article</w:t>
      </w:r>
      <w:r w:rsidRPr="00ED711A">
        <w:rPr>
          <w:szCs w:val="22"/>
          <w:lang w:val="fr-FR"/>
        </w:rPr>
        <w:t xml:space="preserve"> 6 de la Convention, le Secrétariat diffusera des résumés des propositions visant à inclure des préparations pesticides extrêmement dangereuses dans la procédure PIC, dont le Secrétariat aura vérifié qu</w:t>
      </w:r>
      <w:r w:rsidR="000D310E" w:rsidRPr="00ED711A">
        <w:rPr>
          <w:szCs w:val="22"/>
          <w:lang w:val="fr-FR"/>
        </w:rPr>
        <w:t>’</w:t>
      </w:r>
      <w:r w:rsidRPr="00ED711A">
        <w:rPr>
          <w:szCs w:val="22"/>
          <w:lang w:val="fr-FR"/>
        </w:rPr>
        <w:t xml:space="preserve">elles contiennent bien les renseignements demandés à la </w:t>
      </w:r>
      <w:r w:rsidR="00EA56F1" w:rsidRPr="00ED711A">
        <w:rPr>
          <w:szCs w:val="22"/>
          <w:lang w:val="fr-FR"/>
        </w:rPr>
        <w:t>p</w:t>
      </w:r>
      <w:r w:rsidRPr="00ED711A">
        <w:rPr>
          <w:szCs w:val="22"/>
          <w:lang w:val="fr-FR"/>
        </w:rPr>
        <w:t>artie 1 de l</w:t>
      </w:r>
      <w:r w:rsidR="000D310E" w:rsidRPr="00ED711A">
        <w:rPr>
          <w:szCs w:val="22"/>
          <w:lang w:val="fr-FR"/>
        </w:rPr>
        <w:t>’</w:t>
      </w:r>
      <w:r w:rsidR="00DE65F4" w:rsidRPr="00ED711A">
        <w:rPr>
          <w:szCs w:val="22"/>
          <w:lang w:val="fr-FR"/>
        </w:rPr>
        <w:t>annexe IV</w:t>
      </w:r>
      <w:r w:rsidRPr="00ED711A">
        <w:rPr>
          <w:szCs w:val="22"/>
          <w:lang w:val="fr-FR"/>
        </w:rPr>
        <w:t xml:space="preserve"> à la Convention.</w:t>
      </w:r>
    </w:p>
    <w:p w:rsidR="002A319D" w:rsidRPr="00ED711A" w:rsidRDefault="002A319D" w:rsidP="007973B8">
      <w:pPr>
        <w:pStyle w:val="BodyTextIndent3"/>
        <w:ind w:right="0" w:firstLine="0"/>
        <w:rPr>
          <w:rFonts w:eastAsia="Arial"/>
          <w:szCs w:val="22"/>
          <w:lang w:val="fr-FR"/>
        </w:rPr>
      </w:pPr>
    </w:p>
    <w:p w:rsidR="002A319D" w:rsidRPr="00ED711A" w:rsidRDefault="002A319D" w:rsidP="007973B8">
      <w:pPr>
        <w:pStyle w:val="BodyTextIndent3"/>
        <w:ind w:right="0" w:firstLine="0"/>
        <w:rPr>
          <w:rFonts w:eastAsia="Arial"/>
          <w:szCs w:val="22"/>
          <w:lang w:val="fr-FR"/>
        </w:rPr>
      </w:pPr>
      <w:r w:rsidRPr="00ED711A">
        <w:rPr>
          <w:szCs w:val="22"/>
          <w:lang w:val="fr-FR"/>
        </w:rPr>
        <w:t xml:space="preserve">Les résumés des propositions émanant des Parties se trouvent dans la </w:t>
      </w:r>
      <w:r w:rsidR="00EA56F1" w:rsidRPr="00B578E3">
        <w:rPr>
          <w:b/>
          <w:szCs w:val="22"/>
          <w:lang w:val="fr-FR"/>
        </w:rPr>
        <w:t>p</w:t>
      </w:r>
      <w:r w:rsidRPr="00B578E3">
        <w:rPr>
          <w:b/>
          <w:szCs w:val="22"/>
          <w:lang w:val="fr-FR"/>
        </w:rPr>
        <w:t>artie A</w:t>
      </w:r>
      <w:r w:rsidRPr="00ED711A">
        <w:rPr>
          <w:szCs w:val="22"/>
          <w:lang w:val="fr-FR"/>
        </w:rPr>
        <w:t xml:space="preserve"> de l</w:t>
      </w:r>
      <w:r w:rsidR="000D310E" w:rsidRPr="00ED711A">
        <w:rPr>
          <w:szCs w:val="22"/>
          <w:lang w:val="fr-FR"/>
        </w:rPr>
        <w:t>’</w:t>
      </w:r>
      <w:r w:rsidR="00EA56F1" w:rsidRPr="00B578E3">
        <w:rPr>
          <w:b/>
          <w:bCs/>
          <w:iCs/>
          <w:szCs w:val="22"/>
          <w:lang w:val="fr-FR"/>
        </w:rPr>
        <w:t>appendice</w:t>
      </w:r>
      <w:r w:rsidRPr="00B578E3">
        <w:rPr>
          <w:b/>
          <w:bCs/>
          <w:iCs/>
          <w:szCs w:val="22"/>
          <w:lang w:val="fr-FR"/>
        </w:rPr>
        <w:t xml:space="preserve"> II</w:t>
      </w:r>
      <w:r w:rsidRPr="00B578E3">
        <w:rPr>
          <w:szCs w:val="22"/>
          <w:lang w:val="fr-FR"/>
        </w:rPr>
        <w:t xml:space="preserve"> </w:t>
      </w:r>
      <w:r w:rsidRPr="00ED711A">
        <w:rPr>
          <w:szCs w:val="22"/>
          <w:lang w:val="fr-FR"/>
        </w:rPr>
        <w:t xml:space="preserve">de la Circulaire PIC. Dans la </w:t>
      </w:r>
      <w:r w:rsidR="00EA56F1" w:rsidRPr="00B578E3">
        <w:rPr>
          <w:b/>
          <w:szCs w:val="22"/>
          <w:lang w:val="fr-FR"/>
        </w:rPr>
        <w:t>partie</w:t>
      </w:r>
      <w:r w:rsidRPr="00B578E3">
        <w:rPr>
          <w:b/>
          <w:szCs w:val="22"/>
          <w:lang w:val="fr-FR"/>
        </w:rPr>
        <w:t xml:space="preserve"> B</w:t>
      </w:r>
      <w:r w:rsidRPr="00ED711A">
        <w:rPr>
          <w:szCs w:val="22"/>
          <w:lang w:val="fr-FR"/>
        </w:rPr>
        <w:t xml:space="preserve"> de ce même appendice se trouve une liste des Parties ayant soumis des propositions qui sont encore en cours de vérification par le Secrétariat.</w:t>
      </w:r>
    </w:p>
    <w:p w:rsidR="002A319D" w:rsidRPr="00ED711A" w:rsidRDefault="002A319D" w:rsidP="007973B8">
      <w:pPr>
        <w:pStyle w:val="CorpoA"/>
        <w:jc w:val="both"/>
        <w:rPr>
          <w:rFonts w:eastAsia="Arial"/>
          <w:b/>
          <w:bCs/>
          <w:color w:val="auto"/>
          <w:sz w:val="22"/>
          <w:szCs w:val="22"/>
          <w:lang w:val="fr-FR"/>
        </w:rPr>
      </w:pPr>
    </w:p>
    <w:p w:rsidR="00262058" w:rsidRPr="00ED711A" w:rsidRDefault="002A319D" w:rsidP="007973B8">
      <w:pPr>
        <w:jc w:val="both"/>
        <w:rPr>
          <w:sz w:val="22"/>
          <w:szCs w:val="22"/>
          <w:lang w:val="fr-CH"/>
        </w:rPr>
      </w:pPr>
      <w:r w:rsidRPr="00ED711A">
        <w:rPr>
          <w:sz w:val="22"/>
          <w:szCs w:val="22"/>
          <w:lang w:val="fr-FR"/>
        </w:rPr>
        <w:t xml:space="preserve">Afin de faciliter la présentation des notifications, un </w:t>
      </w:r>
      <w:r w:rsidRPr="00ED711A">
        <w:rPr>
          <w:i/>
          <w:iCs/>
          <w:sz w:val="22"/>
          <w:szCs w:val="22"/>
          <w:lang w:val="fr-FR"/>
        </w:rPr>
        <w:t xml:space="preserve">formulaire de rapport sur les incidents de santé humaineconcernant les préparations pesticides extrêmement dangereuses </w:t>
      </w:r>
      <w:r w:rsidR="00517EDF">
        <w:rPr>
          <w:sz w:val="22"/>
          <w:szCs w:val="22"/>
          <w:lang w:val="fr-FR"/>
        </w:rPr>
        <w:t>et u</w:t>
      </w:r>
      <w:r w:rsidRPr="00ED711A">
        <w:rPr>
          <w:sz w:val="22"/>
          <w:szCs w:val="22"/>
          <w:lang w:val="fr-FR"/>
        </w:rPr>
        <w:t xml:space="preserve">n </w:t>
      </w:r>
      <w:r w:rsidRPr="00ED711A">
        <w:rPr>
          <w:i/>
          <w:iCs/>
          <w:sz w:val="22"/>
          <w:szCs w:val="22"/>
          <w:lang w:val="fr-FR"/>
        </w:rPr>
        <w:t xml:space="preserve">formulaire de rapport sur les incidents environnementaux concernant les préparations pesticides extrêmement dangereuses </w:t>
      </w:r>
      <w:r w:rsidRPr="00ED711A">
        <w:rPr>
          <w:sz w:val="22"/>
          <w:szCs w:val="22"/>
          <w:lang w:val="fr-FR"/>
        </w:rPr>
        <w:t xml:space="preserve">a </w:t>
      </w:r>
      <w:r w:rsidR="00517EDF">
        <w:rPr>
          <w:sz w:val="22"/>
          <w:szCs w:val="22"/>
          <w:lang w:val="fr-FR"/>
        </w:rPr>
        <w:t>ont</w:t>
      </w:r>
      <w:r w:rsidRPr="00ED711A">
        <w:rPr>
          <w:sz w:val="22"/>
          <w:szCs w:val="22"/>
          <w:lang w:val="fr-FR"/>
        </w:rPr>
        <w:t xml:space="preserve"> été préparé</w:t>
      </w:r>
      <w:r w:rsidR="00517EDF">
        <w:rPr>
          <w:sz w:val="22"/>
          <w:szCs w:val="22"/>
          <w:lang w:val="fr-FR"/>
        </w:rPr>
        <w:t>s</w:t>
      </w:r>
      <w:r w:rsidRPr="00ED711A">
        <w:rPr>
          <w:sz w:val="22"/>
          <w:szCs w:val="22"/>
          <w:lang w:val="fr-FR"/>
        </w:rPr>
        <w:t>. Il est possible d</w:t>
      </w:r>
      <w:r w:rsidR="000D310E" w:rsidRPr="00ED711A">
        <w:rPr>
          <w:sz w:val="22"/>
          <w:szCs w:val="22"/>
          <w:lang w:val="fr-FR"/>
        </w:rPr>
        <w:t>’</w:t>
      </w:r>
      <w:r w:rsidRPr="00ED711A">
        <w:rPr>
          <w:sz w:val="22"/>
          <w:szCs w:val="22"/>
          <w:lang w:val="fr-FR"/>
        </w:rPr>
        <w:t xml:space="preserve">obtenir des copies du formulaire et les instructions </w:t>
      </w:r>
      <w:r w:rsidR="00517EDF">
        <w:rPr>
          <w:sz w:val="22"/>
          <w:szCs w:val="22"/>
          <w:lang w:val="fr-FR"/>
        </w:rPr>
        <w:t xml:space="preserve">à suivre pour les </w:t>
      </w:r>
      <w:r w:rsidR="00517EDF">
        <w:rPr>
          <w:sz w:val="22"/>
          <w:szCs w:val="22"/>
          <w:lang w:val="fr-FR"/>
        </w:rPr>
        <w:lastRenderedPageBreak/>
        <w:t>remplir</w:t>
      </w:r>
      <w:r w:rsidRPr="00ED711A">
        <w:rPr>
          <w:sz w:val="22"/>
          <w:szCs w:val="22"/>
          <w:lang w:val="fr-FR"/>
        </w:rPr>
        <w:t xml:space="preserve"> sur le site web de la Convention de Rotterdam </w:t>
      </w:r>
      <w:r w:rsidR="00BD3BEA" w:rsidRPr="00ED711A">
        <w:rPr>
          <w:sz w:val="22"/>
          <w:szCs w:val="22"/>
          <w:lang w:val="fr-FR"/>
        </w:rPr>
        <w:t>(</w:t>
      </w:r>
      <w:hyperlink r:id="rId18" w:history="1">
        <w:r w:rsidR="00BD3BEA" w:rsidRPr="00676EE7">
          <w:rPr>
            <w:rStyle w:val="Hyperlink"/>
            <w:sz w:val="22"/>
            <w:szCs w:val="22"/>
            <w:lang w:val="fr-FR"/>
          </w:rPr>
          <w:t>www.pic.int</w:t>
        </w:r>
      </w:hyperlink>
      <w:r w:rsidR="00BD3BEA" w:rsidRPr="00ED711A">
        <w:rPr>
          <w:sz w:val="22"/>
          <w:szCs w:val="22"/>
          <w:lang w:val="fr-FR"/>
        </w:rPr>
        <w:t>)</w:t>
      </w:r>
      <w:r w:rsidRPr="00ED711A">
        <w:rPr>
          <w:sz w:val="22"/>
          <w:szCs w:val="22"/>
          <w:lang w:val="fr-FR"/>
        </w:rPr>
        <w:t xml:space="preserve"> ou, sur demande, au Secrétariat</w:t>
      </w:r>
      <w:r w:rsidR="00262058" w:rsidRPr="00ED711A">
        <w:rPr>
          <w:snapToGrid w:val="0"/>
          <w:sz w:val="22"/>
          <w:szCs w:val="22"/>
          <w:lang w:val="fr-CH"/>
        </w:rPr>
        <w:t xml:space="preserve"> </w:t>
      </w:r>
      <w:r w:rsidR="00BD3BEA" w:rsidRPr="00ED711A">
        <w:rPr>
          <w:sz w:val="22"/>
          <w:szCs w:val="22"/>
          <w:lang w:val="fr-FR"/>
        </w:rPr>
        <w:t>(</w:t>
      </w:r>
      <w:hyperlink r:id="rId19" w:history="1">
        <w:r w:rsidR="00BD3BEA" w:rsidRPr="00BD3BEA">
          <w:rPr>
            <w:snapToGrid w:val="0"/>
            <w:color w:val="0000FF"/>
            <w:sz w:val="22"/>
            <w:szCs w:val="22"/>
            <w:u w:val="single"/>
            <w:lang w:val="fr-CH"/>
          </w:rPr>
          <w:t>pic@fao.org</w:t>
        </w:r>
      </w:hyperlink>
      <w:r w:rsidR="00BD3BEA" w:rsidRPr="00ED711A">
        <w:rPr>
          <w:sz w:val="22"/>
          <w:szCs w:val="22"/>
          <w:lang w:val="fr-FR"/>
        </w:rPr>
        <w:t xml:space="preserve"> ou </w:t>
      </w:r>
      <w:hyperlink r:id="rId20" w:history="1">
        <w:r w:rsidR="00BD3BEA" w:rsidRPr="00BD3BEA">
          <w:rPr>
            <w:snapToGrid w:val="0"/>
            <w:color w:val="0000FF"/>
            <w:sz w:val="22"/>
            <w:szCs w:val="22"/>
            <w:u w:val="single"/>
            <w:lang w:val="fr-CH"/>
          </w:rPr>
          <w:t>pic@pic.int</w:t>
        </w:r>
      </w:hyperlink>
      <w:r w:rsidR="00BD3BEA" w:rsidRPr="00ED711A">
        <w:rPr>
          <w:lang w:val="fr-CH"/>
        </w:rPr>
        <w:t xml:space="preserve"> et </w:t>
      </w:r>
      <w:hyperlink r:id="rId21" w:history="1">
        <w:r w:rsidR="00BD3BEA" w:rsidRPr="00BD3BEA">
          <w:rPr>
            <w:rStyle w:val="Hyperlink"/>
            <w:sz w:val="22"/>
            <w:szCs w:val="22"/>
            <w:lang w:val="fr-CH"/>
          </w:rPr>
          <w:t>pic@brsmeas.org</w:t>
        </w:r>
      </w:hyperlink>
      <w:r w:rsidR="00BD3BEA" w:rsidRPr="00ED711A">
        <w:rPr>
          <w:sz w:val="22"/>
          <w:szCs w:val="22"/>
          <w:lang w:val="fr-FR"/>
        </w:rPr>
        <w:t>)</w:t>
      </w:r>
      <w:r w:rsidR="00262058" w:rsidRPr="00ED711A">
        <w:rPr>
          <w:snapToGrid w:val="0"/>
          <w:sz w:val="22"/>
          <w:szCs w:val="22"/>
          <w:lang w:val="fr-CH"/>
        </w:rPr>
        <w:t>.</w:t>
      </w:r>
      <w:r w:rsidR="00262058" w:rsidRPr="00ED711A">
        <w:rPr>
          <w:sz w:val="22"/>
          <w:szCs w:val="22"/>
          <w:lang w:val="fr-CH"/>
        </w:rPr>
        <w:t xml:space="preserve"> </w:t>
      </w:r>
    </w:p>
    <w:p w:rsidR="00262058" w:rsidRPr="00ED711A" w:rsidRDefault="00262058" w:rsidP="007973B8">
      <w:pPr>
        <w:jc w:val="both"/>
        <w:rPr>
          <w:sz w:val="22"/>
          <w:szCs w:val="22"/>
          <w:lang w:val="fr-CH"/>
        </w:rPr>
      </w:pPr>
    </w:p>
    <w:p w:rsidR="00262058" w:rsidRPr="00ED711A" w:rsidRDefault="002A319D" w:rsidP="007973B8">
      <w:pPr>
        <w:jc w:val="both"/>
        <w:rPr>
          <w:sz w:val="22"/>
          <w:szCs w:val="22"/>
          <w:lang w:val="fr-CH"/>
        </w:rPr>
      </w:pPr>
      <w:r w:rsidRPr="00ED711A">
        <w:rPr>
          <w:sz w:val="22"/>
          <w:szCs w:val="22"/>
          <w:lang w:val="fr-FR"/>
        </w:rPr>
        <w:t>La proposition doit être présentée par le canal officiel de communication de la Partie, comme par exemple l</w:t>
      </w:r>
      <w:r w:rsidR="000D310E" w:rsidRPr="00ED711A">
        <w:rPr>
          <w:sz w:val="22"/>
          <w:szCs w:val="22"/>
          <w:lang w:val="fr-FR"/>
        </w:rPr>
        <w:t>’</w:t>
      </w:r>
      <w:r w:rsidRPr="00ED711A">
        <w:rPr>
          <w:sz w:val="22"/>
          <w:szCs w:val="22"/>
          <w:lang w:val="fr-FR"/>
        </w:rPr>
        <w:t>Autorité nationale désignée</w:t>
      </w:r>
      <w:r w:rsidR="00262058" w:rsidRPr="00ED711A">
        <w:rPr>
          <w:sz w:val="22"/>
          <w:szCs w:val="22"/>
          <w:lang w:val="fr-CH"/>
        </w:rPr>
        <w:t>.</w:t>
      </w:r>
    </w:p>
    <w:p w:rsidR="001F3F1A" w:rsidRPr="00ED711A" w:rsidRDefault="001F3F1A" w:rsidP="007973B8">
      <w:pPr>
        <w:jc w:val="both"/>
        <w:rPr>
          <w:sz w:val="22"/>
          <w:szCs w:val="22"/>
          <w:lang w:val="fr-CH"/>
        </w:rPr>
      </w:pPr>
    </w:p>
    <w:p w:rsidR="001F3F1A" w:rsidRPr="00ED711A" w:rsidRDefault="001F3F1A" w:rsidP="007973B8">
      <w:pPr>
        <w:ind w:left="720" w:hanging="720"/>
        <w:jc w:val="both"/>
        <w:outlineLvl w:val="1"/>
        <w:rPr>
          <w:b/>
          <w:snapToGrid w:val="0"/>
          <w:sz w:val="22"/>
          <w:szCs w:val="22"/>
          <w:lang w:val="fr-CH"/>
        </w:rPr>
      </w:pPr>
      <w:bookmarkStart w:id="26" w:name="_Toc264393107"/>
      <w:bookmarkStart w:id="27" w:name="_Toc264391960"/>
      <w:bookmarkStart w:id="28" w:name="_Toc248307662"/>
      <w:bookmarkStart w:id="29" w:name="_Toc248296425"/>
      <w:bookmarkStart w:id="30" w:name="_Toc232307867"/>
      <w:bookmarkStart w:id="31" w:name="_Toc469005587"/>
      <w:bookmarkStart w:id="32" w:name="_Toc201033291"/>
      <w:bookmarkStart w:id="33" w:name="_Toc199906460"/>
      <w:bookmarkStart w:id="34" w:name="_Toc168731338"/>
      <w:r w:rsidRPr="00ED711A">
        <w:rPr>
          <w:b/>
          <w:snapToGrid w:val="0"/>
          <w:sz w:val="22"/>
          <w:szCs w:val="22"/>
          <w:lang w:val="fr-CH"/>
        </w:rPr>
        <w:t>2.4</w:t>
      </w:r>
      <w:r w:rsidRPr="00ED711A">
        <w:rPr>
          <w:b/>
          <w:snapToGrid w:val="0"/>
          <w:sz w:val="22"/>
          <w:szCs w:val="22"/>
          <w:lang w:val="fr-CH"/>
        </w:rPr>
        <w:tab/>
      </w:r>
      <w:bookmarkEnd w:id="26"/>
      <w:bookmarkEnd w:id="27"/>
      <w:bookmarkEnd w:id="28"/>
      <w:bookmarkEnd w:id="29"/>
      <w:bookmarkEnd w:id="30"/>
      <w:r w:rsidR="00E46956" w:rsidRPr="00ED711A">
        <w:rPr>
          <w:b/>
          <w:snapToGrid w:val="0"/>
          <w:sz w:val="22"/>
          <w:szCs w:val="22"/>
          <w:lang w:val="fr-CH"/>
        </w:rPr>
        <w:t xml:space="preserve">Produits chimiques soumis à la procédure PIC et distribution des </w:t>
      </w:r>
      <w:r w:rsidR="00B578E3">
        <w:rPr>
          <w:b/>
          <w:snapToGrid w:val="0"/>
          <w:sz w:val="22"/>
          <w:szCs w:val="22"/>
          <w:lang w:val="fr-CH"/>
        </w:rPr>
        <w:t>d</w:t>
      </w:r>
      <w:r w:rsidR="00E46956" w:rsidRPr="00ED711A">
        <w:rPr>
          <w:b/>
          <w:snapToGrid w:val="0"/>
          <w:sz w:val="22"/>
          <w:szCs w:val="22"/>
          <w:lang w:val="fr-CH"/>
        </w:rPr>
        <w:t>ocuments d</w:t>
      </w:r>
      <w:r w:rsidR="000D310E" w:rsidRPr="00ED711A">
        <w:rPr>
          <w:b/>
          <w:snapToGrid w:val="0"/>
          <w:sz w:val="22"/>
          <w:szCs w:val="22"/>
          <w:lang w:val="fr-CH"/>
        </w:rPr>
        <w:t>’</w:t>
      </w:r>
      <w:r w:rsidR="00B578E3">
        <w:rPr>
          <w:b/>
          <w:snapToGrid w:val="0"/>
          <w:sz w:val="22"/>
          <w:szCs w:val="22"/>
          <w:lang w:val="fr-CH"/>
        </w:rPr>
        <w:t>o</w:t>
      </w:r>
      <w:r w:rsidR="00E46956" w:rsidRPr="00ED711A">
        <w:rPr>
          <w:b/>
          <w:snapToGrid w:val="0"/>
          <w:sz w:val="22"/>
          <w:szCs w:val="22"/>
          <w:lang w:val="fr-CH"/>
        </w:rPr>
        <w:t xml:space="preserve">rientation des </w:t>
      </w:r>
      <w:r w:rsidR="00B578E3">
        <w:rPr>
          <w:b/>
          <w:snapToGrid w:val="0"/>
          <w:sz w:val="22"/>
          <w:szCs w:val="22"/>
          <w:lang w:val="fr-CH"/>
        </w:rPr>
        <w:t>d</w:t>
      </w:r>
      <w:r w:rsidR="00E46956" w:rsidRPr="00ED711A">
        <w:rPr>
          <w:b/>
          <w:snapToGrid w:val="0"/>
          <w:sz w:val="22"/>
          <w:szCs w:val="22"/>
          <w:lang w:val="fr-CH"/>
        </w:rPr>
        <w:t xml:space="preserve">écisions </w:t>
      </w:r>
      <w:r w:rsidR="00E46956" w:rsidRPr="00ED711A">
        <w:rPr>
          <w:snapToGrid w:val="0"/>
          <w:sz w:val="22"/>
          <w:szCs w:val="22"/>
          <w:lang w:val="fr-CH"/>
        </w:rPr>
        <w:t>(</w:t>
      </w:r>
      <w:r w:rsidR="000D310E" w:rsidRPr="00ED711A">
        <w:rPr>
          <w:snapToGrid w:val="0"/>
          <w:sz w:val="22"/>
          <w:szCs w:val="22"/>
          <w:lang w:val="fr-CH"/>
        </w:rPr>
        <w:t>article</w:t>
      </w:r>
      <w:r w:rsidR="00E46956" w:rsidRPr="00ED711A">
        <w:rPr>
          <w:snapToGrid w:val="0"/>
          <w:sz w:val="22"/>
          <w:szCs w:val="22"/>
          <w:lang w:val="fr-CH"/>
        </w:rPr>
        <w:t xml:space="preserve"> 7 de la Convention)</w:t>
      </w:r>
      <w:bookmarkEnd w:id="31"/>
      <w:r w:rsidRPr="00ED711A">
        <w:rPr>
          <w:snapToGrid w:val="0"/>
          <w:sz w:val="22"/>
          <w:szCs w:val="22"/>
          <w:lang w:val="fr-CH"/>
        </w:rPr>
        <w:t xml:space="preserve"> </w:t>
      </w:r>
    </w:p>
    <w:p w:rsidR="001F3F1A" w:rsidRPr="00ED711A" w:rsidRDefault="001F3F1A" w:rsidP="007973B8">
      <w:pPr>
        <w:jc w:val="both"/>
        <w:rPr>
          <w:sz w:val="22"/>
          <w:szCs w:val="22"/>
          <w:lang w:val="fr-CH"/>
        </w:rPr>
      </w:pPr>
    </w:p>
    <w:p w:rsidR="0054666A" w:rsidRPr="00ED711A" w:rsidRDefault="0054666A" w:rsidP="007973B8">
      <w:pPr>
        <w:pStyle w:val="BodyTextIndent3"/>
        <w:ind w:right="0" w:firstLine="0"/>
        <w:rPr>
          <w:rFonts w:eastAsia="Arial"/>
          <w:szCs w:val="22"/>
          <w:lang w:val="fr-FR"/>
        </w:rPr>
      </w:pPr>
      <w:bookmarkStart w:id="35" w:name="_Toc264393108"/>
      <w:bookmarkStart w:id="36" w:name="_Toc264391961"/>
      <w:bookmarkStart w:id="37" w:name="_Toc248307663"/>
      <w:bookmarkStart w:id="38" w:name="_Toc248296426"/>
      <w:bookmarkStart w:id="39" w:name="_Toc232307868"/>
      <w:bookmarkStart w:id="40" w:name="_Toc201033292"/>
      <w:bookmarkEnd w:id="32"/>
      <w:bookmarkEnd w:id="33"/>
      <w:bookmarkEnd w:id="34"/>
      <w:r w:rsidRPr="00ED711A">
        <w:rPr>
          <w:szCs w:val="22"/>
          <w:lang w:val="fr-FR"/>
        </w:rPr>
        <w:t>L</w:t>
      </w:r>
      <w:r w:rsidR="000D310E" w:rsidRPr="00ED711A">
        <w:rPr>
          <w:szCs w:val="22"/>
          <w:lang w:val="fr-FR"/>
        </w:rPr>
        <w:t>’</w:t>
      </w:r>
      <w:r w:rsidR="00EA56F1" w:rsidRPr="00B578E3">
        <w:rPr>
          <w:b/>
          <w:bCs/>
          <w:iCs/>
          <w:szCs w:val="22"/>
          <w:lang w:val="fr-FR"/>
        </w:rPr>
        <w:t>appendice</w:t>
      </w:r>
      <w:r w:rsidRPr="00B578E3">
        <w:rPr>
          <w:b/>
          <w:bCs/>
          <w:iCs/>
          <w:szCs w:val="22"/>
          <w:lang w:val="fr-FR"/>
        </w:rPr>
        <w:t xml:space="preserve"> III</w:t>
      </w:r>
      <w:r w:rsidRPr="00ED711A">
        <w:rPr>
          <w:szCs w:val="22"/>
          <w:lang w:val="fr-FR"/>
        </w:rPr>
        <w:t xml:space="preserve"> de la Circulaire PIC contient la liste de tous les produits chimiques qui sont actuellement à l</w:t>
      </w:r>
      <w:r w:rsidR="000D310E" w:rsidRPr="00ED711A">
        <w:rPr>
          <w:szCs w:val="22"/>
          <w:lang w:val="fr-FR"/>
        </w:rPr>
        <w:t>’</w:t>
      </w:r>
      <w:r w:rsidR="00DE65F4" w:rsidRPr="00ED711A">
        <w:rPr>
          <w:szCs w:val="22"/>
          <w:lang w:val="fr-FR"/>
        </w:rPr>
        <w:t>annexe III</w:t>
      </w:r>
      <w:r w:rsidRPr="00ED711A">
        <w:rPr>
          <w:szCs w:val="22"/>
          <w:lang w:val="fr-FR"/>
        </w:rPr>
        <w:t xml:space="preserve"> de la Convention et qui sont soumis à la procédure PIC, leurs catégories (pesticide, produit chimique industriel et préparation pesticide extrêmement dangereuse) et la date du premier envoi du </w:t>
      </w:r>
      <w:r w:rsidR="00B578E3">
        <w:rPr>
          <w:szCs w:val="22"/>
          <w:lang w:val="fr-FR"/>
        </w:rPr>
        <w:t>d</w:t>
      </w:r>
      <w:r w:rsidRPr="00ED711A">
        <w:rPr>
          <w:szCs w:val="22"/>
          <w:lang w:val="fr-FR"/>
        </w:rPr>
        <w:t>ocument d</w:t>
      </w:r>
      <w:r w:rsidR="000D310E" w:rsidRPr="00ED711A">
        <w:rPr>
          <w:szCs w:val="22"/>
          <w:lang w:val="fr-FR"/>
        </w:rPr>
        <w:t>’</w:t>
      </w:r>
      <w:r w:rsidR="00B578E3">
        <w:rPr>
          <w:szCs w:val="22"/>
          <w:lang w:val="fr-FR"/>
        </w:rPr>
        <w:t>o</w:t>
      </w:r>
      <w:r w:rsidRPr="00ED711A">
        <w:rPr>
          <w:szCs w:val="22"/>
          <w:lang w:val="fr-FR"/>
        </w:rPr>
        <w:t xml:space="preserve">rientation des </w:t>
      </w:r>
      <w:r w:rsidR="00B578E3">
        <w:rPr>
          <w:szCs w:val="22"/>
          <w:lang w:val="fr-FR"/>
        </w:rPr>
        <w:t>d</w:t>
      </w:r>
      <w:r w:rsidRPr="00ED711A">
        <w:rPr>
          <w:szCs w:val="22"/>
          <w:lang w:val="fr-FR"/>
        </w:rPr>
        <w:t xml:space="preserve">écisions correspondant aux autorités nationales désignées. </w:t>
      </w:r>
    </w:p>
    <w:p w:rsidR="0054666A" w:rsidRPr="00ED711A" w:rsidRDefault="0054666A" w:rsidP="007973B8">
      <w:pPr>
        <w:pStyle w:val="CorpoAA"/>
        <w:jc w:val="both"/>
        <w:rPr>
          <w:rFonts w:eastAsia="Arial"/>
          <w:color w:val="auto"/>
          <w:sz w:val="22"/>
          <w:szCs w:val="22"/>
          <w:lang w:val="fr-FR"/>
        </w:rPr>
      </w:pPr>
    </w:p>
    <w:p w:rsidR="0054666A" w:rsidRPr="00ED711A" w:rsidRDefault="0010154F" w:rsidP="007973B8">
      <w:pPr>
        <w:pStyle w:val="CorpoAA"/>
        <w:jc w:val="both"/>
        <w:rPr>
          <w:rFonts w:eastAsia="Arial"/>
          <w:color w:val="auto"/>
          <w:sz w:val="22"/>
          <w:szCs w:val="22"/>
          <w:lang w:val="fr-FR"/>
        </w:rPr>
      </w:pPr>
      <w:r>
        <w:rPr>
          <w:color w:val="auto"/>
          <w:sz w:val="22"/>
          <w:szCs w:val="22"/>
          <w:lang w:val="fr-FR"/>
        </w:rPr>
        <w:t>De plus, la Conférence des P</w:t>
      </w:r>
      <w:r w:rsidR="0054666A" w:rsidRPr="00ED711A">
        <w:rPr>
          <w:color w:val="auto"/>
          <w:sz w:val="22"/>
          <w:szCs w:val="22"/>
          <w:lang w:val="fr-FR"/>
        </w:rPr>
        <w:t xml:space="preserve">arties, dans sa </w:t>
      </w:r>
      <w:r w:rsidR="00B578E3">
        <w:rPr>
          <w:color w:val="auto"/>
          <w:sz w:val="22"/>
          <w:szCs w:val="22"/>
          <w:lang w:val="fr-FR"/>
        </w:rPr>
        <w:t>d</w:t>
      </w:r>
      <w:r w:rsidR="0054666A" w:rsidRPr="00ED711A">
        <w:rPr>
          <w:color w:val="auto"/>
          <w:sz w:val="22"/>
          <w:szCs w:val="22"/>
          <w:lang w:val="fr-FR"/>
        </w:rPr>
        <w:t>écision RC-7/5, a décidé d</w:t>
      </w:r>
      <w:r w:rsidR="000D310E" w:rsidRPr="00ED711A">
        <w:rPr>
          <w:color w:val="auto"/>
          <w:sz w:val="22"/>
          <w:szCs w:val="22"/>
          <w:lang w:val="fr-FR"/>
        </w:rPr>
        <w:t>’</w:t>
      </w:r>
      <w:r w:rsidR="0054666A" w:rsidRPr="00ED711A">
        <w:rPr>
          <w:color w:val="auto"/>
          <w:sz w:val="22"/>
          <w:szCs w:val="22"/>
          <w:lang w:val="fr-FR"/>
        </w:rPr>
        <w:t>établir un groupe de travail intersession pour étudier les cas dans lesquels la Conférence des Parties n</w:t>
      </w:r>
      <w:r w:rsidR="000D310E" w:rsidRPr="00ED711A">
        <w:rPr>
          <w:color w:val="auto"/>
          <w:sz w:val="22"/>
          <w:szCs w:val="22"/>
          <w:lang w:val="fr-FR"/>
        </w:rPr>
        <w:t>’</w:t>
      </w:r>
      <w:r w:rsidR="0054666A" w:rsidRPr="00ED711A">
        <w:rPr>
          <w:color w:val="auto"/>
          <w:sz w:val="22"/>
          <w:szCs w:val="22"/>
          <w:lang w:val="fr-FR"/>
        </w:rPr>
        <w:t>a pas été en mesure de parvenir à un consensus sur l</w:t>
      </w:r>
      <w:r w:rsidR="000D310E" w:rsidRPr="00ED711A">
        <w:rPr>
          <w:color w:val="auto"/>
          <w:sz w:val="22"/>
          <w:szCs w:val="22"/>
          <w:lang w:val="fr-FR"/>
        </w:rPr>
        <w:t>’</w:t>
      </w:r>
      <w:r w:rsidR="0054666A" w:rsidRPr="00ED711A">
        <w:rPr>
          <w:color w:val="auto"/>
          <w:sz w:val="22"/>
          <w:szCs w:val="22"/>
          <w:lang w:val="fr-FR"/>
        </w:rPr>
        <w:t>inclusion d</w:t>
      </w:r>
      <w:r w:rsidR="000D310E" w:rsidRPr="00ED711A">
        <w:rPr>
          <w:color w:val="auto"/>
          <w:sz w:val="22"/>
          <w:szCs w:val="22"/>
          <w:lang w:val="fr-FR"/>
        </w:rPr>
        <w:t>’</w:t>
      </w:r>
      <w:r w:rsidR="0054666A" w:rsidRPr="00ED711A">
        <w:rPr>
          <w:color w:val="auto"/>
          <w:sz w:val="22"/>
          <w:szCs w:val="22"/>
          <w:lang w:val="fr-FR"/>
        </w:rPr>
        <w:t>un produit chimique, de développer des possibilités d</w:t>
      </w:r>
      <w:r w:rsidR="000D310E" w:rsidRPr="00ED711A">
        <w:rPr>
          <w:color w:val="auto"/>
          <w:sz w:val="22"/>
          <w:szCs w:val="22"/>
          <w:lang w:val="fr-FR"/>
        </w:rPr>
        <w:t>’</w:t>
      </w:r>
      <w:r w:rsidR="0054666A" w:rsidRPr="00ED711A">
        <w:rPr>
          <w:color w:val="auto"/>
          <w:sz w:val="22"/>
          <w:szCs w:val="22"/>
          <w:lang w:val="fr-FR"/>
        </w:rPr>
        <w:t>améliorer l</w:t>
      </w:r>
      <w:r w:rsidR="000D310E" w:rsidRPr="00ED711A">
        <w:rPr>
          <w:color w:val="auto"/>
          <w:sz w:val="22"/>
          <w:szCs w:val="22"/>
          <w:lang w:val="fr-FR"/>
        </w:rPr>
        <w:t>’</w:t>
      </w:r>
      <w:r w:rsidR="0054666A" w:rsidRPr="00ED711A">
        <w:rPr>
          <w:color w:val="auto"/>
          <w:sz w:val="22"/>
          <w:szCs w:val="22"/>
          <w:lang w:val="fr-FR"/>
        </w:rPr>
        <w:t>efficacité du processus et de développer des propositions pour améliorer les flux d</w:t>
      </w:r>
      <w:r w:rsidR="000D310E" w:rsidRPr="00ED711A">
        <w:rPr>
          <w:color w:val="auto"/>
          <w:sz w:val="22"/>
          <w:szCs w:val="22"/>
          <w:lang w:val="fr-FR"/>
        </w:rPr>
        <w:t>’</w:t>
      </w:r>
      <w:r w:rsidR="0054666A" w:rsidRPr="00ED711A">
        <w:rPr>
          <w:color w:val="auto"/>
          <w:sz w:val="22"/>
          <w:szCs w:val="22"/>
          <w:lang w:val="fr-FR"/>
        </w:rPr>
        <w:t xml:space="preserve">informations appuyant la Procédure de consentement préalable en connaissance de cause pour ces produits chimiques. </w:t>
      </w:r>
    </w:p>
    <w:p w:rsidR="001F3F1A" w:rsidRPr="00ED711A" w:rsidRDefault="0054666A" w:rsidP="007973B8">
      <w:pPr>
        <w:jc w:val="both"/>
        <w:rPr>
          <w:sz w:val="22"/>
          <w:szCs w:val="22"/>
          <w:lang w:val="fr-CH"/>
        </w:rPr>
      </w:pPr>
      <w:r w:rsidRPr="00ED711A">
        <w:rPr>
          <w:sz w:val="22"/>
          <w:szCs w:val="22"/>
          <w:lang w:val="fr-FR"/>
        </w:rPr>
        <w:t>Le groupe présentera un rapport sur ses travaux à la Conférence des Parties lors de sa huitième réunion du 24 avril au 5 mai 2017 à Genève, Suisse</w:t>
      </w:r>
      <w:r w:rsidR="001F3F1A" w:rsidRPr="00ED711A">
        <w:rPr>
          <w:sz w:val="22"/>
          <w:szCs w:val="22"/>
          <w:lang w:val="fr-CH"/>
        </w:rPr>
        <w:t>.</w:t>
      </w:r>
    </w:p>
    <w:p w:rsidR="001F3F1A" w:rsidRPr="00ED711A" w:rsidRDefault="001F3F1A" w:rsidP="007973B8">
      <w:pPr>
        <w:autoSpaceDE w:val="0"/>
        <w:autoSpaceDN w:val="0"/>
        <w:adjustRightInd w:val="0"/>
        <w:jc w:val="both"/>
        <w:rPr>
          <w:rFonts w:ascii="TimesNewRomanPSMT" w:hAnsi="TimesNewRomanPSMT" w:cs="TimesNewRomanPSMT"/>
          <w:sz w:val="22"/>
          <w:szCs w:val="22"/>
          <w:lang w:val="fr-CH" w:eastAsia="en-GB"/>
        </w:rPr>
      </w:pPr>
    </w:p>
    <w:p w:rsidR="001F3F1A" w:rsidRPr="00ED711A" w:rsidRDefault="001F3F1A" w:rsidP="007973B8">
      <w:pPr>
        <w:snapToGrid w:val="0"/>
        <w:jc w:val="both"/>
        <w:outlineLvl w:val="1"/>
        <w:rPr>
          <w:sz w:val="22"/>
          <w:szCs w:val="22"/>
          <w:lang w:val="fr-CH"/>
        </w:rPr>
      </w:pPr>
      <w:bookmarkStart w:id="41" w:name="_Toc469005588"/>
      <w:r w:rsidRPr="00ED711A">
        <w:rPr>
          <w:b/>
          <w:sz w:val="22"/>
          <w:szCs w:val="22"/>
          <w:lang w:val="fr-CH"/>
        </w:rPr>
        <w:t>2.5</w:t>
      </w:r>
      <w:r w:rsidRPr="00ED711A">
        <w:rPr>
          <w:b/>
          <w:sz w:val="22"/>
          <w:szCs w:val="22"/>
          <w:lang w:val="fr-CH"/>
        </w:rPr>
        <w:tab/>
      </w:r>
      <w:bookmarkEnd w:id="35"/>
      <w:bookmarkEnd w:id="36"/>
      <w:bookmarkEnd w:id="37"/>
      <w:bookmarkEnd w:id="38"/>
      <w:bookmarkEnd w:id="39"/>
      <w:bookmarkEnd w:id="40"/>
      <w:r w:rsidR="0054666A" w:rsidRPr="00ED711A">
        <w:rPr>
          <w:b/>
          <w:sz w:val="22"/>
          <w:szCs w:val="22"/>
          <w:lang w:val="fr-CH"/>
        </w:rPr>
        <w:t>Notifications d</w:t>
      </w:r>
      <w:r w:rsidR="000D310E" w:rsidRPr="00ED711A">
        <w:rPr>
          <w:b/>
          <w:sz w:val="22"/>
          <w:szCs w:val="22"/>
          <w:lang w:val="fr-CH"/>
        </w:rPr>
        <w:t>’</w:t>
      </w:r>
      <w:r w:rsidR="0054666A" w:rsidRPr="00ED711A">
        <w:rPr>
          <w:b/>
          <w:sz w:val="22"/>
          <w:szCs w:val="22"/>
          <w:lang w:val="fr-CH"/>
        </w:rPr>
        <w:t xml:space="preserve">exportation </w:t>
      </w:r>
      <w:r w:rsidR="0054666A" w:rsidRPr="00ED711A">
        <w:rPr>
          <w:sz w:val="22"/>
          <w:szCs w:val="22"/>
          <w:lang w:val="fr-CH"/>
        </w:rPr>
        <w:t>(</w:t>
      </w:r>
      <w:r w:rsidR="000D310E" w:rsidRPr="00ED711A">
        <w:rPr>
          <w:sz w:val="22"/>
          <w:szCs w:val="22"/>
          <w:lang w:val="fr-CH"/>
        </w:rPr>
        <w:t>article</w:t>
      </w:r>
      <w:r w:rsidR="0054666A" w:rsidRPr="00ED711A">
        <w:rPr>
          <w:sz w:val="22"/>
          <w:szCs w:val="22"/>
          <w:lang w:val="fr-CH"/>
        </w:rPr>
        <w:t xml:space="preserve"> 12 de la Convention)</w:t>
      </w:r>
      <w:bookmarkEnd w:id="41"/>
    </w:p>
    <w:p w:rsidR="001F3F1A" w:rsidRPr="00ED711A" w:rsidRDefault="001F3F1A" w:rsidP="007973B8">
      <w:pPr>
        <w:jc w:val="both"/>
        <w:rPr>
          <w:sz w:val="22"/>
          <w:szCs w:val="22"/>
          <w:lang w:val="fr-CH"/>
        </w:rPr>
      </w:pPr>
    </w:p>
    <w:p w:rsidR="0054666A" w:rsidRPr="00ED711A" w:rsidRDefault="0054666A" w:rsidP="007973B8">
      <w:pPr>
        <w:pStyle w:val="BodyTextIndent3"/>
        <w:ind w:right="0" w:firstLine="0"/>
        <w:rPr>
          <w:rFonts w:eastAsia="Arial"/>
          <w:szCs w:val="22"/>
          <w:lang w:val="fr-FR"/>
        </w:rPr>
      </w:pPr>
      <w:r w:rsidRPr="00ED711A">
        <w:rPr>
          <w:bCs/>
          <w:szCs w:val="22"/>
          <w:lang w:val="fr-FR"/>
        </w:rPr>
        <w:t>L</w:t>
      </w:r>
      <w:r w:rsidR="000D310E" w:rsidRPr="00ED711A">
        <w:rPr>
          <w:bCs/>
          <w:szCs w:val="22"/>
          <w:lang w:val="fr-FR"/>
        </w:rPr>
        <w:t>’</w:t>
      </w:r>
      <w:r w:rsidR="000D310E" w:rsidRPr="002333E0">
        <w:rPr>
          <w:bCs/>
          <w:szCs w:val="22"/>
          <w:lang w:val="fr-FR"/>
        </w:rPr>
        <w:t>article</w:t>
      </w:r>
      <w:r w:rsidRPr="002333E0">
        <w:rPr>
          <w:bCs/>
          <w:szCs w:val="22"/>
          <w:lang w:val="fr-FR"/>
        </w:rPr>
        <w:t xml:space="preserve"> 12 et l</w:t>
      </w:r>
      <w:r w:rsidR="000D310E" w:rsidRPr="002333E0">
        <w:rPr>
          <w:bCs/>
          <w:szCs w:val="22"/>
          <w:lang w:val="fr-FR"/>
        </w:rPr>
        <w:t>’annexe</w:t>
      </w:r>
      <w:r w:rsidRPr="002333E0">
        <w:rPr>
          <w:bCs/>
          <w:szCs w:val="22"/>
          <w:lang w:val="fr-FR"/>
        </w:rPr>
        <w:t xml:space="preserve"> V</w:t>
      </w:r>
      <w:r w:rsidRPr="002333E0">
        <w:rPr>
          <w:szCs w:val="22"/>
          <w:lang w:val="fr-FR"/>
        </w:rPr>
        <w:t xml:space="preserve"> </w:t>
      </w:r>
      <w:r w:rsidRPr="00ED711A">
        <w:rPr>
          <w:szCs w:val="22"/>
          <w:lang w:val="fr-FR"/>
        </w:rPr>
        <w:t>de la Convention établissent les dispositions et les renseignements demandés concernant la notification d</w:t>
      </w:r>
      <w:r w:rsidR="000D310E" w:rsidRPr="00ED711A">
        <w:rPr>
          <w:szCs w:val="22"/>
          <w:lang w:val="fr-FR"/>
        </w:rPr>
        <w:t>’</w:t>
      </w:r>
      <w:r w:rsidRPr="00ED711A">
        <w:rPr>
          <w:szCs w:val="22"/>
          <w:lang w:val="fr-FR"/>
        </w:rPr>
        <w:t>exportation. Lorsqu</w:t>
      </w:r>
      <w:r w:rsidR="000D310E" w:rsidRPr="00ED711A">
        <w:rPr>
          <w:szCs w:val="22"/>
          <w:lang w:val="fr-FR"/>
        </w:rPr>
        <w:t>’</w:t>
      </w:r>
      <w:r w:rsidRPr="00ED711A">
        <w:rPr>
          <w:szCs w:val="22"/>
          <w:lang w:val="fr-FR"/>
        </w:rPr>
        <w:t>un produit chimique interdit ou strictement réglementé par une Partie est exporté depuis son territoire, cette Partie présentera une notification d</w:t>
      </w:r>
      <w:r w:rsidR="000D310E" w:rsidRPr="00ED711A">
        <w:rPr>
          <w:szCs w:val="22"/>
          <w:lang w:val="fr-FR"/>
        </w:rPr>
        <w:t>’</w:t>
      </w:r>
      <w:r w:rsidRPr="00ED711A">
        <w:rPr>
          <w:szCs w:val="22"/>
          <w:lang w:val="fr-FR"/>
        </w:rPr>
        <w:t>exportation à la Partie importatrice, qui doit comprendre les informations de l</w:t>
      </w:r>
      <w:r w:rsidR="000D310E" w:rsidRPr="00ED711A">
        <w:rPr>
          <w:szCs w:val="22"/>
          <w:lang w:val="fr-FR"/>
        </w:rPr>
        <w:t>’</w:t>
      </w:r>
      <w:r w:rsidRPr="00ED711A">
        <w:rPr>
          <w:szCs w:val="22"/>
          <w:lang w:val="fr-FR"/>
        </w:rPr>
        <w:t>annexe V. La Partie importatrice doit accuser réception de la notification d</w:t>
      </w:r>
      <w:r w:rsidR="000D310E" w:rsidRPr="00ED711A">
        <w:rPr>
          <w:szCs w:val="22"/>
          <w:lang w:val="fr-FR"/>
        </w:rPr>
        <w:t>’</w:t>
      </w:r>
      <w:r w:rsidRPr="00ED711A">
        <w:rPr>
          <w:szCs w:val="22"/>
          <w:lang w:val="fr-FR"/>
        </w:rPr>
        <w:t>exportation.</w:t>
      </w:r>
    </w:p>
    <w:p w:rsidR="0054666A" w:rsidRPr="00ED711A" w:rsidRDefault="0054666A" w:rsidP="007973B8">
      <w:pPr>
        <w:pStyle w:val="BodyTextIndent3"/>
        <w:ind w:right="0" w:firstLine="0"/>
        <w:rPr>
          <w:rFonts w:eastAsia="Arial"/>
          <w:szCs w:val="22"/>
          <w:lang w:val="fr-FR"/>
        </w:rPr>
      </w:pPr>
    </w:p>
    <w:p w:rsidR="0054666A" w:rsidRPr="00ED711A" w:rsidRDefault="0054666A" w:rsidP="007973B8">
      <w:pPr>
        <w:pStyle w:val="BodyTextIndent3"/>
        <w:ind w:right="0" w:firstLine="0"/>
        <w:rPr>
          <w:rFonts w:eastAsia="Arial"/>
          <w:szCs w:val="22"/>
          <w:lang w:val="fr-FR"/>
        </w:rPr>
      </w:pPr>
      <w:r w:rsidRPr="00ED711A">
        <w:rPr>
          <w:szCs w:val="22"/>
          <w:lang w:val="fr-FR"/>
        </w:rPr>
        <w:t>Lors de sa troisième réunion, la Conférence des Parties a demandé au Secrétariat de développer un formulaire standard pour la notification d</w:t>
      </w:r>
      <w:r w:rsidR="000D310E" w:rsidRPr="00ED711A">
        <w:rPr>
          <w:szCs w:val="22"/>
          <w:lang w:val="fr-FR"/>
        </w:rPr>
        <w:t>’</w:t>
      </w:r>
      <w:r w:rsidRPr="00ED711A">
        <w:rPr>
          <w:szCs w:val="22"/>
          <w:lang w:val="fr-FR"/>
        </w:rPr>
        <w:t>exportation afin d</w:t>
      </w:r>
      <w:r w:rsidR="000D310E" w:rsidRPr="00ED711A">
        <w:rPr>
          <w:szCs w:val="22"/>
          <w:lang w:val="fr-FR"/>
        </w:rPr>
        <w:t>’</w:t>
      </w:r>
      <w:r w:rsidRPr="00ED711A">
        <w:rPr>
          <w:szCs w:val="22"/>
          <w:lang w:val="fr-FR"/>
        </w:rPr>
        <w:t xml:space="preserve">aider les Partie à satisfaire à leurs obligations dans le cadre de la Convention. Des copies du formulaire sont disponibles sur le site web de la Convention </w:t>
      </w:r>
      <w:r w:rsidR="00BD3BEA" w:rsidRPr="00ED711A">
        <w:rPr>
          <w:szCs w:val="22"/>
          <w:lang w:val="fr-FR"/>
        </w:rPr>
        <w:t>(</w:t>
      </w:r>
      <w:hyperlink r:id="rId22" w:history="1">
        <w:r w:rsidR="00BD3BEA" w:rsidRPr="00676EE7">
          <w:rPr>
            <w:rStyle w:val="Hyperlink"/>
            <w:szCs w:val="22"/>
            <w:lang w:val="fr-FR"/>
          </w:rPr>
          <w:t>www.pic.int</w:t>
        </w:r>
      </w:hyperlink>
      <w:r w:rsidR="00BD3BEA" w:rsidRPr="00ED711A">
        <w:rPr>
          <w:szCs w:val="22"/>
          <w:lang w:val="fr-FR"/>
        </w:rPr>
        <w:t>)</w:t>
      </w:r>
      <w:r w:rsidRPr="00ED711A">
        <w:rPr>
          <w:szCs w:val="22"/>
          <w:lang w:val="fr-FR"/>
        </w:rPr>
        <w:t xml:space="preserve"> ou sur demande auprès du Secrétariat </w:t>
      </w:r>
      <w:r w:rsidR="00BD3BEA" w:rsidRPr="00ED711A">
        <w:rPr>
          <w:szCs w:val="22"/>
          <w:lang w:val="fr-FR"/>
        </w:rPr>
        <w:t>(</w:t>
      </w:r>
      <w:hyperlink r:id="rId23" w:history="1">
        <w:r w:rsidR="00BD3BEA" w:rsidRPr="00BD3BEA">
          <w:rPr>
            <w:color w:val="0000FF"/>
            <w:szCs w:val="22"/>
            <w:u w:val="single"/>
            <w:lang w:val="fr-CH"/>
          </w:rPr>
          <w:t>pic@fao.org</w:t>
        </w:r>
      </w:hyperlink>
      <w:r w:rsidR="00BD3BEA" w:rsidRPr="00ED711A">
        <w:rPr>
          <w:szCs w:val="22"/>
          <w:lang w:val="fr-FR"/>
        </w:rPr>
        <w:t xml:space="preserve"> ou </w:t>
      </w:r>
      <w:hyperlink r:id="rId24" w:history="1">
        <w:r w:rsidR="00BD3BEA" w:rsidRPr="00BD3BEA">
          <w:rPr>
            <w:color w:val="0000FF"/>
            <w:szCs w:val="22"/>
            <w:u w:val="single"/>
            <w:lang w:val="fr-CH"/>
          </w:rPr>
          <w:t>pic@pic.int</w:t>
        </w:r>
      </w:hyperlink>
      <w:r w:rsidR="00BD3BEA" w:rsidRPr="00ED711A">
        <w:rPr>
          <w:lang w:val="fr-CH"/>
        </w:rPr>
        <w:t xml:space="preserve"> et </w:t>
      </w:r>
      <w:hyperlink r:id="rId25" w:history="1">
        <w:r w:rsidR="00BD3BEA" w:rsidRPr="00BD3BEA">
          <w:rPr>
            <w:rStyle w:val="Hyperlink"/>
            <w:szCs w:val="22"/>
            <w:lang w:val="fr-CH"/>
          </w:rPr>
          <w:t>pic@brsmeas.org</w:t>
        </w:r>
      </w:hyperlink>
      <w:r w:rsidR="00BD3BEA" w:rsidRPr="00ED711A">
        <w:rPr>
          <w:szCs w:val="22"/>
          <w:lang w:val="fr-FR"/>
        </w:rPr>
        <w:t>)</w:t>
      </w:r>
      <w:r w:rsidRPr="00ED711A">
        <w:rPr>
          <w:szCs w:val="22"/>
          <w:lang w:val="fr-FR"/>
        </w:rPr>
        <w:t xml:space="preserve">. </w:t>
      </w:r>
    </w:p>
    <w:p w:rsidR="0054666A" w:rsidRPr="00ED711A" w:rsidRDefault="0054666A" w:rsidP="007973B8">
      <w:pPr>
        <w:pStyle w:val="BodyTextIndent3"/>
        <w:ind w:right="0" w:firstLine="0"/>
        <w:rPr>
          <w:rFonts w:eastAsia="Arial"/>
          <w:szCs w:val="22"/>
          <w:lang w:val="fr-FR"/>
        </w:rPr>
      </w:pPr>
    </w:p>
    <w:p w:rsidR="0054666A" w:rsidRPr="00ED711A" w:rsidRDefault="0054666A" w:rsidP="007973B8">
      <w:pPr>
        <w:pStyle w:val="BodyTextIndent3"/>
        <w:ind w:right="0" w:firstLine="0"/>
        <w:rPr>
          <w:rFonts w:eastAsia="Arial"/>
          <w:szCs w:val="22"/>
          <w:lang w:val="fr-FR"/>
        </w:rPr>
      </w:pPr>
      <w:r w:rsidRPr="00ED711A">
        <w:rPr>
          <w:szCs w:val="22"/>
          <w:lang w:val="fr-FR"/>
        </w:rPr>
        <w:t>Les Parties sont encouragées à utiliser ce formulaire pour accuser réception de la notification d</w:t>
      </w:r>
      <w:r w:rsidR="000D310E" w:rsidRPr="00ED711A">
        <w:rPr>
          <w:szCs w:val="22"/>
          <w:lang w:val="fr-FR"/>
        </w:rPr>
        <w:t>’</w:t>
      </w:r>
      <w:r w:rsidRPr="00ED711A">
        <w:rPr>
          <w:szCs w:val="22"/>
          <w:lang w:val="fr-FR"/>
        </w:rPr>
        <w:t>exportation. Si des formulaires conçus au niveau national satisfaisant aux exigences de renseignements demandés à l</w:t>
      </w:r>
      <w:r w:rsidR="000D310E" w:rsidRPr="00ED711A">
        <w:rPr>
          <w:szCs w:val="22"/>
          <w:lang w:val="fr-FR"/>
        </w:rPr>
        <w:t>’annexe</w:t>
      </w:r>
      <w:r w:rsidRPr="00ED711A">
        <w:rPr>
          <w:szCs w:val="22"/>
          <w:lang w:val="fr-FR"/>
        </w:rPr>
        <w:t xml:space="preserve"> V de la Convention sont déjà disponibles, les Parties peuvent continuer à les utiliser.</w:t>
      </w:r>
    </w:p>
    <w:p w:rsidR="0054666A" w:rsidRPr="00ED711A" w:rsidRDefault="0054666A" w:rsidP="007973B8">
      <w:pPr>
        <w:pStyle w:val="BodyTextIndent3"/>
        <w:ind w:right="0" w:firstLine="0"/>
        <w:rPr>
          <w:rFonts w:eastAsia="Arial"/>
          <w:szCs w:val="22"/>
          <w:lang w:val="fr-FR"/>
        </w:rPr>
      </w:pPr>
    </w:p>
    <w:p w:rsidR="001F3F1A" w:rsidRPr="00ED711A" w:rsidRDefault="0054666A" w:rsidP="007973B8">
      <w:pPr>
        <w:jc w:val="both"/>
        <w:rPr>
          <w:sz w:val="22"/>
          <w:szCs w:val="22"/>
          <w:lang w:val="fr-CH"/>
        </w:rPr>
      </w:pPr>
      <w:r w:rsidRPr="00ED711A">
        <w:rPr>
          <w:sz w:val="22"/>
          <w:szCs w:val="22"/>
          <w:lang w:val="fr-FR"/>
        </w:rPr>
        <w:t>Lors de sa septième réunion, dans la décision RC-7/2, la Con</w:t>
      </w:r>
      <w:r w:rsidR="0010154F">
        <w:rPr>
          <w:sz w:val="22"/>
          <w:szCs w:val="22"/>
          <w:lang w:val="fr-FR"/>
        </w:rPr>
        <w:t>férence des Parties a prié les P</w:t>
      </w:r>
      <w:r w:rsidRPr="00ED711A">
        <w:rPr>
          <w:sz w:val="22"/>
          <w:szCs w:val="22"/>
          <w:lang w:val="fr-FR"/>
        </w:rPr>
        <w:t>arties d</w:t>
      </w:r>
      <w:r w:rsidR="000D310E" w:rsidRPr="00ED711A">
        <w:rPr>
          <w:sz w:val="22"/>
          <w:szCs w:val="22"/>
          <w:lang w:val="fr-FR"/>
        </w:rPr>
        <w:t>’</w:t>
      </w:r>
      <w:r w:rsidRPr="00ED711A">
        <w:rPr>
          <w:sz w:val="22"/>
          <w:szCs w:val="22"/>
          <w:lang w:val="fr-FR"/>
        </w:rPr>
        <w:t>assurer la mise en œuvre effective de la Convention y compris les obligations prévues au paragraphe 2 (c) de l</w:t>
      </w:r>
      <w:r w:rsidR="000D310E" w:rsidRPr="00ED711A">
        <w:rPr>
          <w:sz w:val="22"/>
          <w:szCs w:val="22"/>
          <w:lang w:val="fr-FR"/>
        </w:rPr>
        <w:t>’article</w:t>
      </w:r>
      <w:r w:rsidRPr="00ED711A">
        <w:rPr>
          <w:sz w:val="22"/>
          <w:szCs w:val="22"/>
          <w:lang w:val="fr-FR"/>
        </w:rPr>
        <w:t xml:space="preserve"> 11 et à l</w:t>
      </w:r>
      <w:r w:rsidR="000D310E" w:rsidRPr="00ED711A">
        <w:rPr>
          <w:sz w:val="22"/>
          <w:szCs w:val="22"/>
          <w:lang w:val="fr-FR"/>
        </w:rPr>
        <w:t>’article</w:t>
      </w:r>
      <w:r w:rsidRPr="00ED711A">
        <w:rPr>
          <w:sz w:val="22"/>
          <w:szCs w:val="22"/>
          <w:lang w:val="fr-FR"/>
        </w:rPr>
        <w:t xml:space="preserve"> 12 de la Conventio</w:t>
      </w:r>
      <w:r w:rsidR="00517EDF">
        <w:rPr>
          <w:sz w:val="22"/>
          <w:szCs w:val="22"/>
          <w:lang w:val="fr-FR"/>
        </w:rPr>
        <w:t>n</w:t>
      </w:r>
      <w:r w:rsidR="001F3F1A" w:rsidRPr="00ED711A">
        <w:rPr>
          <w:sz w:val="22"/>
          <w:szCs w:val="22"/>
          <w:lang w:val="fr-CH"/>
        </w:rPr>
        <w:t>.</w:t>
      </w:r>
    </w:p>
    <w:p w:rsidR="00EF204E" w:rsidRPr="00ED711A" w:rsidRDefault="00EF204E" w:rsidP="00EF204E">
      <w:pPr>
        <w:autoSpaceDE w:val="0"/>
        <w:autoSpaceDN w:val="0"/>
        <w:adjustRightInd w:val="0"/>
        <w:jc w:val="both"/>
        <w:rPr>
          <w:rFonts w:ascii="TimesNewRomanPSMT" w:hAnsi="TimesNewRomanPSMT" w:cs="TimesNewRomanPSMT"/>
          <w:sz w:val="22"/>
          <w:szCs w:val="22"/>
          <w:lang w:val="fr-CH" w:eastAsia="en-GB"/>
        </w:rPr>
      </w:pPr>
      <w:bookmarkStart w:id="42" w:name="_Toc264393109"/>
      <w:bookmarkStart w:id="43" w:name="_Toc264391962"/>
      <w:bookmarkStart w:id="44" w:name="_Toc248307664"/>
      <w:bookmarkStart w:id="45" w:name="_Toc248296427"/>
      <w:bookmarkStart w:id="46" w:name="_Toc232307869"/>
      <w:bookmarkStart w:id="47" w:name="_Toc201033293"/>
    </w:p>
    <w:p w:rsidR="00EF204E" w:rsidRPr="00ED711A" w:rsidRDefault="00EF204E" w:rsidP="00EF204E">
      <w:pPr>
        <w:snapToGrid w:val="0"/>
        <w:ind w:left="720" w:hanging="720"/>
        <w:jc w:val="both"/>
        <w:outlineLvl w:val="1"/>
        <w:rPr>
          <w:sz w:val="22"/>
          <w:szCs w:val="22"/>
          <w:lang w:val="fr-CH"/>
        </w:rPr>
      </w:pPr>
      <w:bookmarkStart w:id="48" w:name="_Toc469005589"/>
      <w:r w:rsidRPr="00ED711A">
        <w:rPr>
          <w:b/>
          <w:sz w:val="22"/>
          <w:szCs w:val="22"/>
          <w:lang w:val="fr-CH"/>
        </w:rPr>
        <w:t>2.</w:t>
      </w:r>
      <w:r>
        <w:rPr>
          <w:b/>
          <w:sz w:val="22"/>
          <w:szCs w:val="22"/>
          <w:lang w:val="fr-CH"/>
        </w:rPr>
        <w:t>6</w:t>
      </w:r>
      <w:r w:rsidRPr="00ED711A">
        <w:rPr>
          <w:b/>
          <w:sz w:val="22"/>
          <w:szCs w:val="22"/>
          <w:lang w:val="fr-CH"/>
        </w:rPr>
        <w:tab/>
        <w:t xml:space="preserve">Renseignements devant accompagner les produits chimiques exportés </w:t>
      </w:r>
      <w:r w:rsidRPr="00ED711A">
        <w:rPr>
          <w:sz w:val="22"/>
          <w:szCs w:val="22"/>
          <w:lang w:val="fr-CH"/>
        </w:rPr>
        <w:t>(article 13, paragraphe 1 de la Convention)</w:t>
      </w:r>
      <w:bookmarkEnd w:id="48"/>
    </w:p>
    <w:p w:rsidR="00EF204E" w:rsidRPr="00ED711A" w:rsidRDefault="00EF204E" w:rsidP="00EF204E">
      <w:pPr>
        <w:jc w:val="both"/>
        <w:rPr>
          <w:sz w:val="22"/>
          <w:szCs w:val="22"/>
          <w:lang w:val="fr-CH"/>
        </w:rPr>
      </w:pPr>
    </w:p>
    <w:bookmarkEnd w:id="42"/>
    <w:bookmarkEnd w:id="43"/>
    <w:bookmarkEnd w:id="44"/>
    <w:bookmarkEnd w:id="45"/>
    <w:bookmarkEnd w:id="46"/>
    <w:bookmarkEnd w:id="47"/>
    <w:p w:rsidR="0054666A" w:rsidRPr="00ED711A" w:rsidRDefault="0054666A" w:rsidP="0054666A">
      <w:pPr>
        <w:pStyle w:val="CorpoA"/>
        <w:jc w:val="both"/>
        <w:rPr>
          <w:rFonts w:eastAsia="Arial"/>
          <w:color w:val="auto"/>
          <w:sz w:val="22"/>
          <w:szCs w:val="22"/>
          <w:lang w:val="fr-FR"/>
        </w:rPr>
      </w:pPr>
      <w:r w:rsidRPr="00ED711A">
        <w:rPr>
          <w:color w:val="auto"/>
          <w:sz w:val="22"/>
          <w:szCs w:val="22"/>
          <w:lang w:val="fr-FR"/>
        </w:rPr>
        <w:t>Conformément au</w:t>
      </w:r>
      <w:r w:rsidRPr="002E21B7">
        <w:rPr>
          <w:color w:val="auto"/>
          <w:sz w:val="22"/>
          <w:szCs w:val="22"/>
          <w:lang w:val="fr-FR"/>
        </w:rPr>
        <w:t xml:space="preserve"> </w:t>
      </w:r>
      <w:r w:rsidRPr="002E21B7">
        <w:rPr>
          <w:bCs/>
          <w:color w:val="auto"/>
          <w:sz w:val="22"/>
          <w:szCs w:val="22"/>
          <w:lang w:val="fr-FR"/>
        </w:rPr>
        <w:t>paragraphe 1 de l</w:t>
      </w:r>
      <w:r w:rsidR="000D310E" w:rsidRPr="002E21B7">
        <w:rPr>
          <w:bCs/>
          <w:color w:val="auto"/>
          <w:sz w:val="22"/>
          <w:szCs w:val="22"/>
          <w:lang w:val="fr-FR"/>
        </w:rPr>
        <w:t>’article</w:t>
      </w:r>
      <w:r w:rsidRPr="002E21B7">
        <w:rPr>
          <w:bCs/>
          <w:color w:val="auto"/>
          <w:sz w:val="22"/>
          <w:szCs w:val="22"/>
          <w:lang w:val="fr-FR"/>
        </w:rPr>
        <w:t xml:space="preserve"> 13</w:t>
      </w:r>
      <w:r w:rsidRPr="002E21B7">
        <w:rPr>
          <w:color w:val="auto"/>
          <w:sz w:val="22"/>
          <w:szCs w:val="22"/>
          <w:lang w:val="fr-FR"/>
        </w:rPr>
        <w:t xml:space="preserve"> de</w:t>
      </w:r>
      <w:r w:rsidRPr="00ED711A">
        <w:rPr>
          <w:color w:val="auto"/>
          <w:sz w:val="22"/>
          <w:szCs w:val="22"/>
          <w:lang w:val="fr-FR"/>
        </w:rPr>
        <w:t xml:space="preserve"> la Convention, l</w:t>
      </w:r>
      <w:r w:rsidR="000D310E" w:rsidRPr="00ED711A">
        <w:rPr>
          <w:color w:val="auto"/>
          <w:sz w:val="22"/>
          <w:szCs w:val="22"/>
          <w:lang w:val="fr-FR"/>
        </w:rPr>
        <w:t>’</w:t>
      </w:r>
      <w:r w:rsidRPr="00ED711A">
        <w:rPr>
          <w:color w:val="auto"/>
          <w:sz w:val="22"/>
          <w:szCs w:val="22"/>
          <w:lang w:val="fr-FR"/>
        </w:rPr>
        <w:t>Organisation mondiale des Douanes (OMD) a attribué à chaque produit chimique ou groupe de produits chimiques inscrits à l</w:t>
      </w:r>
      <w:r w:rsidR="000D310E" w:rsidRPr="00ED711A">
        <w:rPr>
          <w:color w:val="auto"/>
          <w:sz w:val="22"/>
          <w:szCs w:val="22"/>
          <w:lang w:val="fr-FR"/>
        </w:rPr>
        <w:t>’</w:t>
      </w:r>
      <w:r w:rsidR="00DE65F4" w:rsidRPr="00ED711A">
        <w:rPr>
          <w:color w:val="auto"/>
          <w:sz w:val="22"/>
          <w:szCs w:val="22"/>
          <w:lang w:val="fr-FR"/>
        </w:rPr>
        <w:t>annexe III</w:t>
      </w:r>
      <w:r w:rsidRPr="00ED711A">
        <w:rPr>
          <w:color w:val="auto"/>
          <w:sz w:val="22"/>
          <w:szCs w:val="22"/>
          <w:lang w:val="fr-FR"/>
        </w:rPr>
        <w:t xml:space="preserve"> de la Convention un code déterminé relevant du Système harmonisé de codification. Ces codes sont entrés en vigueur le 1</w:t>
      </w:r>
      <w:r w:rsidRPr="00ED711A">
        <w:rPr>
          <w:color w:val="auto"/>
          <w:sz w:val="22"/>
          <w:szCs w:val="22"/>
          <w:vertAlign w:val="superscript"/>
          <w:lang w:val="fr-FR"/>
        </w:rPr>
        <w:t>er</w:t>
      </w:r>
      <w:r w:rsidRPr="00ED711A">
        <w:rPr>
          <w:color w:val="auto"/>
          <w:sz w:val="22"/>
          <w:szCs w:val="22"/>
          <w:lang w:val="fr-FR"/>
        </w:rPr>
        <w:t xml:space="preserve"> janvier 2007. En ce qui concerne les produits chimiques inscrits à l</w:t>
      </w:r>
      <w:r w:rsidR="000D310E" w:rsidRPr="00ED711A">
        <w:rPr>
          <w:color w:val="auto"/>
          <w:sz w:val="22"/>
          <w:szCs w:val="22"/>
          <w:lang w:val="fr-FR"/>
        </w:rPr>
        <w:t>’</w:t>
      </w:r>
      <w:r w:rsidR="00DE65F4" w:rsidRPr="00ED711A">
        <w:rPr>
          <w:color w:val="auto"/>
          <w:sz w:val="22"/>
          <w:szCs w:val="22"/>
          <w:lang w:val="fr-FR"/>
        </w:rPr>
        <w:t>annexe III</w:t>
      </w:r>
      <w:r w:rsidRPr="00ED711A">
        <w:rPr>
          <w:color w:val="auto"/>
          <w:sz w:val="22"/>
          <w:szCs w:val="22"/>
          <w:lang w:val="fr-FR"/>
        </w:rPr>
        <w:t xml:space="preserve"> après 2011, lesdits codes devraient être attribués par l</w:t>
      </w:r>
      <w:r w:rsidR="000D310E" w:rsidRPr="00ED711A">
        <w:rPr>
          <w:color w:val="auto"/>
          <w:sz w:val="22"/>
          <w:szCs w:val="22"/>
          <w:lang w:val="fr-FR"/>
        </w:rPr>
        <w:t>’</w:t>
      </w:r>
      <w:r w:rsidRPr="00ED711A">
        <w:rPr>
          <w:color w:val="auto"/>
          <w:sz w:val="22"/>
          <w:szCs w:val="22"/>
          <w:lang w:val="fr-FR"/>
        </w:rPr>
        <w:t>OMD en 2017.</w:t>
      </w:r>
    </w:p>
    <w:p w:rsidR="0054666A" w:rsidRPr="00ED711A" w:rsidRDefault="0054666A" w:rsidP="0054666A">
      <w:pPr>
        <w:pStyle w:val="CorpoA"/>
        <w:jc w:val="both"/>
        <w:rPr>
          <w:rFonts w:eastAsia="Arial"/>
          <w:color w:val="auto"/>
          <w:sz w:val="22"/>
          <w:szCs w:val="22"/>
          <w:lang w:val="fr-FR"/>
        </w:rPr>
      </w:pPr>
    </w:p>
    <w:p w:rsidR="0054666A" w:rsidRPr="00ED711A" w:rsidRDefault="0054666A" w:rsidP="0054666A">
      <w:pPr>
        <w:pStyle w:val="CorpoA"/>
        <w:jc w:val="both"/>
        <w:rPr>
          <w:rFonts w:eastAsia="Arial"/>
          <w:color w:val="auto"/>
          <w:sz w:val="22"/>
          <w:szCs w:val="22"/>
          <w:lang w:val="fr-FR"/>
        </w:rPr>
      </w:pPr>
      <w:r w:rsidRPr="00ED711A">
        <w:rPr>
          <w:color w:val="auto"/>
          <w:sz w:val="22"/>
          <w:szCs w:val="22"/>
          <w:lang w:val="fr-FR"/>
        </w:rPr>
        <w:lastRenderedPageBreak/>
        <w:t>Chaque Partie veille à ce que, lorsqu</w:t>
      </w:r>
      <w:r w:rsidR="000D310E" w:rsidRPr="00ED711A">
        <w:rPr>
          <w:color w:val="auto"/>
          <w:sz w:val="22"/>
          <w:szCs w:val="22"/>
          <w:lang w:val="fr-FR"/>
        </w:rPr>
        <w:t>’</w:t>
      </w:r>
      <w:r w:rsidRPr="00ED711A">
        <w:rPr>
          <w:color w:val="auto"/>
          <w:sz w:val="22"/>
          <w:szCs w:val="22"/>
          <w:lang w:val="fr-FR"/>
        </w:rPr>
        <w:t>un code du système harmonisé a été attribué à un produit chimique inscrit à l</w:t>
      </w:r>
      <w:r w:rsidR="000D310E" w:rsidRPr="00ED711A">
        <w:rPr>
          <w:color w:val="auto"/>
          <w:sz w:val="22"/>
          <w:szCs w:val="22"/>
          <w:lang w:val="fr-FR"/>
        </w:rPr>
        <w:t>’</w:t>
      </w:r>
      <w:r w:rsidR="00DE65F4" w:rsidRPr="00ED711A">
        <w:rPr>
          <w:color w:val="auto"/>
          <w:sz w:val="22"/>
          <w:szCs w:val="22"/>
          <w:lang w:val="fr-FR"/>
        </w:rPr>
        <w:t>annexe III</w:t>
      </w:r>
      <w:r w:rsidRPr="00ED711A">
        <w:rPr>
          <w:color w:val="auto"/>
          <w:sz w:val="22"/>
          <w:szCs w:val="22"/>
          <w:lang w:val="fr-FR"/>
        </w:rPr>
        <w:t>, il soit inscrit sur le document d</w:t>
      </w:r>
      <w:r w:rsidR="000D310E" w:rsidRPr="00ED711A">
        <w:rPr>
          <w:color w:val="auto"/>
          <w:sz w:val="22"/>
          <w:szCs w:val="22"/>
          <w:lang w:val="fr-FR"/>
        </w:rPr>
        <w:t>’</w:t>
      </w:r>
      <w:r w:rsidRPr="00ED711A">
        <w:rPr>
          <w:color w:val="auto"/>
          <w:sz w:val="22"/>
          <w:szCs w:val="22"/>
          <w:lang w:val="fr-FR"/>
        </w:rPr>
        <w:t>expédition accompagnant l</w:t>
      </w:r>
      <w:r w:rsidR="000D310E" w:rsidRPr="00ED711A">
        <w:rPr>
          <w:color w:val="auto"/>
          <w:sz w:val="22"/>
          <w:szCs w:val="22"/>
          <w:lang w:val="fr-FR"/>
        </w:rPr>
        <w:t>’</w:t>
      </w:r>
      <w:r w:rsidRPr="00ED711A">
        <w:rPr>
          <w:color w:val="auto"/>
          <w:sz w:val="22"/>
          <w:szCs w:val="22"/>
          <w:lang w:val="fr-FR"/>
        </w:rPr>
        <w:t>exportation.</w:t>
      </w:r>
    </w:p>
    <w:p w:rsidR="0054666A" w:rsidRPr="00ED711A" w:rsidRDefault="0054666A" w:rsidP="007973B8">
      <w:pPr>
        <w:pStyle w:val="CorpoA"/>
        <w:jc w:val="both"/>
        <w:rPr>
          <w:rFonts w:eastAsia="Arial"/>
          <w:color w:val="auto"/>
          <w:sz w:val="22"/>
          <w:szCs w:val="22"/>
          <w:lang w:val="fr-FR"/>
        </w:rPr>
      </w:pPr>
    </w:p>
    <w:p w:rsidR="001F3F1A" w:rsidRPr="00ED711A" w:rsidRDefault="0054666A" w:rsidP="007973B8">
      <w:pPr>
        <w:autoSpaceDE w:val="0"/>
        <w:autoSpaceDN w:val="0"/>
        <w:adjustRightInd w:val="0"/>
        <w:jc w:val="both"/>
        <w:rPr>
          <w:snapToGrid w:val="0"/>
          <w:sz w:val="22"/>
          <w:szCs w:val="22"/>
          <w:lang w:val="fr-CH" w:eastAsia="en-US"/>
        </w:rPr>
      </w:pPr>
      <w:r w:rsidRPr="00ED711A">
        <w:rPr>
          <w:sz w:val="22"/>
          <w:szCs w:val="22"/>
          <w:lang w:val="fr-FR"/>
        </w:rPr>
        <w:t xml:space="preserve">Vous pouvez également trouver un tableau contenant ces informations sur le site web de la Convention de Rotterdam </w:t>
      </w:r>
      <w:r w:rsidR="00BD3BEA" w:rsidRPr="00ED711A">
        <w:rPr>
          <w:sz w:val="22"/>
          <w:szCs w:val="22"/>
          <w:lang w:val="fr-FR"/>
        </w:rPr>
        <w:t>(</w:t>
      </w:r>
      <w:hyperlink r:id="rId26" w:history="1">
        <w:r w:rsidR="00BD3BEA" w:rsidRPr="00676EE7">
          <w:rPr>
            <w:rStyle w:val="Hyperlink"/>
            <w:sz w:val="22"/>
            <w:szCs w:val="22"/>
            <w:lang w:val="fr-FR"/>
          </w:rPr>
          <w:t>www.pic.int</w:t>
        </w:r>
      </w:hyperlink>
      <w:r w:rsidR="00BD3BEA" w:rsidRPr="00ED711A">
        <w:rPr>
          <w:sz w:val="22"/>
          <w:szCs w:val="22"/>
          <w:lang w:val="fr-FR"/>
        </w:rPr>
        <w:t>)</w:t>
      </w:r>
      <w:r w:rsidR="001F3F1A" w:rsidRPr="00ED711A">
        <w:rPr>
          <w:snapToGrid w:val="0"/>
          <w:sz w:val="22"/>
          <w:szCs w:val="22"/>
          <w:lang w:val="fr-CH" w:eastAsia="en-US"/>
        </w:rPr>
        <w:t>.</w:t>
      </w:r>
    </w:p>
    <w:p w:rsidR="001F3F1A" w:rsidRPr="00ED711A" w:rsidRDefault="001F3F1A" w:rsidP="007973B8">
      <w:pPr>
        <w:jc w:val="both"/>
        <w:rPr>
          <w:i/>
          <w:iCs/>
          <w:sz w:val="22"/>
          <w:szCs w:val="22"/>
          <w:lang w:val="fr-CH"/>
        </w:rPr>
      </w:pPr>
    </w:p>
    <w:p w:rsidR="001F3F1A" w:rsidRPr="00ED711A" w:rsidRDefault="001F3F1A" w:rsidP="007973B8">
      <w:pPr>
        <w:ind w:left="720" w:hanging="720"/>
        <w:jc w:val="both"/>
        <w:outlineLvl w:val="1"/>
        <w:rPr>
          <w:snapToGrid w:val="0"/>
          <w:sz w:val="22"/>
          <w:szCs w:val="22"/>
          <w:lang w:val="fr-CH"/>
        </w:rPr>
      </w:pPr>
      <w:bookmarkStart w:id="49" w:name="_Toc201033294"/>
      <w:bookmarkStart w:id="50" w:name="_Toc199906461"/>
      <w:bookmarkStart w:id="51" w:name="_Toc168731339"/>
      <w:bookmarkStart w:id="52" w:name="_Toc232307870"/>
      <w:bookmarkStart w:id="53" w:name="_Toc248296428"/>
      <w:bookmarkStart w:id="54" w:name="_Toc248307665"/>
      <w:bookmarkStart w:id="55" w:name="_Toc264391963"/>
      <w:bookmarkStart w:id="56" w:name="_Toc264393110"/>
      <w:bookmarkStart w:id="57" w:name="_Toc469005590"/>
      <w:r w:rsidRPr="00ED711A">
        <w:rPr>
          <w:b/>
          <w:snapToGrid w:val="0"/>
          <w:sz w:val="22"/>
          <w:szCs w:val="22"/>
          <w:lang w:val="fr-CH"/>
        </w:rPr>
        <w:t>2.7</w:t>
      </w:r>
      <w:r w:rsidRPr="00ED711A">
        <w:rPr>
          <w:b/>
          <w:snapToGrid w:val="0"/>
          <w:sz w:val="22"/>
          <w:szCs w:val="22"/>
          <w:lang w:val="fr-CH"/>
        </w:rPr>
        <w:tab/>
      </w:r>
      <w:bookmarkEnd w:id="49"/>
      <w:bookmarkEnd w:id="50"/>
      <w:bookmarkEnd w:id="51"/>
      <w:bookmarkEnd w:id="52"/>
      <w:bookmarkEnd w:id="53"/>
      <w:bookmarkEnd w:id="54"/>
      <w:bookmarkEnd w:id="55"/>
      <w:bookmarkEnd w:id="56"/>
      <w:r w:rsidR="0054666A" w:rsidRPr="00ED711A">
        <w:rPr>
          <w:b/>
          <w:snapToGrid w:val="0"/>
          <w:sz w:val="22"/>
          <w:szCs w:val="22"/>
          <w:lang w:val="fr-CH"/>
        </w:rPr>
        <w:t>Réponse concernant l</w:t>
      </w:r>
      <w:r w:rsidR="000D310E" w:rsidRPr="00ED711A">
        <w:rPr>
          <w:b/>
          <w:snapToGrid w:val="0"/>
          <w:sz w:val="22"/>
          <w:szCs w:val="22"/>
          <w:lang w:val="fr-CH"/>
        </w:rPr>
        <w:t>’</w:t>
      </w:r>
      <w:r w:rsidR="0054666A" w:rsidRPr="00ED711A">
        <w:rPr>
          <w:b/>
          <w:snapToGrid w:val="0"/>
          <w:sz w:val="22"/>
          <w:szCs w:val="22"/>
          <w:lang w:val="fr-CH"/>
        </w:rPr>
        <w:t>importation future d</w:t>
      </w:r>
      <w:r w:rsidR="000D310E" w:rsidRPr="00ED711A">
        <w:rPr>
          <w:b/>
          <w:snapToGrid w:val="0"/>
          <w:sz w:val="22"/>
          <w:szCs w:val="22"/>
          <w:lang w:val="fr-CH"/>
        </w:rPr>
        <w:t>’</w:t>
      </w:r>
      <w:r w:rsidR="0054666A" w:rsidRPr="00ED711A">
        <w:rPr>
          <w:b/>
          <w:snapToGrid w:val="0"/>
          <w:sz w:val="22"/>
          <w:szCs w:val="22"/>
          <w:lang w:val="fr-CH"/>
        </w:rPr>
        <w:t xml:space="preserve">un produit chimique </w:t>
      </w:r>
      <w:r w:rsidR="0054666A" w:rsidRPr="00ED711A">
        <w:rPr>
          <w:snapToGrid w:val="0"/>
          <w:sz w:val="22"/>
          <w:szCs w:val="22"/>
          <w:lang w:val="fr-CH"/>
        </w:rPr>
        <w:t>(</w:t>
      </w:r>
      <w:r w:rsidR="000D310E" w:rsidRPr="00ED711A">
        <w:rPr>
          <w:snapToGrid w:val="0"/>
          <w:sz w:val="22"/>
          <w:szCs w:val="22"/>
          <w:lang w:val="fr-CH"/>
        </w:rPr>
        <w:t>article</w:t>
      </w:r>
      <w:r w:rsidR="0054666A" w:rsidRPr="00ED711A">
        <w:rPr>
          <w:snapToGrid w:val="0"/>
          <w:sz w:val="22"/>
          <w:szCs w:val="22"/>
          <w:lang w:val="fr-CH"/>
        </w:rPr>
        <w:t xml:space="preserve"> 10, paragraphes 2, 3 et 4 de la Convention)</w:t>
      </w:r>
      <w:bookmarkEnd w:id="57"/>
    </w:p>
    <w:p w:rsidR="001F3F1A" w:rsidRPr="00ED711A" w:rsidRDefault="001F3F1A" w:rsidP="007973B8">
      <w:pPr>
        <w:jc w:val="both"/>
        <w:rPr>
          <w:snapToGrid w:val="0"/>
          <w:sz w:val="22"/>
          <w:szCs w:val="22"/>
          <w:lang w:val="fr-CH"/>
        </w:rPr>
      </w:pPr>
    </w:p>
    <w:p w:rsidR="00947A9A" w:rsidRPr="002E21B7" w:rsidRDefault="00947A9A" w:rsidP="007973B8">
      <w:pPr>
        <w:pStyle w:val="BodyTextIndent3"/>
        <w:ind w:right="0" w:firstLine="0"/>
        <w:rPr>
          <w:rFonts w:eastAsia="Arial"/>
          <w:szCs w:val="22"/>
          <w:lang w:val="fr-FR"/>
        </w:rPr>
      </w:pPr>
      <w:r w:rsidRPr="00ED711A">
        <w:rPr>
          <w:szCs w:val="22"/>
          <w:lang w:val="fr-FR"/>
        </w:rPr>
        <w:t>Conformément au</w:t>
      </w:r>
      <w:r w:rsidRPr="002E21B7">
        <w:rPr>
          <w:szCs w:val="22"/>
          <w:lang w:val="fr-FR"/>
        </w:rPr>
        <w:t xml:space="preserve"> </w:t>
      </w:r>
      <w:r w:rsidRPr="002E21B7">
        <w:rPr>
          <w:bCs/>
          <w:szCs w:val="22"/>
          <w:lang w:val="fr-FR"/>
        </w:rPr>
        <w:t>paragraphe 2 de l</w:t>
      </w:r>
      <w:r w:rsidR="000D310E" w:rsidRPr="002E21B7">
        <w:rPr>
          <w:bCs/>
          <w:szCs w:val="22"/>
          <w:lang w:val="fr-FR"/>
        </w:rPr>
        <w:t>’article</w:t>
      </w:r>
      <w:r w:rsidRPr="002E21B7">
        <w:rPr>
          <w:bCs/>
          <w:szCs w:val="22"/>
          <w:lang w:val="fr-FR"/>
        </w:rPr>
        <w:t xml:space="preserve"> 10</w:t>
      </w:r>
      <w:r w:rsidRPr="002E21B7">
        <w:rPr>
          <w:szCs w:val="22"/>
          <w:lang w:val="fr-FR"/>
        </w:rPr>
        <w:t xml:space="preserve"> de la Convention, chaque Partie remet au Secrétariat, dès que possible, et en tout état de cause au plus tard neuf mois après la date d</w:t>
      </w:r>
      <w:r w:rsidR="000D310E" w:rsidRPr="002E21B7">
        <w:rPr>
          <w:szCs w:val="22"/>
          <w:lang w:val="fr-FR"/>
        </w:rPr>
        <w:t>’</w:t>
      </w:r>
      <w:r w:rsidRPr="002E21B7">
        <w:rPr>
          <w:szCs w:val="22"/>
          <w:lang w:val="fr-FR"/>
        </w:rPr>
        <w:t xml:space="preserve">envoi du </w:t>
      </w:r>
      <w:r w:rsidR="00B578E3" w:rsidRPr="002E21B7">
        <w:rPr>
          <w:szCs w:val="22"/>
          <w:lang w:val="fr-FR"/>
        </w:rPr>
        <w:t>d</w:t>
      </w:r>
      <w:r w:rsidRPr="002E21B7">
        <w:rPr>
          <w:szCs w:val="22"/>
          <w:lang w:val="fr-FR"/>
        </w:rPr>
        <w:t>ocument d</w:t>
      </w:r>
      <w:r w:rsidR="000D310E" w:rsidRPr="002E21B7">
        <w:rPr>
          <w:szCs w:val="22"/>
          <w:lang w:val="fr-FR"/>
        </w:rPr>
        <w:t>’</w:t>
      </w:r>
      <w:r w:rsidR="00B578E3" w:rsidRPr="002E21B7">
        <w:rPr>
          <w:szCs w:val="22"/>
          <w:lang w:val="fr-FR"/>
        </w:rPr>
        <w:t>o</w:t>
      </w:r>
      <w:r w:rsidRPr="002E21B7">
        <w:rPr>
          <w:szCs w:val="22"/>
          <w:lang w:val="fr-FR"/>
        </w:rPr>
        <w:t xml:space="preserve">rientation des </w:t>
      </w:r>
      <w:r w:rsidR="00B578E3" w:rsidRPr="002E21B7">
        <w:rPr>
          <w:szCs w:val="22"/>
          <w:lang w:val="fr-FR"/>
        </w:rPr>
        <w:t>d</w:t>
      </w:r>
      <w:r w:rsidRPr="002E21B7">
        <w:rPr>
          <w:szCs w:val="22"/>
          <w:lang w:val="fr-FR"/>
        </w:rPr>
        <w:t>écisions, une réponse concernant l</w:t>
      </w:r>
      <w:r w:rsidR="000D310E" w:rsidRPr="002E21B7">
        <w:rPr>
          <w:szCs w:val="22"/>
          <w:lang w:val="fr-FR"/>
        </w:rPr>
        <w:t>’</w:t>
      </w:r>
      <w:r w:rsidRPr="002E21B7">
        <w:rPr>
          <w:szCs w:val="22"/>
          <w:lang w:val="fr-FR"/>
        </w:rPr>
        <w:t>importation future du produit chimique concerné. Si une Partie modifie cette réponse, cette Partie présente immédiatement la réponse révisée au Secrétariat.</w:t>
      </w:r>
    </w:p>
    <w:p w:rsidR="00947A9A" w:rsidRPr="002E21B7" w:rsidRDefault="00947A9A" w:rsidP="007973B8">
      <w:pPr>
        <w:pStyle w:val="BodyTextIndent3"/>
        <w:ind w:right="0" w:firstLine="0"/>
        <w:rPr>
          <w:rFonts w:eastAsia="Arial"/>
          <w:szCs w:val="22"/>
          <w:lang w:val="fr-FR"/>
        </w:rPr>
      </w:pPr>
    </w:p>
    <w:p w:rsidR="00947A9A" w:rsidRPr="002E21B7" w:rsidRDefault="00947A9A" w:rsidP="007973B8">
      <w:pPr>
        <w:pStyle w:val="BodyTextIndent3"/>
        <w:ind w:right="0" w:firstLine="0"/>
        <w:rPr>
          <w:rFonts w:eastAsia="Arial"/>
          <w:szCs w:val="22"/>
          <w:lang w:val="fr-FR"/>
        </w:rPr>
      </w:pPr>
      <w:r w:rsidRPr="002E21B7">
        <w:rPr>
          <w:szCs w:val="22"/>
          <w:lang w:val="fr-FR"/>
        </w:rPr>
        <w:t xml:space="preserve">Conformément au </w:t>
      </w:r>
      <w:r w:rsidRPr="002E21B7">
        <w:rPr>
          <w:bCs/>
          <w:szCs w:val="22"/>
          <w:lang w:val="fr-FR"/>
        </w:rPr>
        <w:t>paragraphe 7 de l</w:t>
      </w:r>
      <w:r w:rsidR="000D310E" w:rsidRPr="002E21B7">
        <w:rPr>
          <w:bCs/>
          <w:szCs w:val="22"/>
          <w:lang w:val="fr-FR"/>
        </w:rPr>
        <w:t>’article</w:t>
      </w:r>
      <w:r w:rsidRPr="002E21B7">
        <w:rPr>
          <w:bCs/>
          <w:szCs w:val="22"/>
          <w:lang w:val="fr-FR"/>
        </w:rPr>
        <w:t xml:space="preserve"> 10</w:t>
      </w:r>
      <w:r w:rsidRPr="002E21B7">
        <w:rPr>
          <w:szCs w:val="22"/>
          <w:lang w:val="fr-FR"/>
        </w:rPr>
        <w:t xml:space="preserve"> de la Convention, au plus tard à la date d</w:t>
      </w:r>
      <w:r w:rsidR="000D310E" w:rsidRPr="002E21B7">
        <w:rPr>
          <w:szCs w:val="22"/>
          <w:lang w:val="fr-FR"/>
        </w:rPr>
        <w:t>’</w:t>
      </w:r>
      <w:r w:rsidRPr="002E21B7">
        <w:rPr>
          <w:szCs w:val="22"/>
          <w:lang w:val="fr-FR"/>
        </w:rPr>
        <w:t>entrée en vigueur pour une Partie de la Convention, chaque Partie doit transmette au Secrétariat une réponse concernant l</w:t>
      </w:r>
      <w:r w:rsidR="000D310E" w:rsidRPr="002E21B7">
        <w:rPr>
          <w:szCs w:val="22"/>
          <w:lang w:val="fr-FR"/>
        </w:rPr>
        <w:t>’</w:t>
      </w:r>
      <w:r w:rsidRPr="002E21B7">
        <w:rPr>
          <w:szCs w:val="22"/>
          <w:lang w:val="fr-FR"/>
        </w:rPr>
        <w:t>importation de chaque produit chimique figurant à l</w:t>
      </w:r>
      <w:r w:rsidR="000D310E" w:rsidRPr="002E21B7">
        <w:rPr>
          <w:szCs w:val="22"/>
          <w:lang w:val="fr-FR"/>
        </w:rPr>
        <w:t>’</w:t>
      </w:r>
      <w:r w:rsidR="00DE65F4" w:rsidRPr="002E21B7">
        <w:rPr>
          <w:szCs w:val="22"/>
          <w:lang w:val="fr-FR"/>
        </w:rPr>
        <w:t>annexe III</w:t>
      </w:r>
      <w:r w:rsidRPr="002E21B7">
        <w:rPr>
          <w:szCs w:val="22"/>
          <w:lang w:val="fr-FR"/>
        </w:rPr>
        <w:t xml:space="preserve"> de la Convention.</w:t>
      </w:r>
    </w:p>
    <w:p w:rsidR="00947A9A" w:rsidRPr="002E21B7" w:rsidRDefault="00947A9A" w:rsidP="007973B8">
      <w:pPr>
        <w:pStyle w:val="CorpoA"/>
        <w:jc w:val="both"/>
        <w:rPr>
          <w:rFonts w:eastAsia="Arial"/>
          <w:color w:val="auto"/>
          <w:sz w:val="22"/>
          <w:szCs w:val="22"/>
          <w:lang w:val="fr-FR"/>
        </w:rPr>
      </w:pPr>
    </w:p>
    <w:p w:rsidR="00947A9A" w:rsidRPr="00ED711A" w:rsidRDefault="00947A9A" w:rsidP="007973B8">
      <w:pPr>
        <w:pStyle w:val="BodyTextIndent3"/>
        <w:ind w:right="0" w:firstLine="0"/>
        <w:rPr>
          <w:rFonts w:eastAsia="Arial"/>
          <w:szCs w:val="22"/>
          <w:lang w:val="fr-FR"/>
        </w:rPr>
      </w:pPr>
      <w:r w:rsidRPr="002E21B7">
        <w:rPr>
          <w:szCs w:val="22"/>
          <w:lang w:val="fr-FR"/>
        </w:rPr>
        <w:t xml:space="preserve">Conformément </w:t>
      </w:r>
      <w:r w:rsidRPr="002E21B7">
        <w:rPr>
          <w:bCs/>
          <w:szCs w:val="22"/>
          <w:lang w:val="fr-FR"/>
        </w:rPr>
        <w:t>au paragraphe 4 de l</w:t>
      </w:r>
      <w:r w:rsidR="000D310E" w:rsidRPr="002E21B7">
        <w:rPr>
          <w:bCs/>
          <w:szCs w:val="22"/>
          <w:lang w:val="fr-FR"/>
        </w:rPr>
        <w:t>’article</w:t>
      </w:r>
      <w:r w:rsidRPr="002E21B7">
        <w:rPr>
          <w:bCs/>
          <w:szCs w:val="22"/>
          <w:lang w:val="fr-FR"/>
        </w:rPr>
        <w:t xml:space="preserve"> 10 </w:t>
      </w:r>
      <w:r w:rsidRPr="002E21B7">
        <w:rPr>
          <w:szCs w:val="22"/>
          <w:lang w:val="fr-FR"/>
        </w:rPr>
        <w:t>de la Convention, la réponse consiste soit en une décision finale, soit en une décision provisoire. La r</w:t>
      </w:r>
      <w:r w:rsidRPr="00ED711A">
        <w:rPr>
          <w:szCs w:val="22"/>
          <w:lang w:val="fr-FR"/>
        </w:rPr>
        <w:t>éponse provisoire peut comprendre une décision provisoire concernant l</w:t>
      </w:r>
      <w:r w:rsidR="000D310E" w:rsidRPr="00ED711A">
        <w:rPr>
          <w:szCs w:val="22"/>
          <w:lang w:val="fr-FR"/>
        </w:rPr>
        <w:t>’</w:t>
      </w:r>
      <w:r w:rsidRPr="00ED711A">
        <w:rPr>
          <w:szCs w:val="22"/>
          <w:lang w:val="fr-FR"/>
        </w:rPr>
        <w:t>importation. La réponse doit s</w:t>
      </w:r>
      <w:r w:rsidR="000D310E" w:rsidRPr="00ED711A">
        <w:rPr>
          <w:szCs w:val="22"/>
          <w:lang w:val="fr-FR"/>
        </w:rPr>
        <w:t>’</w:t>
      </w:r>
      <w:r w:rsidRPr="00ED711A">
        <w:rPr>
          <w:szCs w:val="22"/>
          <w:lang w:val="fr-FR"/>
        </w:rPr>
        <w:t>appliquer à la catégorie ou aux catégories indiquée(s) à l</w:t>
      </w:r>
      <w:r w:rsidR="000D310E" w:rsidRPr="00ED711A">
        <w:rPr>
          <w:szCs w:val="22"/>
          <w:lang w:val="fr-FR"/>
        </w:rPr>
        <w:t>’</w:t>
      </w:r>
      <w:r w:rsidR="00DE65F4" w:rsidRPr="00ED711A">
        <w:rPr>
          <w:szCs w:val="22"/>
          <w:lang w:val="fr-FR"/>
        </w:rPr>
        <w:t>annexe III</w:t>
      </w:r>
      <w:r w:rsidRPr="00ED711A">
        <w:rPr>
          <w:szCs w:val="22"/>
          <w:lang w:val="fr-FR"/>
        </w:rPr>
        <w:t xml:space="preserve"> de la Convention.</w:t>
      </w:r>
    </w:p>
    <w:p w:rsidR="00947A9A" w:rsidRPr="00ED711A" w:rsidRDefault="00947A9A" w:rsidP="007973B8">
      <w:pPr>
        <w:pStyle w:val="BodyTextIndent3"/>
        <w:ind w:right="0" w:firstLine="0"/>
        <w:rPr>
          <w:rFonts w:eastAsia="Arial"/>
          <w:szCs w:val="22"/>
          <w:lang w:val="fr-FR"/>
        </w:rPr>
      </w:pPr>
    </w:p>
    <w:p w:rsidR="00947A9A" w:rsidRPr="00ED711A" w:rsidRDefault="0010154F" w:rsidP="007973B8">
      <w:pPr>
        <w:pStyle w:val="CorpoAA"/>
        <w:jc w:val="both"/>
        <w:rPr>
          <w:rFonts w:eastAsia="Arial"/>
          <w:color w:val="auto"/>
          <w:sz w:val="22"/>
          <w:szCs w:val="22"/>
          <w:u w:val="single"/>
          <w:lang w:val="fr-FR"/>
        </w:rPr>
      </w:pPr>
      <w:r>
        <w:rPr>
          <w:color w:val="auto"/>
          <w:sz w:val="22"/>
          <w:szCs w:val="22"/>
          <w:lang w:val="fr-FR"/>
        </w:rPr>
        <w:t>Au 31 octobre 2016, les P</w:t>
      </w:r>
      <w:r w:rsidR="00947A9A" w:rsidRPr="00ED711A">
        <w:rPr>
          <w:color w:val="auto"/>
          <w:sz w:val="22"/>
          <w:szCs w:val="22"/>
          <w:lang w:val="fr-FR"/>
        </w:rPr>
        <w:t>arties suivantes ont fourni des réponses concernant l</w:t>
      </w:r>
      <w:r w:rsidR="000D310E" w:rsidRPr="00ED711A">
        <w:rPr>
          <w:color w:val="auto"/>
          <w:sz w:val="22"/>
          <w:szCs w:val="22"/>
          <w:lang w:val="fr-FR"/>
        </w:rPr>
        <w:t>’</w:t>
      </w:r>
      <w:r w:rsidR="00947A9A" w:rsidRPr="00ED711A">
        <w:rPr>
          <w:color w:val="auto"/>
          <w:sz w:val="22"/>
          <w:szCs w:val="22"/>
          <w:lang w:val="fr-FR"/>
        </w:rPr>
        <w:t>importation pour l</w:t>
      </w:r>
      <w:r w:rsidR="000D310E" w:rsidRPr="00ED711A">
        <w:rPr>
          <w:color w:val="auto"/>
          <w:sz w:val="22"/>
          <w:szCs w:val="22"/>
          <w:lang w:val="fr-FR"/>
        </w:rPr>
        <w:t>’</w:t>
      </w:r>
      <w:r w:rsidR="00947A9A" w:rsidRPr="00ED711A">
        <w:rPr>
          <w:color w:val="auto"/>
          <w:sz w:val="22"/>
          <w:szCs w:val="22"/>
          <w:lang w:val="fr-FR"/>
        </w:rPr>
        <w:t>ensemble des 47 produits chimiques inscrits à l</w:t>
      </w:r>
      <w:r w:rsidR="000D310E" w:rsidRPr="00ED711A">
        <w:rPr>
          <w:color w:val="auto"/>
          <w:sz w:val="22"/>
          <w:szCs w:val="22"/>
          <w:lang w:val="fr-FR"/>
        </w:rPr>
        <w:t>’</w:t>
      </w:r>
      <w:r w:rsidR="00DE65F4" w:rsidRPr="00ED711A">
        <w:rPr>
          <w:color w:val="auto"/>
          <w:sz w:val="22"/>
          <w:szCs w:val="22"/>
          <w:lang w:val="fr-FR"/>
        </w:rPr>
        <w:t>annexe III</w:t>
      </w:r>
      <w:r w:rsidR="00947A9A" w:rsidRPr="00ED711A">
        <w:rPr>
          <w:color w:val="auto"/>
          <w:sz w:val="22"/>
          <w:szCs w:val="22"/>
          <w:lang w:val="fr-FR"/>
        </w:rPr>
        <w:t xml:space="preserve"> de la Convention: l</w:t>
      </w:r>
      <w:r w:rsidR="000D310E" w:rsidRPr="00ED711A">
        <w:rPr>
          <w:color w:val="auto"/>
          <w:sz w:val="22"/>
          <w:szCs w:val="22"/>
          <w:lang w:val="fr-FR"/>
        </w:rPr>
        <w:t>’</w:t>
      </w:r>
      <w:r w:rsidR="00947A9A" w:rsidRPr="00ED711A">
        <w:rPr>
          <w:color w:val="auto"/>
          <w:sz w:val="22"/>
          <w:szCs w:val="22"/>
          <w:lang w:val="fr-FR"/>
        </w:rPr>
        <w:t>Albanie, l</w:t>
      </w:r>
      <w:r w:rsidR="000D310E" w:rsidRPr="00ED711A">
        <w:rPr>
          <w:color w:val="auto"/>
          <w:sz w:val="22"/>
          <w:szCs w:val="22"/>
          <w:lang w:val="fr-FR"/>
        </w:rPr>
        <w:t>’</w:t>
      </w:r>
      <w:r w:rsidR="00947A9A" w:rsidRPr="00ED711A">
        <w:rPr>
          <w:color w:val="auto"/>
          <w:sz w:val="22"/>
          <w:szCs w:val="22"/>
          <w:lang w:val="fr-FR"/>
        </w:rPr>
        <w:t>Australie, le Brésil, la Chine, les Iles Cook, Maurice, le Niger, la République unie de Tanzanie, le Sénégal, la Serbie, la Suisse et le Tchad. 131 Parties n</w:t>
      </w:r>
      <w:r w:rsidR="000D310E" w:rsidRPr="00ED711A">
        <w:rPr>
          <w:color w:val="auto"/>
          <w:sz w:val="22"/>
          <w:szCs w:val="22"/>
          <w:lang w:val="fr-FR"/>
        </w:rPr>
        <w:t>’</w:t>
      </w:r>
      <w:r w:rsidR="00947A9A" w:rsidRPr="00ED711A">
        <w:rPr>
          <w:color w:val="auto"/>
          <w:sz w:val="22"/>
          <w:szCs w:val="22"/>
          <w:lang w:val="fr-FR"/>
        </w:rPr>
        <w:t>ont toujours pas présenté de réponse pour un ou plusieurs produits chimiques inscrits à l</w:t>
      </w:r>
      <w:r w:rsidR="000D310E" w:rsidRPr="00ED711A">
        <w:rPr>
          <w:color w:val="auto"/>
          <w:sz w:val="22"/>
          <w:szCs w:val="22"/>
          <w:lang w:val="fr-FR"/>
        </w:rPr>
        <w:t>’</w:t>
      </w:r>
      <w:r w:rsidR="00DE65F4" w:rsidRPr="00ED711A">
        <w:rPr>
          <w:color w:val="auto"/>
          <w:sz w:val="22"/>
          <w:szCs w:val="22"/>
          <w:lang w:val="fr-FR"/>
        </w:rPr>
        <w:t>annexe III</w:t>
      </w:r>
      <w:r w:rsidR="00947A9A" w:rsidRPr="00ED711A">
        <w:rPr>
          <w:color w:val="auto"/>
          <w:sz w:val="22"/>
          <w:szCs w:val="22"/>
          <w:lang w:val="fr-FR"/>
        </w:rPr>
        <w:t xml:space="preserve"> de la Convention. Les 11 Parties suivantes n</w:t>
      </w:r>
      <w:r w:rsidR="000D310E" w:rsidRPr="00ED711A">
        <w:rPr>
          <w:color w:val="auto"/>
          <w:sz w:val="22"/>
          <w:szCs w:val="22"/>
          <w:lang w:val="fr-FR"/>
        </w:rPr>
        <w:t>’</w:t>
      </w:r>
      <w:r w:rsidR="00947A9A" w:rsidRPr="00ED711A">
        <w:rPr>
          <w:color w:val="auto"/>
          <w:sz w:val="22"/>
          <w:szCs w:val="22"/>
          <w:lang w:val="fr-FR"/>
        </w:rPr>
        <w:t>ont présenté aucune réponse concernant l</w:t>
      </w:r>
      <w:r w:rsidR="000D310E" w:rsidRPr="00ED711A">
        <w:rPr>
          <w:color w:val="auto"/>
          <w:sz w:val="22"/>
          <w:szCs w:val="22"/>
          <w:lang w:val="fr-FR"/>
        </w:rPr>
        <w:t>’</w:t>
      </w:r>
      <w:r w:rsidR="00947A9A" w:rsidRPr="00ED711A">
        <w:rPr>
          <w:color w:val="auto"/>
          <w:sz w:val="22"/>
          <w:szCs w:val="22"/>
          <w:lang w:val="fr-FR"/>
        </w:rPr>
        <w:t xml:space="preserve">importation: </w:t>
      </w:r>
      <w:r w:rsidR="00947A9A" w:rsidRPr="00ED711A">
        <w:rPr>
          <w:color w:val="auto"/>
          <w:sz w:val="22"/>
          <w:szCs w:val="22"/>
          <w:u w:val="single"/>
          <w:lang w:val="fr-FR"/>
        </w:rPr>
        <w:t>l</w:t>
      </w:r>
      <w:r w:rsidR="000D310E" w:rsidRPr="00ED711A">
        <w:rPr>
          <w:color w:val="auto"/>
          <w:sz w:val="22"/>
          <w:szCs w:val="22"/>
          <w:u w:val="single"/>
          <w:lang w:val="fr-FR"/>
        </w:rPr>
        <w:t>’</w:t>
      </w:r>
      <w:r w:rsidR="00947A9A" w:rsidRPr="00ED711A">
        <w:rPr>
          <w:color w:val="auto"/>
          <w:sz w:val="22"/>
          <w:szCs w:val="22"/>
          <w:u w:val="single"/>
          <w:lang w:val="fr-FR"/>
        </w:rPr>
        <w:t>Afghanistan</w:t>
      </w:r>
      <w:r w:rsidR="00947A9A" w:rsidRPr="00ED711A">
        <w:rPr>
          <w:color w:val="auto"/>
          <w:sz w:val="22"/>
          <w:szCs w:val="22"/>
          <w:lang w:val="fr-FR"/>
        </w:rPr>
        <w:t xml:space="preserve">, </w:t>
      </w:r>
      <w:r w:rsidR="00947A9A" w:rsidRPr="00ED711A">
        <w:rPr>
          <w:color w:val="auto"/>
          <w:sz w:val="22"/>
          <w:szCs w:val="22"/>
          <w:u w:val="single"/>
          <w:lang w:val="fr-FR"/>
        </w:rPr>
        <w:t>le Botswana</w:t>
      </w:r>
      <w:r w:rsidR="00947A9A" w:rsidRPr="00ED711A">
        <w:rPr>
          <w:color w:val="auto"/>
          <w:sz w:val="22"/>
          <w:szCs w:val="22"/>
          <w:lang w:val="fr-FR"/>
        </w:rPr>
        <w:t xml:space="preserve">, </w:t>
      </w:r>
      <w:r w:rsidR="00947A9A" w:rsidRPr="00ED711A">
        <w:rPr>
          <w:color w:val="auto"/>
          <w:sz w:val="22"/>
          <w:szCs w:val="22"/>
          <w:u w:val="single"/>
          <w:lang w:val="fr-FR"/>
        </w:rPr>
        <w:t>Djibouti</w:t>
      </w:r>
      <w:r w:rsidR="00947A9A" w:rsidRPr="00ED711A">
        <w:rPr>
          <w:color w:val="auto"/>
          <w:sz w:val="22"/>
          <w:szCs w:val="22"/>
          <w:lang w:val="fr-FR"/>
        </w:rPr>
        <w:t xml:space="preserve">, </w:t>
      </w:r>
      <w:r w:rsidR="00947A9A" w:rsidRPr="00ED711A">
        <w:rPr>
          <w:color w:val="auto"/>
          <w:sz w:val="22"/>
          <w:szCs w:val="22"/>
          <w:u w:val="single"/>
          <w:lang w:val="fr-FR"/>
        </w:rPr>
        <w:t>les Iles Marshall</w:t>
      </w:r>
      <w:r w:rsidR="00947A9A" w:rsidRPr="00ED711A">
        <w:rPr>
          <w:color w:val="auto"/>
          <w:sz w:val="22"/>
          <w:szCs w:val="22"/>
          <w:lang w:val="fr-FR"/>
        </w:rPr>
        <w:t xml:space="preserve">, </w:t>
      </w:r>
      <w:r w:rsidR="00947A9A" w:rsidRPr="00ED711A">
        <w:rPr>
          <w:color w:val="auto"/>
          <w:sz w:val="22"/>
          <w:szCs w:val="22"/>
          <w:u w:val="single"/>
          <w:lang w:val="fr-FR"/>
        </w:rPr>
        <w:t>le Lesotho</w:t>
      </w:r>
      <w:r w:rsidR="00947A9A" w:rsidRPr="00ED711A">
        <w:rPr>
          <w:color w:val="auto"/>
          <w:sz w:val="22"/>
          <w:szCs w:val="22"/>
          <w:lang w:val="fr-FR"/>
        </w:rPr>
        <w:t xml:space="preserve">, </w:t>
      </w:r>
      <w:r w:rsidR="00947A9A" w:rsidRPr="00ED711A">
        <w:rPr>
          <w:color w:val="auto"/>
          <w:sz w:val="22"/>
          <w:szCs w:val="22"/>
          <w:u w:val="single"/>
          <w:lang w:val="fr-FR"/>
        </w:rPr>
        <w:t>les Maldives</w:t>
      </w:r>
      <w:r w:rsidR="00947A9A" w:rsidRPr="00ED711A">
        <w:rPr>
          <w:color w:val="auto"/>
          <w:sz w:val="22"/>
          <w:szCs w:val="22"/>
          <w:lang w:val="fr-FR"/>
        </w:rPr>
        <w:t xml:space="preserve">, </w:t>
      </w:r>
      <w:r w:rsidR="00947A9A" w:rsidRPr="00ED711A">
        <w:rPr>
          <w:color w:val="auto"/>
          <w:sz w:val="22"/>
          <w:szCs w:val="22"/>
          <w:u w:val="single"/>
          <w:lang w:val="fr-FR"/>
        </w:rPr>
        <w:t>le Monténégro</w:t>
      </w:r>
      <w:r w:rsidR="00947A9A" w:rsidRPr="00ED711A">
        <w:rPr>
          <w:color w:val="auto"/>
          <w:sz w:val="22"/>
          <w:szCs w:val="22"/>
          <w:lang w:val="fr-FR"/>
        </w:rPr>
        <w:t xml:space="preserve">, </w:t>
      </w:r>
      <w:r w:rsidR="00947A9A" w:rsidRPr="00ED711A">
        <w:rPr>
          <w:color w:val="auto"/>
          <w:sz w:val="22"/>
          <w:szCs w:val="22"/>
          <w:u w:val="single"/>
          <w:lang w:val="fr-FR"/>
        </w:rPr>
        <w:t>la Namibie</w:t>
      </w:r>
      <w:r w:rsidR="00947A9A" w:rsidRPr="00ED711A">
        <w:rPr>
          <w:color w:val="auto"/>
          <w:sz w:val="22"/>
          <w:szCs w:val="22"/>
          <w:lang w:val="fr-FR"/>
        </w:rPr>
        <w:t xml:space="preserve">, </w:t>
      </w:r>
      <w:r w:rsidR="00947A9A" w:rsidRPr="00ED711A">
        <w:rPr>
          <w:color w:val="auto"/>
          <w:sz w:val="22"/>
          <w:szCs w:val="22"/>
          <w:u w:val="single"/>
          <w:lang w:val="fr-FR"/>
        </w:rPr>
        <w:t>Saint-Vincent-et-les-Grenadines</w:t>
      </w:r>
      <w:r w:rsidR="00947A9A" w:rsidRPr="00ED711A">
        <w:rPr>
          <w:color w:val="auto"/>
          <w:sz w:val="22"/>
          <w:szCs w:val="22"/>
          <w:lang w:val="fr-FR"/>
        </w:rPr>
        <w:t xml:space="preserve">, </w:t>
      </w:r>
      <w:r w:rsidR="00947A9A" w:rsidRPr="00ED711A">
        <w:rPr>
          <w:color w:val="auto"/>
          <w:sz w:val="22"/>
          <w:szCs w:val="22"/>
          <w:u w:val="single"/>
          <w:lang w:val="fr-FR"/>
        </w:rPr>
        <w:t>la Somalie</w:t>
      </w:r>
      <w:r w:rsidR="00947A9A" w:rsidRPr="00ED711A">
        <w:rPr>
          <w:color w:val="auto"/>
          <w:sz w:val="22"/>
          <w:szCs w:val="22"/>
          <w:lang w:val="fr-FR"/>
        </w:rPr>
        <w:t xml:space="preserve"> et </w:t>
      </w:r>
      <w:r w:rsidR="00947A9A" w:rsidRPr="00ED711A">
        <w:rPr>
          <w:color w:val="auto"/>
          <w:sz w:val="22"/>
          <w:szCs w:val="22"/>
          <w:u w:val="single"/>
          <w:lang w:val="fr-FR"/>
        </w:rPr>
        <w:t>l</w:t>
      </w:r>
      <w:r w:rsidR="000D310E" w:rsidRPr="00ED711A">
        <w:rPr>
          <w:color w:val="auto"/>
          <w:sz w:val="22"/>
          <w:szCs w:val="22"/>
          <w:u w:val="single"/>
          <w:lang w:val="fr-FR"/>
        </w:rPr>
        <w:t>’</w:t>
      </w:r>
      <w:r w:rsidR="00947A9A" w:rsidRPr="00ED711A">
        <w:rPr>
          <w:color w:val="auto"/>
          <w:sz w:val="22"/>
          <w:szCs w:val="22"/>
          <w:u w:val="single"/>
          <w:lang w:val="fr-FR"/>
        </w:rPr>
        <w:t>Ukraine</w:t>
      </w:r>
      <w:r w:rsidR="00947A9A" w:rsidRPr="00ED711A">
        <w:rPr>
          <w:color w:val="auto"/>
          <w:sz w:val="22"/>
          <w:szCs w:val="22"/>
          <w:lang w:val="fr-FR"/>
        </w:rPr>
        <w:t xml:space="preserve">. </w:t>
      </w:r>
    </w:p>
    <w:p w:rsidR="00947A9A" w:rsidRPr="00ED711A" w:rsidRDefault="00947A9A" w:rsidP="007973B8">
      <w:pPr>
        <w:pStyle w:val="BodyTextIndent3"/>
        <w:ind w:right="0" w:firstLine="0"/>
        <w:rPr>
          <w:rFonts w:eastAsia="Arial"/>
          <w:szCs w:val="22"/>
          <w:lang w:val="fr-FR"/>
        </w:rPr>
      </w:pPr>
    </w:p>
    <w:p w:rsidR="00947A9A" w:rsidRPr="00ED711A" w:rsidRDefault="00947A9A" w:rsidP="007973B8">
      <w:pPr>
        <w:pStyle w:val="BodyTextIndent3"/>
        <w:ind w:right="0" w:firstLine="0"/>
        <w:rPr>
          <w:rFonts w:eastAsia="Arial"/>
          <w:szCs w:val="22"/>
          <w:lang w:val="fr-FR"/>
        </w:rPr>
      </w:pPr>
      <w:r w:rsidRPr="00ED711A">
        <w:rPr>
          <w:szCs w:val="22"/>
          <w:lang w:val="fr-FR"/>
        </w:rPr>
        <w:t>Quand la Convention entre en vigueur pour les nouvelles Parties, le Secrétariat envoie une lettre de bienvenue contenant toutes les informations pertinentes à la mise en œuvre de la Convention avec requête de soumission des réponses en suspens concernant l</w:t>
      </w:r>
      <w:r w:rsidR="000D310E" w:rsidRPr="00ED711A">
        <w:rPr>
          <w:szCs w:val="22"/>
          <w:lang w:val="fr-FR"/>
        </w:rPr>
        <w:t>’</w:t>
      </w:r>
      <w:r w:rsidRPr="00ED711A">
        <w:rPr>
          <w:szCs w:val="22"/>
          <w:lang w:val="fr-FR"/>
        </w:rPr>
        <w:t>importation.</w:t>
      </w:r>
    </w:p>
    <w:p w:rsidR="00947A9A" w:rsidRPr="00ED711A" w:rsidRDefault="00947A9A" w:rsidP="007973B8">
      <w:pPr>
        <w:pStyle w:val="BodyTextIndent3"/>
        <w:ind w:right="0" w:firstLine="0"/>
        <w:rPr>
          <w:rFonts w:eastAsia="Arial"/>
          <w:szCs w:val="22"/>
          <w:lang w:val="fr-FR"/>
        </w:rPr>
      </w:pPr>
    </w:p>
    <w:p w:rsidR="00947A9A" w:rsidRPr="00ED711A" w:rsidRDefault="00947A9A" w:rsidP="007973B8">
      <w:pPr>
        <w:pStyle w:val="BodyTextIndent3"/>
        <w:ind w:right="0" w:firstLine="0"/>
        <w:rPr>
          <w:rFonts w:eastAsia="Arial"/>
          <w:szCs w:val="22"/>
          <w:lang w:val="fr-FR"/>
        </w:rPr>
      </w:pPr>
      <w:r w:rsidRPr="00ED711A">
        <w:rPr>
          <w:szCs w:val="22"/>
          <w:lang w:val="fr-FR"/>
        </w:rPr>
        <w:t xml:space="preserve">La liste des </w:t>
      </w:r>
      <w:r w:rsidR="007F747C">
        <w:rPr>
          <w:szCs w:val="22"/>
          <w:lang w:val="fr-FR"/>
        </w:rPr>
        <w:t xml:space="preserve">« </w:t>
      </w:r>
      <w:r w:rsidRPr="00ED711A">
        <w:rPr>
          <w:szCs w:val="22"/>
          <w:lang w:val="fr-FR"/>
        </w:rPr>
        <w:t>cas où une réponse n</w:t>
      </w:r>
      <w:r w:rsidR="000D310E" w:rsidRPr="00ED711A">
        <w:rPr>
          <w:szCs w:val="22"/>
          <w:lang w:val="fr-FR"/>
        </w:rPr>
        <w:t>’</w:t>
      </w:r>
      <w:r w:rsidRPr="00ED711A">
        <w:rPr>
          <w:szCs w:val="22"/>
          <w:lang w:val="fr-FR"/>
        </w:rPr>
        <w:t>a pas été donnée</w:t>
      </w:r>
      <w:r w:rsidR="007F747C">
        <w:rPr>
          <w:szCs w:val="22"/>
          <w:u w:color="000000"/>
          <w:lang w:val="fr-FR" w:eastAsia="en-GB"/>
        </w:rPr>
        <w:t xml:space="preserve"> </w:t>
      </w:r>
      <w:r w:rsidR="007F747C" w:rsidRPr="00ED711A">
        <w:rPr>
          <w:szCs w:val="22"/>
          <w:lang w:val="fr-FR"/>
        </w:rPr>
        <w:t>»</w:t>
      </w:r>
      <w:r w:rsidRPr="00ED711A">
        <w:rPr>
          <w:szCs w:val="22"/>
          <w:lang w:val="fr-FR"/>
        </w:rPr>
        <w:t xml:space="preserve"> à l</w:t>
      </w:r>
      <w:r w:rsidR="000D310E" w:rsidRPr="00ED711A">
        <w:rPr>
          <w:szCs w:val="22"/>
          <w:lang w:val="fr-FR"/>
        </w:rPr>
        <w:t>’</w:t>
      </w:r>
      <w:r w:rsidR="00EA56F1" w:rsidRPr="002E21B7">
        <w:rPr>
          <w:b/>
          <w:szCs w:val="22"/>
          <w:lang w:val="fr-FR"/>
        </w:rPr>
        <w:t>a</w:t>
      </w:r>
      <w:r w:rsidRPr="002E21B7">
        <w:rPr>
          <w:b/>
          <w:szCs w:val="22"/>
          <w:lang w:val="fr-FR"/>
        </w:rPr>
        <w:t>ppendice IV</w:t>
      </w:r>
      <w:r w:rsidRPr="002E21B7">
        <w:rPr>
          <w:szCs w:val="22"/>
          <w:lang w:val="fr-FR"/>
        </w:rPr>
        <w:t xml:space="preserve"> </w:t>
      </w:r>
      <w:r w:rsidRPr="00ED711A">
        <w:rPr>
          <w:szCs w:val="22"/>
          <w:lang w:val="fr-FR"/>
        </w:rPr>
        <w:t>de la Circulaire PIC rappelle la nécessité de soumettre les réponses concernant l</w:t>
      </w:r>
      <w:r w:rsidR="000D310E" w:rsidRPr="00ED711A">
        <w:rPr>
          <w:szCs w:val="22"/>
          <w:lang w:val="fr-FR"/>
        </w:rPr>
        <w:t>’</w:t>
      </w:r>
      <w:r w:rsidRPr="00ED711A">
        <w:rPr>
          <w:szCs w:val="22"/>
          <w:lang w:val="fr-FR"/>
        </w:rPr>
        <w:t>importation pour tous les produits chimiques à l</w:t>
      </w:r>
      <w:r w:rsidR="000D310E" w:rsidRPr="00ED711A">
        <w:rPr>
          <w:szCs w:val="22"/>
          <w:lang w:val="fr-FR"/>
        </w:rPr>
        <w:t>’</w:t>
      </w:r>
      <w:r w:rsidR="00DE65F4" w:rsidRPr="00ED711A">
        <w:rPr>
          <w:szCs w:val="22"/>
          <w:lang w:val="fr-FR"/>
        </w:rPr>
        <w:t>annexe III</w:t>
      </w:r>
      <w:r w:rsidRPr="00ED711A">
        <w:rPr>
          <w:szCs w:val="22"/>
          <w:lang w:val="fr-FR"/>
        </w:rPr>
        <w:t xml:space="preserve">. </w:t>
      </w:r>
    </w:p>
    <w:p w:rsidR="00947A9A" w:rsidRPr="00ED711A" w:rsidRDefault="00947A9A" w:rsidP="007973B8">
      <w:pPr>
        <w:pStyle w:val="BodyTextIndent3"/>
        <w:ind w:right="0" w:firstLine="0"/>
        <w:rPr>
          <w:rFonts w:eastAsia="Arial"/>
          <w:szCs w:val="22"/>
          <w:lang w:val="fr-FR"/>
        </w:rPr>
      </w:pPr>
    </w:p>
    <w:p w:rsidR="00947A9A" w:rsidRPr="00ED711A" w:rsidRDefault="00947A9A" w:rsidP="007973B8">
      <w:pPr>
        <w:pStyle w:val="CorpoA"/>
        <w:jc w:val="both"/>
        <w:rPr>
          <w:rFonts w:eastAsia="Arial"/>
          <w:color w:val="auto"/>
          <w:sz w:val="22"/>
          <w:szCs w:val="22"/>
          <w:lang w:val="fr-FR"/>
        </w:rPr>
      </w:pPr>
      <w:r w:rsidRPr="00ED711A">
        <w:rPr>
          <w:color w:val="auto"/>
          <w:sz w:val="22"/>
          <w:szCs w:val="22"/>
          <w:lang w:val="fr-FR"/>
        </w:rPr>
        <w:t>Afin de faciliter la présentation des réponses concernant l</w:t>
      </w:r>
      <w:r w:rsidR="000D310E" w:rsidRPr="00ED711A">
        <w:rPr>
          <w:color w:val="auto"/>
          <w:sz w:val="22"/>
          <w:szCs w:val="22"/>
          <w:lang w:val="fr-FR"/>
        </w:rPr>
        <w:t>’</w:t>
      </w:r>
      <w:r w:rsidRPr="00ED711A">
        <w:rPr>
          <w:color w:val="auto"/>
          <w:sz w:val="22"/>
          <w:szCs w:val="22"/>
          <w:lang w:val="fr-FR"/>
        </w:rPr>
        <w:t xml:space="preserve">importation, un </w:t>
      </w:r>
      <w:r w:rsidRPr="00ED711A">
        <w:rPr>
          <w:i/>
          <w:iCs/>
          <w:color w:val="auto"/>
          <w:sz w:val="22"/>
          <w:szCs w:val="22"/>
          <w:lang w:val="fr-FR"/>
        </w:rPr>
        <w:t>Formulaire de réponse concernant l</w:t>
      </w:r>
      <w:r w:rsidR="000D310E" w:rsidRPr="00ED711A">
        <w:rPr>
          <w:i/>
          <w:iCs/>
          <w:color w:val="auto"/>
          <w:sz w:val="22"/>
          <w:szCs w:val="22"/>
          <w:lang w:val="fr-FR"/>
        </w:rPr>
        <w:t>’</w:t>
      </w:r>
      <w:r w:rsidRPr="00ED711A">
        <w:rPr>
          <w:i/>
          <w:iCs/>
          <w:color w:val="auto"/>
          <w:sz w:val="22"/>
          <w:szCs w:val="22"/>
          <w:lang w:val="fr-FR"/>
        </w:rPr>
        <w:t>importation</w:t>
      </w:r>
      <w:r w:rsidRPr="00ED711A">
        <w:rPr>
          <w:color w:val="auto"/>
          <w:sz w:val="22"/>
          <w:szCs w:val="22"/>
          <w:lang w:val="fr-FR"/>
        </w:rPr>
        <w:t xml:space="preserve"> </w:t>
      </w:r>
      <w:r w:rsidR="001F3C16">
        <w:rPr>
          <w:color w:val="auto"/>
          <w:sz w:val="22"/>
          <w:szCs w:val="22"/>
          <w:lang w:val="fr-FR"/>
        </w:rPr>
        <w:t>et des instructions à suivre pour le complèter</w:t>
      </w:r>
      <w:r w:rsidR="001F3C16" w:rsidRPr="00ED711A">
        <w:rPr>
          <w:color w:val="auto"/>
          <w:sz w:val="22"/>
          <w:szCs w:val="22"/>
          <w:lang w:val="fr-FR"/>
        </w:rPr>
        <w:t xml:space="preserve"> </w:t>
      </w:r>
      <w:r w:rsidR="001F3C16">
        <w:rPr>
          <w:color w:val="auto"/>
          <w:sz w:val="22"/>
          <w:szCs w:val="22"/>
          <w:lang w:val="fr-FR"/>
        </w:rPr>
        <w:t>ont</w:t>
      </w:r>
      <w:r w:rsidRPr="00ED711A">
        <w:rPr>
          <w:color w:val="auto"/>
          <w:sz w:val="22"/>
          <w:szCs w:val="22"/>
          <w:lang w:val="fr-FR"/>
        </w:rPr>
        <w:t xml:space="preserve"> été préparé</w:t>
      </w:r>
      <w:r w:rsidR="001F3C16">
        <w:rPr>
          <w:color w:val="auto"/>
          <w:sz w:val="22"/>
          <w:szCs w:val="22"/>
          <w:lang w:val="fr-FR"/>
        </w:rPr>
        <w:t>s</w:t>
      </w:r>
      <w:r w:rsidRPr="00ED711A">
        <w:rPr>
          <w:color w:val="auto"/>
          <w:sz w:val="22"/>
          <w:szCs w:val="22"/>
          <w:lang w:val="fr-FR"/>
        </w:rPr>
        <w:t>. Il est possible d</w:t>
      </w:r>
      <w:r w:rsidR="000D310E" w:rsidRPr="00ED711A">
        <w:rPr>
          <w:color w:val="auto"/>
          <w:sz w:val="22"/>
          <w:szCs w:val="22"/>
          <w:lang w:val="fr-FR"/>
        </w:rPr>
        <w:t>’</w:t>
      </w:r>
      <w:r w:rsidRPr="00ED711A">
        <w:rPr>
          <w:color w:val="auto"/>
          <w:sz w:val="22"/>
          <w:szCs w:val="22"/>
          <w:lang w:val="fr-FR"/>
        </w:rPr>
        <w:t xml:space="preserve">obtenir des copies du formulaire et les instructions sur le site web de la Convention de Rotterdam </w:t>
      </w:r>
      <w:r w:rsidR="00BD3BEA" w:rsidRPr="00ED711A">
        <w:rPr>
          <w:sz w:val="22"/>
          <w:szCs w:val="22"/>
          <w:lang w:val="fr-FR"/>
        </w:rPr>
        <w:t>(</w:t>
      </w:r>
      <w:hyperlink r:id="rId27" w:history="1">
        <w:r w:rsidR="00BD3BEA" w:rsidRPr="00676EE7">
          <w:rPr>
            <w:rStyle w:val="Hyperlink"/>
            <w:sz w:val="22"/>
            <w:szCs w:val="22"/>
            <w:lang w:val="fr-FR"/>
          </w:rPr>
          <w:t>www.pic.int</w:t>
        </w:r>
      </w:hyperlink>
      <w:r w:rsidR="00BD3BEA" w:rsidRPr="00ED711A">
        <w:rPr>
          <w:sz w:val="22"/>
          <w:szCs w:val="22"/>
          <w:lang w:val="fr-FR"/>
        </w:rPr>
        <w:t>)</w:t>
      </w:r>
      <w:r w:rsidRPr="00ED711A">
        <w:rPr>
          <w:color w:val="auto"/>
          <w:sz w:val="22"/>
          <w:szCs w:val="22"/>
          <w:lang w:val="fr-FR"/>
        </w:rPr>
        <w:t xml:space="preserve"> ou, sur demande, au Secrétariat </w:t>
      </w:r>
      <w:r w:rsidR="00BD3BEA" w:rsidRPr="00ED711A">
        <w:rPr>
          <w:sz w:val="22"/>
          <w:szCs w:val="22"/>
          <w:lang w:val="fr-FR"/>
        </w:rPr>
        <w:t>(</w:t>
      </w:r>
      <w:hyperlink r:id="rId28" w:history="1">
        <w:r w:rsidR="00BD3BEA" w:rsidRPr="00BD3BEA">
          <w:rPr>
            <w:snapToGrid w:val="0"/>
            <w:color w:val="0000FF"/>
            <w:sz w:val="22"/>
            <w:szCs w:val="22"/>
            <w:u w:val="single"/>
            <w:lang w:val="fr-CH"/>
          </w:rPr>
          <w:t>pic@fao.org</w:t>
        </w:r>
      </w:hyperlink>
      <w:r w:rsidR="00BD3BEA" w:rsidRPr="00ED711A">
        <w:rPr>
          <w:sz w:val="22"/>
          <w:szCs w:val="22"/>
          <w:lang w:val="fr-FR"/>
        </w:rPr>
        <w:t xml:space="preserve"> ou </w:t>
      </w:r>
      <w:hyperlink r:id="rId29" w:history="1">
        <w:r w:rsidR="00BD3BEA" w:rsidRPr="00BD3BEA">
          <w:rPr>
            <w:snapToGrid w:val="0"/>
            <w:color w:val="0000FF"/>
            <w:sz w:val="22"/>
            <w:szCs w:val="22"/>
            <w:u w:val="single"/>
            <w:lang w:val="fr-CH"/>
          </w:rPr>
          <w:t>pic@pic.int</w:t>
        </w:r>
      </w:hyperlink>
      <w:r w:rsidR="00BD3BEA" w:rsidRPr="00ED711A">
        <w:rPr>
          <w:lang w:val="fr-CH"/>
        </w:rPr>
        <w:t xml:space="preserve"> et </w:t>
      </w:r>
      <w:hyperlink r:id="rId30" w:history="1">
        <w:r w:rsidR="00BD3BEA" w:rsidRPr="00BD3BEA">
          <w:rPr>
            <w:rStyle w:val="Hyperlink"/>
            <w:sz w:val="22"/>
            <w:szCs w:val="22"/>
            <w:lang w:val="fr-CH"/>
          </w:rPr>
          <w:t>pic@brsmeas.org</w:t>
        </w:r>
      </w:hyperlink>
      <w:r w:rsidR="00BD3BEA" w:rsidRPr="00ED711A">
        <w:rPr>
          <w:sz w:val="22"/>
          <w:szCs w:val="22"/>
          <w:lang w:val="fr-FR"/>
        </w:rPr>
        <w:t>)</w:t>
      </w:r>
      <w:r w:rsidRPr="00ED711A">
        <w:rPr>
          <w:color w:val="auto"/>
          <w:sz w:val="22"/>
          <w:szCs w:val="22"/>
          <w:lang w:val="fr-FR"/>
        </w:rPr>
        <w:t>.</w:t>
      </w:r>
    </w:p>
    <w:p w:rsidR="00947A9A" w:rsidRPr="00ED711A" w:rsidRDefault="00947A9A" w:rsidP="007973B8">
      <w:pPr>
        <w:pStyle w:val="CorpoA"/>
        <w:jc w:val="both"/>
        <w:rPr>
          <w:rFonts w:eastAsia="Arial"/>
          <w:color w:val="auto"/>
          <w:sz w:val="22"/>
          <w:szCs w:val="22"/>
          <w:lang w:val="fr-FR"/>
        </w:rPr>
      </w:pPr>
    </w:p>
    <w:p w:rsidR="001F3F1A" w:rsidRPr="00ED711A" w:rsidRDefault="00947A9A" w:rsidP="007973B8">
      <w:pPr>
        <w:rPr>
          <w:sz w:val="22"/>
          <w:szCs w:val="22"/>
          <w:lang w:val="fr-CH"/>
        </w:rPr>
      </w:pPr>
      <w:r w:rsidRPr="00ED711A">
        <w:rPr>
          <w:sz w:val="22"/>
          <w:szCs w:val="22"/>
          <w:lang w:val="fr-FR"/>
        </w:rPr>
        <w:t>Les réponses concernant l</w:t>
      </w:r>
      <w:r w:rsidR="000D310E" w:rsidRPr="00ED711A">
        <w:rPr>
          <w:sz w:val="22"/>
          <w:szCs w:val="22"/>
          <w:lang w:val="fr-FR"/>
        </w:rPr>
        <w:t>’</w:t>
      </w:r>
      <w:r w:rsidRPr="00ED711A">
        <w:rPr>
          <w:sz w:val="22"/>
          <w:szCs w:val="22"/>
          <w:lang w:val="fr-FR"/>
        </w:rPr>
        <w:t>importation doivent être présentées par le canal officiel de communication de la Partie</w:t>
      </w:r>
      <w:r w:rsidR="001F3F1A" w:rsidRPr="00ED711A">
        <w:rPr>
          <w:sz w:val="22"/>
          <w:szCs w:val="22"/>
          <w:lang w:val="fr-CH"/>
        </w:rPr>
        <w:t>.</w:t>
      </w:r>
    </w:p>
    <w:p w:rsidR="001F3F1A" w:rsidRPr="00ED711A" w:rsidRDefault="001F3F1A" w:rsidP="007973B8">
      <w:pPr>
        <w:jc w:val="both"/>
        <w:rPr>
          <w:snapToGrid w:val="0"/>
          <w:sz w:val="22"/>
          <w:szCs w:val="22"/>
          <w:lang w:val="fr-CH"/>
        </w:rPr>
      </w:pPr>
    </w:p>
    <w:p w:rsidR="001F3F1A" w:rsidRPr="00ED711A" w:rsidRDefault="001F3F1A" w:rsidP="00E17728">
      <w:pPr>
        <w:ind w:left="720" w:hanging="720"/>
        <w:jc w:val="both"/>
        <w:outlineLvl w:val="1"/>
        <w:rPr>
          <w:b/>
          <w:snapToGrid w:val="0"/>
          <w:sz w:val="22"/>
          <w:szCs w:val="22"/>
          <w:lang w:val="fr-CH"/>
        </w:rPr>
      </w:pPr>
      <w:bookmarkStart w:id="58" w:name="_Toc264393111"/>
      <w:bookmarkStart w:id="59" w:name="_Toc264391964"/>
      <w:bookmarkStart w:id="60" w:name="_Toc248307666"/>
      <w:bookmarkStart w:id="61" w:name="_Toc248296429"/>
      <w:bookmarkStart w:id="62" w:name="_Toc232307871"/>
      <w:bookmarkStart w:id="63" w:name="_Toc201033296"/>
      <w:bookmarkStart w:id="64" w:name="_Toc199906463"/>
      <w:bookmarkStart w:id="65" w:name="_Toc168731341"/>
      <w:bookmarkStart w:id="66" w:name="_Toc469005591"/>
      <w:r w:rsidRPr="00ED711A">
        <w:rPr>
          <w:b/>
          <w:snapToGrid w:val="0"/>
          <w:sz w:val="22"/>
          <w:szCs w:val="22"/>
          <w:lang w:val="fr-CH"/>
        </w:rPr>
        <w:t>2.8</w:t>
      </w:r>
      <w:r w:rsidRPr="00ED711A">
        <w:rPr>
          <w:b/>
          <w:snapToGrid w:val="0"/>
          <w:sz w:val="22"/>
          <w:szCs w:val="22"/>
          <w:lang w:val="fr-CH"/>
        </w:rPr>
        <w:tab/>
      </w:r>
      <w:bookmarkEnd w:id="58"/>
      <w:bookmarkEnd w:id="59"/>
      <w:bookmarkEnd w:id="60"/>
      <w:bookmarkEnd w:id="61"/>
      <w:bookmarkEnd w:id="62"/>
      <w:bookmarkEnd w:id="63"/>
      <w:bookmarkEnd w:id="64"/>
      <w:bookmarkEnd w:id="65"/>
      <w:r w:rsidR="001E1EB1" w:rsidRPr="00ED711A">
        <w:rPr>
          <w:b/>
          <w:snapToGrid w:val="0"/>
          <w:sz w:val="22"/>
          <w:szCs w:val="22"/>
          <w:lang w:val="fr-CH"/>
        </w:rPr>
        <w:t>Renseignements sur les réponses reçues concernant l</w:t>
      </w:r>
      <w:r w:rsidR="000D310E" w:rsidRPr="00ED711A">
        <w:rPr>
          <w:b/>
          <w:snapToGrid w:val="0"/>
          <w:sz w:val="22"/>
          <w:szCs w:val="22"/>
          <w:lang w:val="fr-CH"/>
        </w:rPr>
        <w:t>’</w:t>
      </w:r>
      <w:r w:rsidR="001E1EB1" w:rsidRPr="00ED711A">
        <w:rPr>
          <w:b/>
          <w:snapToGrid w:val="0"/>
          <w:sz w:val="22"/>
          <w:szCs w:val="22"/>
          <w:lang w:val="fr-CH"/>
        </w:rPr>
        <w:t>importation future d</w:t>
      </w:r>
      <w:r w:rsidR="000D310E" w:rsidRPr="00ED711A">
        <w:rPr>
          <w:b/>
          <w:snapToGrid w:val="0"/>
          <w:sz w:val="22"/>
          <w:szCs w:val="22"/>
          <w:lang w:val="fr-CH"/>
        </w:rPr>
        <w:t>’</w:t>
      </w:r>
      <w:r w:rsidR="001E1EB1" w:rsidRPr="00ED711A">
        <w:rPr>
          <w:b/>
          <w:snapToGrid w:val="0"/>
          <w:sz w:val="22"/>
          <w:szCs w:val="22"/>
          <w:lang w:val="fr-CH"/>
        </w:rPr>
        <w:t>un produit chimique</w:t>
      </w:r>
      <w:r w:rsidR="001E1EB1" w:rsidRPr="00ED711A">
        <w:rPr>
          <w:snapToGrid w:val="0"/>
          <w:sz w:val="22"/>
          <w:szCs w:val="22"/>
          <w:lang w:val="fr-CH"/>
        </w:rPr>
        <w:t xml:space="preserve"> (</w:t>
      </w:r>
      <w:r w:rsidR="000D310E" w:rsidRPr="00ED711A">
        <w:rPr>
          <w:snapToGrid w:val="0"/>
          <w:sz w:val="22"/>
          <w:szCs w:val="22"/>
          <w:lang w:val="fr-CH"/>
        </w:rPr>
        <w:t>article</w:t>
      </w:r>
      <w:r w:rsidR="001E1EB1" w:rsidRPr="00ED711A">
        <w:rPr>
          <w:snapToGrid w:val="0"/>
          <w:sz w:val="22"/>
          <w:szCs w:val="22"/>
          <w:lang w:val="fr-CH"/>
        </w:rPr>
        <w:t xml:space="preserve"> 10, paragraphe 10, et </w:t>
      </w:r>
      <w:r w:rsidR="000D310E" w:rsidRPr="00ED711A">
        <w:rPr>
          <w:snapToGrid w:val="0"/>
          <w:sz w:val="22"/>
          <w:szCs w:val="22"/>
          <w:lang w:val="fr-CH"/>
        </w:rPr>
        <w:t>article</w:t>
      </w:r>
      <w:r w:rsidR="001F3C16">
        <w:rPr>
          <w:snapToGrid w:val="0"/>
          <w:sz w:val="22"/>
          <w:szCs w:val="22"/>
          <w:lang w:val="fr-CH"/>
        </w:rPr>
        <w:t xml:space="preserve"> 11, paragraphe 2</w:t>
      </w:r>
      <w:r w:rsidR="001E1EB1" w:rsidRPr="00ED711A">
        <w:rPr>
          <w:snapToGrid w:val="0"/>
          <w:sz w:val="22"/>
          <w:szCs w:val="22"/>
          <w:lang w:val="fr-CH"/>
        </w:rPr>
        <w:t xml:space="preserve"> de la Convention)</w:t>
      </w:r>
      <w:bookmarkEnd w:id="66"/>
    </w:p>
    <w:p w:rsidR="001F3F1A" w:rsidRPr="00ED711A" w:rsidRDefault="001F3F1A" w:rsidP="00E17728">
      <w:pPr>
        <w:jc w:val="both"/>
        <w:rPr>
          <w:snapToGrid w:val="0"/>
          <w:sz w:val="22"/>
          <w:szCs w:val="22"/>
          <w:lang w:val="fr-CH"/>
        </w:rPr>
      </w:pPr>
    </w:p>
    <w:p w:rsidR="00262058" w:rsidRPr="00ED711A" w:rsidRDefault="001E1EB1" w:rsidP="00E17728">
      <w:pPr>
        <w:jc w:val="both"/>
        <w:rPr>
          <w:snapToGrid w:val="0"/>
          <w:sz w:val="22"/>
          <w:szCs w:val="22"/>
          <w:lang w:val="fr-CH"/>
        </w:rPr>
      </w:pPr>
      <w:r w:rsidRPr="00ED711A">
        <w:rPr>
          <w:sz w:val="22"/>
          <w:szCs w:val="22"/>
          <w:lang w:val="fr-FR"/>
        </w:rPr>
        <w:t>Conformément au paragraphe 10 de l</w:t>
      </w:r>
      <w:r w:rsidR="000D310E" w:rsidRPr="00ED711A">
        <w:rPr>
          <w:sz w:val="22"/>
          <w:szCs w:val="22"/>
          <w:lang w:val="fr-FR"/>
        </w:rPr>
        <w:t>’article</w:t>
      </w:r>
      <w:r w:rsidRPr="00ED711A">
        <w:rPr>
          <w:sz w:val="22"/>
          <w:szCs w:val="22"/>
          <w:lang w:val="fr-FR"/>
        </w:rPr>
        <w:t xml:space="preserve"> 10, le Secrétariat doit informer, tous les six mois, toutes les Parties des réponses qu</w:t>
      </w:r>
      <w:r w:rsidR="000D310E" w:rsidRPr="00ED711A">
        <w:rPr>
          <w:sz w:val="22"/>
          <w:szCs w:val="22"/>
          <w:lang w:val="fr-FR"/>
        </w:rPr>
        <w:t>’</w:t>
      </w:r>
      <w:r w:rsidRPr="00ED711A">
        <w:rPr>
          <w:sz w:val="22"/>
          <w:szCs w:val="22"/>
          <w:lang w:val="fr-FR"/>
        </w:rPr>
        <w:t xml:space="preserve">il a reçues, en joignant des renseignements concernant les mesures législatives ou administratives sur lesquelles sont fondées les décisions, lorsque ces renseignements </w:t>
      </w:r>
      <w:r w:rsidRPr="00ED711A">
        <w:rPr>
          <w:sz w:val="22"/>
          <w:szCs w:val="22"/>
          <w:lang w:val="fr-FR"/>
        </w:rPr>
        <w:lastRenderedPageBreak/>
        <w:t>sont disponibles. Le Secrétariat doit également informer les Parties des cas où une réponse n</w:t>
      </w:r>
      <w:r w:rsidR="000D310E" w:rsidRPr="00ED711A">
        <w:rPr>
          <w:sz w:val="22"/>
          <w:szCs w:val="22"/>
          <w:lang w:val="fr-FR"/>
        </w:rPr>
        <w:t>’</w:t>
      </w:r>
      <w:r w:rsidRPr="00ED711A">
        <w:rPr>
          <w:sz w:val="22"/>
          <w:szCs w:val="22"/>
          <w:lang w:val="fr-FR"/>
        </w:rPr>
        <w:t>a pas été donnée</w:t>
      </w:r>
      <w:r w:rsidR="00262058" w:rsidRPr="00ED711A">
        <w:rPr>
          <w:snapToGrid w:val="0"/>
          <w:sz w:val="22"/>
          <w:szCs w:val="22"/>
          <w:lang w:val="fr-CH"/>
        </w:rPr>
        <w:t>.</w:t>
      </w:r>
    </w:p>
    <w:p w:rsidR="00262058" w:rsidRPr="00ED711A" w:rsidRDefault="00262058" w:rsidP="00E17728">
      <w:pPr>
        <w:jc w:val="both"/>
        <w:rPr>
          <w:snapToGrid w:val="0"/>
          <w:sz w:val="22"/>
          <w:szCs w:val="22"/>
          <w:lang w:val="fr-CH"/>
        </w:rPr>
      </w:pPr>
    </w:p>
    <w:p w:rsidR="006E626D" w:rsidRPr="006E626D" w:rsidRDefault="006E626D" w:rsidP="00E17728">
      <w:pPr>
        <w:pStyle w:val="CorpoA"/>
        <w:jc w:val="both"/>
        <w:rPr>
          <w:sz w:val="22"/>
          <w:szCs w:val="22"/>
          <w:lang w:val="fr-CH"/>
        </w:rPr>
      </w:pPr>
      <w:r w:rsidRPr="006E626D">
        <w:rPr>
          <w:sz w:val="22"/>
          <w:szCs w:val="22"/>
          <w:lang w:val="fr-FR"/>
        </w:rPr>
        <w:t xml:space="preserve">A partir de ce volume (XLIV </w:t>
      </w:r>
      <w:r w:rsidRPr="006E626D">
        <w:rPr>
          <w:sz w:val="22"/>
          <w:szCs w:val="22"/>
          <w:lang w:val="fr-CH"/>
        </w:rPr>
        <w:t>–</w:t>
      </w:r>
      <w:r w:rsidRPr="006E626D">
        <w:rPr>
          <w:sz w:val="22"/>
          <w:szCs w:val="22"/>
          <w:lang w:val="fr-FR"/>
        </w:rPr>
        <w:t xml:space="preserve"> décembre 2016), la Circulaire PIC a été rationalisée. L’</w:t>
      </w:r>
      <w:r w:rsidRPr="005357D0">
        <w:rPr>
          <w:b/>
          <w:sz w:val="22"/>
          <w:szCs w:val="22"/>
          <w:lang w:val="fr-FR"/>
        </w:rPr>
        <w:t>appendice IV</w:t>
      </w:r>
      <w:r w:rsidRPr="005357D0">
        <w:rPr>
          <w:sz w:val="22"/>
          <w:szCs w:val="22"/>
          <w:lang w:val="fr-FR"/>
        </w:rPr>
        <w:t xml:space="preserve"> </w:t>
      </w:r>
      <w:r w:rsidRPr="006E626D">
        <w:rPr>
          <w:sz w:val="22"/>
          <w:szCs w:val="22"/>
          <w:lang w:val="fr-FR"/>
        </w:rPr>
        <w:t>contient une vue d’ensemble des nouvelles réponses concernant l’importation reçues dans les six derniers mois. Les autres parties de l’</w:t>
      </w:r>
      <w:r w:rsidRPr="005357D0">
        <w:rPr>
          <w:b/>
          <w:sz w:val="22"/>
          <w:szCs w:val="22"/>
          <w:lang w:val="fr-FR"/>
        </w:rPr>
        <w:t>appendice IV</w:t>
      </w:r>
      <w:r w:rsidRPr="005357D0">
        <w:rPr>
          <w:sz w:val="22"/>
          <w:szCs w:val="22"/>
          <w:lang w:val="fr-FR"/>
        </w:rPr>
        <w:t xml:space="preserve"> </w:t>
      </w:r>
      <w:r w:rsidRPr="006E626D">
        <w:rPr>
          <w:sz w:val="22"/>
          <w:szCs w:val="22"/>
          <w:lang w:val="fr-FR"/>
        </w:rPr>
        <w:t>qui comprennent toutes les réponses concernant l’importation et une liste des Parties qui n’ont pas transmis de réponse concernant l’importation sont disponibles via un lien hypertext vers la base de données en ligne sur le site web de la Convention.</w:t>
      </w:r>
      <w:r w:rsidRPr="006E626D">
        <w:rPr>
          <w:rStyle w:val="FootnoteReference"/>
          <w:sz w:val="22"/>
          <w:szCs w:val="22"/>
          <w:lang w:val="fr-FR"/>
        </w:rPr>
        <w:footnoteReference w:id="1"/>
      </w:r>
      <w:r w:rsidRPr="006E626D">
        <w:rPr>
          <w:sz w:val="22"/>
          <w:szCs w:val="22"/>
          <w:lang w:val="fr-FR"/>
        </w:rPr>
        <w:t xml:space="preserve"> L’objectif est de mieux utiliser la base de données en ligne </w:t>
      </w:r>
      <w:r w:rsidR="005A7C67">
        <w:rPr>
          <w:sz w:val="22"/>
          <w:szCs w:val="22"/>
          <w:lang w:val="fr-FR"/>
        </w:rPr>
        <w:t>laquelle</w:t>
      </w:r>
      <w:r w:rsidRPr="006E626D">
        <w:rPr>
          <w:sz w:val="22"/>
          <w:szCs w:val="22"/>
          <w:lang w:val="fr-FR"/>
        </w:rPr>
        <w:t xml:space="preserve"> est mise à jour en permanence. </w:t>
      </w:r>
    </w:p>
    <w:p w:rsidR="006E626D" w:rsidRPr="006E626D" w:rsidRDefault="006E626D" w:rsidP="006E626D">
      <w:pPr>
        <w:pStyle w:val="CorpoA"/>
        <w:jc w:val="both"/>
        <w:rPr>
          <w:sz w:val="22"/>
          <w:szCs w:val="22"/>
          <w:lang w:val="fr-CH"/>
        </w:rPr>
      </w:pPr>
      <w:r w:rsidRPr="006E626D">
        <w:rPr>
          <w:sz w:val="22"/>
          <w:szCs w:val="22"/>
          <w:lang w:val="fr-FR"/>
        </w:rPr>
        <w:t> </w:t>
      </w:r>
    </w:p>
    <w:p w:rsidR="006E626D" w:rsidRPr="006E626D" w:rsidRDefault="006E626D" w:rsidP="006E626D">
      <w:pPr>
        <w:pStyle w:val="CorpoA"/>
        <w:jc w:val="both"/>
        <w:rPr>
          <w:sz w:val="22"/>
          <w:szCs w:val="22"/>
          <w:lang w:val="fr-CH"/>
        </w:rPr>
      </w:pPr>
      <w:r w:rsidRPr="006E626D">
        <w:rPr>
          <w:sz w:val="22"/>
          <w:szCs w:val="22"/>
          <w:lang w:val="fr-FR"/>
        </w:rPr>
        <w:t xml:space="preserve">Le CD-ROM contient l’édition précédente de la Circulaire PIC (XLIII </w:t>
      </w:r>
      <w:r w:rsidRPr="006E626D">
        <w:rPr>
          <w:sz w:val="22"/>
          <w:szCs w:val="22"/>
          <w:lang w:val="fr-CH"/>
        </w:rPr>
        <w:t>–</w:t>
      </w:r>
      <w:r w:rsidRPr="006E626D">
        <w:rPr>
          <w:sz w:val="22"/>
          <w:szCs w:val="22"/>
          <w:lang w:val="fr-FR"/>
        </w:rPr>
        <w:t xml:space="preserve"> 12 juin 2016) qui inclut un registre complet de toutes les réponses concernant l’importation soumises jusqu’au 30 avril 2016. </w:t>
      </w:r>
    </w:p>
    <w:p w:rsidR="006E626D" w:rsidRPr="006E626D" w:rsidRDefault="006E626D" w:rsidP="00467195">
      <w:pPr>
        <w:snapToGrid w:val="0"/>
        <w:jc w:val="both"/>
        <w:rPr>
          <w:sz w:val="22"/>
          <w:szCs w:val="22"/>
          <w:highlight w:val="yellow"/>
          <w:lang w:val="fr-CH"/>
        </w:rPr>
      </w:pPr>
    </w:p>
    <w:p w:rsidR="001F3F1A" w:rsidRPr="00ED711A" w:rsidRDefault="001E1EB1" w:rsidP="00262058">
      <w:pPr>
        <w:jc w:val="both"/>
        <w:rPr>
          <w:sz w:val="22"/>
          <w:szCs w:val="22"/>
          <w:lang w:val="fr-CH"/>
        </w:rPr>
      </w:pPr>
      <w:r w:rsidRPr="00ED711A">
        <w:rPr>
          <w:sz w:val="22"/>
          <w:szCs w:val="22"/>
          <w:lang w:val="fr-FR"/>
        </w:rPr>
        <w:t>Le Secrétariat encourage les Parties à soumettre les réponses en suspens concernant l</w:t>
      </w:r>
      <w:r w:rsidR="000D310E" w:rsidRPr="00ED711A">
        <w:rPr>
          <w:sz w:val="22"/>
          <w:szCs w:val="22"/>
          <w:lang w:val="fr-FR"/>
        </w:rPr>
        <w:t>’</w:t>
      </w:r>
      <w:r w:rsidRPr="00ED711A">
        <w:rPr>
          <w:sz w:val="22"/>
          <w:szCs w:val="22"/>
          <w:lang w:val="fr-FR"/>
        </w:rPr>
        <w:t>importation de chacun des 47 produits chimiques inscrits à l</w:t>
      </w:r>
      <w:r w:rsidR="000D310E" w:rsidRPr="00ED711A">
        <w:rPr>
          <w:sz w:val="22"/>
          <w:szCs w:val="22"/>
          <w:lang w:val="fr-FR"/>
        </w:rPr>
        <w:t>’</w:t>
      </w:r>
      <w:r w:rsidR="00DE65F4" w:rsidRPr="00ED711A">
        <w:rPr>
          <w:sz w:val="22"/>
          <w:szCs w:val="22"/>
          <w:lang w:val="fr-FR"/>
        </w:rPr>
        <w:t>annexe III</w:t>
      </w:r>
      <w:r w:rsidRPr="00ED711A">
        <w:rPr>
          <w:sz w:val="22"/>
          <w:szCs w:val="22"/>
          <w:lang w:val="fr-FR"/>
        </w:rPr>
        <w:t xml:space="preserve"> de la Convention et veut attirer l</w:t>
      </w:r>
      <w:r w:rsidR="000D310E" w:rsidRPr="00ED711A">
        <w:rPr>
          <w:sz w:val="22"/>
          <w:szCs w:val="22"/>
          <w:lang w:val="fr-FR"/>
        </w:rPr>
        <w:t>’</w:t>
      </w:r>
      <w:r w:rsidRPr="00ED711A">
        <w:rPr>
          <w:sz w:val="22"/>
          <w:szCs w:val="22"/>
          <w:lang w:val="fr-FR"/>
        </w:rPr>
        <w:t>attention des Autorités Nationales Désignées sur le paragraphe 2 de l</w:t>
      </w:r>
      <w:r w:rsidR="000D310E" w:rsidRPr="00ED711A">
        <w:rPr>
          <w:sz w:val="22"/>
          <w:szCs w:val="22"/>
          <w:lang w:val="fr-FR"/>
        </w:rPr>
        <w:t>’article</w:t>
      </w:r>
      <w:r w:rsidRPr="00ED711A">
        <w:rPr>
          <w:sz w:val="22"/>
          <w:szCs w:val="22"/>
          <w:lang w:val="fr-FR"/>
        </w:rPr>
        <w:t xml:space="preserve"> 11 de la Convention, en relation avec les cas dans lesquels aucune réponse ou bien aucune réponse provisoire ne contenant pas de décision provisoire n</w:t>
      </w:r>
      <w:r w:rsidR="000D310E" w:rsidRPr="00ED711A">
        <w:rPr>
          <w:sz w:val="22"/>
          <w:szCs w:val="22"/>
          <w:lang w:val="fr-FR"/>
        </w:rPr>
        <w:t>’</w:t>
      </w:r>
      <w:r w:rsidRPr="00ED711A">
        <w:rPr>
          <w:sz w:val="22"/>
          <w:szCs w:val="22"/>
          <w:lang w:val="fr-FR"/>
        </w:rPr>
        <w:t>aurait été transmise</w:t>
      </w:r>
      <w:r w:rsidR="001F3F1A" w:rsidRPr="00ED711A">
        <w:rPr>
          <w:sz w:val="22"/>
          <w:szCs w:val="22"/>
          <w:lang w:val="fr-CH"/>
        </w:rPr>
        <w:t>.</w:t>
      </w:r>
    </w:p>
    <w:p w:rsidR="001F3F1A" w:rsidRPr="00ED711A" w:rsidRDefault="001F3F1A" w:rsidP="001F3F1A">
      <w:pPr>
        <w:rPr>
          <w:sz w:val="22"/>
          <w:szCs w:val="22"/>
          <w:lang w:val="fr-CH"/>
        </w:rPr>
      </w:pPr>
    </w:p>
    <w:p w:rsidR="001F3F1A" w:rsidRPr="00ED711A" w:rsidRDefault="001F3F1A" w:rsidP="00947A9A">
      <w:pPr>
        <w:ind w:left="720" w:hanging="720"/>
        <w:jc w:val="both"/>
        <w:outlineLvl w:val="1"/>
        <w:rPr>
          <w:b/>
          <w:snapToGrid w:val="0"/>
          <w:sz w:val="22"/>
          <w:szCs w:val="22"/>
          <w:lang w:val="fr-CH"/>
        </w:rPr>
      </w:pPr>
      <w:bookmarkStart w:id="67" w:name="_Toc248307667"/>
      <w:bookmarkStart w:id="68" w:name="_Toc248296430"/>
      <w:bookmarkStart w:id="69" w:name="_Toc232307872"/>
      <w:bookmarkStart w:id="70" w:name="_Toc264393112"/>
      <w:bookmarkStart w:id="71" w:name="_Toc264391965"/>
      <w:bookmarkStart w:id="72" w:name="_Toc469005592"/>
      <w:bookmarkStart w:id="73" w:name="_Toc201033297"/>
      <w:bookmarkStart w:id="74" w:name="_Toc199906464"/>
      <w:bookmarkStart w:id="75" w:name="_Toc168731342"/>
      <w:r w:rsidRPr="00ED711A">
        <w:rPr>
          <w:b/>
          <w:snapToGrid w:val="0"/>
          <w:sz w:val="22"/>
          <w:szCs w:val="22"/>
          <w:lang w:val="fr-CH"/>
        </w:rPr>
        <w:t>2.9</w:t>
      </w:r>
      <w:r w:rsidRPr="00ED711A">
        <w:rPr>
          <w:b/>
          <w:snapToGrid w:val="0"/>
          <w:sz w:val="22"/>
          <w:szCs w:val="22"/>
          <w:lang w:val="fr-CH"/>
        </w:rPr>
        <w:tab/>
      </w:r>
      <w:bookmarkEnd w:id="67"/>
      <w:bookmarkEnd w:id="68"/>
      <w:bookmarkEnd w:id="69"/>
      <w:bookmarkEnd w:id="70"/>
      <w:bookmarkEnd w:id="71"/>
      <w:r w:rsidR="001E1EB1" w:rsidRPr="00ED711A">
        <w:rPr>
          <w:b/>
          <w:snapToGrid w:val="0"/>
          <w:sz w:val="22"/>
          <w:szCs w:val="22"/>
          <w:lang w:val="fr-CH"/>
        </w:rPr>
        <w:t>Echange de renseignements sur les produits chimiques dont le Comité d</w:t>
      </w:r>
      <w:r w:rsidR="000D310E" w:rsidRPr="00ED711A">
        <w:rPr>
          <w:b/>
          <w:snapToGrid w:val="0"/>
          <w:sz w:val="22"/>
          <w:szCs w:val="22"/>
          <w:lang w:val="fr-CH"/>
        </w:rPr>
        <w:t>’</w:t>
      </w:r>
      <w:r w:rsidR="001E1EB1" w:rsidRPr="00ED711A">
        <w:rPr>
          <w:b/>
          <w:snapToGrid w:val="0"/>
          <w:sz w:val="22"/>
          <w:szCs w:val="22"/>
          <w:lang w:val="fr-CH"/>
        </w:rPr>
        <w:t>étude des produits chimiques a recommandé l</w:t>
      </w:r>
      <w:r w:rsidR="000D310E" w:rsidRPr="00ED711A">
        <w:rPr>
          <w:b/>
          <w:snapToGrid w:val="0"/>
          <w:sz w:val="22"/>
          <w:szCs w:val="22"/>
          <w:lang w:val="fr-CH"/>
        </w:rPr>
        <w:t>’</w:t>
      </w:r>
      <w:r w:rsidR="001E1EB1" w:rsidRPr="00ED711A">
        <w:rPr>
          <w:b/>
          <w:snapToGrid w:val="0"/>
          <w:sz w:val="22"/>
          <w:szCs w:val="22"/>
          <w:lang w:val="fr-CH"/>
        </w:rPr>
        <w:t>inscription à l</w:t>
      </w:r>
      <w:r w:rsidR="000D310E" w:rsidRPr="00ED711A">
        <w:rPr>
          <w:b/>
          <w:snapToGrid w:val="0"/>
          <w:sz w:val="22"/>
          <w:szCs w:val="22"/>
          <w:lang w:val="fr-CH"/>
        </w:rPr>
        <w:t>’</w:t>
      </w:r>
      <w:r w:rsidR="00DE65F4" w:rsidRPr="00ED711A">
        <w:rPr>
          <w:b/>
          <w:snapToGrid w:val="0"/>
          <w:sz w:val="22"/>
          <w:szCs w:val="22"/>
          <w:lang w:val="fr-CH"/>
        </w:rPr>
        <w:t>annexe III</w:t>
      </w:r>
      <w:r w:rsidR="001E1EB1" w:rsidRPr="00ED711A">
        <w:rPr>
          <w:b/>
          <w:snapToGrid w:val="0"/>
          <w:sz w:val="22"/>
          <w:szCs w:val="22"/>
          <w:lang w:val="fr-CH"/>
        </w:rPr>
        <w:t xml:space="preserve"> mais pour lesquels la Conférence des Parties doit encore prendre une décision finale </w:t>
      </w:r>
      <w:r w:rsidR="001E1EB1" w:rsidRPr="00ED711A">
        <w:rPr>
          <w:snapToGrid w:val="0"/>
          <w:sz w:val="22"/>
          <w:szCs w:val="22"/>
          <w:lang w:val="fr-CH"/>
        </w:rPr>
        <w:t>(décisions RC-3/3 et RC-4/4 et RC-6/8 de la Conférence des Parties)</w:t>
      </w:r>
      <w:bookmarkEnd w:id="72"/>
    </w:p>
    <w:p w:rsidR="001F3F1A" w:rsidRPr="00ED711A" w:rsidRDefault="001F3F1A" w:rsidP="00947A9A">
      <w:pPr>
        <w:jc w:val="both"/>
        <w:rPr>
          <w:snapToGrid w:val="0"/>
          <w:sz w:val="22"/>
          <w:szCs w:val="22"/>
          <w:lang w:val="fr-CH"/>
        </w:rPr>
      </w:pPr>
    </w:p>
    <w:p w:rsidR="001E1EB1" w:rsidRPr="00ED711A" w:rsidRDefault="001E1EB1" w:rsidP="001E1EB1">
      <w:pPr>
        <w:pStyle w:val="CorpoA"/>
        <w:jc w:val="both"/>
        <w:rPr>
          <w:rFonts w:eastAsia="Arial"/>
          <w:color w:val="auto"/>
          <w:sz w:val="22"/>
          <w:szCs w:val="22"/>
          <w:lang w:val="fr-FR"/>
        </w:rPr>
      </w:pPr>
      <w:r w:rsidRPr="00ED711A">
        <w:rPr>
          <w:color w:val="auto"/>
          <w:sz w:val="22"/>
          <w:szCs w:val="22"/>
          <w:lang w:val="fr-FR"/>
        </w:rPr>
        <w:t>L</w:t>
      </w:r>
      <w:r w:rsidR="000D310E" w:rsidRPr="00ED711A">
        <w:rPr>
          <w:color w:val="auto"/>
          <w:sz w:val="22"/>
          <w:szCs w:val="22"/>
          <w:lang w:val="fr-FR"/>
        </w:rPr>
        <w:t>’article</w:t>
      </w:r>
      <w:r w:rsidRPr="00ED711A">
        <w:rPr>
          <w:color w:val="auto"/>
          <w:sz w:val="22"/>
          <w:szCs w:val="22"/>
          <w:lang w:val="fr-FR"/>
        </w:rPr>
        <w:t xml:space="preserve"> 14, paragraphe 1 établit que, conformément aux objectifs de la Convention, chaque Partie devra faciliter a) l</w:t>
      </w:r>
      <w:r w:rsidR="000D310E" w:rsidRPr="00ED711A">
        <w:rPr>
          <w:color w:val="auto"/>
          <w:sz w:val="22"/>
          <w:szCs w:val="22"/>
          <w:lang w:val="fr-FR"/>
        </w:rPr>
        <w:t>’</w:t>
      </w:r>
      <w:r w:rsidRPr="00ED711A">
        <w:rPr>
          <w:color w:val="auto"/>
          <w:sz w:val="22"/>
          <w:szCs w:val="22"/>
          <w:lang w:val="fr-FR"/>
        </w:rPr>
        <w:t>échange d</w:t>
      </w:r>
      <w:r w:rsidR="000D310E" w:rsidRPr="00ED711A">
        <w:rPr>
          <w:color w:val="auto"/>
          <w:sz w:val="22"/>
          <w:szCs w:val="22"/>
          <w:lang w:val="fr-FR"/>
        </w:rPr>
        <w:t>’</w:t>
      </w:r>
      <w:r w:rsidRPr="00ED711A">
        <w:rPr>
          <w:color w:val="auto"/>
          <w:sz w:val="22"/>
          <w:szCs w:val="22"/>
          <w:lang w:val="fr-FR"/>
        </w:rPr>
        <w:t>informations scientifiques, techniques, économiques et légales concernant les produits chimiques dans le cadre de cette Convention, y compris les informations toxicologiques, écotoxicologiques et celles relevant de la sécurité, b) l</w:t>
      </w:r>
      <w:r w:rsidR="000D310E" w:rsidRPr="00ED711A">
        <w:rPr>
          <w:color w:val="auto"/>
          <w:sz w:val="22"/>
          <w:szCs w:val="22"/>
          <w:lang w:val="fr-FR"/>
        </w:rPr>
        <w:t>’</w:t>
      </w:r>
      <w:r w:rsidRPr="00ED711A">
        <w:rPr>
          <w:color w:val="auto"/>
          <w:sz w:val="22"/>
          <w:szCs w:val="22"/>
          <w:lang w:val="fr-FR"/>
        </w:rPr>
        <w:t>accès aux informations accessibles au public sur les mesures de réglementation nationales en rapport avec les objectifs de cette Convention, et c) l</w:t>
      </w:r>
      <w:r w:rsidR="000D310E" w:rsidRPr="00ED711A">
        <w:rPr>
          <w:color w:val="auto"/>
          <w:sz w:val="22"/>
          <w:szCs w:val="22"/>
          <w:lang w:val="fr-FR"/>
        </w:rPr>
        <w:t>’</w:t>
      </w:r>
      <w:r w:rsidRPr="00ED711A">
        <w:rPr>
          <w:color w:val="auto"/>
          <w:sz w:val="22"/>
          <w:szCs w:val="22"/>
          <w:lang w:val="fr-FR"/>
        </w:rPr>
        <w:t>accès des autres Parties aux renseignements sur les mesures de réglementation nationales qui réglementent strictement une ou plusieurs utilisations du produit chimique concerné, directement ou bien par le biais du Secrétariat.</w:t>
      </w:r>
    </w:p>
    <w:p w:rsidR="001E1EB1" w:rsidRPr="00ED711A" w:rsidRDefault="001E1EB1" w:rsidP="001E1EB1">
      <w:pPr>
        <w:pStyle w:val="CorpoA"/>
        <w:jc w:val="both"/>
        <w:rPr>
          <w:rFonts w:eastAsia="Arial"/>
          <w:color w:val="auto"/>
          <w:sz w:val="22"/>
          <w:szCs w:val="22"/>
          <w:lang w:val="fr-FR"/>
        </w:rPr>
      </w:pPr>
    </w:p>
    <w:p w:rsidR="001E1EB1" w:rsidRPr="00ED711A" w:rsidRDefault="001E1EB1" w:rsidP="001E1EB1">
      <w:pPr>
        <w:pStyle w:val="CorpoA"/>
        <w:jc w:val="both"/>
        <w:rPr>
          <w:rFonts w:eastAsia="Arial"/>
          <w:color w:val="auto"/>
          <w:sz w:val="22"/>
          <w:szCs w:val="22"/>
          <w:lang w:val="fr-FR"/>
        </w:rPr>
      </w:pPr>
      <w:r w:rsidRPr="00ED711A">
        <w:rPr>
          <w:color w:val="auto"/>
          <w:sz w:val="22"/>
          <w:szCs w:val="22"/>
          <w:lang w:val="fr-FR"/>
        </w:rPr>
        <w:t>La Conférence des Parties, dans sa décision RC-3/3 et RC-4/4 sur l</w:t>
      </w:r>
      <w:r w:rsidR="000D310E" w:rsidRPr="00ED711A">
        <w:rPr>
          <w:color w:val="auto"/>
          <w:sz w:val="22"/>
          <w:szCs w:val="22"/>
          <w:lang w:val="fr-FR"/>
        </w:rPr>
        <w:t>’</w:t>
      </w:r>
      <w:r w:rsidRPr="00ED711A">
        <w:rPr>
          <w:color w:val="auto"/>
          <w:sz w:val="22"/>
          <w:szCs w:val="22"/>
          <w:lang w:val="fr-FR"/>
        </w:rPr>
        <w:t>inclusion de l</w:t>
      </w:r>
      <w:r w:rsidR="000D310E" w:rsidRPr="00ED711A">
        <w:rPr>
          <w:color w:val="auto"/>
          <w:sz w:val="22"/>
          <w:szCs w:val="22"/>
          <w:lang w:val="fr-FR"/>
        </w:rPr>
        <w:t>’</w:t>
      </w:r>
      <w:r w:rsidRPr="00ED711A">
        <w:rPr>
          <w:color w:val="auto"/>
          <w:sz w:val="22"/>
          <w:szCs w:val="22"/>
          <w:lang w:val="fr-FR"/>
        </w:rPr>
        <w:t>amiante chrysotile à l</w:t>
      </w:r>
      <w:r w:rsidR="000D310E" w:rsidRPr="00ED711A">
        <w:rPr>
          <w:color w:val="auto"/>
          <w:sz w:val="22"/>
          <w:szCs w:val="22"/>
          <w:lang w:val="fr-FR"/>
        </w:rPr>
        <w:t>’</w:t>
      </w:r>
      <w:r w:rsidRPr="00ED711A">
        <w:rPr>
          <w:color w:val="auto"/>
          <w:sz w:val="22"/>
          <w:szCs w:val="22"/>
          <w:lang w:val="fr-FR"/>
        </w:rPr>
        <w:t>annexe III et dans sa décision RC-6/8 sur les préparations liquides (concentré émulsifiable et concentré soluble) contenant des quantités de dichlorure de paraquat supérieures ou égales à 276 g/L, correspondant au paraquat ion supérieur ou égal à 200 g/L pour l</w:t>
      </w:r>
      <w:r w:rsidR="000D310E" w:rsidRPr="00ED711A">
        <w:rPr>
          <w:color w:val="auto"/>
          <w:sz w:val="22"/>
          <w:szCs w:val="22"/>
          <w:lang w:val="fr-FR"/>
        </w:rPr>
        <w:t>’</w:t>
      </w:r>
      <w:r w:rsidRPr="00ED711A">
        <w:rPr>
          <w:color w:val="auto"/>
          <w:sz w:val="22"/>
          <w:szCs w:val="22"/>
          <w:lang w:val="fr-FR"/>
        </w:rPr>
        <w:t>inscription à l</w:t>
      </w:r>
      <w:r w:rsidR="000D310E" w:rsidRPr="00ED711A">
        <w:rPr>
          <w:color w:val="auto"/>
          <w:sz w:val="22"/>
          <w:szCs w:val="22"/>
          <w:lang w:val="fr-FR"/>
        </w:rPr>
        <w:t>’</w:t>
      </w:r>
      <w:r w:rsidR="00DE65F4" w:rsidRPr="00ED711A">
        <w:rPr>
          <w:color w:val="auto"/>
          <w:sz w:val="22"/>
          <w:szCs w:val="22"/>
          <w:lang w:val="fr-FR"/>
        </w:rPr>
        <w:t>annexe III</w:t>
      </w:r>
      <w:r w:rsidRPr="00ED711A">
        <w:rPr>
          <w:color w:val="auto"/>
          <w:sz w:val="22"/>
          <w:szCs w:val="22"/>
          <w:lang w:val="fr-FR"/>
        </w:rPr>
        <w:t xml:space="preserve"> de la Convention de Rotterdam, a encouragé les Parties à utiliser toutes les informations disponibles sur ce produit chimique pour aider les autres, en particulier les pays en développement et les pays à économies en transition, à prendre des décisions en connaissance de cause concernant son importation et gestion et à informer les autres Parties des ces décisions en utilisant les dispositions sur l</w:t>
      </w:r>
      <w:r w:rsidR="000D310E" w:rsidRPr="00ED711A">
        <w:rPr>
          <w:color w:val="auto"/>
          <w:sz w:val="22"/>
          <w:szCs w:val="22"/>
          <w:lang w:val="fr-FR"/>
        </w:rPr>
        <w:t>’</w:t>
      </w:r>
      <w:r w:rsidRPr="00ED711A">
        <w:rPr>
          <w:color w:val="auto"/>
          <w:sz w:val="22"/>
          <w:szCs w:val="22"/>
          <w:lang w:val="fr-FR"/>
        </w:rPr>
        <w:t>échange de renseignements établies à l</w:t>
      </w:r>
      <w:r w:rsidR="000D310E" w:rsidRPr="00ED711A">
        <w:rPr>
          <w:color w:val="auto"/>
          <w:sz w:val="22"/>
          <w:szCs w:val="22"/>
          <w:lang w:val="fr-FR"/>
        </w:rPr>
        <w:t>’article</w:t>
      </w:r>
      <w:r w:rsidRPr="00ED711A">
        <w:rPr>
          <w:color w:val="auto"/>
          <w:sz w:val="22"/>
          <w:szCs w:val="22"/>
          <w:lang w:val="fr-FR"/>
        </w:rPr>
        <w:t xml:space="preserve"> 14 de la Convention. Vous pouvez trouver le texte complet de ces décisions à l</w:t>
      </w:r>
      <w:r w:rsidR="000D310E" w:rsidRPr="00ED711A">
        <w:rPr>
          <w:color w:val="auto"/>
          <w:sz w:val="22"/>
          <w:szCs w:val="22"/>
          <w:lang w:val="fr-FR"/>
        </w:rPr>
        <w:t>’</w:t>
      </w:r>
      <w:r w:rsidR="00DE65F4" w:rsidRPr="00ED711A">
        <w:rPr>
          <w:color w:val="auto"/>
          <w:sz w:val="22"/>
          <w:szCs w:val="22"/>
          <w:lang w:val="fr-FR"/>
        </w:rPr>
        <w:t>annexe I</w:t>
      </w:r>
      <w:r w:rsidRPr="00ED711A">
        <w:rPr>
          <w:color w:val="auto"/>
          <w:sz w:val="22"/>
          <w:szCs w:val="22"/>
          <w:lang w:val="fr-FR"/>
        </w:rPr>
        <w:t xml:space="preserve"> des rapports des respectives réunions </w:t>
      </w:r>
      <w:r w:rsidR="005357D0">
        <w:rPr>
          <w:color w:val="auto"/>
          <w:sz w:val="22"/>
          <w:szCs w:val="22"/>
          <w:lang w:val="fr-FR"/>
        </w:rPr>
        <w:t xml:space="preserve">de la </w:t>
      </w:r>
      <w:r w:rsidR="005357D0" w:rsidRPr="00ED711A">
        <w:rPr>
          <w:color w:val="auto"/>
          <w:sz w:val="22"/>
          <w:szCs w:val="22"/>
          <w:lang w:val="fr-FR"/>
        </w:rPr>
        <w:t>Conférence des Parties</w:t>
      </w:r>
      <w:r w:rsidRPr="00ED711A">
        <w:rPr>
          <w:color w:val="auto"/>
          <w:sz w:val="22"/>
          <w:szCs w:val="22"/>
          <w:lang w:val="fr-FR"/>
        </w:rPr>
        <w:t xml:space="preserve"> (UNEP/FAO/RC/COP.3/26 et UNEP/FAO/RC/COP.4/24 et UNEP/FAO/RC/COP.6/20).</w:t>
      </w:r>
    </w:p>
    <w:p w:rsidR="001E1EB1" w:rsidRPr="00ED711A" w:rsidRDefault="001E1EB1" w:rsidP="001E1EB1">
      <w:pPr>
        <w:pStyle w:val="CorpoA"/>
        <w:jc w:val="both"/>
        <w:rPr>
          <w:rFonts w:eastAsia="Arial"/>
          <w:color w:val="auto"/>
          <w:sz w:val="22"/>
          <w:szCs w:val="22"/>
          <w:lang w:val="fr-FR"/>
        </w:rPr>
      </w:pPr>
    </w:p>
    <w:p w:rsidR="00262058" w:rsidRPr="00ED711A" w:rsidRDefault="001E1EB1" w:rsidP="001E1EB1">
      <w:pPr>
        <w:snapToGrid w:val="0"/>
        <w:jc w:val="both"/>
        <w:rPr>
          <w:snapToGrid w:val="0"/>
          <w:sz w:val="22"/>
          <w:szCs w:val="22"/>
          <w:lang w:val="fr-CH"/>
        </w:rPr>
      </w:pPr>
      <w:r w:rsidRPr="00ED711A">
        <w:rPr>
          <w:sz w:val="22"/>
          <w:szCs w:val="22"/>
          <w:lang w:val="fr-FR"/>
        </w:rPr>
        <w:t>Conformément à ces décisions et afin de promouvoir l</w:t>
      </w:r>
      <w:r w:rsidR="000D310E" w:rsidRPr="00ED711A">
        <w:rPr>
          <w:sz w:val="22"/>
          <w:szCs w:val="22"/>
          <w:lang w:val="fr-FR"/>
        </w:rPr>
        <w:t>’</w:t>
      </w:r>
      <w:r w:rsidRPr="00ED711A">
        <w:rPr>
          <w:sz w:val="22"/>
          <w:szCs w:val="22"/>
          <w:lang w:val="fr-FR"/>
        </w:rPr>
        <w:t>échange d</w:t>
      </w:r>
      <w:r w:rsidR="000D310E" w:rsidRPr="00ED711A">
        <w:rPr>
          <w:sz w:val="22"/>
          <w:szCs w:val="22"/>
          <w:lang w:val="fr-FR"/>
        </w:rPr>
        <w:t>’</w:t>
      </w:r>
      <w:r w:rsidRPr="00ED711A">
        <w:rPr>
          <w:sz w:val="22"/>
          <w:szCs w:val="22"/>
          <w:lang w:val="fr-FR"/>
        </w:rPr>
        <w:t>informations sur ces produits chimiques, l</w:t>
      </w:r>
      <w:r w:rsidR="000D310E" w:rsidRPr="00ED711A">
        <w:rPr>
          <w:sz w:val="22"/>
          <w:szCs w:val="22"/>
          <w:lang w:val="fr-FR"/>
        </w:rPr>
        <w:t>’</w:t>
      </w:r>
      <w:r w:rsidR="00EA56F1" w:rsidRPr="007F747C">
        <w:rPr>
          <w:b/>
          <w:bCs/>
          <w:iCs/>
          <w:sz w:val="22"/>
          <w:szCs w:val="22"/>
          <w:lang w:val="fr-FR"/>
        </w:rPr>
        <w:t>a</w:t>
      </w:r>
      <w:r w:rsidRPr="007F747C">
        <w:rPr>
          <w:b/>
          <w:bCs/>
          <w:iCs/>
          <w:sz w:val="22"/>
          <w:szCs w:val="22"/>
          <w:lang w:val="fr-FR"/>
        </w:rPr>
        <w:t xml:space="preserve">ppendice VI </w:t>
      </w:r>
      <w:r w:rsidRPr="00ED711A">
        <w:rPr>
          <w:sz w:val="22"/>
          <w:szCs w:val="22"/>
          <w:lang w:val="fr-FR"/>
        </w:rPr>
        <w:t xml:space="preserve">de la Circulaire PIC a été </w:t>
      </w:r>
      <w:proofErr w:type="gramStart"/>
      <w:r w:rsidRPr="00ED711A">
        <w:rPr>
          <w:sz w:val="22"/>
          <w:szCs w:val="22"/>
          <w:lang w:val="fr-FR"/>
        </w:rPr>
        <w:t>ajoutée</w:t>
      </w:r>
      <w:proofErr w:type="gramEnd"/>
      <w:r w:rsidRPr="00ED711A">
        <w:rPr>
          <w:sz w:val="22"/>
          <w:szCs w:val="22"/>
          <w:lang w:val="fr-FR"/>
        </w:rPr>
        <w:t xml:space="preserve"> à la Circulaire et divisé en deux Parties</w:t>
      </w:r>
      <w:r w:rsidR="00DC6E87" w:rsidRPr="00ED711A">
        <w:rPr>
          <w:sz w:val="22"/>
          <w:szCs w:val="22"/>
          <w:lang w:val="fr-FR"/>
        </w:rPr>
        <w:t>.</w:t>
      </w:r>
    </w:p>
    <w:p w:rsidR="00262058" w:rsidRPr="00ED711A" w:rsidRDefault="00262058" w:rsidP="001E1EB1">
      <w:pPr>
        <w:snapToGrid w:val="0"/>
        <w:jc w:val="both"/>
        <w:rPr>
          <w:snapToGrid w:val="0"/>
          <w:sz w:val="22"/>
          <w:szCs w:val="22"/>
          <w:lang w:val="fr-CH"/>
        </w:rPr>
      </w:pPr>
    </w:p>
    <w:bookmarkEnd w:id="73"/>
    <w:bookmarkEnd w:id="74"/>
    <w:bookmarkEnd w:id="75"/>
    <w:p w:rsidR="001E1EB1" w:rsidRPr="00ED711A" w:rsidRDefault="001E1EB1" w:rsidP="00F77287">
      <w:pPr>
        <w:pStyle w:val="CorpoA"/>
        <w:snapToGrid w:val="0"/>
        <w:jc w:val="both"/>
        <w:rPr>
          <w:color w:val="auto"/>
          <w:sz w:val="22"/>
          <w:szCs w:val="22"/>
          <w:lang w:val="fr-FR"/>
        </w:rPr>
      </w:pPr>
      <w:r w:rsidRPr="00ED711A">
        <w:rPr>
          <w:color w:val="auto"/>
          <w:sz w:val="22"/>
          <w:szCs w:val="22"/>
          <w:lang w:val="fr-FR"/>
        </w:rPr>
        <w:t xml:space="preserve">La </w:t>
      </w:r>
      <w:r w:rsidR="00EA56F1" w:rsidRPr="007F747C">
        <w:rPr>
          <w:b/>
          <w:bCs/>
          <w:color w:val="auto"/>
          <w:sz w:val="22"/>
          <w:szCs w:val="22"/>
          <w:lang w:val="fr-FR"/>
        </w:rPr>
        <w:t>p</w:t>
      </w:r>
      <w:r w:rsidRPr="007F747C">
        <w:rPr>
          <w:b/>
          <w:bCs/>
          <w:color w:val="auto"/>
          <w:sz w:val="22"/>
          <w:szCs w:val="22"/>
          <w:lang w:val="fr-FR"/>
        </w:rPr>
        <w:t>artie A</w:t>
      </w:r>
      <w:r w:rsidRPr="00ED711A">
        <w:rPr>
          <w:color w:val="auto"/>
          <w:sz w:val="22"/>
          <w:szCs w:val="22"/>
          <w:lang w:val="fr-FR"/>
        </w:rPr>
        <w:t xml:space="preserve"> fournit une référence aux informations émanant des Parties sur les décisions nationales concernant la gestion d</w:t>
      </w:r>
      <w:r w:rsidR="000D310E" w:rsidRPr="00ED711A">
        <w:rPr>
          <w:color w:val="auto"/>
          <w:sz w:val="22"/>
          <w:szCs w:val="22"/>
          <w:lang w:val="fr-FR"/>
        </w:rPr>
        <w:t>’</w:t>
      </w:r>
      <w:r w:rsidRPr="00ED711A">
        <w:rPr>
          <w:color w:val="auto"/>
          <w:sz w:val="22"/>
          <w:szCs w:val="22"/>
          <w:lang w:val="fr-FR"/>
        </w:rPr>
        <w:t>amiante chrysotile et des préparations liquides (concentré emulsifiable et concentré soluble) contenant des quantités de dichlorure de paraquat supérieures ou égales à 276 g/L, correspondant au paraquat ion supérieur ou égal à 200 g/L . Il s</w:t>
      </w:r>
      <w:r w:rsidR="000D310E" w:rsidRPr="00ED711A">
        <w:rPr>
          <w:color w:val="auto"/>
          <w:sz w:val="22"/>
          <w:szCs w:val="22"/>
          <w:lang w:val="fr-FR"/>
        </w:rPr>
        <w:t>’</w:t>
      </w:r>
      <w:r w:rsidRPr="00ED711A">
        <w:rPr>
          <w:color w:val="auto"/>
          <w:sz w:val="22"/>
          <w:szCs w:val="22"/>
          <w:lang w:val="fr-FR"/>
        </w:rPr>
        <w:t>agit d</w:t>
      </w:r>
      <w:r w:rsidR="000D310E" w:rsidRPr="00ED711A">
        <w:rPr>
          <w:color w:val="auto"/>
          <w:sz w:val="22"/>
          <w:szCs w:val="22"/>
          <w:lang w:val="fr-FR"/>
        </w:rPr>
        <w:t>’</w:t>
      </w:r>
      <w:r w:rsidRPr="00ED711A">
        <w:rPr>
          <w:color w:val="auto"/>
          <w:sz w:val="22"/>
          <w:szCs w:val="22"/>
          <w:lang w:val="fr-FR"/>
        </w:rPr>
        <w:t>un résumé tabulaire fournissant des détails sur la Partie qui a fourni l</w:t>
      </w:r>
      <w:r w:rsidR="000D310E" w:rsidRPr="00ED711A">
        <w:rPr>
          <w:color w:val="auto"/>
          <w:sz w:val="22"/>
          <w:szCs w:val="22"/>
          <w:lang w:val="fr-FR"/>
        </w:rPr>
        <w:t>’</w:t>
      </w:r>
      <w:r w:rsidRPr="00ED711A">
        <w:rPr>
          <w:color w:val="auto"/>
          <w:sz w:val="22"/>
          <w:szCs w:val="22"/>
          <w:lang w:val="fr-FR"/>
        </w:rPr>
        <w:t>information, avec la Circulaire PIC à travers laquelle l</w:t>
      </w:r>
      <w:r w:rsidR="000D310E" w:rsidRPr="00ED711A">
        <w:rPr>
          <w:color w:val="auto"/>
          <w:sz w:val="22"/>
          <w:szCs w:val="22"/>
          <w:lang w:val="fr-FR"/>
        </w:rPr>
        <w:t>’</w:t>
      </w:r>
      <w:r w:rsidRPr="00ED711A">
        <w:rPr>
          <w:color w:val="auto"/>
          <w:sz w:val="22"/>
          <w:szCs w:val="22"/>
          <w:lang w:val="fr-FR"/>
        </w:rPr>
        <w:t>information a été diffusée et le lien vers la page pertinente du site web de la Convention de Rotterdam où l</w:t>
      </w:r>
      <w:r w:rsidR="000D310E" w:rsidRPr="00ED711A">
        <w:rPr>
          <w:color w:val="auto"/>
          <w:sz w:val="22"/>
          <w:szCs w:val="22"/>
          <w:lang w:val="fr-FR"/>
        </w:rPr>
        <w:t>’</w:t>
      </w:r>
      <w:r w:rsidRPr="00ED711A">
        <w:rPr>
          <w:color w:val="auto"/>
          <w:sz w:val="22"/>
          <w:szCs w:val="22"/>
          <w:lang w:val="fr-FR"/>
        </w:rPr>
        <w:t xml:space="preserve">information peut </w:t>
      </w:r>
      <w:r w:rsidR="007F747C">
        <w:rPr>
          <w:color w:val="auto"/>
          <w:sz w:val="22"/>
          <w:szCs w:val="22"/>
          <w:lang w:val="fr-FR"/>
        </w:rPr>
        <w:t>être trouvée. Dans la section « </w:t>
      </w:r>
      <w:r w:rsidRPr="00ED711A">
        <w:rPr>
          <w:color w:val="auto"/>
          <w:sz w:val="22"/>
          <w:szCs w:val="22"/>
          <w:lang w:val="fr-FR"/>
        </w:rPr>
        <w:t xml:space="preserve">Produits chimiques recommandés pour </w:t>
      </w:r>
      <w:r w:rsidRPr="00ED711A">
        <w:rPr>
          <w:color w:val="auto"/>
          <w:sz w:val="22"/>
          <w:szCs w:val="22"/>
          <w:lang w:val="fr-FR"/>
        </w:rPr>
        <w:lastRenderedPageBreak/>
        <w:t>inscription » sur le site web de la Convention, vous pouvez également trouver des informations additionnelles sur ces produits chimiques y compris les notifications de mesure de réglementation finale et la documentation d</w:t>
      </w:r>
      <w:r w:rsidR="000D310E" w:rsidRPr="00ED711A">
        <w:rPr>
          <w:color w:val="auto"/>
          <w:sz w:val="22"/>
          <w:szCs w:val="22"/>
          <w:lang w:val="fr-FR"/>
        </w:rPr>
        <w:t>’</w:t>
      </w:r>
      <w:r w:rsidRPr="00ED711A">
        <w:rPr>
          <w:color w:val="auto"/>
          <w:sz w:val="22"/>
          <w:szCs w:val="22"/>
          <w:lang w:val="fr-FR"/>
        </w:rPr>
        <w:t>appoint fourni au Comité d</w:t>
      </w:r>
      <w:r w:rsidR="000D310E" w:rsidRPr="00ED711A">
        <w:rPr>
          <w:color w:val="auto"/>
          <w:sz w:val="22"/>
          <w:szCs w:val="22"/>
          <w:lang w:val="fr-FR"/>
        </w:rPr>
        <w:t>’</w:t>
      </w:r>
      <w:r w:rsidRPr="00ED711A">
        <w:rPr>
          <w:color w:val="auto"/>
          <w:sz w:val="22"/>
          <w:szCs w:val="22"/>
          <w:lang w:val="fr-FR"/>
        </w:rPr>
        <w:t xml:space="preserve">étude des produits chimiques et le projet de </w:t>
      </w:r>
      <w:r w:rsidR="00B578E3">
        <w:rPr>
          <w:color w:val="auto"/>
          <w:sz w:val="22"/>
          <w:szCs w:val="22"/>
          <w:lang w:val="fr-FR"/>
        </w:rPr>
        <w:t>d</w:t>
      </w:r>
      <w:r w:rsidRPr="00ED711A">
        <w:rPr>
          <w:color w:val="auto"/>
          <w:sz w:val="22"/>
          <w:szCs w:val="22"/>
          <w:lang w:val="fr-FR"/>
        </w:rPr>
        <w:t>ocument d</w:t>
      </w:r>
      <w:r w:rsidR="000D310E" w:rsidRPr="00ED711A">
        <w:rPr>
          <w:color w:val="auto"/>
          <w:sz w:val="22"/>
          <w:szCs w:val="22"/>
          <w:lang w:val="fr-FR"/>
        </w:rPr>
        <w:t>’</w:t>
      </w:r>
      <w:r w:rsidR="00B578E3">
        <w:rPr>
          <w:color w:val="auto"/>
          <w:sz w:val="22"/>
          <w:szCs w:val="22"/>
          <w:lang w:val="fr-FR"/>
        </w:rPr>
        <w:t>o</w:t>
      </w:r>
      <w:r w:rsidRPr="00ED711A">
        <w:rPr>
          <w:color w:val="auto"/>
          <w:sz w:val="22"/>
          <w:szCs w:val="22"/>
          <w:lang w:val="fr-FR"/>
        </w:rPr>
        <w:t xml:space="preserve">rientation des </w:t>
      </w:r>
      <w:r w:rsidR="00B578E3">
        <w:rPr>
          <w:color w:val="auto"/>
          <w:sz w:val="22"/>
          <w:szCs w:val="22"/>
          <w:lang w:val="fr-FR"/>
        </w:rPr>
        <w:t>d</w:t>
      </w:r>
      <w:r w:rsidRPr="00ED711A">
        <w:rPr>
          <w:color w:val="auto"/>
          <w:sz w:val="22"/>
          <w:szCs w:val="22"/>
          <w:lang w:val="fr-FR"/>
        </w:rPr>
        <w:t>écisions.</w:t>
      </w:r>
    </w:p>
    <w:p w:rsidR="001E1EB1" w:rsidRPr="00ED711A" w:rsidRDefault="001E1EB1" w:rsidP="00F77287">
      <w:pPr>
        <w:pStyle w:val="CorpoA"/>
        <w:snapToGrid w:val="0"/>
        <w:jc w:val="both"/>
        <w:rPr>
          <w:rFonts w:eastAsia="Arial"/>
          <w:b/>
          <w:bCs/>
          <w:color w:val="auto"/>
          <w:sz w:val="22"/>
          <w:szCs w:val="22"/>
          <w:lang w:val="fr-FR"/>
        </w:rPr>
      </w:pPr>
    </w:p>
    <w:p w:rsidR="001E1EB1" w:rsidRPr="00ED711A" w:rsidRDefault="001E1EB1" w:rsidP="00F77287">
      <w:pPr>
        <w:pStyle w:val="NormalWeb"/>
        <w:snapToGrid w:val="0"/>
        <w:spacing w:before="0" w:beforeAutospacing="0" w:after="0" w:afterAutospacing="0"/>
        <w:jc w:val="both"/>
        <w:rPr>
          <w:sz w:val="22"/>
          <w:szCs w:val="22"/>
          <w:lang w:val="fr-FR"/>
        </w:rPr>
      </w:pPr>
      <w:r w:rsidRPr="00ED711A">
        <w:rPr>
          <w:sz w:val="22"/>
          <w:szCs w:val="22"/>
          <w:lang w:val="fr-FR"/>
        </w:rPr>
        <w:t xml:space="preserve">La </w:t>
      </w:r>
      <w:r w:rsidR="00EA56F1" w:rsidRPr="007F747C">
        <w:rPr>
          <w:b/>
          <w:bCs/>
          <w:sz w:val="22"/>
          <w:szCs w:val="22"/>
          <w:lang w:val="fr-FR"/>
        </w:rPr>
        <w:t>partie</w:t>
      </w:r>
      <w:r w:rsidRPr="007F747C">
        <w:rPr>
          <w:b/>
          <w:bCs/>
          <w:sz w:val="22"/>
          <w:szCs w:val="22"/>
          <w:lang w:val="fr-FR"/>
        </w:rPr>
        <w:t xml:space="preserve"> B</w:t>
      </w:r>
      <w:r w:rsidRPr="00ED711A">
        <w:rPr>
          <w:sz w:val="22"/>
          <w:szCs w:val="22"/>
          <w:lang w:val="fr-FR"/>
        </w:rPr>
        <w:t xml:space="preserve"> contient une liste des décisions sur l</w:t>
      </w:r>
      <w:r w:rsidR="000D310E" w:rsidRPr="00ED711A">
        <w:rPr>
          <w:sz w:val="22"/>
          <w:szCs w:val="22"/>
          <w:lang w:val="fr-FR"/>
        </w:rPr>
        <w:t>’</w:t>
      </w:r>
      <w:r w:rsidRPr="00ED711A">
        <w:rPr>
          <w:sz w:val="22"/>
          <w:szCs w:val="22"/>
          <w:lang w:val="fr-FR"/>
        </w:rPr>
        <w:t>importation future d</w:t>
      </w:r>
      <w:r w:rsidR="000D310E" w:rsidRPr="00ED711A">
        <w:rPr>
          <w:sz w:val="22"/>
          <w:szCs w:val="22"/>
          <w:lang w:val="fr-FR"/>
        </w:rPr>
        <w:t>’</w:t>
      </w:r>
      <w:r w:rsidRPr="00ED711A">
        <w:rPr>
          <w:sz w:val="22"/>
          <w:szCs w:val="22"/>
          <w:lang w:val="fr-FR"/>
        </w:rPr>
        <w:t>amiante chrysotile et des préparations liquides (concentré emulsifiable et concentré soluble) contenant des quantités de dichlorure de paraquat supérieures ou égales à 276 g/L, correspondant au paraquat ion supérieur ou égal à 200 g/L qui ont été soumises par les Parties conformément à l</w:t>
      </w:r>
      <w:r w:rsidR="000D310E" w:rsidRPr="00ED711A">
        <w:rPr>
          <w:sz w:val="22"/>
          <w:szCs w:val="22"/>
          <w:lang w:val="fr-FR"/>
        </w:rPr>
        <w:t>’article</w:t>
      </w:r>
      <w:r w:rsidRPr="00ED711A">
        <w:rPr>
          <w:sz w:val="22"/>
          <w:szCs w:val="22"/>
          <w:lang w:val="fr-FR"/>
        </w:rPr>
        <w:t xml:space="preserve"> 14. Ces décisions concernant l</w:t>
      </w:r>
      <w:r w:rsidR="000D310E" w:rsidRPr="00ED711A">
        <w:rPr>
          <w:sz w:val="22"/>
          <w:szCs w:val="22"/>
          <w:lang w:val="fr-FR"/>
        </w:rPr>
        <w:t>’</w:t>
      </w:r>
      <w:r w:rsidRPr="00ED711A">
        <w:rPr>
          <w:sz w:val="22"/>
          <w:szCs w:val="22"/>
          <w:lang w:val="fr-FR"/>
        </w:rPr>
        <w:t>importation sont diffusées aux seules fins de l</w:t>
      </w:r>
      <w:r w:rsidR="000D310E" w:rsidRPr="00ED711A">
        <w:rPr>
          <w:sz w:val="22"/>
          <w:szCs w:val="22"/>
          <w:lang w:val="fr-FR"/>
        </w:rPr>
        <w:t>’</w:t>
      </w:r>
      <w:r w:rsidRPr="00ED711A">
        <w:rPr>
          <w:sz w:val="22"/>
          <w:szCs w:val="22"/>
          <w:lang w:val="fr-FR"/>
        </w:rPr>
        <w:t>information et ne constituent pas une partie de la procédure PIC juridiquement contraignante.</w:t>
      </w:r>
    </w:p>
    <w:p w:rsidR="001E1EB1" w:rsidRPr="00ED711A" w:rsidRDefault="001E1EB1" w:rsidP="00F77287">
      <w:pPr>
        <w:pStyle w:val="NormalWeb"/>
        <w:snapToGrid w:val="0"/>
        <w:spacing w:before="0" w:beforeAutospacing="0" w:after="0" w:afterAutospacing="0"/>
        <w:jc w:val="both"/>
        <w:rPr>
          <w:rFonts w:eastAsia="Arial"/>
          <w:sz w:val="22"/>
          <w:szCs w:val="22"/>
          <w:lang w:val="fr-FR"/>
        </w:rPr>
      </w:pPr>
    </w:p>
    <w:p w:rsidR="001E1EB1" w:rsidRPr="00ED711A" w:rsidRDefault="001E1EB1" w:rsidP="00F77287">
      <w:pPr>
        <w:pStyle w:val="NormalWeb"/>
        <w:snapToGrid w:val="0"/>
        <w:spacing w:before="0" w:beforeAutospacing="0" w:after="0" w:afterAutospacing="0"/>
        <w:jc w:val="both"/>
        <w:rPr>
          <w:rFonts w:eastAsia="Arial"/>
          <w:sz w:val="22"/>
          <w:szCs w:val="22"/>
          <w:lang w:val="fr-FR"/>
        </w:rPr>
      </w:pPr>
      <w:r w:rsidRPr="00ED711A">
        <w:rPr>
          <w:sz w:val="22"/>
          <w:szCs w:val="22"/>
          <w:lang w:val="fr-FR"/>
        </w:rPr>
        <w:t>Vous pouvez accéder à ces informations et aux informations additionnelles en rapport avec le travail du Comité d</w:t>
      </w:r>
      <w:r w:rsidR="000D310E" w:rsidRPr="00ED711A">
        <w:rPr>
          <w:sz w:val="22"/>
          <w:szCs w:val="22"/>
          <w:lang w:val="fr-FR"/>
        </w:rPr>
        <w:t>’</w:t>
      </w:r>
      <w:r w:rsidRPr="00ED711A">
        <w:rPr>
          <w:sz w:val="22"/>
          <w:szCs w:val="22"/>
          <w:lang w:val="fr-FR"/>
        </w:rPr>
        <w:t xml:space="preserve">examen des produits chimiques sur ce produit directement sur le site web de la Convention </w:t>
      </w:r>
      <w:r w:rsidR="00BD3BEA" w:rsidRPr="00ED711A">
        <w:rPr>
          <w:sz w:val="22"/>
          <w:szCs w:val="22"/>
          <w:lang w:val="fr-FR"/>
        </w:rPr>
        <w:t>(</w:t>
      </w:r>
      <w:hyperlink r:id="rId31" w:history="1">
        <w:r w:rsidR="00BD3BEA" w:rsidRPr="00676EE7">
          <w:rPr>
            <w:rStyle w:val="Hyperlink"/>
            <w:sz w:val="22"/>
            <w:szCs w:val="22"/>
            <w:lang w:val="fr-FR"/>
          </w:rPr>
          <w:t>www.pic.int</w:t>
        </w:r>
      </w:hyperlink>
      <w:r w:rsidR="00BD3BEA" w:rsidRPr="00ED711A">
        <w:rPr>
          <w:sz w:val="22"/>
          <w:szCs w:val="22"/>
          <w:lang w:val="fr-FR"/>
        </w:rPr>
        <w:t>)</w:t>
      </w:r>
      <w:r w:rsidRPr="00ED711A">
        <w:rPr>
          <w:sz w:val="22"/>
          <w:szCs w:val="22"/>
          <w:lang w:val="fr-FR"/>
        </w:rPr>
        <w:t xml:space="preserve">. </w:t>
      </w:r>
    </w:p>
    <w:p w:rsidR="001F3F1A" w:rsidRPr="00ED711A" w:rsidRDefault="001F3F1A" w:rsidP="00F77287">
      <w:pPr>
        <w:snapToGrid w:val="0"/>
        <w:jc w:val="both"/>
        <w:rPr>
          <w:snapToGrid w:val="0"/>
          <w:sz w:val="22"/>
          <w:szCs w:val="22"/>
          <w:lang w:val="fr-FR"/>
        </w:rPr>
      </w:pPr>
    </w:p>
    <w:p w:rsidR="001F3F1A" w:rsidRPr="00ED711A" w:rsidRDefault="001F3F1A" w:rsidP="00F77287">
      <w:pPr>
        <w:jc w:val="both"/>
        <w:outlineLvl w:val="1"/>
        <w:rPr>
          <w:b/>
          <w:snapToGrid w:val="0"/>
          <w:sz w:val="22"/>
          <w:szCs w:val="22"/>
          <w:lang w:val="fr-CH"/>
        </w:rPr>
      </w:pPr>
      <w:bookmarkStart w:id="76" w:name="_Toc264393113"/>
      <w:bookmarkStart w:id="77" w:name="_Toc264391966"/>
      <w:bookmarkStart w:id="78" w:name="_Toc248307668"/>
      <w:bookmarkStart w:id="79" w:name="_Toc248296431"/>
      <w:bookmarkStart w:id="80" w:name="_Toc232307873"/>
      <w:bookmarkStart w:id="81" w:name="_Toc201033298"/>
      <w:bookmarkStart w:id="82" w:name="_Toc199906465"/>
      <w:bookmarkStart w:id="83" w:name="_Toc168731343"/>
      <w:bookmarkStart w:id="84" w:name="_Toc469005593"/>
      <w:r w:rsidRPr="00ED711A">
        <w:rPr>
          <w:b/>
          <w:snapToGrid w:val="0"/>
          <w:sz w:val="22"/>
          <w:szCs w:val="22"/>
          <w:lang w:val="fr-CH"/>
        </w:rPr>
        <w:t>2.10</w:t>
      </w:r>
      <w:r w:rsidRPr="00ED711A">
        <w:rPr>
          <w:b/>
          <w:snapToGrid w:val="0"/>
          <w:sz w:val="22"/>
          <w:szCs w:val="22"/>
          <w:lang w:val="fr-CH"/>
        </w:rPr>
        <w:tab/>
      </w:r>
      <w:bookmarkEnd w:id="76"/>
      <w:bookmarkEnd w:id="77"/>
      <w:bookmarkEnd w:id="78"/>
      <w:bookmarkEnd w:id="79"/>
      <w:bookmarkEnd w:id="80"/>
      <w:bookmarkEnd w:id="81"/>
      <w:bookmarkEnd w:id="82"/>
      <w:bookmarkEnd w:id="83"/>
      <w:r w:rsidR="00DC6E87" w:rsidRPr="00ED711A">
        <w:rPr>
          <w:b/>
          <w:snapToGrid w:val="0"/>
          <w:sz w:val="22"/>
          <w:szCs w:val="22"/>
          <w:lang w:val="fr-CH"/>
        </w:rPr>
        <w:t xml:space="preserve">Renseignements sur les mouvements de transit </w:t>
      </w:r>
      <w:r w:rsidR="00DC6E87" w:rsidRPr="00ED711A">
        <w:rPr>
          <w:snapToGrid w:val="0"/>
          <w:sz w:val="22"/>
          <w:szCs w:val="22"/>
          <w:lang w:val="fr-CH"/>
        </w:rPr>
        <w:t>(</w:t>
      </w:r>
      <w:r w:rsidR="000D310E" w:rsidRPr="00ED711A">
        <w:rPr>
          <w:snapToGrid w:val="0"/>
          <w:sz w:val="22"/>
          <w:szCs w:val="22"/>
          <w:lang w:val="fr-CH"/>
        </w:rPr>
        <w:t>article</w:t>
      </w:r>
      <w:r w:rsidR="001F3C16">
        <w:rPr>
          <w:snapToGrid w:val="0"/>
          <w:sz w:val="22"/>
          <w:szCs w:val="22"/>
          <w:lang w:val="fr-CH"/>
        </w:rPr>
        <w:t xml:space="preserve"> 14, paragraphe 5</w:t>
      </w:r>
      <w:r w:rsidR="00DC6E87" w:rsidRPr="00ED711A">
        <w:rPr>
          <w:snapToGrid w:val="0"/>
          <w:sz w:val="22"/>
          <w:szCs w:val="22"/>
          <w:lang w:val="fr-CH"/>
        </w:rPr>
        <w:t xml:space="preserve"> de la Convention</w:t>
      </w:r>
      <w:r w:rsidR="00DD0BA5">
        <w:rPr>
          <w:snapToGrid w:val="0"/>
          <w:sz w:val="22"/>
          <w:szCs w:val="22"/>
          <w:lang w:val="fr-CH"/>
        </w:rPr>
        <w:t>)</w:t>
      </w:r>
      <w:bookmarkEnd w:id="84"/>
      <w:r w:rsidRPr="00ED711A">
        <w:rPr>
          <w:snapToGrid w:val="0"/>
          <w:sz w:val="22"/>
          <w:szCs w:val="22"/>
          <w:lang w:val="fr-CH"/>
        </w:rPr>
        <w:t xml:space="preserve"> </w:t>
      </w:r>
    </w:p>
    <w:p w:rsidR="001F3F1A" w:rsidRPr="00ED711A" w:rsidRDefault="001F3F1A" w:rsidP="00F77287">
      <w:pPr>
        <w:jc w:val="both"/>
        <w:rPr>
          <w:snapToGrid w:val="0"/>
          <w:sz w:val="22"/>
          <w:szCs w:val="22"/>
          <w:lang w:val="fr-CH"/>
        </w:rPr>
      </w:pPr>
    </w:p>
    <w:p w:rsidR="00DC6E87" w:rsidRPr="00ED711A" w:rsidRDefault="00DC6E87" w:rsidP="00F77287">
      <w:pPr>
        <w:pStyle w:val="CorpoA"/>
        <w:jc w:val="both"/>
        <w:rPr>
          <w:rFonts w:eastAsia="Arial"/>
          <w:color w:val="auto"/>
          <w:sz w:val="22"/>
          <w:szCs w:val="22"/>
          <w:lang w:val="fr-FR"/>
        </w:rPr>
      </w:pPr>
      <w:r w:rsidRPr="00ED711A">
        <w:rPr>
          <w:color w:val="auto"/>
          <w:sz w:val="22"/>
          <w:szCs w:val="22"/>
          <w:lang w:val="fr-FR"/>
        </w:rPr>
        <w:t>Comme indiqué dans l</w:t>
      </w:r>
      <w:r w:rsidR="000D310E" w:rsidRPr="00ED711A">
        <w:rPr>
          <w:color w:val="auto"/>
          <w:sz w:val="22"/>
          <w:szCs w:val="22"/>
          <w:lang w:val="fr-FR"/>
        </w:rPr>
        <w:t>’article</w:t>
      </w:r>
      <w:r w:rsidRPr="00ED711A">
        <w:rPr>
          <w:color w:val="auto"/>
          <w:sz w:val="22"/>
          <w:szCs w:val="22"/>
          <w:lang w:val="fr-FR"/>
        </w:rPr>
        <w:t xml:space="preserve"> 14, paragraphe 5, de la Convention, toute Partie ayant besoin d</w:t>
      </w:r>
      <w:r w:rsidR="000D310E" w:rsidRPr="00ED711A">
        <w:rPr>
          <w:color w:val="auto"/>
          <w:sz w:val="22"/>
          <w:szCs w:val="22"/>
          <w:lang w:val="fr-FR"/>
        </w:rPr>
        <w:t>’</w:t>
      </w:r>
      <w:r w:rsidRPr="00ED711A">
        <w:rPr>
          <w:color w:val="auto"/>
          <w:sz w:val="22"/>
          <w:szCs w:val="22"/>
          <w:lang w:val="fr-FR"/>
        </w:rPr>
        <w:t>information concernant les mouvements de transit sur son territoire de produits chimiques énumérés à l</w:t>
      </w:r>
      <w:r w:rsidR="000D310E" w:rsidRPr="00ED711A">
        <w:rPr>
          <w:color w:val="auto"/>
          <w:sz w:val="22"/>
          <w:szCs w:val="22"/>
          <w:lang w:val="fr-FR"/>
        </w:rPr>
        <w:t>’</w:t>
      </w:r>
      <w:r w:rsidR="00DE65F4" w:rsidRPr="00ED711A">
        <w:rPr>
          <w:color w:val="auto"/>
          <w:sz w:val="22"/>
          <w:szCs w:val="22"/>
          <w:lang w:val="fr-FR"/>
        </w:rPr>
        <w:t>annexe III</w:t>
      </w:r>
      <w:r w:rsidRPr="00ED711A">
        <w:rPr>
          <w:color w:val="auto"/>
          <w:sz w:val="22"/>
          <w:szCs w:val="22"/>
          <w:lang w:val="fr-FR"/>
        </w:rPr>
        <w:t xml:space="preserve"> de son rapport devront informer de leur besoins au Secrétariat, qui en informera toutes les Parties.</w:t>
      </w:r>
    </w:p>
    <w:p w:rsidR="00DC6E87" w:rsidRPr="00ED711A" w:rsidRDefault="00DC6E87" w:rsidP="00F77287">
      <w:pPr>
        <w:pStyle w:val="CorpoA"/>
        <w:jc w:val="both"/>
        <w:rPr>
          <w:rFonts w:eastAsia="Arial"/>
          <w:color w:val="auto"/>
          <w:sz w:val="22"/>
          <w:szCs w:val="22"/>
          <w:lang w:val="fr-FR"/>
        </w:rPr>
      </w:pPr>
    </w:p>
    <w:p w:rsidR="001F3F1A" w:rsidRPr="00ED711A" w:rsidRDefault="00DC6E87" w:rsidP="00F77287">
      <w:pPr>
        <w:jc w:val="both"/>
        <w:rPr>
          <w:iCs/>
          <w:snapToGrid w:val="0"/>
          <w:sz w:val="22"/>
          <w:szCs w:val="22"/>
          <w:lang w:val="fr-CH"/>
        </w:rPr>
      </w:pPr>
      <w:r w:rsidRPr="00ED711A">
        <w:rPr>
          <w:sz w:val="22"/>
          <w:szCs w:val="22"/>
          <w:lang w:val="fr-FR"/>
        </w:rPr>
        <w:t>Depuis la dernière Circulaire PIC, aucune Partie n</w:t>
      </w:r>
      <w:r w:rsidR="000D310E" w:rsidRPr="00ED711A">
        <w:rPr>
          <w:sz w:val="22"/>
          <w:szCs w:val="22"/>
          <w:lang w:val="fr-FR"/>
        </w:rPr>
        <w:t>’</w:t>
      </w:r>
      <w:r w:rsidRPr="00ED711A">
        <w:rPr>
          <w:sz w:val="22"/>
          <w:szCs w:val="22"/>
          <w:lang w:val="fr-FR"/>
        </w:rPr>
        <w:t>a signalé au Secrétariat le besoin de renseignements sur les mouvements de transit à travers son territoire des produits chimiques de l</w:t>
      </w:r>
      <w:r w:rsidR="000D310E" w:rsidRPr="00ED711A">
        <w:rPr>
          <w:sz w:val="22"/>
          <w:szCs w:val="22"/>
          <w:lang w:val="fr-FR"/>
        </w:rPr>
        <w:t>’</w:t>
      </w:r>
      <w:r w:rsidR="00DE65F4" w:rsidRPr="00ED711A">
        <w:rPr>
          <w:sz w:val="22"/>
          <w:szCs w:val="22"/>
          <w:lang w:val="fr-FR"/>
        </w:rPr>
        <w:t>annexe III</w:t>
      </w:r>
      <w:r w:rsidR="001F3F1A" w:rsidRPr="00ED711A">
        <w:rPr>
          <w:iCs/>
          <w:snapToGrid w:val="0"/>
          <w:sz w:val="22"/>
          <w:szCs w:val="22"/>
          <w:lang w:val="fr-CH"/>
        </w:rPr>
        <w:t>.</w:t>
      </w:r>
    </w:p>
    <w:p w:rsidR="00F701DC" w:rsidRPr="00ED711A" w:rsidRDefault="00F701DC" w:rsidP="00F77287">
      <w:pPr>
        <w:jc w:val="both"/>
        <w:rPr>
          <w:snapToGrid w:val="0"/>
          <w:sz w:val="22"/>
          <w:szCs w:val="22"/>
          <w:lang w:val="fr-CH"/>
        </w:rPr>
      </w:pPr>
    </w:p>
    <w:p w:rsidR="00F701DC" w:rsidRPr="00ED711A" w:rsidRDefault="00F701DC" w:rsidP="00F77287">
      <w:pPr>
        <w:jc w:val="both"/>
        <w:outlineLvl w:val="1"/>
        <w:rPr>
          <w:b/>
          <w:snapToGrid w:val="0"/>
          <w:sz w:val="22"/>
          <w:szCs w:val="22"/>
          <w:lang w:val="fr-CH"/>
        </w:rPr>
      </w:pPr>
      <w:bookmarkStart w:id="85" w:name="_Toc469005594"/>
      <w:r w:rsidRPr="00ED711A">
        <w:rPr>
          <w:b/>
          <w:snapToGrid w:val="0"/>
          <w:sz w:val="22"/>
          <w:szCs w:val="22"/>
          <w:lang w:val="fr-CH"/>
        </w:rPr>
        <w:t>2.11</w:t>
      </w:r>
      <w:r w:rsidR="00C73924" w:rsidRPr="00ED711A">
        <w:rPr>
          <w:b/>
          <w:snapToGrid w:val="0"/>
          <w:sz w:val="22"/>
          <w:szCs w:val="22"/>
          <w:lang w:val="fr-CH"/>
        </w:rPr>
        <w:tab/>
      </w:r>
      <w:r w:rsidR="00DC6E87" w:rsidRPr="00ED711A">
        <w:rPr>
          <w:b/>
          <w:snapToGrid w:val="0"/>
          <w:sz w:val="22"/>
          <w:szCs w:val="22"/>
          <w:lang w:val="fr-CH"/>
        </w:rPr>
        <w:t>Que</w:t>
      </w:r>
      <w:r w:rsidR="00747640">
        <w:rPr>
          <w:b/>
          <w:snapToGrid w:val="0"/>
          <w:sz w:val="22"/>
          <w:szCs w:val="22"/>
          <w:lang w:val="fr-CH"/>
        </w:rPr>
        <w:t>s</w:t>
      </w:r>
      <w:r w:rsidR="00DC6E87" w:rsidRPr="00ED711A">
        <w:rPr>
          <w:b/>
          <w:snapToGrid w:val="0"/>
          <w:sz w:val="22"/>
          <w:szCs w:val="22"/>
          <w:lang w:val="fr-CH"/>
        </w:rPr>
        <w:t>tionnaire</w:t>
      </w:r>
      <w:r w:rsidR="00517EDF">
        <w:rPr>
          <w:b/>
          <w:snapToGrid w:val="0"/>
          <w:sz w:val="22"/>
          <w:szCs w:val="22"/>
          <w:lang w:val="fr-CH"/>
        </w:rPr>
        <w:t>s</w:t>
      </w:r>
      <w:r w:rsidR="00DC6E87" w:rsidRPr="00ED711A">
        <w:rPr>
          <w:b/>
          <w:snapToGrid w:val="0"/>
          <w:sz w:val="22"/>
          <w:szCs w:val="22"/>
          <w:lang w:val="fr-CH"/>
        </w:rPr>
        <w:t xml:space="preserve"> sur </w:t>
      </w:r>
      <w:r w:rsidR="00517EDF">
        <w:rPr>
          <w:b/>
          <w:snapToGrid w:val="0"/>
          <w:sz w:val="22"/>
          <w:szCs w:val="22"/>
          <w:lang w:val="fr-CH"/>
        </w:rPr>
        <w:t xml:space="preserve">les definitions </w:t>
      </w:r>
      <w:r w:rsidR="00DC6E87" w:rsidRPr="00ED711A">
        <w:rPr>
          <w:b/>
          <w:snapToGrid w:val="0"/>
          <w:sz w:val="22"/>
          <w:szCs w:val="22"/>
          <w:lang w:val="fr-CH"/>
        </w:rPr>
        <w:t>d</w:t>
      </w:r>
      <w:r w:rsidR="00517EDF">
        <w:rPr>
          <w:b/>
          <w:snapToGrid w:val="0"/>
          <w:sz w:val="22"/>
          <w:szCs w:val="22"/>
          <w:lang w:val="fr-CH"/>
        </w:rPr>
        <w:t>u term</w:t>
      </w:r>
      <w:r w:rsidR="00DC6E87" w:rsidRPr="00ED711A">
        <w:rPr>
          <w:b/>
          <w:snapToGrid w:val="0"/>
          <w:sz w:val="22"/>
          <w:szCs w:val="22"/>
          <w:lang w:val="fr-CH"/>
        </w:rPr>
        <w:t xml:space="preserve">e </w:t>
      </w:r>
      <w:r w:rsidR="00517EDF">
        <w:rPr>
          <w:b/>
          <w:snapToGrid w:val="0"/>
          <w:sz w:val="22"/>
          <w:szCs w:val="22"/>
          <w:lang w:val="fr-CH"/>
        </w:rPr>
        <w:t>« </w:t>
      </w:r>
      <w:r w:rsidR="00DC6E87" w:rsidRPr="00ED711A">
        <w:rPr>
          <w:b/>
          <w:snapToGrid w:val="0"/>
          <w:sz w:val="22"/>
          <w:szCs w:val="22"/>
          <w:lang w:val="fr-CH"/>
        </w:rPr>
        <w:t>pesticide</w:t>
      </w:r>
      <w:bookmarkEnd w:id="85"/>
      <w:r w:rsidR="00517EDF">
        <w:rPr>
          <w:b/>
          <w:snapToGrid w:val="0"/>
          <w:sz w:val="22"/>
          <w:szCs w:val="22"/>
          <w:lang w:val="fr-CH"/>
        </w:rPr>
        <w:t> »</w:t>
      </w:r>
      <w:r w:rsidRPr="00ED711A">
        <w:rPr>
          <w:snapToGrid w:val="0"/>
          <w:sz w:val="22"/>
          <w:szCs w:val="22"/>
          <w:lang w:val="fr-CH"/>
        </w:rPr>
        <w:t xml:space="preserve"> </w:t>
      </w:r>
    </w:p>
    <w:p w:rsidR="00F701DC" w:rsidRPr="00ED711A" w:rsidRDefault="00F701DC" w:rsidP="00F77287">
      <w:pPr>
        <w:jc w:val="both"/>
        <w:rPr>
          <w:snapToGrid w:val="0"/>
          <w:sz w:val="22"/>
          <w:szCs w:val="22"/>
          <w:lang w:val="fr-CH"/>
        </w:rPr>
      </w:pPr>
    </w:p>
    <w:p w:rsidR="001F3C16" w:rsidRPr="00ED711A" w:rsidRDefault="001F3C16" w:rsidP="001F3C16">
      <w:pPr>
        <w:widowControl w:val="0"/>
        <w:spacing w:after="200" w:line="239" w:lineRule="auto"/>
        <w:jc w:val="both"/>
        <w:rPr>
          <w:sz w:val="22"/>
          <w:szCs w:val="22"/>
          <w:u w:color="000000"/>
          <w:lang w:val="fr-FR" w:eastAsia="en-GB"/>
        </w:rPr>
      </w:pPr>
      <w:r w:rsidRPr="00ED711A">
        <w:rPr>
          <w:sz w:val="22"/>
          <w:szCs w:val="22"/>
          <w:u w:color="000000"/>
          <w:lang w:val="fr-FR" w:eastAsia="en-GB"/>
        </w:rPr>
        <w:t xml:space="preserve">Lors de </w:t>
      </w:r>
      <w:r>
        <w:rPr>
          <w:sz w:val="22"/>
          <w:szCs w:val="22"/>
          <w:u w:color="000000"/>
          <w:lang w:val="fr-FR" w:eastAsia="en-GB"/>
        </w:rPr>
        <w:t>l</w:t>
      </w:r>
      <w:r w:rsidRPr="00ED711A">
        <w:rPr>
          <w:sz w:val="22"/>
          <w:szCs w:val="22"/>
          <w:u w:color="000000"/>
          <w:lang w:val="fr-FR" w:eastAsia="en-GB"/>
        </w:rPr>
        <w:t>a septième réunion</w:t>
      </w:r>
      <w:r>
        <w:rPr>
          <w:sz w:val="22"/>
          <w:szCs w:val="22"/>
          <w:u w:color="000000"/>
          <w:lang w:val="fr-FR" w:eastAsia="en-GB"/>
        </w:rPr>
        <w:t xml:space="preserve"> de </w:t>
      </w:r>
      <w:r w:rsidRPr="00ED711A">
        <w:rPr>
          <w:sz w:val="22"/>
          <w:szCs w:val="22"/>
          <w:u w:color="000000"/>
          <w:lang w:val="fr-FR" w:eastAsia="en-GB"/>
        </w:rPr>
        <w:t>la Conférence des Parties à la Convention de Rotterdam</w:t>
      </w:r>
      <w:r>
        <w:rPr>
          <w:sz w:val="22"/>
          <w:szCs w:val="22"/>
          <w:u w:color="000000"/>
          <w:lang w:val="fr-FR" w:eastAsia="en-GB"/>
        </w:rPr>
        <w:t>, les Parties</w:t>
      </w:r>
      <w:r w:rsidRPr="00ED711A">
        <w:rPr>
          <w:sz w:val="22"/>
          <w:szCs w:val="22"/>
          <w:u w:color="000000"/>
          <w:lang w:val="fr-FR" w:eastAsia="en-GB"/>
        </w:rPr>
        <w:t xml:space="preserve"> a demandé au Secrétariat de </w:t>
      </w:r>
      <w:r>
        <w:rPr>
          <w:sz w:val="22"/>
          <w:szCs w:val="22"/>
          <w:u w:color="000000"/>
          <w:lang w:val="fr-FR" w:eastAsia="en-GB"/>
        </w:rPr>
        <w:t xml:space="preserve">se pencher sur </w:t>
      </w:r>
      <w:r w:rsidRPr="00ED711A">
        <w:rPr>
          <w:sz w:val="22"/>
          <w:szCs w:val="22"/>
          <w:u w:color="000000"/>
          <w:lang w:val="fr-FR" w:eastAsia="en-GB"/>
        </w:rPr>
        <w:t xml:space="preserve">les problèmes liés </w:t>
      </w:r>
      <w:r>
        <w:rPr>
          <w:sz w:val="22"/>
          <w:szCs w:val="22"/>
          <w:u w:color="000000"/>
          <w:lang w:val="fr-FR" w:eastAsia="en-GB"/>
        </w:rPr>
        <w:t xml:space="preserve">à l’application par </w:t>
      </w:r>
      <w:r w:rsidRPr="00ED711A">
        <w:rPr>
          <w:sz w:val="22"/>
          <w:szCs w:val="22"/>
          <w:u w:color="000000"/>
          <w:lang w:val="fr-FR" w:eastAsia="en-GB"/>
        </w:rPr>
        <w:t xml:space="preserve">les Parties </w:t>
      </w:r>
      <w:r>
        <w:rPr>
          <w:sz w:val="22"/>
          <w:szCs w:val="22"/>
          <w:u w:color="000000"/>
          <w:lang w:val="fr-FR" w:eastAsia="en-GB"/>
        </w:rPr>
        <w:t xml:space="preserve">des </w:t>
      </w:r>
      <w:r w:rsidRPr="00ED711A">
        <w:rPr>
          <w:sz w:val="22"/>
          <w:szCs w:val="22"/>
          <w:u w:color="000000"/>
          <w:lang w:val="fr-FR" w:eastAsia="en-GB"/>
        </w:rPr>
        <w:t xml:space="preserve">différentes définitions </w:t>
      </w:r>
      <w:r>
        <w:rPr>
          <w:sz w:val="22"/>
          <w:szCs w:val="22"/>
          <w:u w:color="000000"/>
          <w:lang w:val="fr-FR" w:eastAsia="en-GB"/>
        </w:rPr>
        <w:t xml:space="preserve">des </w:t>
      </w:r>
      <w:r w:rsidRPr="00ED711A">
        <w:rPr>
          <w:sz w:val="22"/>
          <w:szCs w:val="22"/>
          <w:u w:color="000000"/>
          <w:lang w:val="fr-FR" w:eastAsia="en-GB"/>
        </w:rPr>
        <w:t>pesticides</w:t>
      </w:r>
      <w:r>
        <w:rPr>
          <w:sz w:val="22"/>
          <w:szCs w:val="22"/>
          <w:u w:color="000000"/>
          <w:lang w:val="fr-FR" w:eastAsia="en-GB"/>
        </w:rPr>
        <w:t>. En outre, il</w:t>
      </w:r>
      <w:r w:rsidRPr="00ED711A">
        <w:rPr>
          <w:sz w:val="22"/>
          <w:szCs w:val="22"/>
          <w:u w:color="000000"/>
          <w:lang w:val="fr-FR" w:eastAsia="en-GB"/>
        </w:rPr>
        <w:t xml:space="preserve"> a </w:t>
      </w:r>
      <w:r>
        <w:rPr>
          <w:sz w:val="22"/>
          <w:szCs w:val="22"/>
          <w:u w:color="000000"/>
          <w:lang w:val="fr-FR" w:eastAsia="en-GB"/>
        </w:rPr>
        <w:t xml:space="preserve">été décidé que le </w:t>
      </w:r>
      <w:r w:rsidRPr="00ED711A">
        <w:rPr>
          <w:sz w:val="22"/>
          <w:szCs w:val="22"/>
          <w:u w:color="000000"/>
          <w:lang w:val="fr-FR" w:eastAsia="en-GB"/>
        </w:rPr>
        <w:t>Secrétariat préparer</w:t>
      </w:r>
      <w:r>
        <w:rPr>
          <w:sz w:val="22"/>
          <w:szCs w:val="22"/>
          <w:u w:color="000000"/>
          <w:lang w:val="fr-FR" w:eastAsia="en-GB"/>
        </w:rPr>
        <w:t>ait</w:t>
      </w:r>
      <w:r w:rsidRPr="00ED711A">
        <w:rPr>
          <w:sz w:val="22"/>
          <w:szCs w:val="22"/>
          <w:u w:color="000000"/>
          <w:lang w:val="fr-FR" w:eastAsia="en-GB"/>
        </w:rPr>
        <w:t xml:space="preserve"> un document </w:t>
      </w:r>
      <w:r>
        <w:rPr>
          <w:sz w:val="22"/>
          <w:szCs w:val="22"/>
          <w:u w:color="000000"/>
          <w:lang w:val="fr-FR" w:eastAsia="en-GB"/>
        </w:rPr>
        <w:t xml:space="preserve">destiné à </w:t>
      </w:r>
      <w:r w:rsidRPr="00ED711A">
        <w:rPr>
          <w:sz w:val="22"/>
          <w:szCs w:val="22"/>
          <w:u w:color="000000"/>
          <w:lang w:val="fr-FR" w:eastAsia="en-GB"/>
        </w:rPr>
        <w:t>informer les Parties de</w:t>
      </w:r>
      <w:r>
        <w:rPr>
          <w:sz w:val="22"/>
          <w:szCs w:val="22"/>
          <w:u w:color="000000"/>
          <w:lang w:val="fr-FR" w:eastAsia="en-GB"/>
        </w:rPr>
        <w:t>s</w:t>
      </w:r>
      <w:r w:rsidRPr="00ED711A">
        <w:rPr>
          <w:sz w:val="22"/>
          <w:szCs w:val="22"/>
          <w:u w:color="000000"/>
          <w:lang w:val="fr-FR" w:eastAsia="en-GB"/>
        </w:rPr>
        <w:t xml:space="preserve"> </w:t>
      </w:r>
      <w:r>
        <w:rPr>
          <w:sz w:val="22"/>
          <w:szCs w:val="22"/>
          <w:u w:color="000000"/>
          <w:lang w:val="fr-FR" w:eastAsia="en-GB"/>
        </w:rPr>
        <w:t xml:space="preserve">différentes </w:t>
      </w:r>
      <w:r w:rsidRPr="00ED711A">
        <w:rPr>
          <w:sz w:val="22"/>
          <w:szCs w:val="22"/>
          <w:u w:color="000000"/>
          <w:lang w:val="fr-FR" w:eastAsia="en-GB"/>
        </w:rPr>
        <w:t xml:space="preserve">définitions </w:t>
      </w:r>
      <w:r>
        <w:rPr>
          <w:sz w:val="22"/>
          <w:szCs w:val="22"/>
          <w:u w:color="000000"/>
          <w:lang w:val="fr-FR" w:eastAsia="en-GB"/>
        </w:rPr>
        <w:t xml:space="preserve">existantes </w:t>
      </w:r>
      <w:r w:rsidRPr="00ED711A">
        <w:rPr>
          <w:sz w:val="22"/>
          <w:szCs w:val="22"/>
          <w:u w:color="000000"/>
          <w:lang w:val="fr-FR" w:eastAsia="en-GB"/>
        </w:rPr>
        <w:t xml:space="preserve">du terme </w:t>
      </w:r>
      <w:r>
        <w:rPr>
          <w:sz w:val="22"/>
          <w:szCs w:val="22"/>
          <w:lang w:val="fr-FR"/>
        </w:rPr>
        <w:t xml:space="preserve">« </w:t>
      </w:r>
      <w:r w:rsidRPr="00ED711A">
        <w:rPr>
          <w:sz w:val="22"/>
          <w:szCs w:val="22"/>
          <w:u w:color="000000"/>
          <w:lang w:val="fr-FR" w:eastAsia="en-GB"/>
        </w:rPr>
        <w:t>pesticides</w:t>
      </w:r>
      <w:r>
        <w:rPr>
          <w:sz w:val="22"/>
          <w:szCs w:val="22"/>
          <w:u w:color="000000"/>
          <w:lang w:val="fr-FR" w:eastAsia="en-GB"/>
        </w:rPr>
        <w:t xml:space="preserve"> </w:t>
      </w:r>
      <w:r w:rsidRPr="00ED711A">
        <w:rPr>
          <w:sz w:val="22"/>
          <w:szCs w:val="22"/>
          <w:lang w:val="fr-FR"/>
        </w:rPr>
        <w:t>»</w:t>
      </w:r>
      <w:r w:rsidRPr="00ED711A">
        <w:rPr>
          <w:sz w:val="22"/>
          <w:szCs w:val="22"/>
          <w:u w:color="000000"/>
          <w:lang w:val="fr-FR" w:eastAsia="en-GB"/>
        </w:rPr>
        <w:t xml:space="preserve"> et des </w:t>
      </w:r>
      <w:r>
        <w:rPr>
          <w:sz w:val="22"/>
          <w:szCs w:val="22"/>
          <w:u w:color="000000"/>
          <w:lang w:val="fr-FR" w:eastAsia="en-GB"/>
        </w:rPr>
        <w:t>incidences de</w:t>
      </w:r>
      <w:r w:rsidRPr="00ED711A">
        <w:rPr>
          <w:sz w:val="22"/>
          <w:szCs w:val="22"/>
          <w:u w:color="000000"/>
          <w:lang w:val="fr-FR" w:eastAsia="en-GB"/>
        </w:rPr>
        <w:t xml:space="preserve"> l’</w:t>
      </w:r>
      <w:r>
        <w:rPr>
          <w:sz w:val="22"/>
          <w:szCs w:val="22"/>
          <w:u w:color="000000"/>
          <w:lang w:val="fr-FR" w:eastAsia="en-GB"/>
        </w:rPr>
        <w:t xml:space="preserve">emploi </w:t>
      </w:r>
      <w:r w:rsidRPr="00ED711A">
        <w:rPr>
          <w:sz w:val="22"/>
          <w:szCs w:val="22"/>
          <w:u w:color="000000"/>
          <w:lang w:val="fr-FR" w:eastAsia="en-GB"/>
        </w:rPr>
        <w:t xml:space="preserve">de ces définitions par les Parties </w:t>
      </w:r>
      <w:r>
        <w:rPr>
          <w:sz w:val="22"/>
          <w:szCs w:val="22"/>
          <w:u w:color="000000"/>
          <w:lang w:val="fr-FR" w:eastAsia="en-GB"/>
        </w:rPr>
        <w:t>sur</w:t>
      </w:r>
      <w:r w:rsidRPr="00ED711A">
        <w:rPr>
          <w:sz w:val="22"/>
          <w:szCs w:val="22"/>
          <w:u w:color="000000"/>
          <w:lang w:val="fr-FR" w:eastAsia="en-GB"/>
        </w:rPr>
        <w:t xml:space="preserve"> la mise en oeuvre de la Convention.</w:t>
      </w:r>
      <w:r>
        <w:rPr>
          <w:sz w:val="22"/>
          <w:szCs w:val="22"/>
          <w:u w:color="000000"/>
          <w:lang w:val="fr-FR" w:eastAsia="en-GB"/>
        </w:rPr>
        <w:t xml:space="preserve"> Il effecturerait également une enquête sur l’emploi des diverses définitions et en communiquerait les résultats sur le site web de la Convention ainsi que dans la Circulaire PIC. </w:t>
      </w:r>
    </w:p>
    <w:p w:rsidR="001F3C16" w:rsidRPr="00ED711A" w:rsidRDefault="001F3C16" w:rsidP="001F3C16">
      <w:pPr>
        <w:widowControl w:val="0"/>
        <w:spacing w:after="200" w:line="239" w:lineRule="auto"/>
        <w:jc w:val="both"/>
        <w:rPr>
          <w:sz w:val="22"/>
          <w:szCs w:val="22"/>
          <w:u w:color="000000"/>
          <w:lang w:val="fr-FR" w:eastAsia="en-GB"/>
        </w:rPr>
      </w:pPr>
      <w:r w:rsidRPr="00ED711A">
        <w:rPr>
          <w:sz w:val="22"/>
          <w:szCs w:val="22"/>
          <w:u w:color="000000"/>
          <w:lang w:val="fr-FR" w:eastAsia="en-GB"/>
        </w:rPr>
        <w:t>En réponse à cette demande, le Secrétariat, en coopération avec l’équipe de gestion des pesticides</w:t>
      </w:r>
      <w:r>
        <w:rPr>
          <w:sz w:val="22"/>
          <w:szCs w:val="22"/>
          <w:u w:color="000000"/>
          <w:lang w:val="fr-FR" w:eastAsia="en-GB"/>
        </w:rPr>
        <w:t xml:space="preserve"> de la FAO</w:t>
      </w:r>
      <w:r w:rsidRPr="00ED711A">
        <w:rPr>
          <w:sz w:val="22"/>
          <w:szCs w:val="22"/>
          <w:u w:color="000000"/>
          <w:lang w:val="fr-FR" w:eastAsia="en-GB"/>
        </w:rPr>
        <w:t xml:space="preserve">, à développé un questionnaire composé de trois questions de base relatives à l’existence d’une définition du terme </w:t>
      </w:r>
      <w:r>
        <w:rPr>
          <w:sz w:val="22"/>
          <w:szCs w:val="22"/>
          <w:lang w:val="fr-FR"/>
        </w:rPr>
        <w:t xml:space="preserve">« </w:t>
      </w:r>
      <w:r w:rsidRPr="00ED711A">
        <w:rPr>
          <w:sz w:val="22"/>
          <w:szCs w:val="22"/>
          <w:u w:color="000000"/>
          <w:lang w:val="fr-FR" w:eastAsia="en-GB"/>
        </w:rPr>
        <w:t>pesticide</w:t>
      </w:r>
      <w:r>
        <w:rPr>
          <w:sz w:val="22"/>
          <w:szCs w:val="22"/>
          <w:u w:color="000000"/>
          <w:lang w:val="fr-FR" w:eastAsia="en-GB"/>
        </w:rPr>
        <w:t xml:space="preserve"> </w:t>
      </w:r>
      <w:r w:rsidRPr="00ED711A">
        <w:rPr>
          <w:sz w:val="22"/>
          <w:szCs w:val="22"/>
          <w:lang w:val="fr-FR"/>
        </w:rPr>
        <w:t>»</w:t>
      </w:r>
      <w:r w:rsidRPr="00ED711A">
        <w:rPr>
          <w:sz w:val="22"/>
          <w:szCs w:val="22"/>
          <w:u w:color="000000"/>
          <w:lang w:val="fr-FR" w:eastAsia="en-GB"/>
        </w:rPr>
        <w:t xml:space="preserve"> et d</w:t>
      </w:r>
      <w:r>
        <w:rPr>
          <w:sz w:val="22"/>
          <w:szCs w:val="22"/>
          <w:u w:color="000000"/>
          <w:lang w:val="fr-FR" w:eastAsia="en-GB"/>
        </w:rPr>
        <w:t>une</w:t>
      </w:r>
      <w:r w:rsidRPr="00ED711A">
        <w:rPr>
          <w:sz w:val="22"/>
          <w:szCs w:val="22"/>
          <w:u w:color="000000"/>
          <w:lang w:val="fr-FR" w:eastAsia="en-GB"/>
        </w:rPr>
        <w:t xml:space="preserve"> base juridique</w:t>
      </w:r>
      <w:r>
        <w:rPr>
          <w:sz w:val="22"/>
          <w:szCs w:val="22"/>
          <w:u w:color="000000"/>
          <w:lang w:val="fr-FR" w:eastAsia="en-GB"/>
        </w:rPr>
        <w:t xml:space="preserve"> d’une telle définition</w:t>
      </w:r>
      <w:r w:rsidRPr="00ED711A">
        <w:rPr>
          <w:sz w:val="22"/>
          <w:szCs w:val="22"/>
          <w:u w:color="000000"/>
          <w:lang w:val="fr-FR" w:eastAsia="en-GB"/>
        </w:rPr>
        <w:t>, les défis qui se présentent avec cette définition et enfin toute autre information considérée comme pertinente dans ce contexte.</w:t>
      </w:r>
    </w:p>
    <w:p w:rsidR="001F3F1A" w:rsidRPr="00ED711A" w:rsidRDefault="001F3C16" w:rsidP="001F3C16">
      <w:pPr>
        <w:jc w:val="both"/>
        <w:rPr>
          <w:iCs/>
          <w:snapToGrid w:val="0"/>
          <w:sz w:val="22"/>
          <w:szCs w:val="22"/>
          <w:lang w:val="fr-CH"/>
        </w:rPr>
      </w:pPr>
      <w:r w:rsidRPr="00ED711A">
        <w:rPr>
          <w:sz w:val="22"/>
          <w:szCs w:val="22"/>
          <w:u w:color="000000"/>
          <w:lang w:val="fr-FR" w:eastAsia="en-GB"/>
        </w:rPr>
        <w:t xml:space="preserve">Le questionnaire a été lancé sur le site web de la Convention. Au total, 29 Parties ont </w:t>
      </w:r>
      <w:r>
        <w:rPr>
          <w:sz w:val="22"/>
          <w:szCs w:val="22"/>
          <w:u w:color="000000"/>
          <w:lang w:val="fr-FR" w:eastAsia="en-GB"/>
        </w:rPr>
        <w:t>transmit</w:t>
      </w:r>
      <w:r w:rsidRPr="00ED711A">
        <w:rPr>
          <w:sz w:val="22"/>
          <w:szCs w:val="22"/>
          <w:u w:color="000000"/>
          <w:lang w:val="fr-FR" w:eastAsia="en-GB"/>
        </w:rPr>
        <w:t xml:space="preserve"> leurs réponses au questionnaire. Un rapport et des informations détaillées sur les réponses seront disponibles sur le site web de la Convention et sous la forme d’un document d’information de la huitième réunion de la Conférence des Parties</w:t>
      </w:r>
      <w:r w:rsidR="004B488E" w:rsidRPr="00ED711A">
        <w:rPr>
          <w:bCs/>
          <w:sz w:val="22"/>
          <w:szCs w:val="22"/>
          <w:lang w:val="fr-CH"/>
        </w:rPr>
        <w:t>.</w:t>
      </w:r>
      <w:bookmarkStart w:id="86" w:name="_Toc201033299"/>
      <w:bookmarkStart w:id="87" w:name="_Toc199906466"/>
      <w:bookmarkStart w:id="88" w:name="_Toc168731344"/>
      <w:bookmarkStart w:id="89" w:name="_Toc264393114"/>
      <w:bookmarkStart w:id="90" w:name="_Toc264391967"/>
      <w:bookmarkStart w:id="91" w:name="_Toc248307669"/>
      <w:bookmarkStart w:id="92" w:name="_Toc248296432"/>
      <w:bookmarkStart w:id="93" w:name="_Toc232307874"/>
    </w:p>
    <w:p w:rsidR="004B488E" w:rsidRPr="00ED711A" w:rsidRDefault="004B488E" w:rsidP="00F77287">
      <w:pPr>
        <w:jc w:val="both"/>
        <w:rPr>
          <w:iCs/>
          <w:snapToGrid w:val="0"/>
          <w:sz w:val="22"/>
          <w:szCs w:val="22"/>
          <w:lang w:val="fr-CH"/>
        </w:rPr>
      </w:pPr>
    </w:p>
    <w:p w:rsidR="004B488E" w:rsidRPr="00ED711A" w:rsidRDefault="004B488E" w:rsidP="00F77287">
      <w:pPr>
        <w:jc w:val="both"/>
        <w:rPr>
          <w:iCs/>
          <w:snapToGrid w:val="0"/>
          <w:sz w:val="22"/>
          <w:szCs w:val="22"/>
          <w:lang w:val="fr-CH"/>
        </w:rPr>
      </w:pPr>
    </w:p>
    <w:p w:rsidR="001F3F1A" w:rsidRPr="00ED711A" w:rsidRDefault="001F3F1A" w:rsidP="00F77287">
      <w:pPr>
        <w:ind w:left="720" w:hanging="720"/>
        <w:jc w:val="both"/>
        <w:outlineLvl w:val="0"/>
        <w:rPr>
          <w:b/>
          <w:snapToGrid w:val="0"/>
          <w:sz w:val="22"/>
          <w:szCs w:val="22"/>
          <w:lang w:val="fr-CH"/>
        </w:rPr>
      </w:pPr>
      <w:bookmarkStart w:id="94" w:name="_Toc469005595"/>
      <w:r w:rsidRPr="00ED711A">
        <w:rPr>
          <w:b/>
          <w:snapToGrid w:val="0"/>
          <w:sz w:val="22"/>
          <w:szCs w:val="22"/>
          <w:lang w:val="fr-CH"/>
        </w:rPr>
        <w:t>3.</w:t>
      </w:r>
      <w:r w:rsidRPr="00ED711A">
        <w:rPr>
          <w:b/>
          <w:snapToGrid w:val="0"/>
          <w:sz w:val="22"/>
          <w:szCs w:val="22"/>
          <w:lang w:val="fr-CH"/>
        </w:rPr>
        <w:tab/>
      </w:r>
      <w:bookmarkEnd w:id="86"/>
      <w:bookmarkEnd w:id="87"/>
      <w:bookmarkEnd w:id="88"/>
      <w:bookmarkEnd w:id="89"/>
      <w:bookmarkEnd w:id="90"/>
      <w:bookmarkEnd w:id="91"/>
      <w:bookmarkEnd w:id="92"/>
      <w:bookmarkEnd w:id="93"/>
      <w:r w:rsidR="00DC6E87" w:rsidRPr="00ED711A">
        <w:rPr>
          <w:b/>
          <w:snapToGrid w:val="0"/>
          <w:sz w:val="22"/>
          <w:szCs w:val="22"/>
          <w:lang w:val="fr-CH"/>
        </w:rPr>
        <w:t>RENSEIGNEMENTS SUPPLEMENTAIRES DESTINES AUX AUTORITES NATIONALES DESIGNEES</w:t>
      </w:r>
      <w:bookmarkEnd w:id="94"/>
    </w:p>
    <w:p w:rsidR="007E15AB" w:rsidRPr="00ED711A" w:rsidRDefault="007E15AB" w:rsidP="00F77287">
      <w:pPr>
        <w:jc w:val="both"/>
        <w:outlineLvl w:val="1"/>
        <w:rPr>
          <w:b/>
          <w:snapToGrid w:val="0"/>
          <w:sz w:val="22"/>
          <w:szCs w:val="22"/>
          <w:lang w:val="fr-CH"/>
        </w:rPr>
      </w:pPr>
      <w:bookmarkStart w:id="95" w:name="_Toc264393115"/>
      <w:bookmarkStart w:id="96" w:name="_Toc264391968"/>
      <w:bookmarkStart w:id="97" w:name="_Toc248307670"/>
      <w:bookmarkStart w:id="98" w:name="_Toc248296433"/>
      <w:bookmarkStart w:id="99" w:name="_Toc232307875"/>
      <w:bookmarkStart w:id="100" w:name="_Toc201033300"/>
      <w:bookmarkStart w:id="101" w:name="_Toc199906467"/>
      <w:bookmarkStart w:id="102" w:name="_Toc168731345"/>
    </w:p>
    <w:p w:rsidR="001F3F1A" w:rsidRPr="00ED711A" w:rsidRDefault="001F3F1A" w:rsidP="00F77287">
      <w:pPr>
        <w:jc w:val="both"/>
        <w:outlineLvl w:val="1"/>
        <w:rPr>
          <w:b/>
          <w:snapToGrid w:val="0"/>
          <w:sz w:val="22"/>
          <w:szCs w:val="22"/>
          <w:lang w:val="fr-CH"/>
        </w:rPr>
      </w:pPr>
      <w:bookmarkStart w:id="103" w:name="_Toc469005596"/>
      <w:r w:rsidRPr="00ED711A">
        <w:rPr>
          <w:b/>
          <w:snapToGrid w:val="0"/>
          <w:sz w:val="22"/>
          <w:szCs w:val="22"/>
          <w:lang w:val="fr-CH"/>
        </w:rPr>
        <w:t>3.1</w:t>
      </w:r>
      <w:r w:rsidRPr="00ED711A">
        <w:rPr>
          <w:b/>
          <w:snapToGrid w:val="0"/>
          <w:sz w:val="22"/>
          <w:szCs w:val="22"/>
          <w:lang w:val="fr-CH"/>
        </w:rPr>
        <w:tab/>
      </w:r>
      <w:bookmarkEnd w:id="95"/>
      <w:bookmarkEnd w:id="96"/>
      <w:bookmarkEnd w:id="97"/>
      <w:bookmarkEnd w:id="98"/>
      <w:bookmarkEnd w:id="99"/>
      <w:bookmarkEnd w:id="100"/>
      <w:bookmarkEnd w:id="101"/>
      <w:bookmarkEnd w:id="102"/>
      <w:r w:rsidR="003B4B59" w:rsidRPr="00ED711A">
        <w:rPr>
          <w:b/>
          <w:snapToGrid w:val="0"/>
          <w:sz w:val="22"/>
          <w:szCs w:val="22"/>
          <w:lang w:val="fr-CH"/>
        </w:rPr>
        <w:t>Renseignements sur l</w:t>
      </w:r>
      <w:r w:rsidR="000D310E" w:rsidRPr="00ED711A">
        <w:rPr>
          <w:b/>
          <w:snapToGrid w:val="0"/>
          <w:sz w:val="22"/>
          <w:szCs w:val="22"/>
          <w:lang w:val="fr-CH"/>
        </w:rPr>
        <w:t>’</w:t>
      </w:r>
      <w:r w:rsidR="003B4B59" w:rsidRPr="00ED711A">
        <w:rPr>
          <w:b/>
          <w:snapToGrid w:val="0"/>
          <w:sz w:val="22"/>
          <w:szCs w:val="22"/>
          <w:lang w:val="fr-CH"/>
        </w:rPr>
        <w:t>état de ratification</w:t>
      </w:r>
      <w:r w:rsidR="00517EDF">
        <w:rPr>
          <w:b/>
          <w:snapToGrid w:val="0"/>
          <w:sz w:val="22"/>
          <w:szCs w:val="22"/>
          <w:lang w:val="fr-CH"/>
        </w:rPr>
        <w:t>s</w:t>
      </w:r>
      <w:r w:rsidR="003B4B59" w:rsidRPr="00ED711A">
        <w:rPr>
          <w:b/>
          <w:snapToGrid w:val="0"/>
          <w:sz w:val="22"/>
          <w:szCs w:val="22"/>
          <w:lang w:val="fr-CH"/>
        </w:rPr>
        <w:t xml:space="preserve"> de la Convention</w:t>
      </w:r>
      <w:bookmarkEnd w:id="103"/>
    </w:p>
    <w:p w:rsidR="001F3F1A" w:rsidRPr="00ED711A" w:rsidRDefault="001F3F1A" w:rsidP="00F77287">
      <w:pPr>
        <w:jc w:val="both"/>
        <w:rPr>
          <w:snapToGrid w:val="0"/>
          <w:sz w:val="22"/>
          <w:szCs w:val="22"/>
          <w:lang w:val="fr-CH"/>
        </w:rPr>
      </w:pPr>
    </w:p>
    <w:p w:rsidR="003B4B59" w:rsidRPr="00ED711A" w:rsidRDefault="003B4B59" w:rsidP="00F77287">
      <w:pPr>
        <w:pStyle w:val="BodyText2"/>
        <w:ind w:right="0"/>
        <w:rPr>
          <w:rFonts w:eastAsia="Arial"/>
          <w:szCs w:val="22"/>
          <w:lang w:val="fr-FR"/>
        </w:rPr>
      </w:pPr>
      <w:bookmarkStart w:id="104" w:name="_Toc264537560"/>
      <w:bookmarkStart w:id="105" w:name="_Toc264393116"/>
      <w:bookmarkStart w:id="106" w:name="_Toc264391969"/>
      <w:bookmarkStart w:id="107" w:name="_Toc248307671"/>
      <w:bookmarkStart w:id="108" w:name="_Toc248296434"/>
      <w:bookmarkStart w:id="109" w:name="_Toc232307876"/>
      <w:bookmarkStart w:id="110" w:name="_Toc201033301"/>
      <w:bookmarkStart w:id="111" w:name="_Toc199906468"/>
      <w:bookmarkStart w:id="112" w:name="_Toc168731346"/>
      <w:r w:rsidRPr="00ED711A">
        <w:rPr>
          <w:szCs w:val="22"/>
          <w:lang w:val="fr-FR"/>
        </w:rPr>
        <w:t>La Convention est entrée en vigueur le 24 février 2004, 90 jours après la date du dépôt du cinquantième instrument de ratification, d</w:t>
      </w:r>
      <w:r w:rsidR="000D310E" w:rsidRPr="00ED711A">
        <w:rPr>
          <w:szCs w:val="22"/>
          <w:lang w:val="fr-FR"/>
        </w:rPr>
        <w:t>’</w:t>
      </w:r>
      <w:r w:rsidRPr="00ED711A">
        <w:rPr>
          <w:szCs w:val="22"/>
          <w:lang w:val="fr-FR"/>
        </w:rPr>
        <w:t>acceptation, d</w:t>
      </w:r>
      <w:r w:rsidR="000D310E" w:rsidRPr="00ED711A">
        <w:rPr>
          <w:szCs w:val="22"/>
          <w:lang w:val="fr-FR"/>
        </w:rPr>
        <w:t>’</w:t>
      </w:r>
      <w:r w:rsidRPr="00ED711A">
        <w:rPr>
          <w:szCs w:val="22"/>
          <w:lang w:val="fr-FR"/>
        </w:rPr>
        <w:t>approbation ou d</w:t>
      </w:r>
      <w:r w:rsidR="000D310E" w:rsidRPr="00ED711A">
        <w:rPr>
          <w:szCs w:val="22"/>
          <w:lang w:val="fr-FR"/>
        </w:rPr>
        <w:t>’</w:t>
      </w:r>
      <w:r w:rsidRPr="00ED711A">
        <w:rPr>
          <w:szCs w:val="22"/>
          <w:lang w:val="fr-FR"/>
        </w:rPr>
        <w:t>adhésion. Pour chaque Etat ou organisation régionale d</w:t>
      </w:r>
      <w:r w:rsidR="000D310E" w:rsidRPr="00ED711A">
        <w:rPr>
          <w:szCs w:val="22"/>
          <w:lang w:val="fr-FR"/>
        </w:rPr>
        <w:t>’</w:t>
      </w:r>
      <w:r w:rsidRPr="00ED711A">
        <w:rPr>
          <w:szCs w:val="22"/>
          <w:lang w:val="fr-FR"/>
        </w:rPr>
        <w:t>intégration économique qui ratifie, accepte, approuve cette Convention ou qui y a adhéré après le dépôt de ce cinquantième instrument, la Convention entrera en vigueur le 90</w:t>
      </w:r>
      <w:r w:rsidRPr="00ED711A">
        <w:rPr>
          <w:szCs w:val="22"/>
          <w:vertAlign w:val="superscript"/>
          <w:lang w:val="fr-FR"/>
        </w:rPr>
        <w:t>ème</w:t>
      </w:r>
      <w:r w:rsidRPr="00ED711A">
        <w:rPr>
          <w:szCs w:val="22"/>
          <w:lang w:val="fr-FR"/>
        </w:rPr>
        <w:t xml:space="preserve"> </w:t>
      </w:r>
      <w:r w:rsidRPr="00ED711A">
        <w:rPr>
          <w:szCs w:val="22"/>
          <w:lang w:val="fr-FR"/>
        </w:rPr>
        <w:lastRenderedPageBreak/>
        <w:t>jour après la date du dépôt par cet Etat ou organisation régionale d</w:t>
      </w:r>
      <w:r w:rsidR="000D310E" w:rsidRPr="00ED711A">
        <w:rPr>
          <w:szCs w:val="22"/>
          <w:lang w:val="fr-FR"/>
        </w:rPr>
        <w:t>’</w:t>
      </w:r>
      <w:r w:rsidRPr="00ED711A">
        <w:rPr>
          <w:szCs w:val="22"/>
          <w:lang w:val="fr-FR"/>
        </w:rPr>
        <w:t>intégration économique des instruments de ratification, d</w:t>
      </w:r>
      <w:r w:rsidR="000D310E" w:rsidRPr="00ED711A">
        <w:rPr>
          <w:szCs w:val="22"/>
          <w:lang w:val="fr-FR"/>
        </w:rPr>
        <w:t>’</w:t>
      </w:r>
      <w:r w:rsidRPr="00ED711A">
        <w:rPr>
          <w:szCs w:val="22"/>
          <w:lang w:val="fr-FR"/>
        </w:rPr>
        <w:t>acceptation, d</w:t>
      </w:r>
      <w:r w:rsidR="000D310E" w:rsidRPr="00ED711A">
        <w:rPr>
          <w:szCs w:val="22"/>
          <w:lang w:val="fr-FR"/>
        </w:rPr>
        <w:t>’</w:t>
      </w:r>
      <w:r w:rsidRPr="00ED711A">
        <w:rPr>
          <w:szCs w:val="22"/>
          <w:lang w:val="fr-FR"/>
        </w:rPr>
        <w:t>approbation ou d</w:t>
      </w:r>
      <w:r w:rsidR="000D310E" w:rsidRPr="00ED711A">
        <w:rPr>
          <w:szCs w:val="22"/>
          <w:lang w:val="fr-FR"/>
        </w:rPr>
        <w:t>’</w:t>
      </w:r>
      <w:r w:rsidRPr="00ED711A">
        <w:rPr>
          <w:szCs w:val="22"/>
          <w:lang w:val="fr-FR"/>
        </w:rPr>
        <w:t>adhésion.</w:t>
      </w:r>
    </w:p>
    <w:p w:rsidR="003B4B59" w:rsidRPr="00ED711A" w:rsidRDefault="003B4B59" w:rsidP="00F77287">
      <w:pPr>
        <w:pStyle w:val="BodyText2"/>
        <w:ind w:right="0"/>
        <w:rPr>
          <w:rFonts w:eastAsia="Arial"/>
          <w:szCs w:val="22"/>
          <w:lang w:val="fr-FR"/>
        </w:rPr>
      </w:pPr>
    </w:p>
    <w:p w:rsidR="003B4B59" w:rsidRPr="00ED711A" w:rsidRDefault="003B4B59" w:rsidP="00F77287">
      <w:pPr>
        <w:pStyle w:val="BodyText2"/>
        <w:ind w:right="0"/>
        <w:rPr>
          <w:rFonts w:eastAsia="Arial"/>
          <w:szCs w:val="22"/>
          <w:lang w:val="fr-FR"/>
        </w:rPr>
      </w:pPr>
      <w:r w:rsidRPr="00ED711A">
        <w:rPr>
          <w:szCs w:val="22"/>
          <w:lang w:val="fr-FR"/>
        </w:rPr>
        <w:t xml:space="preserve">Au 31 octobre 2016 on comptait 155 Parties à la Convention de Rotterdam. Les Parties comprennent : </w:t>
      </w:r>
    </w:p>
    <w:p w:rsidR="003B4B59" w:rsidRPr="00ED711A" w:rsidRDefault="003B4B59" w:rsidP="00F77287">
      <w:pPr>
        <w:pStyle w:val="BodyText2"/>
        <w:ind w:right="0"/>
        <w:rPr>
          <w:rFonts w:eastAsia="Arial"/>
          <w:szCs w:val="22"/>
          <w:lang w:val="fr-FR"/>
        </w:rPr>
      </w:pPr>
    </w:p>
    <w:p w:rsidR="003B4B59" w:rsidRPr="00ED711A" w:rsidRDefault="003B4B59" w:rsidP="00F77287">
      <w:pPr>
        <w:pStyle w:val="BodyText2"/>
        <w:ind w:right="0"/>
        <w:rPr>
          <w:rFonts w:eastAsia="Arial"/>
          <w:szCs w:val="22"/>
          <w:lang w:val="fr-FR"/>
        </w:rPr>
      </w:pPr>
      <w:r w:rsidRPr="00ED711A">
        <w:rPr>
          <w:szCs w:val="22"/>
          <w:lang w:val="fr-FR"/>
        </w:rPr>
        <w:t>l</w:t>
      </w:r>
      <w:r w:rsidR="000D310E" w:rsidRPr="00ED711A">
        <w:rPr>
          <w:szCs w:val="22"/>
          <w:lang w:val="fr-FR"/>
        </w:rPr>
        <w:t>’</w:t>
      </w:r>
      <w:r w:rsidRPr="00ED711A">
        <w:rPr>
          <w:szCs w:val="22"/>
          <w:lang w:val="fr-FR"/>
        </w:rPr>
        <w:t>Afrique du Sud, l</w:t>
      </w:r>
      <w:r w:rsidR="000D310E" w:rsidRPr="00ED711A">
        <w:rPr>
          <w:szCs w:val="22"/>
          <w:lang w:val="fr-FR"/>
        </w:rPr>
        <w:t>’</w:t>
      </w:r>
      <w:r w:rsidRPr="00ED711A">
        <w:rPr>
          <w:szCs w:val="22"/>
          <w:lang w:val="fr-FR"/>
        </w:rPr>
        <w:t>Albanie, l</w:t>
      </w:r>
      <w:r w:rsidR="000D310E" w:rsidRPr="00ED711A">
        <w:rPr>
          <w:szCs w:val="22"/>
          <w:lang w:val="fr-FR"/>
        </w:rPr>
        <w:t>’</w:t>
      </w:r>
      <w:r w:rsidRPr="00ED711A">
        <w:rPr>
          <w:szCs w:val="22"/>
          <w:lang w:val="fr-FR"/>
        </w:rPr>
        <w:t>Allemagne, Antigua-et-Barbuda, l</w:t>
      </w:r>
      <w:r w:rsidR="000D310E" w:rsidRPr="00ED711A">
        <w:rPr>
          <w:szCs w:val="22"/>
          <w:lang w:val="fr-FR"/>
        </w:rPr>
        <w:t>’</w:t>
      </w:r>
      <w:r w:rsidRPr="00ED711A">
        <w:rPr>
          <w:szCs w:val="22"/>
          <w:lang w:val="fr-FR"/>
        </w:rPr>
        <w:t>Arabie Saoudite, l</w:t>
      </w:r>
      <w:r w:rsidR="000D310E" w:rsidRPr="00ED711A">
        <w:rPr>
          <w:szCs w:val="22"/>
          <w:lang w:val="fr-FR"/>
        </w:rPr>
        <w:t>’</w:t>
      </w:r>
      <w:r w:rsidRPr="00ED711A">
        <w:rPr>
          <w:szCs w:val="22"/>
          <w:lang w:val="fr-FR"/>
        </w:rPr>
        <w:t>Argentine, l</w:t>
      </w:r>
      <w:r w:rsidR="000D310E" w:rsidRPr="00ED711A">
        <w:rPr>
          <w:szCs w:val="22"/>
          <w:lang w:val="fr-FR"/>
        </w:rPr>
        <w:t>’</w:t>
      </w:r>
      <w:r w:rsidRPr="00ED711A">
        <w:rPr>
          <w:szCs w:val="22"/>
          <w:lang w:val="fr-FR"/>
        </w:rPr>
        <w:t>Arménie, l</w:t>
      </w:r>
      <w:r w:rsidR="000D310E" w:rsidRPr="00ED711A">
        <w:rPr>
          <w:szCs w:val="22"/>
          <w:lang w:val="fr-FR"/>
        </w:rPr>
        <w:t>’</w:t>
      </w:r>
      <w:r w:rsidRPr="00ED711A">
        <w:rPr>
          <w:szCs w:val="22"/>
          <w:lang w:val="fr-FR"/>
        </w:rPr>
        <w:t>Australie, l</w:t>
      </w:r>
      <w:r w:rsidR="000D310E" w:rsidRPr="00ED711A">
        <w:rPr>
          <w:szCs w:val="22"/>
          <w:lang w:val="fr-FR"/>
        </w:rPr>
        <w:t>’</w:t>
      </w:r>
      <w:r w:rsidRPr="00ED711A">
        <w:rPr>
          <w:szCs w:val="22"/>
          <w:lang w:val="fr-FR"/>
        </w:rPr>
        <w:t>Autriche, le Bahreïn, la Belgique, le Belize, le Bénin, la Bolivie (Etat plurinational de), la Bosnie Herzégovine, le Botswana, le Brésil, la Bulgarie, le Burkina Faso, le Burundi, le Cambodge, le Cameroun, le Canada, le Cap-Vert, le Chili, la Chine, Chypre, la Colombie, les Iles Cook, la Corée (République de), le Costa Rica, la Côte d</w:t>
      </w:r>
      <w:r w:rsidR="000D310E" w:rsidRPr="00ED711A">
        <w:rPr>
          <w:szCs w:val="22"/>
          <w:lang w:val="fr-FR"/>
        </w:rPr>
        <w:t>’</w:t>
      </w:r>
      <w:r w:rsidRPr="00ED711A">
        <w:rPr>
          <w:szCs w:val="22"/>
          <w:lang w:val="fr-FR"/>
        </w:rPr>
        <w:t>Ivoire, la Croatie, Cuba, le Danemark, Djibouti, la Dominique, El Salvador, les Emirats Arabes Unis, l</w:t>
      </w:r>
      <w:r w:rsidR="000D310E" w:rsidRPr="00ED711A">
        <w:rPr>
          <w:szCs w:val="22"/>
          <w:lang w:val="fr-FR"/>
        </w:rPr>
        <w:t>’</w:t>
      </w:r>
      <w:r w:rsidRPr="00ED711A">
        <w:rPr>
          <w:szCs w:val="22"/>
          <w:lang w:val="fr-FR"/>
        </w:rPr>
        <w:t>Equateur, l</w:t>
      </w:r>
      <w:r w:rsidR="000D310E" w:rsidRPr="00ED711A">
        <w:rPr>
          <w:szCs w:val="22"/>
          <w:lang w:val="fr-FR"/>
        </w:rPr>
        <w:t>’</w:t>
      </w:r>
      <w:r w:rsidRPr="00ED711A">
        <w:rPr>
          <w:szCs w:val="22"/>
          <w:lang w:val="fr-FR"/>
        </w:rPr>
        <w:t>Erythrée, l</w:t>
      </w:r>
      <w:r w:rsidR="000D310E" w:rsidRPr="00ED711A">
        <w:rPr>
          <w:szCs w:val="22"/>
          <w:lang w:val="fr-FR"/>
        </w:rPr>
        <w:t>’</w:t>
      </w:r>
      <w:r w:rsidRPr="00ED711A">
        <w:rPr>
          <w:szCs w:val="22"/>
          <w:lang w:val="fr-FR"/>
        </w:rPr>
        <w:t>Espagne, l</w:t>
      </w:r>
      <w:r w:rsidR="000D310E" w:rsidRPr="00ED711A">
        <w:rPr>
          <w:szCs w:val="22"/>
          <w:lang w:val="fr-FR"/>
        </w:rPr>
        <w:t>’</w:t>
      </w:r>
      <w:r w:rsidRPr="00ED711A">
        <w:rPr>
          <w:szCs w:val="22"/>
          <w:lang w:val="fr-FR"/>
        </w:rPr>
        <w:t>Estonie, l</w:t>
      </w:r>
      <w:r w:rsidR="000D310E" w:rsidRPr="00ED711A">
        <w:rPr>
          <w:szCs w:val="22"/>
          <w:lang w:val="fr-FR"/>
        </w:rPr>
        <w:t>’</w:t>
      </w:r>
      <w:r w:rsidRPr="00ED711A">
        <w:rPr>
          <w:szCs w:val="22"/>
          <w:lang w:val="fr-FR"/>
        </w:rPr>
        <w:t>Ethiopie, la Fédération de Russie, la Finlande, la France, le Gabon, la Gambie, la Géorgie, le Ghana, le Grèce, le Guatemala, la Guinée, la Guinée-Bissau, la Guinée équatoriale, la Guyane, le Honduras, la Hongrie, l</w:t>
      </w:r>
      <w:r w:rsidR="000D310E" w:rsidRPr="00ED711A">
        <w:rPr>
          <w:szCs w:val="22"/>
          <w:lang w:val="fr-FR"/>
        </w:rPr>
        <w:t>’</w:t>
      </w:r>
      <w:r w:rsidRPr="00ED711A">
        <w:rPr>
          <w:szCs w:val="22"/>
          <w:lang w:val="fr-FR"/>
        </w:rPr>
        <w:t>Inde, l</w:t>
      </w:r>
      <w:r w:rsidR="000D310E" w:rsidRPr="00ED711A">
        <w:rPr>
          <w:szCs w:val="22"/>
          <w:lang w:val="fr-FR"/>
        </w:rPr>
        <w:t>’</w:t>
      </w:r>
      <w:r w:rsidRPr="00ED711A">
        <w:rPr>
          <w:szCs w:val="22"/>
          <w:lang w:val="fr-FR"/>
        </w:rPr>
        <w:t>Indonésie, l</w:t>
      </w:r>
      <w:r w:rsidR="000D310E" w:rsidRPr="00ED711A">
        <w:rPr>
          <w:szCs w:val="22"/>
          <w:lang w:val="fr-FR"/>
        </w:rPr>
        <w:t>’</w:t>
      </w:r>
      <w:r w:rsidRPr="00ED711A">
        <w:rPr>
          <w:szCs w:val="22"/>
          <w:lang w:val="fr-FR"/>
        </w:rPr>
        <w:t>Iran (République islamique de), l</w:t>
      </w:r>
      <w:r w:rsidR="000D310E" w:rsidRPr="00ED711A">
        <w:rPr>
          <w:szCs w:val="22"/>
          <w:lang w:val="fr-FR"/>
        </w:rPr>
        <w:t>’</w:t>
      </w:r>
      <w:r w:rsidRPr="00ED711A">
        <w:rPr>
          <w:szCs w:val="22"/>
          <w:lang w:val="fr-FR"/>
        </w:rPr>
        <w:t>Irlande, l</w:t>
      </w:r>
      <w:r w:rsidR="000D310E" w:rsidRPr="00ED711A">
        <w:rPr>
          <w:szCs w:val="22"/>
          <w:lang w:val="fr-FR"/>
        </w:rPr>
        <w:t>’</w:t>
      </w:r>
      <w:r w:rsidRPr="00ED711A">
        <w:rPr>
          <w:szCs w:val="22"/>
          <w:lang w:val="fr-FR"/>
        </w:rPr>
        <w:t>Israël, l</w:t>
      </w:r>
      <w:r w:rsidR="000D310E" w:rsidRPr="00ED711A">
        <w:rPr>
          <w:szCs w:val="22"/>
          <w:lang w:val="fr-FR"/>
        </w:rPr>
        <w:t>’</w:t>
      </w:r>
      <w:r w:rsidRPr="00ED711A">
        <w:rPr>
          <w:szCs w:val="22"/>
          <w:lang w:val="fr-FR"/>
        </w:rPr>
        <w:t>Italie, la Jamaïque, le Japon, la Jordanie, le Kazakhstan, le Kenya, le Kirghizstan, le Kuwait, la Lettonie, le Liban, le Libéria, la Jamahiriya arabe libyenne, le Lesotho, le Liechtenstein, la Lituanie, le Luxembourg, Madagascar, la Malaisie, le Malawi, les Maldives, le Mali, le Maroc, les Iles Marshall, la Mauritanie, la Maurice, le Mexique, la Mongolie, le Monténégro, le Mozambique, la Namibie, le Népal, le Nicaragua, le Niger, le Nigeria, la Norvège, la Nouvelle Zélande, Oman, l</w:t>
      </w:r>
      <w:r w:rsidR="000D310E" w:rsidRPr="00ED711A">
        <w:rPr>
          <w:szCs w:val="22"/>
          <w:lang w:val="fr-FR"/>
        </w:rPr>
        <w:t>’</w:t>
      </w:r>
      <w:r w:rsidRPr="00ED711A">
        <w:rPr>
          <w:szCs w:val="22"/>
          <w:lang w:val="fr-FR"/>
        </w:rPr>
        <w:t>Ouganda, le Pakistan, le Panama, le Paraguay, les Pays-Bas, le Pérou, les Philippines, la Pologne, le Portugal, le Qatar, la République arabe syrienne, la République Démocratique du Congo, la République démocratique populaire lao, la République de Moldova, la République dominicaine, la République du Congo, la République populaire démocratique de la Corée, la République Tchèque, la République unie de la Tanzanie, l</w:t>
      </w:r>
      <w:r w:rsidR="000D310E" w:rsidRPr="00ED711A">
        <w:rPr>
          <w:szCs w:val="22"/>
          <w:lang w:val="fr-FR"/>
        </w:rPr>
        <w:t>’</w:t>
      </w:r>
      <w:r w:rsidRPr="00ED711A">
        <w:rPr>
          <w:szCs w:val="22"/>
          <w:lang w:val="fr-FR"/>
        </w:rPr>
        <w:t>ex-République yougoslave de Macédoine, la Roumanie, le Rwanda, le Royaume-Uni de Grande-Bretagne et d</w:t>
      </w:r>
      <w:r w:rsidR="000D310E" w:rsidRPr="00ED711A">
        <w:rPr>
          <w:szCs w:val="22"/>
          <w:lang w:val="fr-FR"/>
        </w:rPr>
        <w:t>’</w:t>
      </w:r>
      <w:r w:rsidRPr="00ED711A">
        <w:rPr>
          <w:szCs w:val="22"/>
          <w:lang w:val="fr-FR"/>
        </w:rPr>
        <w:t>Irlande du nord, Saint-Kitts-et-Nevis, Saint-Vincent-et-les-Grenadines, les Samoa, Sao Tomé-et-Principe, le Sénégal, la Serbie, Singapour, la Slovaquie, la Slovénie, la Somalie, le Soudan, le Sri Lanka, la Suède, la Suisse, le Suriname, le Swaziland, le Tchad, la Thaïlande, le Togo, les Tonga, Trinité-et-Tobago, la Tunisie, l</w:t>
      </w:r>
      <w:r w:rsidR="000D310E" w:rsidRPr="00ED711A">
        <w:rPr>
          <w:szCs w:val="22"/>
          <w:lang w:val="fr-FR"/>
        </w:rPr>
        <w:t>’</w:t>
      </w:r>
      <w:r w:rsidRPr="00ED711A">
        <w:rPr>
          <w:szCs w:val="22"/>
          <w:lang w:val="fr-FR"/>
        </w:rPr>
        <w:t>Ukraine, l</w:t>
      </w:r>
      <w:r w:rsidR="000D310E" w:rsidRPr="00ED711A">
        <w:rPr>
          <w:szCs w:val="22"/>
          <w:lang w:val="fr-FR"/>
        </w:rPr>
        <w:t>’</w:t>
      </w:r>
      <w:r w:rsidRPr="00ED711A">
        <w:rPr>
          <w:szCs w:val="22"/>
          <w:lang w:val="fr-FR"/>
        </w:rPr>
        <w:t>Union européenne, l</w:t>
      </w:r>
      <w:r w:rsidR="000D310E" w:rsidRPr="00ED711A">
        <w:rPr>
          <w:szCs w:val="22"/>
          <w:lang w:val="fr-FR"/>
        </w:rPr>
        <w:t>’</w:t>
      </w:r>
      <w:r w:rsidRPr="00ED711A">
        <w:rPr>
          <w:szCs w:val="22"/>
          <w:lang w:val="fr-FR"/>
        </w:rPr>
        <w:t>Uruguay, le Venezuela (République bolivarienne de), le Viêt Nam, le Yémen, la Zambie et le Zimbabwe.</w:t>
      </w:r>
    </w:p>
    <w:p w:rsidR="003B4B59" w:rsidRPr="00ED711A" w:rsidRDefault="003B4B59" w:rsidP="00F77287">
      <w:pPr>
        <w:pStyle w:val="BodyText2"/>
        <w:ind w:right="0"/>
        <w:rPr>
          <w:rFonts w:eastAsia="Arial"/>
          <w:szCs w:val="22"/>
          <w:lang w:val="fr-FR"/>
        </w:rPr>
      </w:pPr>
    </w:p>
    <w:p w:rsidR="003B4B59" w:rsidRPr="00ED711A" w:rsidRDefault="003B4B59" w:rsidP="00F77287">
      <w:pPr>
        <w:pStyle w:val="BodyText2"/>
        <w:ind w:right="0"/>
        <w:rPr>
          <w:rFonts w:eastAsia="Arial"/>
          <w:szCs w:val="22"/>
          <w:lang w:val="fr-FR"/>
        </w:rPr>
      </w:pPr>
      <w:r w:rsidRPr="00ED711A">
        <w:rPr>
          <w:szCs w:val="22"/>
          <w:lang w:val="fr-FR"/>
        </w:rPr>
        <w:t>Pour les Parties auxquelles la Convention est entrée en vigueur après le 31 octobre 2016, tous les renseignements apparaîtront dans la prochaine Circulaire PIC.</w:t>
      </w:r>
    </w:p>
    <w:p w:rsidR="003B4B59" w:rsidRPr="00ED711A" w:rsidRDefault="003B4B59" w:rsidP="00F77287">
      <w:pPr>
        <w:pStyle w:val="BodyText2"/>
        <w:ind w:right="0"/>
        <w:rPr>
          <w:rFonts w:eastAsia="Arial"/>
          <w:szCs w:val="22"/>
          <w:lang w:val="fr-FR"/>
        </w:rPr>
      </w:pPr>
    </w:p>
    <w:p w:rsidR="007E15AB" w:rsidRPr="00ED711A" w:rsidRDefault="003B4B59" w:rsidP="00F77287">
      <w:pPr>
        <w:jc w:val="both"/>
        <w:rPr>
          <w:snapToGrid w:val="0"/>
          <w:sz w:val="22"/>
          <w:szCs w:val="22"/>
          <w:lang w:val="fr-CH"/>
        </w:rPr>
      </w:pPr>
      <w:r w:rsidRPr="00ED711A">
        <w:rPr>
          <w:sz w:val="22"/>
          <w:szCs w:val="22"/>
          <w:lang w:val="fr-FR"/>
        </w:rPr>
        <w:t>Si vous désirez avoir une liste complète et ajournée des Etats et des organisations régionales d</w:t>
      </w:r>
      <w:r w:rsidR="000D310E" w:rsidRPr="00ED711A">
        <w:rPr>
          <w:sz w:val="22"/>
          <w:szCs w:val="22"/>
          <w:lang w:val="fr-FR"/>
        </w:rPr>
        <w:t>’</w:t>
      </w:r>
      <w:r w:rsidRPr="00ED711A">
        <w:rPr>
          <w:sz w:val="22"/>
          <w:szCs w:val="22"/>
          <w:lang w:val="fr-FR"/>
        </w:rPr>
        <w:t xml:space="preserve">intégration économique ayant consentis à être liés à  la Convention de Rotterdam vous pouvez consulter le site web de la Convention </w:t>
      </w:r>
      <w:r w:rsidR="00BD3BEA" w:rsidRPr="00ED711A">
        <w:rPr>
          <w:sz w:val="22"/>
          <w:szCs w:val="22"/>
          <w:lang w:val="fr-FR"/>
        </w:rPr>
        <w:t>(</w:t>
      </w:r>
      <w:hyperlink r:id="rId32" w:history="1">
        <w:r w:rsidR="00BD3BEA" w:rsidRPr="00676EE7">
          <w:rPr>
            <w:rStyle w:val="Hyperlink"/>
            <w:sz w:val="22"/>
            <w:szCs w:val="22"/>
            <w:lang w:val="fr-FR"/>
          </w:rPr>
          <w:t>www.pic.int</w:t>
        </w:r>
      </w:hyperlink>
      <w:r w:rsidR="00BD3BEA" w:rsidRPr="00ED711A">
        <w:rPr>
          <w:sz w:val="22"/>
          <w:szCs w:val="22"/>
          <w:lang w:val="fr-FR"/>
        </w:rPr>
        <w:t>)</w:t>
      </w:r>
      <w:r w:rsidRPr="00ED711A">
        <w:rPr>
          <w:sz w:val="22"/>
          <w:szCs w:val="22"/>
          <w:lang w:val="fr-FR"/>
        </w:rPr>
        <w:t>.</w:t>
      </w:r>
    </w:p>
    <w:p w:rsidR="001F3F1A" w:rsidRPr="00ED711A" w:rsidRDefault="001F3F1A" w:rsidP="00F77287">
      <w:pPr>
        <w:jc w:val="both"/>
        <w:rPr>
          <w:snapToGrid w:val="0"/>
          <w:sz w:val="22"/>
          <w:szCs w:val="22"/>
          <w:lang w:val="fr-CH"/>
        </w:rPr>
      </w:pPr>
    </w:p>
    <w:p w:rsidR="001F3F1A" w:rsidRPr="00ED711A" w:rsidRDefault="001F3F1A" w:rsidP="00F77287">
      <w:pPr>
        <w:ind w:left="720" w:hanging="720"/>
        <w:jc w:val="both"/>
        <w:outlineLvl w:val="1"/>
        <w:rPr>
          <w:b/>
          <w:snapToGrid w:val="0"/>
          <w:sz w:val="22"/>
          <w:szCs w:val="22"/>
          <w:lang w:val="fr-CH"/>
        </w:rPr>
      </w:pPr>
      <w:bookmarkStart w:id="113" w:name="_Toc469005597"/>
      <w:r w:rsidRPr="00ED711A">
        <w:rPr>
          <w:b/>
          <w:snapToGrid w:val="0"/>
          <w:sz w:val="22"/>
          <w:szCs w:val="22"/>
          <w:lang w:val="fr-CH"/>
        </w:rPr>
        <w:t>3.2</w:t>
      </w:r>
      <w:r w:rsidRPr="00ED711A">
        <w:rPr>
          <w:b/>
          <w:snapToGrid w:val="0"/>
          <w:sz w:val="22"/>
          <w:szCs w:val="22"/>
          <w:lang w:val="fr-CH"/>
        </w:rPr>
        <w:tab/>
      </w:r>
      <w:r w:rsidR="00947A9A" w:rsidRPr="00ED711A">
        <w:rPr>
          <w:b/>
          <w:snapToGrid w:val="0"/>
          <w:sz w:val="22"/>
          <w:szCs w:val="22"/>
          <w:lang w:val="fr-CH"/>
        </w:rPr>
        <w:t>Liste des documents et publications disponibles relatifs à la mise ne oeuvre de la Con-vention de Rotterdam</w:t>
      </w:r>
      <w:bookmarkEnd w:id="104"/>
      <w:bookmarkEnd w:id="105"/>
      <w:bookmarkEnd w:id="106"/>
      <w:bookmarkEnd w:id="107"/>
      <w:bookmarkEnd w:id="108"/>
      <w:bookmarkEnd w:id="109"/>
      <w:bookmarkEnd w:id="110"/>
      <w:bookmarkEnd w:id="111"/>
      <w:bookmarkEnd w:id="112"/>
      <w:bookmarkEnd w:id="113"/>
    </w:p>
    <w:p w:rsidR="001F3F1A" w:rsidRPr="00ED711A" w:rsidRDefault="001F3F1A" w:rsidP="00F77287">
      <w:pPr>
        <w:jc w:val="both"/>
        <w:rPr>
          <w:snapToGrid w:val="0"/>
          <w:sz w:val="22"/>
          <w:szCs w:val="22"/>
          <w:lang w:val="fr-CH"/>
        </w:rPr>
      </w:pPr>
    </w:p>
    <w:p w:rsidR="00947A9A" w:rsidRPr="00ED711A" w:rsidRDefault="00947A9A" w:rsidP="00F77287">
      <w:pPr>
        <w:pStyle w:val="BodyTextIndent3"/>
        <w:ind w:right="0" w:firstLine="0"/>
        <w:rPr>
          <w:rFonts w:eastAsia="Arial"/>
          <w:szCs w:val="22"/>
          <w:lang w:val="fr-FR"/>
        </w:rPr>
      </w:pPr>
      <w:r w:rsidRPr="00ED711A">
        <w:rPr>
          <w:szCs w:val="22"/>
          <w:lang w:val="fr-FR"/>
        </w:rPr>
        <w:t xml:space="preserve">Les documents ci-après sont liés à la mise en œuvre de la Convention de Rotterdam.Ils peuvent être obtenus sur le site web de la Convention de Rotterdam </w:t>
      </w:r>
      <w:r w:rsidR="00BD3BEA" w:rsidRPr="00ED711A">
        <w:rPr>
          <w:szCs w:val="22"/>
          <w:lang w:val="fr-FR"/>
        </w:rPr>
        <w:t>(</w:t>
      </w:r>
      <w:hyperlink r:id="rId33" w:history="1">
        <w:r w:rsidR="00BD3BEA" w:rsidRPr="00676EE7">
          <w:rPr>
            <w:rStyle w:val="Hyperlink"/>
            <w:szCs w:val="22"/>
            <w:lang w:val="fr-FR"/>
          </w:rPr>
          <w:t>www.pic.int</w:t>
        </w:r>
      </w:hyperlink>
      <w:r w:rsidR="00BD3BEA" w:rsidRPr="00ED711A">
        <w:rPr>
          <w:szCs w:val="22"/>
          <w:lang w:val="fr-FR"/>
        </w:rPr>
        <w:t>)</w:t>
      </w:r>
      <w:r w:rsidRPr="00ED711A">
        <w:rPr>
          <w:szCs w:val="22"/>
          <w:lang w:val="fr-FR"/>
        </w:rPr>
        <w:t xml:space="preserve"> ou sur demande auprès du Secrétariat </w:t>
      </w:r>
      <w:r w:rsidR="00BD3BEA" w:rsidRPr="00ED711A">
        <w:rPr>
          <w:szCs w:val="22"/>
          <w:lang w:val="fr-FR"/>
        </w:rPr>
        <w:t>(</w:t>
      </w:r>
      <w:hyperlink r:id="rId34" w:history="1">
        <w:r w:rsidR="00BD3BEA" w:rsidRPr="00BD3BEA">
          <w:rPr>
            <w:color w:val="0000FF"/>
            <w:szCs w:val="22"/>
            <w:u w:val="single"/>
            <w:lang w:val="fr-CH"/>
          </w:rPr>
          <w:t>pic@fao.org</w:t>
        </w:r>
      </w:hyperlink>
      <w:r w:rsidR="00BD3BEA" w:rsidRPr="00ED711A">
        <w:rPr>
          <w:szCs w:val="22"/>
          <w:lang w:val="fr-FR"/>
        </w:rPr>
        <w:t xml:space="preserve"> ou </w:t>
      </w:r>
      <w:hyperlink r:id="rId35" w:history="1">
        <w:r w:rsidR="00BD3BEA" w:rsidRPr="00BD3BEA">
          <w:rPr>
            <w:color w:val="0000FF"/>
            <w:szCs w:val="22"/>
            <w:u w:val="single"/>
            <w:lang w:val="fr-CH"/>
          </w:rPr>
          <w:t>pic@pic.int</w:t>
        </w:r>
      </w:hyperlink>
      <w:r w:rsidR="00BD3BEA" w:rsidRPr="00ED711A">
        <w:rPr>
          <w:lang w:val="fr-CH"/>
        </w:rPr>
        <w:t xml:space="preserve"> et </w:t>
      </w:r>
      <w:hyperlink r:id="rId36" w:history="1">
        <w:r w:rsidR="00BD3BEA" w:rsidRPr="00BD3BEA">
          <w:rPr>
            <w:rStyle w:val="Hyperlink"/>
            <w:szCs w:val="22"/>
            <w:lang w:val="fr-CH"/>
          </w:rPr>
          <w:t>pic@brsmeas.org</w:t>
        </w:r>
      </w:hyperlink>
      <w:r w:rsidR="00BD3BEA" w:rsidRPr="00ED711A">
        <w:rPr>
          <w:szCs w:val="22"/>
          <w:lang w:val="fr-FR"/>
        </w:rPr>
        <w:t>)</w:t>
      </w:r>
      <w:r w:rsidRPr="00ED711A">
        <w:rPr>
          <w:szCs w:val="22"/>
          <w:lang w:val="fr-FR"/>
        </w:rPr>
        <w:t xml:space="preserve">: </w:t>
      </w:r>
    </w:p>
    <w:p w:rsidR="00947A9A" w:rsidRPr="00ED711A" w:rsidRDefault="00947A9A" w:rsidP="00F77287">
      <w:pPr>
        <w:pStyle w:val="BodyTextIndent3"/>
        <w:ind w:right="0" w:firstLine="0"/>
        <w:rPr>
          <w:rFonts w:eastAsia="Arial"/>
          <w:szCs w:val="22"/>
          <w:lang w:val="fr-FR"/>
        </w:rPr>
      </w:pPr>
    </w:p>
    <w:p w:rsidR="00947A9A" w:rsidRPr="00ED711A" w:rsidRDefault="00947A9A" w:rsidP="00931C02">
      <w:pPr>
        <w:pStyle w:val="BodyTextIndent3"/>
        <w:numPr>
          <w:ilvl w:val="0"/>
          <w:numId w:val="17"/>
        </w:numPr>
        <w:pBdr>
          <w:top w:val="nil"/>
          <w:left w:val="nil"/>
          <w:bottom w:val="nil"/>
          <w:right w:val="nil"/>
          <w:between w:val="nil"/>
          <w:bar w:val="nil"/>
        </w:pBdr>
        <w:spacing w:after="120"/>
        <w:ind w:right="0"/>
        <w:rPr>
          <w:rFonts w:eastAsia="Arial"/>
          <w:szCs w:val="22"/>
          <w:lang w:val="fr-FR"/>
        </w:rPr>
      </w:pPr>
      <w:r w:rsidRPr="00ED711A">
        <w:rPr>
          <w:szCs w:val="22"/>
          <w:lang w:val="fr-FR"/>
        </w:rPr>
        <w:t>Convention de Rotterdam sur la procédure de consentement préalable en connaissance de cause applicable à certains produits chimiques et pesticides dangereux qui font l</w:t>
      </w:r>
      <w:r w:rsidR="000D310E" w:rsidRPr="00ED711A">
        <w:rPr>
          <w:szCs w:val="22"/>
          <w:lang w:val="fr-FR"/>
        </w:rPr>
        <w:t>’</w:t>
      </w:r>
      <w:r w:rsidRPr="00ED711A">
        <w:rPr>
          <w:szCs w:val="22"/>
          <w:lang w:val="fr-FR"/>
        </w:rPr>
        <w:t>objet d</w:t>
      </w:r>
      <w:r w:rsidR="000D310E" w:rsidRPr="00ED711A">
        <w:rPr>
          <w:szCs w:val="22"/>
          <w:lang w:val="fr-FR"/>
        </w:rPr>
        <w:t>’</w:t>
      </w:r>
      <w:r w:rsidRPr="00ED711A">
        <w:rPr>
          <w:szCs w:val="22"/>
          <w:lang w:val="fr-FR"/>
        </w:rPr>
        <w:t>un commerce international (</w:t>
      </w:r>
      <w:r w:rsidRPr="00ED711A">
        <w:rPr>
          <w:i/>
          <w:iCs/>
          <w:szCs w:val="22"/>
          <w:lang w:val="fr-FR"/>
        </w:rPr>
        <w:t>disponible en arabe, anglais, chinois, espagnol, français et russe</w:t>
      </w:r>
      <w:r w:rsidRPr="00ED711A">
        <w:rPr>
          <w:szCs w:val="22"/>
          <w:lang w:val="fr-FR"/>
        </w:rPr>
        <w:t>);</w:t>
      </w:r>
    </w:p>
    <w:p w:rsidR="00947A9A" w:rsidRPr="00ED711A" w:rsidRDefault="00947A9A" w:rsidP="00931C02">
      <w:pPr>
        <w:pStyle w:val="BodyTextIndent3"/>
        <w:numPr>
          <w:ilvl w:val="0"/>
          <w:numId w:val="17"/>
        </w:numPr>
        <w:pBdr>
          <w:top w:val="nil"/>
          <w:left w:val="nil"/>
          <w:bottom w:val="nil"/>
          <w:right w:val="nil"/>
          <w:between w:val="nil"/>
          <w:bar w:val="nil"/>
        </w:pBdr>
        <w:spacing w:after="120"/>
        <w:ind w:right="0"/>
        <w:rPr>
          <w:rFonts w:eastAsia="Arial"/>
          <w:szCs w:val="22"/>
          <w:lang w:val="fr-FR"/>
        </w:rPr>
      </w:pPr>
      <w:r w:rsidRPr="00ED711A">
        <w:rPr>
          <w:szCs w:val="22"/>
          <w:lang w:val="fr-FR"/>
        </w:rPr>
        <w:t>Documents d</w:t>
      </w:r>
      <w:r w:rsidR="000D310E" w:rsidRPr="00ED711A">
        <w:rPr>
          <w:szCs w:val="22"/>
          <w:lang w:val="fr-FR"/>
        </w:rPr>
        <w:t>’</w:t>
      </w:r>
      <w:r w:rsidRPr="00ED711A">
        <w:rPr>
          <w:szCs w:val="22"/>
          <w:lang w:val="fr-FR"/>
        </w:rPr>
        <w:t>orientation des décisions concernant chaque produit chimique à l</w:t>
      </w:r>
      <w:r w:rsidR="000D310E" w:rsidRPr="00ED711A">
        <w:rPr>
          <w:szCs w:val="22"/>
          <w:lang w:val="fr-FR"/>
        </w:rPr>
        <w:t>’</w:t>
      </w:r>
      <w:r w:rsidR="00DE65F4" w:rsidRPr="00ED711A">
        <w:rPr>
          <w:szCs w:val="22"/>
          <w:lang w:val="fr-FR"/>
        </w:rPr>
        <w:t>annexe III</w:t>
      </w:r>
      <w:r w:rsidRPr="00ED711A">
        <w:rPr>
          <w:szCs w:val="22"/>
          <w:lang w:val="fr-FR"/>
        </w:rPr>
        <w:t xml:space="preserve"> de la Convention (</w:t>
      </w:r>
      <w:r w:rsidRPr="00ED711A">
        <w:rPr>
          <w:i/>
          <w:iCs/>
          <w:szCs w:val="22"/>
          <w:lang w:val="fr-FR"/>
        </w:rPr>
        <w:t>disponible en anglais, français et espagnol</w:t>
      </w:r>
      <w:r w:rsidRPr="00ED711A">
        <w:rPr>
          <w:szCs w:val="22"/>
          <w:lang w:val="fr-FR"/>
        </w:rPr>
        <w:t xml:space="preserve">); </w:t>
      </w:r>
    </w:p>
    <w:p w:rsidR="00947A9A" w:rsidRPr="00ED711A" w:rsidRDefault="00947A9A" w:rsidP="00931C02">
      <w:pPr>
        <w:pStyle w:val="BodyTextIndent3"/>
        <w:numPr>
          <w:ilvl w:val="0"/>
          <w:numId w:val="17"/>
        </w:numPr>
        <w:pBdr>
          <w:top w:val="nil"/>
          <w:left w:val="nil"/>
          <w:bottom w:val="nil"/>
          <w:right w:val="nil"/>
          <w:between w:val="nil"/>
          <w:bar w:val="nil"/>
        </w:pBdr>
        <w:spacing w:after="120"/>
        <w:ind w:right="0"/>
        <w:rPr>
          <w:rFonts w:eastAsia="Arial"/>
          <w:szCs w:val="22"/>
          <w:lang w:val="fr-FR"/>
        </w:rPr>
      </w:pPr>
      <w:r w:rsidRPr="00ED711A">
        <w:rPr>
          <w:szCs w:val="22"/>
          <w:lang w:val="fr-FR"/>
        </w:rPr>
        <w:t>Formulaire et renseignements pour les notifications de mesures de réglementation finales visant à interdire ou à strictement réglementer un produit chimique (</w:t>
      </w:r>
      <w:r w:rsidRPr="00ED711A">
        <w:rPr>
          <w:i/>
          <w:iCs/>
          <w:szCs w:val="22"/>
          <w:lang w:val="fr-FR"/>
        </w:rPr>
        <w:t>disponible en anglais, français et espagnol</w:t>
      </w:r>
      <w:r w:rsidRPr="00ED711A">
        <w:rPr>
          <w:szCs w:val="22"/>
          <w:lang w:val="fr-FR"/>
        </w:rPr>
        <w:t xml:space="preserve">); </w:t>
      </w:r>
    </w:p>
    <w:p w:rsidR="00947A9A" w:rsidRPr="00ED711A" w:rsidRDefault="00947A9A" w:rsidP="00931C02">
      <w:pPr>
        <w:pStyle w:val="BodyTextIndent3"/>
        <w:numPr>
          <w:ilvl w:val="0"/>
          <w:numId w:val="17"/>
        </w:numPr>
        <w:pBdr>
          <w:top w:val="nil"/>
          <w:left w:val="nil"/>
          <w:bottom w:val="nil"/>
          <w:right w:val="nil"/>
          <w:between w:val="nil"/>
          <w:bar w:val="nil"/>
        </w:pBdr>
        <w:tabs>
          <w:tab w:val="num" w:pos="720"/>
        </w:tabs>
        <w:spacing w:after="120"/>
        <w:ind w:right="0"/>
        <w:rPr>
          <w:rFonts w:eastAsia="Arial"/>
          <w:szCs w:val="22"/>
          <w:lang w:val="fr-FR"/>
        </w:rPr>
      </w:pPr>
      <w:r w:rsidRPr="00ED711A">
        <w:rPr>
          <w:szCs w:val="22"/>
          <w:lang w:val="fr-FR"/>
        </w:rPr>
        <w:t>Formulaire et renseignements pour les réponses concernant l</w:t>
      </w:r>
      <w:r w:rsidR="000D310E" w:rsidRPr="00ED711A">
        <w:rPr>
          <w:szCs w:val="22"/>
          <w:lang w:val="fr-FR"/>
        </w:rPr>
        <w:t>’</w:t>
      </w:r>
      <w:r w:rsidRPr="00ED711A">
        <w:rPr>
          <w:szCs w:val="22"/>
          <w:lang w:val="fr-FR"/>
        </w:rPr>
        <w:t>importation (</w:t>
      </w:r>
      <w:r w:rsidRPr="00ED711A">
        <w:rPr>
          <w:i/>
          <w:iCs/>
          <w:szCs w:val="22"/>
          <w:lang w:val="fr-FR"/>
        </w:rPr>
        <w:t>disponible en anglais, français et espagnol</w:t>
      </w:r>
      <w:r w:rsidRPr="00ED711A">
        <w:rPr>
          <w:szCs w:val="22"/>
          <w:lang w:val="fr-FR"/>
        </w:rPr>
        <w:t xml:space="preserve">); </w:t>
      </w:r>
    </w:p>
    <w:p w:rsidR="00947A9A" w:rsidRPr="00ED711A" w:rsidRDefault="00947A9A" w:rsidP="00931C02">
      <w:pPr>
        <w:pStyle w:val="BodyTextIndent3"/>
        <w:numPr>
          <w:ilvl w:val="0"/>
          <w:numId w:val="17"/>
        </w:numPr>
        <w:pBdr>
          <w:top w:val="nil"/>
          <w:left w:val="nil"/>
          <w:bottom w:val="nil"/>
          <w:right w:val="nil"/>
          <w:between w:val="nil"/>
          <w:bar w:val="nil"/>
        </w:pBdr>
        <w:tabs>
          <w:tab w:val="num" w:pos="720"/>
        </w:tabs>
        <w:spacing w:after="120"/>
        <w:ind w:right="0"/>
        <w:rPr>
          <w:rFonts w:eastAsia="Arial"/>
          <w:szCs w:val="22"/>
          <w:lang w:val="fr-FR"/>
        </w:rPr>
      </w:pPr>
      <w:r w:rsidRPr="00ED711A">
        <w:rPr>
          <w:szCs w:val="22"/>
          <w:lang w:val="fr-FR"/>
        </w:rPr>
        <w:lastRenderedPageBreak/>
        <w:t>Formulaires et renseignements pour rapport sur les incidents de santé humaine et les incidents environnementaux concernant les préparations pesticides extrêmement dangereuses (PPED) (</w:t>
      </w:r>
      <w:r w:rsidRPr="00ED711A">
        <w:rPr>
          <w:i/>
          <w:iCs/>
          <w:szCs w:val="22"/>
          <w:lang w:val="fr-FR"/>
        </w:rPr>
        <w:t>disponible en anglais, français et espagnol</w:t>
      </w:r>
      <w:r w:rsidRPr="00ED711A">
        <w:rPr>
          <w:szCs w:val="22"/>
          <w:lang w:val="fr-FR"/>
        </w:rPr>
        <w:t>);</w:t>
      </w:r>
    </w:p>
    <w:p w:rsidR="00947A9A" w:rsidRPr="00ED711A" w:rsidRDefault="00947A9A" w:rsidP="00931C02">
      <w:pPr>
        <w:pStyle w:val="BodyTextIndent3"/>
        <w:numPr>
          <w:ilvl w:val="0"/>
          <w:numId w:val="17"/>
        </w:numPr>
        <w:pBdr>
          <w:top w:val="nil"/>
          <w:left w:val="nil"/>
          <w:bottom w:val="nil"/>
          <w:right w:val="nil"/>
          <w:between w:val="nil"/>
          <w:bar w:val="nil"/>
        </w:pBdr>
        <w:tabs>
          <w:tab w:val="num" w:pos="720"/>
        </w:tabs>
        <w:spacing w:after="120"/>
        <w:ind w:right="0"/>
        <w:rPr>
          <w:rFonts w:eastAsia="Arial"/>
          <w:szCs w:val="22"/>
          <w:lang w:val="fr-FR"/>
        </w:rPr>
      </w:pPr>
      <w:r w:rsidRPr="00ED711A">
        <w:rPr>
          <w:szCs w:val="22"/>
          <w:lang w:val="fr-FR"/>
        </w:rPr>
        <w:t>Formulaire et renseignements pour les notifications d</w:t>
      </w:r>
      <w:r w:rsidR="000D310E" w:rsidRPr="00ED711A">
        <w:rPr>
          <w:szCs w:val="22"/>
          <w:lang w:val="fr-FR"/>
        </w:rPr>
        <w:t>’</w:t>
      </w:r>
      <w:r w:rsidRPr="00ED711A">
        <w:rPr>
          <w:szCs w:val="22"/>
          <w:lang w:val="fr-FR"/>
        </w:rPr>
        <w:t>exportation (</w:t>
      </w:r>
      <w:r w:rsidRPr="00ED711A">
        <w:rPr>
          <w:i/>
          <w:iCs/>
          <w:szCs w:val="22"/>
          <w:lang w:val="fr-FR"/>
        </w:rPr>
        <w:t>disponible en anglais, français et espagnol</w:t>
      </w:r>
      <w:r w:rsidRPr="00ED711A">
        <w:rPr>
          <w:szCs w:val="22"/>
          <w:lang w:val="fr-FR"/>
        </w:rPr>
        <w:t>);</w:t>
      </w:r>
    </w:p>
    <w:p w:rsidR="00947A9A" w:rsidRPr="00ED711A" w:rsidRDefault="00947A9A" w:rsidP="00931C02">
      <w:pPr>
        <w:pStyle w:val="BodyTextIndent3"/>
        <w:numPr>
          <w:ilvl w:val="0"/>
          <w:numId w:val="17"/>
        </w:numPr>
        <w:pBdr>
          <w:top w:val="nil"/>
          <w:left w:val="nil"/>
          <w:bottom w:val="nil"/>
          <w:right w:val="nil"/>
          <w:between w:val="nil"/>
          <w:bar w:val="nil"/>
        </w:pBdr>
        <w:tabs>
          <w:tab w:val="num" w:pos="1080"/>
        </w:tabs>
        <w:spacing w:after="120"/>
        <w:ind w:right="0"/>
        <w:rPr>
          <w:rFonts w:eastAsia="Arial"/>
          <w:szCs w:val="22"/>
          <w:lang w:val="fr-FR"/>
        </w:rPr>
      </w:pPr>
      <w:r w:rsidRPr="00ED711A">
        <w:rPr>
          <w:szCs w:val="22"/>
          <w:lang w:val="fr-FR"/>
        </w:rPr>
        <w:t>Formulaire pour la désignation d</w:t>
      </w:r>
      <w:r w:rsidR="000D310E" w:rsidRPr="00ED711A">
        <w:rPr>
          <w:szCs w:val="22"/>
          <w:lang w:val="fr-FR"/>
        </w:rPr>
        <w:t>’</w:t>
      </w:r>
      <w:r w:rsidRPr="00ED711A">
        <w:rPr>
          <w:szCs w:val="22"/>
          <w:lang w:val="fr-FR"/>
        </w:rPr>
        <w:t>une Autorité Nationale désignées (</w:t>
      </w:r>
      <w:r w:rsidRPr="00ED711A">
        <w:rPr>
          <w:i/>
          <w:iCs/>
          <w:szCs w:val="22"/>
          <w:lang w:val="fr-FR"/>
        </w:rPr>
        <w:t>disponible en anglais, français et espagnol</w:t>
      </w:r>
      <w:r w:rsidRPr="00ED711A">
        <w:rPr>
          <w:szCs w:val="22"/>
          <w:lang w:val="fr-FR"/>
        </w:rPr>
        <w:t>);</w:t>
      </w:r>
    </w:p>
    <w:p w:rsidR="00947A9A" w:rsidRPr="00ED711A" w:rsidRDefault="00947A9A" w:rsidP="00931C02">
      <w:pPr>
        <w:pStyle w:val="BodyTextIndent3"/>
        <w:numPr>
          <w:ilvl w:val="0"/>
          <w:numId w:val="17"/>
        </w:numPr>
        <w:pBdr>
          <w:top w:val="nil"/>
          <w:left w:val="nil"/>
          <w:bottom w:val="nil"/>
          <w:right w:val="nil"/>
          <w:between w:val="nil"/>
          <w:bar w:val="nil"/>
        </w:pBdr>
        <w:tabs>
          <w:tab w:val="num" w:pos="720"/>
        </w:tabs>
        <w:spacing w:after="120"/>
        <w:ind w:right="0"/>
        <w:rPr>
          <w:rFonts w:eastAsia="Arial"/>
          <w:szCs w:val="22"/>
          <w:lang w:val="fr-FR"/>
        </w:rPr>
      </w:pPr>
      <w:r w:rsidRPr="00ED711A">
        <w:rPr>
          <w:szCs w:val="22"/>
          <w:lang w:val="fr-FR"/>
        </w:rPr>
        <w:t>Registre des Autorités Nationales Désignées pour la Convention de Rotterdam (</w:t>
      </w:r>
      <w:r w:rsidRPr="00ED711A">
        <w:rPr>
          <w:i/>
          <w:iCs/>
          <w:szCs w:val="22"/>
          <w:lang w:val="fr-FR"/>
        </w:rPr>
        <w:t>disponible en anglais</w:t>
      </w:r>
      <w:r w:rsidRPr="00ED711A">
        <w:rPr>
          <w:szCs w:val="22"/>
          <w:lang w:val="fr-FR"/>
        </w:rPr>
        <w:t>);</w:t>
      </w:r>
    </w:p>
    <w:p w:rsidR="001F3F1A" w:rsidRPr="00ED711A" w:rsidRDefault="00947A9A" w:rsidP="00931C02">
      <w:pPr>
        <w:pStyle w:val="BodyTextIndent3"/>
        <w:numPr>
          <w:ilvl w:val="0"/>
          <w:numId w:val="17"/>
        </w:numPr>
        <w:pBdr>
          <w:top w:val="nil"/>
          <w:left w:val="nil"/>
          <w:bottom w:val="nil"/>
          <w:right w:val="nil"/>
          <w:between w:val="nil"/>
          <w:bar w:val="nil"/>
        </w:pBdr>
        <w:tabs>
          <w:tab w:val="num" w:pos="720"/>
        </w:tabs>
        <w:spacing w:after="120"/>
        <w:ind w:right="0"/>
        <w:rPr>
          <w:rFonts w:eastAsia="Arial"/>
          <w:szCs w:val="22"/>
          <w:lang w:val="fr-FR"/>
        </w:rPr>
      </w:pPr>
      <w:r w:rsidRPr="00ED711A">
        <w:rPr>
          <w:szCs w:val="22"/>
          <w:lang w:val="fr-FR"/>
        </w:rPr>
        <w:t>Toutes les Circulaires PIC précédentes (</w:t>
      </w:r>
      <w:r w:rsidRPr="00ED711A">
        <w:rPr>
          <w:i/>
          <w:iCs/>
          <w:szCs w:val="22"/>
          <w:lang w:val="fr-FR"/>
        </w:rPr>
        <w:t>anglais, français et espagnol</w:t>
      </w:r>
      <w:r w:rsidRPr="00ED711A">
        <w:rPr>
          <w:szCs w:val="22"/>
          <w:lang w:val="fr-FR"/>
        </w:rPr>
        <w:t>)</w:t>
      </w:r>
      <w:r w:rsidR="001F3F1A" w:rsidRPr="00ED711A">
        <w:rPr>
          <w:i/>
          <w:szCs w:val="22"/>
          <w:lang w:val="fr-CH"/>
        </w:rPr>
        <w:t>.</w:t>
      </w:r>
    </w:p>
    <w:p w:rsidR="001F3F1A" w:rsidRPr="00ED711A" w:rsidRDefault="001F3F1A" w:rsidP="007973B8">
      <w:pPr>
        <w:jc w:val="both"/>
        <w:rPr>
          <w:snapToGrid w:val="0"/>
          <w:sz w:val="22"/>
          <w:szCs w:val="22"/>
          <w:lang w:val="fr-CH"/>
        </w:rPr>
      </w:pPr>
    </w:p>
    <w:p w:rsidR="001F3F1A" w:rsidRPr="00ED711A" w:rsidRDefault="001F3F1A" w:rsidP="007973B8">
      <w:pPr>
        <w:jc w:val="both"/>
        <w:outlineLvl w:val="1"/>
        <w:rPr>
          <w:b/>
          <w:snapToGrid w:val="0"/>
          <w:sz w:val="22"/>
          <w:szCs w:val="22"/>
          <w:lang w:val="fr-CH"/>
        </w:rPr>
      </w:pPr>
      <w:bookmarkStart w:id="114" w:name="_Toc264393117"/>
      <w:bookmarkStart w:id="115" w:name="_Toc264391970"/>
      <w:bookmarkStart w:id="116" w:name="_Toc469005598"/>
      <w:r w:rsidRPr="00ED711A">
        <w:rPr>
          <w:b/>
          <w:snapToGrid w:val="0"/>
          <w:sz w:val="22"/>
          <w:szCs w:val="22"/>
          <w:lang w:val="fr-CH"/>
        </w:rPr>
        <w:t>3.3</w:t>
      </w:r>
      <w:r w:rsidRPr="00ED711A">
        <w:rPr>
          <w:b/>
          <w:snapToGrid w:val="0"/>
          <w:sz w:val="22"/>
          <w:szCs w:val="22"/>
          <w:lang w:val="fr-CH"/>
        </w:rPr>
        <w:tab/>
      </w:r>
      <w:bookmarkEnd w:id="114"/>
      <w:bookmarkEnd w:id="115"/>
      <w:r w:rsidR="00947A9A" w:rsidRPr="00ED711A">
        <w:rPr>
          <w:b/>
          <w:snapToGrid w:val="0"/>
          <w:sz w:val="22"/>
          <w:szCs w:val="22"/>
          <w:lang w:val="fr-CH"/>
        </w:rPr>
        <w:t>Kit des ressources sur la Convention de Rotterdam</w:t>
      </w:r>
      <w:bookmarkEnd w:id="116"/>
    </w:p>
    <w:p w:rsidR="001F3F1A" w:rsidRPr="00ED711A" w:rsidRDefault="001F3F1A" w:rsidP="007973B8">
      <w:pPr>
        <w:jc w:val="both"/>
        <w:rPr>
          <w:b/>
          <w:i/>
          <w:snapToGrid w:val="0"/>
          <w:sz w:val="22"/>
          <w:szCs w:val="22"/>
          <w:lang w:val="fr-CH"/>
        </w:rPr>
      </w:pPr>
    </w:p>
    <w:p w:rsidR="00947A9A" w:rsidRPr="00ED711A" w:rsidRDefault="00947A9A" w:rsidP="007973B8">
      <w:pPr>
        <w:pStyle w:val="BodyTextIndent3"/>
        <w:ind w:right="0" w:firstLine="0"/>
        <w:rPr>
          <w:rFonts w:eastAsia="Arial"/>
          <w:szCs w:val="22"/>
          <w:lang w:val="fr-FR"/>
        </w:rPr>
      </w:pPr>
      <w:r w:rsidRPr="00ED711A">
        <w:rPr>
          <w:szCs w:val="22"/>
          <w:lang w:val="fr-FR"/>
        </w:rPr>
        <w:t>Le Kit des Ressources est un recueil de publications contenant des informations sur la Convention de Rotterdam. Il a été préparé en ayant à l</w:t>
      </w:r>
      <w:r w:rsidR="000D310E" w:rsidRPr="00ED711A">
        <w:rPr>
          <w:szCs w:val="22"/>
          <w:lang w:val="fr-FR"/>
        </w:rPr>
        <w:t>’</w:t>
      </w:r>
      <w:r w:rsidRPr="00ED711A">
        <w:rPr>
          <w:szCs w:val="22"/>
          <w:lang w:val="fr-FR"/>
        </w:rPr>
        <w:t>esprit une gamme d</w:t>
      </w:r>
      <w:r w:rsidR="000D310E" w:rsidRPr="00ED711A">
        <w:rPr>
          <w:szCs w:val="22"/>
          <w:lang w:val="fr-FR"/>
        </w:rPr>
        <w:t>’</w:t>
      </w:r>
      <w:r w:rsidRPr="00ED711A">
        <w:rPr>
          <w:szCs w:val="22"/>
          <w:lang w:val="fr-FR"/>
        </w:rPr>
        <w:t>utilisateurs finaux comprenant le grand public, les AND et les Parties prenantes concernées par l</w:t>
      </w:r>
      <w:r w:rsidR="000D310E" w:rsidRPr="00ED711A">
        <w:rPr>
          <w:szCs w:val="22"/>
          <w:lang w:val="fr-FR"/>
        </w:rPr>
        <w:t>’</w:t>
      </w:r>
      <w:r w:rsidRPr="00ED711A">
        <w:rPr>
          <w:szCs w:val="22"/>
          <w:lang w:val="fr-FR"/>
        </w:rPr>
        <w:t>application de la Convention. Il comprend des éléments permettant d</w:t>
      </w:r>
      <w:r w:rsidR="000D310E" w:rsidRPr="00ED711A">
        <w:rPr>
          <w:szCs w:val="22"/>
          <w:lang w:val="fr-FR"/>
        </w:rPr>
        <w:t>’</w:t>
      </w:r>
      <w:r w:rsidRPr="00ED711A">
        <w:rPr>
          <w:szCs w:val="22"/>
          <w:lang w:val="fr-FR"/>
        </w:rPr>
        <w:t>aider les activités de sensibilisation, des informations techniques détaillées et des supports pour la formation visant à faciliter l</w:t>
      </w:r>
      <w:r w:rsidR="000D310E" w:rsidRPr="00ED711A">
        <w:rPr>
          <w:szCs w:val="22"/>
          <w:lang w:val="fr-FR"/>
        </w:rPr>
        <w:t>’</w:t>
      </w:r>
      <w:r w:rsidRPr="00ED711A">
        <w:rPr>
          <w:szCs w:val="22"/>
          <w:lang w:val="fr-FR"/>
        </w:rPr>
        <w:t xml:space="preserve">application de la Convention. Tous les documents contenus dans le kit de ressources sont disponibles sur le site web de la Convention de Rotterdam </w:t>
      </w:r>
      <w:r w:rsidR="00BD3BEA" w:rsidRPr="00ED711A">
        <w:rPr>
          <w:szCs w:val="22"/>
          <w:lang w:val="fr-FR"/>
        </w:rPr>
        <w:t>(</w:t>
      </w:r>
      <w:hyperlink r:id="rId37" w:history="1">
        <w:r w:rsidR="00BD3BEA" w:rsidRPr="00676EE7">
          <w:rPr>
            <w:rStyle w:val="Hyperlink"/>
            <w:szCs w:val="22"/>
            <w:lang w:val="fr-FR"/>
          </w:rPr>
          <w:t>www.pic.int</w:t>
        </w:r>
      </w:hyperlink>
      <w:r w:rsidR="00BD3BEA" w:rsidRPr="00ED711A">
        <w:rPr>
          <w:szCs w:val="22"/>
          <w:lang w:val="fr-FR"/>
        </w:rPr>
        <w:t>)</w:t>
      </w:r>
      <w:r w:rsidRPr="00ED711A">
        <w:rPr>
          <w:szCs w:val="22"/>
          <w:lang w:val="fr-FR"/>
        </w:rPr>
        <w:t xml:space="preserve"> ou sur demande auprès du Secrétariat </w:t>
      </w:r>
      <w:r w:rsidR="00BD3BEA" w:rsidRPr="00ED711A">
        <w:rPr>
          <w:szCs w:val="22"/>
          <w:lang w:val="fr-FR"/>
        </w:rPr>
        <w:t>(</w:t>
      </w:r>
      <w:hyperlink r:id="rId38" w:history="1">
        <w:r w:rsidR="00BD3BEA" w:rsidRPr="00BD3BEA">
          <w:rPr>
            <w:color w:val="0000FF"/>
            <w:szCs w:val="22"/>
            <w:u w:val="single"/>
            <w:lang w:val="fr-CH"/>
          </w:rPr>
          <w:t>pic@fao.org</w:t>
        </w:r>
      </w:hyperlink>
      <w:r w:rsidR="00BD3BEA" w:rsidRPr="00ED711A">
        <w:rPr>
          <w:szCs w:val="22"/>
          <w:lang w:val="fr-FR"/>
        </w:rPr>
        <w:t xml:space="preserve"> ou </w:t>
      </w:r>
      <w:hyperlink r:id="rId39" w:history="1">
        <w:r w:rsidR="00BD3BEA" w:rsidRPr="00BD3BEA">
          <w:rPr>
            <w:color w:val="0000FF"/>
            <w:szCs w:val="22"/>
            <w:u w:val="single"/>
            <w:lang w:val="fr-CH"/>
          </w:rPr>
          <w:t>pic@pic.int</w:t>
        </w:r>
      </w:hyperlink>
      <w:r w:rsidR="00BD3BEA" w:rsidRPr="00ED711A">
        <w:rPr>
          <w:lang w:val="fr-CH"/>
        </w:rPr>
        <w:t xml:space="preserve"> et </w:t>
      </w:r>
      <w:hyperlink r:id="rId40" w:history="1">
        <w:r w:rsidR="00BD3BEA" w:rsidRPr="00BD3BEA">
          <w:rPr>
            <w:rStyle w:val="Hyperlink"/>
            <w:szCs w:val="22"/>
            <w:lang w:val="fr-CH"/>
          </w:rPr>
          <w:t>pic@brsmeas.org</w:t>
        </w:r>
      </w:hyperlink>
      <w:r w:rsidR="00BD3BEA" w:rsidRPr="00ED711A">
        <w:rPr>
          <w:szCs w:val="22"/>
          <w:lang w:val="fr-FR"/>
        </w:rPr>
        <w:t>)</w:t>
      </w:r>
      <w:r w:rsidRPr="00ED711A">
        <w:rPr>
          <w:szCs w:val="22"/>
          <w:lang w:val="fr-FR"/>
        </w:rPr>
        <w:t xml:space="preserve">. </w:t>
      </w:r>
    </w:p>
    <w:p w:rsidR="00947A9A" w:rsidRPr="00ED711A" w:rsidRDefault="00947A9A" w:rsidP="007973B8">
      <w:pPr>
        <w:pStyle w:val="CorpoA"/>
        <w:jc w:val="both"/>
        <w:rPr>
          <w:rFonts w:eastAsia="Arial"/>
          <w:color w:val="auto"/>
          <w:sz w:val="22"/>
          <w:szCs w:val="22"/>
          <w:lang w:val="fr-FR"/>
        </w:rPr>
      </w:pPr>
    </w:p>
    <w:p w:rsidR="00947A9A" w:rsidRPr="00ED711A" w:rsidRDefault="00947A9A" w:rsidP="007973B8">
      <w:pPr>
        <w:pStyle w:val="CorpoA"/>
        <w:jc w:val="both"/>
        <w:rPr>
          <w:rFonts w:eastAsia="Arial"/>
          <w:color w:val="auto"/>
          <w:sz w:val="22"/>
          <w:szCs w:val="22"/>
          <w:lang w:val="fr-FR"/>
        </w:rPr>
      </w:pPr>
      <w:r w:rsidRPr="00ED711A">
        <w:rPr>
          <w:color w:val="auto"/>
          <w:sz w:val="22"/>
          <w:szCs w:val="22"/>
          <w:lang w:val="fr-FR"/>
        </w:rPr>
        <w:t>Le Guide par étapes est un document élaboré comme introduction au Kit des Ressources et aux publications qu</w:t>
      </w:r>
      <w:r w:rsidR="000D310E" w:rsidRPr="00ED711A">
        <w:rPr>
          <w:color w:val="auto"/>
          <w:sz w:val="22"/>
          <w:szCs w:val="22"/>
          <w:lang w:val="fr-FR"/>
        </w:rPr>
        <w:t>’</w:t>
      </w:r>
      <w:r w:rsidRPr="00ED711A">
        <w:rPr>
          <w:color w:val="auto"/>
          <w:sz w:val="22"/>
          <w:szCs w:val="22"/>
          <w:lang w:val="fr-FR"/>
        </w:rPr>
        <w:t xml:space="preserve">il contient. Il expose brièvement les grandes lignes du contenu de chaque publication, indique le public visé et présente une liste des langues dans lesquelles elles sont disponibles (la plupart des publications sont disponibles en six langues). </w:t>
      </w:r>
    </w:p>
    <w:p w:rsidR="001F3F1A" w:rsidRPr="00ED711A" w:rsidRDefault="001F3F1A" w:rsidP="007973B8">
      <w:pPr>
        <w:jc w:val="both"/>
        <w:rPr>
          <w:snapToGrid w:val="0"/>
          <w:sz w:val="22"/>
          <w:szCs w:val="22"/>
          <w:lang w:val="fr-CH"/>
        </w:rPr>
      </w:pPr>
    </w:p>
    <w:p w:rsidR="00524CA0" w:rsidRPr="00ED711A" w:rsidRDefault="00524CA0" w:rsidP="007973B8">
      <w:pPr>
        <w:jc w:val="both"/>
        <w:rPr>
          <w:snapToGrid w:val="0"/>
          <w:sz w:val="22"/>
          <w:szCs w:val="22"/>
          <w:lang w:val="fr-CH"/>
        </w:rPr>
      </w:pPr>
    </w:p>
    <w:p w:rsidR="001F3F1A" w:rsidRPr="00ED711A" w:rsidRDefault="001F3F1A" w:rsidP="007973B8">
      <w:pPr>
        <w:jc w:val="both"/>
        <w:rPr>
          <w:snapToGrid w:val="0"/>
          <w:sz w:val="22"/>
          <w:szCs w:val="22"/>
          <w:lang w:val="fr-CH"/>
        </w:rPr>
      </w:pPr>
    </w:p>
    <w:p w:rsidR="001F3F1A" w:rsidRPr="00ED711A" w:rsidRDefault="00947A9A" w:rsidP="007973B8">
      <w:pPr>
        <w:jc w:val="both"/>
        <w:rPr>
          <w:b/>
          <w:snapToGrid w:val="0"/>
          <w:sz w:val="22"/>
          <w:szCs w:val="22"/>
          <w:lang w:val="fr-CH"/>
        </w:rPr>
      </w:pPr>
      <w:r w:rsidRPr="00ED711A">
        <w:rPr>
          <w:b/>
          <w:bCs/>
          <w:sz w:val="22"/>
          <w:szCs w:val="22"/>
          <w:lang w:val="fr-FR"/>
        </w:rPr>
        <w:t>Pour toute question concernant le développement et les opérations de la Convention de Rotterdam, n</w:t>
      </w:r>
      <w:r w:rsidR="000D310E" w:rsidRPr="00ED711A">
        <w:rPr>
          <w:b/>
          <w:bCs/>
          <w:sz w:val="22"/>
          <w:szCs w:val="22"/>
          <w:lang w:val="fr-FR"/>
        </w:rPr>
        <w:t>’</w:t>
      </w:r>
      <w:r w:rsidRPr="00ED711A">
        <w:rPr>
          <w:b/>
          <w:bCs/>
          <w:sz w:val="22"/>
          <w:szCs w:val="22"/>
          <w:lang w:val="fr-FR"/>
        </w:rPr>
        <w:t>hésitez pas à contacter le Secrétariat provisoire aux adresses suivantes:</w:t>
      </w:r>
    </w:p>
    <w:p w:rsidR="001F3F1A" w:rsidRPr="00ED711A" w:rsidRDefault="001F3F1A" w:rsidP="001F3F1A">
      <w:pPr>
        <w:jc w:val="both"/>
        <w:rPr>
          <w:snapToGrid w:val="0"/>
          <w:sz w:val="22"/>
          <w:szCs w:val="22"/>
          <w:lang w:val="fr-CH"/>
        </w:rPr>
      </w:pPr>
    </w:p>
    <w:tbl>
      <w:tblPr>
        <w:tblW w:w="9080" w:type="dxa"/>
        <w:jc w:val="center"/>
        <w:tblLayout w:type="fixed"/>
        <w:tblLook w:val="04A0"/>
      </w:tblPr>
      <w:tblGrid>
        <w:gridCol w:w="4540"/>
        <w:gridCol w:w="4540"/>
      </w:tblGrid>
      <w:tr w:rsidR="001F3F1A" w:rsidRPr="00112021" w:rsidTr="001F3F1A">
        <w:trPr>
          <w:trHeight w:val="1805"/>
          <w:jc w:val="center"/>
        </w:trPr>
        <w:tc>
          <w:tcPr>
            <w:tcW w:w="4540" w:type="dxa"/>
          </w:tcPr>
          <w:p w:rsidR="00947A9A" w:rsidRPr="00ED711A" w:rsidRDefault="00947A9A" w:rsidP="00947A9A">
            <w:pPr>
              <w:pStyle w:val="CorpoA"/>
              <w:rPr>
                <w:rFonts w:eastAsia="Arial"/>
                <w:b/>
                <w:bCs/>
                <w:color w:val="auto"/>
                <w:sz w:val="22"/>
                <w:szCs w:val="22"/>
                <w:lang w:val="fr-FR"/>
              </w:rPr>
            </w:pPr>
            <w:r w:rsidRPr="00ED711A">
              <w:rPr>
                <w:b/>
                <w:bCs/>
                <w:color w:val="auto"/>
                <w:sz w:val="22"/>
                <w:szCs w:val="22"/>
                <w:lang w:val="fr-FR"/>
              </w:rPr>
              <w:t>Secrétariat de la Convention de Rotterdam</w:t>
            </w:r>
          </w:p>
          <w:p w:rsidR="001F3F1A" w:rsidRPr="00ED711A" w:rsidRDefault="00947A9A" w:rsidP="00947A9A">
            <w:pPr>
              <w:pStyle w:val="CorpoA"/>
              <w:rPr>
                <w:rFonts w:eastAsia="Arial"/>
                <w:b/>
                <w:bCs/>
                <w:color w:val="auto"/>
                <w:sz w:val="22"/>
                <w:szCs w:val="22"/>
                <w:lang w:val="it-IT"/>
              </w:rPr>
            </w:pPr>
            <w:r w:rsidRPr="00ED711A">
              <w:rPr>
                <w:b/>
                <w:bCs/>
                <w:color w:val="auto"/>
                <w:sz w:val="22"/>
                <w:szCs w:val="22"/>
                <w:lang w:val="it-IT"/>
              </w:rPr>
              <w:t>(FAO)</w:t>
            </w:r>
          </w:p>
          <w:p w:rsidR="001F3F1A" w:rsidRPr="00ED711A" w:rsidRDefault="001F3F1A" w:rsidP="001F3F1A">
            <w:pPr>
              <w:jc w:val="both"/>
              <w:rPr>
                <w:snapToGrid w:val="0"/>
                <w:lang w:val="it-IT"/>
              </w:rPr>
            </w:pPr>
            <w:r w:rsidRPr="00ED711A">
              <w:rPr>
                <w:snapToGrid w:val="0"/>
                <w:sz w:val="22"/>
                <w:szCs w:val="22"/>
                <w:lang w:val="it-IT"/>
              </w:rPr>
              <w:t>Viale delle Terme di Caracalla</w:t>
            </w:r>
          </w:p>
          <w:p w:rsidR="001F3F1A" w:rsidRPr="00ED711A" w:rsidRDefault="001F3F1A" w:rsidP="001F3F1A">
            <w:pPr>
              <w:jc w:val="both"/>
              <w:rPr>
                <w:snapToGrid w:val="0"/>
                <w:lang w:val="it-IT"/>
              </w:rPr>
            </w:pPr>
            <w:r w:rsidRPr="00ED711A">
              <w:rPr>
                <w:snapToGrid w:val="0"/>
                <w:sz w:val="22"/>
                <w:szCs w:val="22"/>
                <w:lang w:val="it-IT"/>
              </w:rPr>
              <w:t>00153 Rome, Italy</w:t>
            </w:r>
          </w:p>
          <w:p w:rsidR="001F3F1A" w:rsidRPr="00ED711A" w:rsidRDefault="00947A9A" w:rsidP="001F3F1A">
            <w:pPr>
              <w:jc w:val="both"/>
              <w:rPr>
                <w:snapToGrid w:val="0"/>
                <w:lang w:val="pt-PT"/>
              </w:rPr>
            </w:pPr>
            <w:r w:rsidRPr="00ED711A">
              <w:rPr>
                <w:sz w:val="22"/>
                <w:szCs w:val="22"/>
                <w:lang w:val="fr-FR"/>
              </w:rPr>
              <w:t>Télécopieur</w:t>
            </w:r>
            <w:r w:rsidR="00BD3BEA">
              <w:rPr>
                <w:snapToGrid w:val="0"/>
                <w:sz w:val="22"/>
                <w:szCs w:val="22"/>
                <w:lang w:val="pt-PT"/>
              </w:rPr>
              <w:t xml:space="preserve">: </w:t>
            </w:r>
            <w:r w:rsidR="001F3F1A" w:rsidRPr="00ED711A">
              <w:rPr>
                <w:snapToGrid w:val="0"/>
                <w:sz w:val="22"/>
                <w:szCs w:val="22"/>
                <w:lang w:val="pt-PT"/>
              </w:rPr>
              <w:t>+39 06 5705 3224</w:t>
            </w:r>
          </w:p>
          <w:p w:rsidR="001F3F1A" w:rsidRPr="00BD3BEA" w:rsidRDefault="00524CA0" w:rsidP="001F3F1A">
            <w:pPr>
              <w:jc w:val="both"/>
              <w:rPr>
                <w:color w:val="0000FF"/>
                <w:lang w:val="fr-FR"/>
              </w:rPr>
            </w:pPr>
            <w:r w:rsidRPr="00ED711A">
              <w:rPr>
                <w:sz w:val="22"/>
                <w:szCs w:val="22"/>
                <w:lang w:val="fr-FR"/>
              </w:rPr>
              <w:t>Adresse électronique</w:t>
            </w:r>
            <w:r w:rsidR="001F3F1A" w:rsidRPr="00ED711A">
              <w:rPr>
                <w:snapToGrid w:val="0"/>
                <w:sz w:val="22"/>
                <w:szCs w:val="22"/>
                <w:lang w:val="it-IT"/>
              </w:rPr>
              <w:t>:</w:t>
            </w:r>
            <w:r w:rsidR="00BE79A9" w:rsidRPr="00ED711A">
              <w:rPr>
                <w:snapToGrid w:val="0"/>
                <w:sz w:val="22"/>
                <w:szCs w:val="22"/>
                <w:lang w:val="it-IT"/>
              </w:rPr>
              <w:t xml:space="preserve"> </w:t>
            </w:r>
            <w:hyperlink r:id="rId41" w:history="1">
              <w:r w:rsidR="00BE79A9" w:rsidRPr="00BD3BEA">
                <w:rPr>
                  <w:snapToGrid w:val="0"/>
                  <w:color w:val="0000FF"/>
                  <w:sz w:val="22"/>
                  <w:szCs w:val="22"/>
                  <w:u w:val="single"/>
                  <w:lang w:val="fr-CH" w:eastAsia="en-US"/>
                </w:rPr>
                <w:t>pic@fao.org</w:t>
              </w:r>
            </w:hyperlink>
          </w:p>
          <w:p w:rsidR="001F3F1A" w:rsidRPr="00ED711A" w:rsidRDefault="001F3F1A" w:rsidP="001F3F1A">
            <w:pPr>
              <w:jc w:val="both"/>
              <w:rPr>
                <w:b/>
                <w:snapToGrid w:val="0"/>
                <w:lang w:val="it-IT"/>
              </w:rPr>
            </w:pPr>
          </w:p>
        </w:tc>
        <w:tc>
          <w:tcPr>
            <w:tcW w:w="4540" w:type="dxa"/>
          </w:tcPr>
          <w:p w:rsidR="00524CA0" w:rsidRPr="00ED711A" w:rsidRDefault="00524CA0" w:rsidP="00524CA0">
            <w:pPr>
              <w:pStyle w:val="CorpoA"/>
              <w:rPr>
                <w:rFonts w:eastAsia="Arial"/>
                <w:b/>
                <w:bCs/>
                <w:color w:val="auto"/>
                <w:sz w:val="22"/>
                <w:szCs w:val="22"/>
                <w:lang w:val="fr-FR"/>
              </w:rPr>
            </w:pPr>
            <w:r w:rsidRPr="00ED711A">
              <w:rPr>
                <w:b/>
                <w:bCs/>
                <w:color w:val="auto"/>
                <w:sz w:val="22"/>
                <w:szCs w:val="22"/>
                <w:lang w:val="fr-FR"/>
              </w:rPr>
              <w:t>Secrétariat de la Convention de Rotterdam</w:t>
            </w:r>
          </w:p>
          <w:p w:rsidR="001F3F1A" w:rsidRPr="00ED711A" w:rsidRDefault="00524CA0" w:rsidP="00524CA0">
            <w:pPr>
              <w:keepNext/>
              <w:snapToGrid w:val="0"/>
              <w:jc w:val="both"/>
              <w:outlineLvl w:val="3"/>
              <w:rPr>
                <w:b/>
                <w:sz w:val="22"/>
                <w:szCs w:val="22"/>
                <w:lang w:val="fr-CH" w:eastAsia="en-US"/>
              </w:rPr>
            </w:pPr>
            <w:r w:rsidRPr="00ED711A">
              <w:rPr>
                <w:b/>
                <w:bCs/>
                <w:sz w:val="22"/>
                <w:szCs w:val="22"/>
                <w:lang w:val="fr-FR"/>
              </w:rPr>
              <w:t>(PNUE)</w:t>
            </w:r>
          </w:p>
          <w:p w:rsidR="001F3F1A" w:rsidRPr="00ED711A" w:rsidRDefault="001F3F1A" w:rsidP="001F3F1A">
            <w:pPr>
              <w:jc w:val="both"/>
              <w:rPr>
                <w:snapToGrid w:val="0"/>
                <w:lang w:val="fr-FR"/>
              </w:rPr>
            </w:pPr>
            <w:r w:rsidRPr="00ED711A">
              <w:rPr>
                <w:snapToGrid w:val="0"/>
                <w:sz w:val="22"/>
                <w:szCs w:val="22"/>
                <w:lang w:val="fr-FR"/>
              </w:rPr>
              <w:t xml:space="preserve">11-13, </w:t>
            </w:r>
            <w:r w:rsidR="00524CA0" w:rsidRPr="00ED711A">
              <w:rPr>
                <w:snapToGrid w:val="0"/>
                <w:sz w:val="22"/>
                <w:szCs w:val="22"/>
                <w:lang w:val="fr-FR"/>
              </w:rPr>
              <w:t>c</w:t>
            </w:r>
            <w:r w:rsidRPr="00ED711A">
              <w:rPr>
                <w:snapToGrid w:val="0"/>
                <w:sz w:val="22"/>
                <w:szCs w:val="22"/>
                <w:lang w:val="fr-FR"/>
              </w:rPr>
              <w:t>hemin des Anémones</w:t>
            </w:r>
          </w:p>
          <w:p w:rsidR="001F3F1A" w:rsidRPr="00ED711A" w:rsidRDefault="001F3F1A" w:rsidP="001F3F1A">
            <w:pPr>
              <w:jc w:val="both"/>
              <w:rPr>
                <w:snapToGrid w:val="0"/>
                <w:lang w:val="fr-FR"/>
              </w:rPr>
            </w:pPr>
            <w:r w:rsidRPr="00ED711A">
              <w:rPr>
                <w:snapToGrid w:val="0"/>
                <w:sz w:val="22"/>
                <w:szCs w:val="22"/>
                <w:lang w:val="fr-FR"/>
              </w:rPr>
              <w:t>CH</w:t>
            </w:r>
            <w:r w:rsidR="001800C2">
              <w:rPr>
                <w:snapToGrid w:val="0"/>
                <w:sz w:val="22"/>
                <w:szCs w:val="22"/>
                <w:lang w:val="fr-FR"/>
              </w:rPr>
              <w:t>-</w:t>
            </w:r>
            <w:r w:rsidRPr="00ED711A">
              <w:rPr>
                <w:snapToGrid w:val="0"/>
                <w:sz w:val="22"/>
                <w:szCs w:val="22"/>
                <w:lang w:val="fr-FR"/>
              </w:rPr>
              <w:t>1219 Châtelaine, Geneva, Switzerland</w:t>
            </w:r>
          </w:p>
          <w:p w:rsidR="001F3F1A" w:rsidRPr="00ED711A" w:rsidRDefault="00524CA0" w:rsidP="001F3F1A">
            <w:pPr>
              <w:jc w:val="both"/>
              <w:rPr>
                <w:snapToGrid w:val="0"/>
                <w:lang w:val="pt-PT"/>
              </w:rPr>
            </w:pPr>
            <w:r w:rsidRPr="00ED711A">
              <w:rPr>
                <w:sz w:val="22"/>
                <w:szCs w:val="22"/>
                <w:lang w:val="fr-FR"/>
              </w:rPr>
              <w:t>Télécopieur</w:t>
            </w:r>
            <w:r w:rsidR="00BD3BEA">
              <w:rPr>
                <w:snapToGrid w:val="0"/>
                <w:sz w:val="22"/>
                <w:szCs w:val="22"/>
                <w:lang w:val="pt-PT"/>
              </w:rPr>
              <w:t xml:space="preserve">: </w:t>
            </w:r>
            <w:r w:rsidR="001F3F1A" w:rsidRPr="00ED711A">
              <w:rPr>
                <w:snapToGrid w:val="0"/>
                <w:sz w:val="22"/>
                <w:szCs w:val="22"/>
                <w:lang w:val="pt-PT"/>
              </w:rPr>
              <w:t>+41 22 917 8082</w:t>
            </w:r>
          </w:p>
          <w:p w:rsidR="001F3F1A" w:rsidRPr="00ED711A" w:rsidRDefault="00524CA0" w:rsidP="001F3F1A">
            <w:pPr>
              <w:jc w:val="both"/>
              <w:rPr>
                <w:lang w:val="fr-CH"/>
              </w:rPr>
            </w:pPr>
            <w:r w:rsidRPr="00ED711A">
              <w:rPr>
                <w:sz w:val="22"/>
                <w:szCs w:val="22"/>
                <w:lang w:val="fr-FR"/>
              </w:rPr>
              <w:t>Adresse électronique</w:t>
            </w:r>
            <w:r w:rsidR="001F3F1A" w:rsidRPr="00ED711A">
              <w:rPr>
                <w:snapToGrid w:val="0"/>
                <w:sz w:val="22"/>
                <w:szCs w:val="22"/>
                <w:lang w:val="it-IT"/>
              </w:rPr>
              <w:t xml:space="preserve">: </w:t>
            </w:r>
            <w:hyperlink r:id="rId42" w:history="1">
              <w:r w:rsidR="001F3F1A" w:rsidRPr="00BD3BEA">
                <w:rPr>
                  <w:snapToGrid w:val="0"/>
                  <w:color w:val="0000FF"/>
                  <w:sz w:val="22"/>
                  <w:szCs w:val="22"/>
                  <w:u w:val="single"/>
                  <w:lang w:val="it-IT"/>
                </w:rPr>
                <w:t>pic@pic.int</w:t>
              </w:r>
            </w:hyperlink>
          </w:p>
          <w:p w:rsidR="001F3F1A" w:rsidRPr="00BD3BEA" w:rsidRDefault="00524CA0" w:rsidP="00524CA0">
            <w:pPr>
              <w:ind w:left="2017" w:hanging="2017"/>
              <w:jc w:val="both"/>
              <w:rPr>
                <w:snapToGrid w:val="0"/>
                <w:color w:val="0000FF"/>
                <w:sz w:val="22"/>
                <w:szCs w:val="22"/>
                <w:lang w:val="fr-CH"/>
              </w:rPr>
            </w:pPr>
            <w:r w:rsidRPr="00ED711A">
              <w:rPr>
                <w:snapToGrid w:val="0"/>
                <w:sz w:val="22"/>
                <w:szCs w:val="22"/>
                <w:lang w:val="fr-CH"/>
              </w:rPr>
              <w:tab/>
            </w:r>
            <w:hyperlink r:id="rId43" w:history="1">
              <w:r w:rsidRPr="00BD3BEA">
                <w:rPr>
                  <w:rStyle w:val="Hyperlink"/>
                  <w:sz w:val="22"/>
                  <w:szCs w:val="22"/>
                  <w:lang w:val="fr-FR"/>
                </w:rPr>
                <w:t>pic@brsmeas.org</w:t>
              </w:r>
            </w:hyperlink>
          </w:p>
        </w:tc>
      </w:tr>
    </w:tbl>
    <w:p w:rsidR="00D74544" w:rsidRPr="00ED711A" w:rsidRDefault="00D74544">
      <w:pPr>
        <w:rPr>
          <w:sz w:val="22"/>
          <w:szCs w:val="22"/>
          <w:lang w:val="fr-CH"/>
        </w:rPr>
      </w:pPr>
    </w:p>
    <w:p w:rsidR="00D74544" w:rsidRPr="00ED711A" w:rsidRDefault="00D74544">
      <w:pPr>
        <w:rPr>
          <w:rFonts w:ascii="Arial" w:hAnsi="Arial" w:cs="Arial"/>
          <w:sz w:val="32"/>
          <w:szCs w:val="32"/>
          <w:lang w:val="fr-CH"/>
        </w:rPr>
        <w:sectPr w:rsidR="00D74544" w:rsidRPr="00ED711A" w:rsidSect="008A1D9E">
          <w:headerReference w:type="default" r:id="rId44"/>
          <w:footerReference w:type="default" r:id="rId45"/>
          <w:pgSz w:w="11907" w:h="16839" w:code="9"/>
          <w:pgMar w:top="1134" w:right="1418" w:bottom="1134" w:left="1418" w:header="709" w:footer="284" w:gutter="0"/>
          <w:pgNumType w:start="1"/>
          <w:cols w:space="720"/>
          <w:docGrid w:linePitch="326"/>
        </w:sectPr>
      </w:pPr>
    </w:p>
    <w:p w:rsidR="00F02205" w:rsidRPr="00112021" w:rsidRDefault="00F77287" w:rsidP="007B68CF">
      <w:pPr>
        <w:ind w:left="605" w:right="792"/>
        <w:jc w:val="center"/>
        <w:outlineLvl w:val="0"/>
        <w:rPr>
          <w:b/>
          <w:lang w:val="fr-CH"/>
        </w:rPr>
      </w:pPr>
      <w:bookmarkStart w:id="117" w:name="_Toc468887020"/>
      <w:bookmarkStart w:id="118" w:name="_Toc469005599"/>
      <w:bookmarkStart w:id="119" w:name="_Toc327357865"/>
      <w:bookmarkStart w:id="120" w:name="_Toc405887614"/>
      <w:bookmarkStart w:id="121" w:name="_Toc421544484"/>
      <w:r w:rsidRPr="00112021">
        <w:rPr>
          <w:b/>
          <w:lang w:val="fr-CH"/>
        </w:rPr>
        <w:lastRenderedPageBreak/>
        <w:t>APPENDICE I</w:t>
      </w:r>
      <w:bookmarkEnd w:id="117"/>
      <w:bookmarkEnd w:id="118"/>
    </w:p>
    <w:p w:rsidR="00F02205" w:rsidRPr="00112021" w:rsidRDefault="00F02205" w:rsidP="007B68CF">
      <w:pPr>
        <w:ind w:left="605" w:right="792"/>
        <w:jc w:val="center"/>
        <w:outlineLvl w:val="0"/>
        <w:rPr>
          <w:b/>
          <w:lang w:val="fr-CH"/>
        </w:rPr>
      </w:pPr>
    </w:p>
    <w:p w:rsidR="007B68CF" w:rsidRPr="00ED711A" w:rsidRDefault="00F77287" w:rsidP="007B68CF">
      <w:pPr>
        <w:ind w:left="605" w:right="792"/>
        <w:jc w:val="center"/>
        <w:outlineLvl w:val="0"/>
        <w:rPr>
          <w:b/>
          <w:sz w:val="22"/>
          <w:szCs w:val="22"/>
          <w:lang w:val="fr-CH"/>
        </w:rPr>
      </w:pPr>
      <w:bookmarkStart w:id="122" w:name="_Toc469005600"/>
      <w:bookmarkEnd w:id="119"/>
      <w:bookmarkEnd w:id="120"/>
      <w:bookmarkEnd w:id="121"/>
      <w:r w:rsidRPr="00ED711A">
        <w:rPr>
          <w:b/>
          <w:lang w:val="fr-CH"/>
        </w:rPr>
        <w:t xml:space="preserve">SYNOPSIS DES NOTIFICATIONS DE MESURES DE </w:t>
      </w:r>
      <w:r w:rsidR="001F3C16">
        <w:rPr>
          <w:b/>
          <w:lang w:val="fr-CH"/>
        </w:rPr>
        <w:t>RÉGLEMENTATION</w:t>
      </w:r>
      <w:r w:rsidRPr="00ED711A">
        <w:rPr>
          <w:b/>
          <w:lang w:val="fr-CH"/>
        </w:rPr>
        <w:t xml:space="preserve"> FINALE REÇUES DEPUIS LA DERNIERE CIRCULAIRE PIC</w:t>
      </w:r>
      <w:bookmarkEnd w:id="122"/>
    </w:p>
    <w:p w:rsidR="007B68CF" w:rsidRPr="00ED711A" w:rsidRDefault="007B68CF" w:rsidP="007B68CF">
      <w:pPr>
        <w:ind w:right="70"/>
        <w:rPr>
          <w:sz w:val="22"/>
          <w:szCs w:val="22"/>
          <w:lang w:val="fr-CH"/>
        </w:rPr>
      </w:pPr>
    </w:p>
    <w:p w:rsidR="007B68CF" w:rsidRPr="00ED711A" w:rsidRDefault="007B68CF" w:rsidP="007B68CF">
      <w:pPr>
        <w:ind w:right="70"/>
        <w:rPr>
          <w:sz w:val="22"/>
          <w:szCs w:val="22"/>
          <w:lang w:val="fr-CH"/>
        </w:rPr>
      </w:pPr>
    </w:p>
    <w:p w:rsidR="00F77287" w:rsidRPr="00ED711A" w:rsidRDefault="00F77287" w:rsidP="00F77287">
      <w:pPr>
        <w:jc w:val="both"/>
        <w:rPr>
          <w:sz w:val="22"/>
          <w:szCs w:val="22"/>
          <w:lang w:val="fr-CH"/>
        </w:rPr>
      </w:pPr>
      <w:r w:rsidRPr="00ED711A">
        <w:rPr>
          <w:sz w:val="22"/>
          <w:szCs w:val="22"/>
          <w:lang w:val="fr-CH"/>
        </w:rPr>
        <w:t>Cet appendice est composé en trois parties :</w:t>
      </w:r>
    </w:p>
    <w:p w:rsidR="00F77287" w:rsidRPr="00ED711A" w:rsidRDefault="00F77287" w:rsidP="00F77287">
      <w:pPr>
        <w:jc w:val="both"/>
        <w:rPr>
          <w:b/>
          <w:sz w:val="22"/>
          <w:szCs w:val="22"/>
          <w:lang w:val="fr-CH"/>
        </w:rPr>
      </w:pPr>
    </w:p>
    <w:p w:rsidR="00F77287" w:rsidRPr="00ED711A" w:rsidRDefault="00F77287" w:rsidP="00F77287">
      <w:pPr>
        <w:tabs>
          <w:tab w:val="left" w:pos="1080"/>
        </w:tabs>
        <w:ind w:left="1080" w:hanging="1080"/>
        <w:jc w:val="both"/>
        <w:rPr>
          <w:b/>
          <w:sz w:val="22"/>
          <w:szCs w:val="22"/>
          <w:lang w:val="fr-CH"/>
        </w:rPr>
      </w:pPr>
      <w:r w:rsidRPr="00ED711A">
        <w:rPr>
          <w:b/>
          <w:sz w:val="22"/>
          <w:szCs w:val="22"/>
          <w:lang w:val="fr-CH"/>
        </w:rPr>
        <w:t>Partie A:</w:t>
      </w:r>
      <w:r w:rsidRPr="00ED711A">
        <w:rPr>
          <w:b/>
          <w:sz w:val="22"/>
          <w:szCs w:val="22"/>
          <w:lang w:val="fr-CH"/>
        </w:rPr>
        <w:tab/>
        <w:t>Résume de chaque notification de mesure de réglementation finale dont il a été vérifié qu</w:t>
      </w:r>
      <w:r w:rsidR="000D310E" w:rsidRPr="00ED711A">
        <w:rPr>
          <w:b/>
          <w:sz w:val="22"/>
          <w:szCs w:val="22"/>
          <w:lang w:val="fr-CH"/>
        </w:rPr>
        <w:t>’</w:t>
      </w:r>
      <w:r w:rsidRPr="00ED711A">
        <w:rPr>
          <w:b/>
          <w:sz w:val="22"/>
          <w:szCs w:val="22"/>
          <w:lang w:val="fr-CH"/>
        </w:rPr>
        <w:t xml:space="preserve">elle contient tous les renseignements </w:t>
      </w:r>
      <w:r w:rsidR="00E95423" w:rsidRPr="00ED711A">
        <w:rPr>
          <w:b/>
          <w:sz w:val="22"/>
          <w:szCs w:val="22"/>
          <w:lang w:val="fr-CH"/>
        </w:rPr>
        <w:t>stipulés dans</w:t>
      </w:r>
      <w:r w:rsidRPr="00ED711A">
        <w:rPr>
          <w:b/>
          <w:sz w:val="22"/>
          <w:szCs w:val="22"/>
          <w:lang w:val="fr-CH"/>
        </w:rPr>
        <w:t xml:space="preserve"> l</w:t>
      </w:r>
      <w:r w:rsidR="000D310E" w:rsidRPr="00ED711A">
        <w:rPr>
          <w:b/>
          <w:sz w:val="22"/>
          <w:szCs w:val="22"/>
          <w:lang w:val="fr-CH"/>
        </w:rPr>
        <w:t>’</w:t>
      </w:r>
      <w:r w:rsidRPr="00ED711A">
        <w:rPr>
          <w:b/>
          <w:sz w:val="22"/>
          <w:szCs w:val="22"/>
          <w:lang w:val="fr-CH"/>
        </w:rPr>
        <w:t>annexe I de la convention</w:t>
      </w:r>
    </w:p>
    <w:p w:rsidR="00F77287" w:rsidRPr="00ED711A" w:rsidRDefault="00F77287" w:rsidP="00F77287">
      <w:pPr>
        <w:jc w:val="both"/>
        <w:rPr>
          <w:b/>
          <w:sz w:val="22"/>
          <w:szCs w:val="22"/>
          <w:lang w:val="fr-CH"/>
        </w:rPr>
      </w:pPr>
    </w:p>
    <w:p w:rsidR="00F77287" w:rsidRPr="00ED711A" w:rsidRDefault="00F77287" w:rsidP="00F77287">
      <w:pPr>
        <w:autoSpaceDE w:val="0"/>
        <w:autoSpaceDN w:val="0"/>
        <w:adjustRightInd w:val="0"/>
        <w:jc w:val="both"/>
        <w:rPr>
          <w:sz w:val="22"/>
          <w:szCs w:val="22"/>
          <w:lang w:val="fr-CH" w:eastAsia="fr-FR"/>
        </w:rPr>
      </w:pPr>
      <w:r w:rsidRPr="00ED711A">
        <w:rPr>
          <w:sz w:val="22"/>
          <w:szCs w:val="22"/>
          <w:lang w:val="fr-CH" w:eastAsia="fr-FR"/>
        </w:rPr>
        <w:t>Notifications de mesures de réglementation finale dont il a été vérifié qu</w:t>
      </w:r>
      <w:r w:rsidR="000D310E" w:rsidRPr="00ED711A">
        <w:rPr>
          <w:sz w:val="22"/>
          <w:szCs w:val="22"/>
          <w:lang w:val="fr-CH" w:eastAsia="fr-FR"/>
        </w:rPr>
        <w:t>’</w:t>
      </w:r>
      <w:r w:rsidRPr="00ED711A">
        <w:rPr>
          <w:sz w:val="22"/>
          <w:szCs w:val="22"/>
          <w:lang w:val="fr-CH" w:eastAsia="fr-FR"/>
        </w:rPr>
        <w:t xml:space="preserve">elles contiennent tous les </w:t>
      </w:r>
      <w:r w:rsidR="00747640">
        <w:rPr>
          <w:sz w:val="22"/>
          <w:szCs w:val="22"/>
          <w:lang w:val="fr-CH" w:eastAsia="fr-FR"/>
        </w:rPr>
        <w:t>renseignements</w:t>
      </w:r>
      <w:r w:rsidRPr="00ED711A">
        <w:rPr>
          <w:sz w:val="22"/>
          <w:szCs w:val="22"/>
          <w:lang w:val="fr-CH" w:eastAsia="fr-FR"/>
        </w:rPr>
        <w:t xml:space="preserve"> </w:t>
      </w:r>
      <w:r w:rsidR="00747640">
        <w:rPr>
          <w:sz w:val="22"/>
          <w:szCs w:val="22"/>
          <w:lang w:val="fr-CH" w:eastAsia="fr-FR"/>
        </w:rPr>
        <w:t>stipulés dans</w:t>
      </w:r>
      <w:r w:rsidRPr="00ED711A">
        <w:rPr>
          <w:sz w:val="22"/>
          <w:szCs w:val="22"/>
          <w:lang w:val="fr-CH" w:eastAsia="fr-FR"/>
        </w:rPr>
        <w:t xml:space="preserve"> l</w:t>
      </w:r>
      <w:r w:rsidR="000D310E" w:rsidRPr="00ED711A">
        <w:rPr>
          <w:sz w:val="22"/>
          <w:szCs w:val="22"/>
          <w:lang w:val="fr-CH" w:eastAsia="fr-FR"/>
        </w:rPr>
        <w:t>’</w:t>
      </w:r>
      <w:r w:rsidRPr="00ED711A">
        <w:rPr>
          <w:sz w:val="22"/>
          <w:szCs w:val="22"/>
          <w:lang w:val="fr-CH" w:eastAsia="fr-FR"/>
        </w:rPr>
        <w:t>annexe I de la Conventions reçues entre le 1</w:t>
      </w:r>
      <w:r w:rsidRPr="00ED711A">
        <w:rPr>
          <w:sz w:val="22"/>
          <w:szCs w:val="22"/>
          <w:vertAlign w:val="superscript"/>
          <w:lang w:val="fr-CH" w:eastAsia="fr-FR"/>
        </w:rPr>
        <w:t>er</w:t>
      </w:r>
      <w:r w:rsidRPr="00ED711A">
        <w:rPr>
          <w:sz w:val="22"/>
          <w:szCs w:val="22"/>
          <w:lang w:val="fr-CH"/>
        </w:rPr>
        <w:t xml:space="preserve"> mai 2016 et le 31 octobre 2016</w:t>
      </w:r>
      <w:r w:rsidRPr="00ED711A">
        <w:rPr>
          <w:sz w:val="22"/>
          <w:szCs w:val="22"/>
          <w:lang w:val="fr-CH" w:eastAsia="fr-FR"/>
        </w:rPr>
        <w:t>.</w:t>
      </w:r>
    </w:p>
    <w:p w:rsidR="00F77287" w:rsidRPr="00ED711A" w:rsidRDefault="00F77287" w:rsidP="00F77287">
      <w:pPr>
        <w:autoSpaceDE w:val="0"/>
        <w:autoSpaceDN w:val="0"/>
        <w:adjustRightInd w:val="0"/>
        <w:rPr>
          <w:sz w:val="22"/>
          <w:szCs w:val="22"/>
          <w:lang w:val="fr-CH"/>
        </w:rPr>
      </w:pPr>
    </w:p>
    <w:p w:rsidR="00F77287" w:rsidRPr="00ED711A" w:rsidRDefault="00F77287" w:rsidP="00F77287">
      <w:pPr>
        <w:widowControl w:val="0"/>
        <w:tabs>
          <w:tab w:val="left" w:pos="1080"/>
        </w:tabs>
        <w:autoSpaceDE w:val="0"/>
        <w:autoSpaceDN w:val="0"/>
        <w:adjustRightInd w:val="0"/>
        <w:ind w:left="1080" w:hanging="1080"/>
        <w:jc w:val="both"/>
        <w:rPr>
          <w:b/>
          <w:sz w:val="22"/>
          <w:szCs w:val="22"/>
          <w:lang w:val="fr-CH"/>
        </w:rPr>
      </w:pPr>
      <w:r w:rsidRPr="00ED711A">
        <w:rPr>
          <w:b/>
          <w:sz w:val="22"/>
          <w:szCs w:val="22"/>
          <w:lang w:val="fr-CH"/>
        </w:rPr>
        <w:t>Partie B:</w:t>
      </w:r>
      <w:r w:rsidRPr="00ED711A">
        <w:rPr>
          <w:b/>
          <w:sz w:val="22"/>
          <w:szCs w:val="22"/>
          <w:lang w:val="fr-CH"/>
        </w:rPr>
        <w:tab/>
        <w:t>Informations sur les notifications de mesure de réglementation finale dont il a été vérifié qu</w:t>
      </w:r>
      <w:r w:rsidR="000D310E" w:rsidRPr="00ED711A">
        <w:rPr>
          <w:b/>
          <w:sz w:val="22"/>
          <w:szCs w:val="22"/>
          <w:lang w:val="fr-CH"/>
        </w:rPr>
        <w:t>’</w:t>
      </w:r>
      <w:r w:rsidRPr="00ED711A">
        <w:rPr>
          <w:b/>
          <w:sz w:val="22"/>
          <w:szCs w:val="22"/>
          <w:lang w:val="fr-CH"/>
        </w:rPr>
        <w:t xml:space="preserve">elles ne contiennent pas tous les renseignements </w:t>
      </w:r>
      <w:r w:rsidR="00E95423" w:rsidRPr="00ED711A">
        <w:rPr>
          <w:b/>
          <w:sz w:val="22"/>
          <w:szCs w:val="22"/>
          <w:lang w:val="fr-CH"/>
        </w:rPr>
        <w:t>stipulés dans</w:t>
      </w:r>
      <w:r w:rsidRPr="00ED711A">
        <w:rPr>
          <w:b/>
          <w:sz w:val="22"/>
          <w:szCs w:val="22"/>
          <w:lang w:val="fr-CH"/>
        </w:rPr>
        <w:t xml:space="preserve"> l</w:t>
      </w:r>
      <w:r w:rsidR="000D310E" w:rsidRPr="00ED711A">
        <w:rPr>
          <w:b/>
          <w:sz w:val="22"/>
          <w:szCs w:val="22"/>
          <w:lang w:val="fr-CH"/>
        </w:rPr>
        <w:t>’</w:t>
      </w:r>
      <w:r w:rsidRPr="00ED711A">
        <w:rPr>
          <w:b/>
          <w:sz w:val="22"/>
          <w:szCs w:val="22"/>
          <w:lang w:val="fr-CH"/>
        </w:rPr>
        <w:t>annexe I de la convention</w:t>
      </w:r>
    </w:p>
    <w:p w:rsidR="00F77287" w:rsidRPr="00ED711A" w:rsidRDefault="00F77287" w:rsidP="00F77287">
      <w:pPr>
        <w:widowControl w:val="0"/>
        <w:autoSpaceDE w:val="0"/>
        <w:autoSpaceDN w:val="0"/>
        <w:adjustRightInd w:val="0"/>
        <w:jc w:val="both"/>
        <w:rPr>
          <w:sz w:val="22"/>
          <w:szCs w:val="22"/>
          <w:lang w:val="fr-CH"/>
        </w:rPr>
      </w:pPr>
    </w:p>
    <w:p w:rsidR="00F77287" w:rsidRPr="00ED711A" w:rsidRDefault="00F77287" w:rsidP="00F77287">
      <w:pPr>
        <w:autoSpaceDE w:val="0"/>
        <w:autoSpaceDN w:val="0"/>
        <w:adjustRightInd w:val="0"/>
        <w:jc w:val="both"/>
        <w:rPr>
          <w:sz w:val="22"/>
          <w:szCs w:val="22"/>
          <w:lang w:val="fr-CH" w:eastAsia="fr-FR"/>
        </w:rPr>
      </w:pPr>
      <w:r w:rsidRPr="00ED711A">
        <w:rPr>
          <w:sz w:val="22"/>
          <w:szCs w:val="22"/>
          <w:lang w:val="fr-CH" w:eastAsia="fr-FR"/>
        </w:rPr>
        <w:t>Notifications des mesures de réglementation finale dont il a été vérifié qu</w:t>
      </w:r>
      <w:r w:rsidR="000D310E" w:rsidRPr="00ED711A">
        <w:rPr>
          <w:sz w:val="22"/>
          <w:szCs w:val="22"/>
          <w:lang w:val="fr-CH" w:eastAsia="fr-FR"/>
        </w:rPr>
        <w:t>’</w:t>
      </w:r>
      <w:r w:rsidRPr="00ED711A">
        <w:rPr>
          <w:sz w:val="22"/>
          <w:szCs w:val="22"/>
          <w:lang w:val="fr-CH" w:eastAsia="fr-FR"/>
        </w:rPr>
        <w:t xml:space="preserve">elles ne contiennent pas les renseignements </w:t>
      </w:r>
      <w:r w:rsidR="00747640">
        <w:rPr>
          <w:sz w:val="22"/>
          <w:szCs w:val="22"/>
          <w:lang w:val="fr-CH" w:eastAsia="fr-FR"/>
        </w:rPr>
        <w:t>stipulés dans</w:t>
      </w:r>
      <w:r w:rsidRPr="00ED711A">
        <w:rPr>
          <w:sz w:val="22"/>
          <w:szCs w:val="22"/>
          <w:lang w:val="fr-CH" w:eastAsia="fr-FR"/>
        </w:rPr>
        <w:t xml:space="preserve"> l</w:t>
      </w:r>
      <w:r w:rsidR="000D310E" w:rsidRPr="00ED711A">
        <w:rPr>
          <w:sz w:val="22"/>
          <w:szCs w:val="22"/>
          <w:lang w:val="fr-CH" w:eastAsia="fr-FR"/>
        </w:rPr>
        <w:t>’</w:t>
      </w:r>
      <w:r w:rsidR="002913FA" w:rsidRPr="00ED711A">
        <w:rPr>
          <w:sz w:val="22"/>
          <w:szCs w:val="22"/>
          <w:lang w:val="fr-CH" w:eastAsia="fr-FR"/>
        </w:rPr>
        <w:t>a</w:t>
      </w:r>
      <w:r w:rsidRPr="00ED711A">
        <w:rPr>
          <w:sz w:val="22"/>
          <w:szCs w:val="22"/>
          <w:lang w:val="fr-CH" w:eastAsia="fr-FR"/>
        </w:rPr>
        <w:t>nnexe I de la convention, entre le 1</w:t>
      </w:r>
      <w:r w:rsidRPr="00ED711A">
        <w:rPr>
          <w:sz w:val="22"/>
          <w:szCs w:val="22"/>
          <w:vertAlign w:val="superscript"/>
          <w:lang w:val="fr-CH" w:eastAsia="fr-FR"/>
        </w:rPr>
        <w:t>er</w:t>
      </w:r>
      <w:r w:rsidRPr="00ED711A">
        <w:rPr>
          <w:sz w:val="22"/>
          <w:szCs w:val="22"/>
          <w:lang w:val="fr-CH"/>
        </w:rPr>
        <w:t xml:space="preserve"> mai 2016 et le 31 octobre 2016</w:t>
      </w:r>
      <w:r w:rsidRPr="00ED711A">
        <w:rPr>
          <w:sz w:val="22"/>
          <w:szCs w:val="22"/>
          <w:lang w:val="fr-CH" w:eastAsia="fr-FR"/>
        </w:rPr>
        <w:t>.</w:t>
      </w:r>
    </w:p>
    <w:p w:rsidR="00F77287" w:rsidRPr="00ED711A" w:rsidRDefault="00F77287" w:rsidP="00F77287">
      <w:pPr>
        <w:autoSpaceDE w:val="0"/>
        <w:autoSpaceDN w:val="0"/>
        <w:adjustRightInd w:val="0"/>
        <w:jc w:val="both"/>
        <w:rPr>
          <w:b/>
          <w:sz w:val="22"/>
          <w:szCs w:val="22"/>
          <w:lang w:val="fr-CH"/>
        </w:rPr>
      </w:pPr>
    </w:p>
    <w:p w:rsidR="00F77287" w:rsidRPr="00ED711A" w:rsidRDefault="00F77287" w:rsidP="00F77287">
      <w:pPr>
        <w:tabs>
          <w:tab w:val="left" w:pos="1080"/>
        </w:tabs>
        <w:autoSpaceDE w:val="0"/>
        <w:autoSpaceDN w:val="0"/>
        <w:adjustRightInd w:val="0"/>
        <w:jc w:val="both"/>
        <w:rPr>
          <w:b/>
          <w:sz w:val="22"/>
          <w:szCs w:val="22"/>
          <w:lang w:val="fr-CH" w:eastAsia="fr-FR"/>
        </w:rPr>
      </w:pPr>
      <w:r w:rsidRPr="00ED711A">
        <w:rPr>
          <w:b/>
          <w:sz w:val="22"/>
          <w:szCs w:val="22"/>
          <w:lang w:val="fr-CH"/>
        </w:rPr>
        <w:t>Partie C:</w:t>
      </w:r>
      <w:r w:rsidRPr="00ED711A">
        <w:rPr>
          <w:b/>
          <w:sz w:val="22"/>
          <w:szCs w:val="22"/>
          <w:lang w:val="fr-CH"/>
        </w:rPr>
        <w:tab/>
        <w:t>Notifications de mesure de réglementation finale en cours de vérification</w:t>
      </w:r>
    </w:p>
    <w:p w:rsidR="00F77287" w:rsidRPr="00ED711A" w:rsidRDefault="00F77287" w:rsidP="00F77287">
      <w:pPr>
        <w:autoSpaceDE w:val="0"/>
        <w:autoSpaceDN w:val="0"/>
        <w:adjustRightInd w:val="0"/>
        <w:rPr>
          <w:sz w:val="22"/>
          <w:szCs w:val="22"/>
          <w:lang w:val="fr-CH" w:eastAsia="fr-FR"/>
        </w:rPr>
      </w:pPr>
    </w:p>
    <w:p w:rsidR="007B68CF" w:rsidRPr="00ED711A" w:rsidRDefault="00F77287" w:rsidP="00F77287">
      <w:pPr>
        <w:widowControl w:val="0"/>
        <w:autoSpaceDE w:val="0"/>
        <w:autoSpaceDN w:val="0"/>
        <w:adjustRightInd w:val="0"/>
        <w:jc w:val="both"/>
        <w:rPr>
          <w:sz w:val="22"/>
          <w:szCs w:val="22"/>
          <w:lang w:val="fr-CH"/>
        </w:rPr>
      </w:pPr>
      <w:r w:rsidRPr="00ED711A">
        <w:rPr>
          <w:sz w:val="22"/>
          <w:szCs w:val="22"/>
          <w:lang w:val="fr-CH" w:eastAsia="fr-FR"/>
        </w:rPr>
        <w:t>Notifications des mesures de réglementation finale reçues par le Secrétariat mais pour lesquelles la vérification est encore en cours</w:t>
      </w:r>
      <w:r w:rsidR="00BC73C4" w:rsidRPr="00ED711A">
        <w:rPr>
          <w:sz w:val="22"/>
          <w:szCs w:val="22"/>
          <w:lang w:val="fr-CH"/>
        </w:rPr>
        <w:t>.</w:t>
      </w:r>
    </w:p>
    <w:p w:rsidR="007B68CF" w:rsidRPr="00ED711A" w:rsidRDefault="007B68CF" w:rsidP="007B68CF">
      <w:pPr>
        <w:widowControl w:val="0"/>
        <w:autoSpaceDE w:val="0"/>
        <w:autoSpaceDN w:val="0"/>
        <w:adjustRightInd w:val="0"/>
        <w:jc w:val="both"/>
        <w:rPr>
          <w:sz w:val="22"/>
          <w:szCs w:val="22"/>
          <w:lang w:val="fr-CH"/>
        </w:rPr>
      </w:pPr>
    </w:p>
    <w:p w:rsidR="007B68CF" w:rsidRPr="00ED711A" w:rsidRDefault="007B68CF" w:rsidP="007B68CF">
      <w:pPr>
        <w:ind w:right="23"/>
        <w:jc w:val="center"/>
        <w:outlineLvl w:val="0"/>
        <w:rPr>
          <w:rFonts w:ascii="Arial" w:hAnsi="Arial" w:cs="Arial"/>
          <w:b/>
          <w:szCs w:val="17"/>
          <w:lang w:val="fr-CH"/>
        </w:rPr>
        <w:sectPr w:rsidR="007B68CF" w:rsidRPr="00ED711A" w:rsidSect="008A1D9E">
          <w:headerReference w:type="default" r:id="rId46"/>
          <w:pgSz w:w="11907" w:h="16839" w:code="9"/>
          <w:pgMar w:top="1134" w:right="1418" w:bottom="1134" w:left="1418" w:header="709" w:footer="284" w:gutter="0"/>
          <w:cols w:space="720"/>
          <w:docGrid w:linePitch="326"/>
        </w:sectPr>
      </w:pPr>
      <w:bookmarkStart w:id="123" w:name="_Toc216258155"/>
      <w:bookmarkStart w:id="124" w:name="_Toc231189215"/>
    </w:p>
    <w:bookmarkEnd w:id="123"/>
    <w:bookmarkEnd w:id="124"/>
    <w:p w:rsidR="007B68CF" w:rsidRPr="00ED711A" w:rsidRDefault="0094645F" w:rsidP="007B68CF">
      <w:pPr>
        <w:ind w:right="23"/>
        <w:jc w:val="center"/>
        <w:rPr>
          <w:b/>
          <w:sz w:val="22"/>
          <w:szCs w:val="22"/>
          <w:u w:val="single"/>
          <w:lang w:val="fr-CH"/>
        </w:rPr>
      </w:pPr>
      <w:r w:rsidRPr="00ED711A">
        <w:rPr>
          <w:b/>
          <w:sz w:val="22"/>
          <w:szCs w:val="22"/>
          <w:lang w:val="fr-CH"/>
        </w:rPr>
        <w:lastRenderedPageBreak/>
        <w:t>Synop</w:t>
      </w:r>
      <w:r w:rsidR="00724A67" w:rsidRPr="00ED711A">
        <w:rPr>
          <w:b/>
          <w:sz w:val="22"/>
          <w:szCs w:val="22"/>
          <w:lang w:val="fr-CH"/>
        </w:rPr>
        <w:t>sis des notifications de mesure</w:t>
      </w:r>
      <w:r w:rsidRPr="00ED711A">
        <w:rPr>
          <w:b/>
          <w:sz w:val="22"/>
          <w:szCs w:val="22"/>
          <w:lang w:val="fr-CH"/>
        </w:rPr>
        <w:t xml:space="preserve"> de </w:t>
      </w:r>
      <w:r w:rsidR="001F3C16">
        <w:rPr>
          <w:b/>
          <w:sz w:val="22"/>
          <w:szCs w:val="22"/>
          <w:lang w:val="fr-CH"/>
        </w:rPr>
        <w:t>réglementation</w:t>
      </w:r>
      <w:r w:rsidRPr="00ED711A">
        <w:rPr>
          <w:b/>
          <w:sz w:val="22"/>
          <w:szCs w:val="22"/>
          <w:lang w:val="fr-CH"/>
        </w:rPr>
        <w:t xml:space="preserve"> finale reçues depuis la derniere</w:t>
      </w:r>
      <w:r w:rsidR="005D18AF" w:rsidRPr="00ED711A">
        <w:rPr>
          <w:b/>
          <w:sz w:val="22"/>
          <w:szCs w:val="22"/>
          <w:lang w:val="fr-CH"/>
        </w:rPr>
        <w:t xml:space="preserve"> C</w:t>
      </w:r>
      <w:r w:rsidR="007B6C51" w:rsidRPr="00ED711A">
        <w:rPr>
          <w:b/>
          <w:sz w:val="22"/>
          <w:szCs w:val="22"/>
          <w:lang w:val="fr-CH"/>
        </w:rPr>
        <w:t>irculaire PIC</w:t>
      </w:r>
    </w:p>
    <w:p w:rsidR="007B68CF" w:rsidRPr="00ED711A" w:rsidRDefault="007B68CF" w:rsidP="007B68CF">
      <w:pPr>
        <w:ind w:right="23"/>
        <w:jc w:val="center"/>
        <w:rPr>
          <w:b/>
          <w:sz w:val="22"/>
          <w:szCs w:val="22"/>
          <w:u w:val="single"/>
          <w:lang w:val="fr-CH"/>
        </w:rPr>
      </w:pPr>
    </w:p>
    <w:p w:rsidR="00340E2B" w:rsidRPr="00ED711A" w:rsidRDefault="00BC73C4" w:rsidP="00340E2B">
      <w:pPr>
        <w:ind w:right="23"/>
        <w:jc w:val="center"/>
        <w:outlineLvl w:val="1"/>
        <w:rPr>
          <w:b/>
          <w:u w:val="single"/>
          <w:lang w:val="fr-CH"/>
        </w:rPr>
      </w:pPr>
      <w:bookmarkStart w:id="125" w:name="_Toc421544485"/>
      <w:bookmarkStart w:id="126" w:name="_Toc468869211"/>
      <w:bookmarkStart w:id="127" w:name="_Toc468870495"/>
      <w:bookmarkStart w:id="128" w:name="_Toc468887022"/>
      <w:bookmarkStart w:id="129" w:name="_Toc469005601"/>
      <w:r w:rsidRPr="00ED711A">
        <w:rPr>
          <w:b/>
          <w:u w:val="single"/>
          <w:lang w:val="fr-CH"/>
        </w:rPr>
        <w:t>PART</w:t>
      </w:r>
      <w:r w:rsidR="0094645F" w:rsidRPr="00ED711A">
        <w:rPr>
          <w:b/>
          <w:u w:val="single"/>
          <w:lang w:val="fr-CH"/>
        </w:rPr>
        <w:t>IE</w:t>
      </w:r>
      <w:r w:rsidRPr="00ED711A">
        <w:rPr>
          <w:b/>
          <w:u w:val="single"/>
          <w:lang w:val="fr-CH"/>
        </w:rPr>
        <w:t xml:space="preserve"> A</w:t>
      </w:r>
      <w:bookmarkEnd w:id="125"/>
      <w:bookmarkEnd w:id="126"/>
      <w:bookmarkEnd w:id="127"/>
      <w:bookmarkEnd w:id="128"/>
      <w:bookmarkEnd w:id="129"/>
    </w:p>
    <w:p w:rsidR="007B68CF" w:rsidRPr="00ED711A" w:rsidRDefault="007B68CF" w:rsidP="007B68CF">
      <w:pPr>
        <w:ind w:right="23"/>
        <w:jc w:val="center"/>
        <w:rPr>
          <w:b/>
          <w:lang w:val="fr-CH"/>
        </w:rPr>
      </w:pPr>
    </w:p>
    <w:p w:rsidR="007B68CF" w:rsidRPr="00ED711A" w:rsidRDefault="0094645F" w:rsidP="00CD068A">
      <w:pPr>
        <w:ind w:right="23"/>
        <w:jc w:val="center"/>
        <w:rPr>
          <w:b/>
          <w:lang w:val="fr-CH"/>
        </w:rPr>
      </w:pPr>
      <w:r w:rsidRPr="00ED711A">
        <w:rPr>
          <w:b/>
          <w:lang w:val="fr-CH"/>
        </w:rPr>
        <w:t>RESUME DE CHAQUE NOTIFICATION DE MES</w:t>
      </w:r>
      <w:r w:rsidR="00724A67" w:rsidRPr="00ED711A">
        <w:rPr>
          <w:b/>
          <w:lang w:val="fr-CH"/>
        </w:rPr>
        <w:t>URE DE REGLAMENTATION FINALE</w:t>
      </w:r>
      <w:r w:rsidRPr="00ED711A">
        <w:rPr>
          <w:b/>
          <w:lang w:val="fr-CH"/>
        </w:rPr>
        <w:t xml:space="preserve"> DONT LE SECRETARIAT A VERIFIE QU</w:t>
      </w:r>
      <w:r w:rsidR="000D310E" w:rsidRPr="00ED711A">
        <w:rPr>
          <w:b/>
          <w:lang w:val="fr-CH"/>
        </w:rPr>
        <w:t>’</w:t>
      </w:r>
      <w:r w:rsidRPr="00ED711A">
        <w:rPr>
          <w:b/>
          <w:lang w:val="fr-CH"/>
        </w:rPr>
        <w:t xml:space="preserve">ELLE CONTIENT TOUS LES RENSEIGNEMENTS </w:t>
      </w:r>
      <w:r w:rsidR="00724A67" w:rsidRPr="00ED711A">
        <w:rPr>
          <w:b/>
          <w:lang w:val="fr-CH"/>
        </w:rPr>
        <w:t>STIP</w:t>
      </w:r>
      <w:r w:rsidR="00747640">
        <w:rPr>
          <w:b/>
          <w:lang w:val="fr-CH"/>
        </w:rPr>
        <w:t>U</w:t>
      </w:r>
      <w:r w:rsidR="00724A67" w:rsidRPr="00ED711A">
        <w:rPr>
          <w:b/>
          <w:lang w:val="fr-CH"/>
        </w:rPr>
        <w:t>LES DANS</w:t>
      </w:r>
      <w:r w:rsidRPr="00ED711A">
        <w:rPr>
          <w:b/>
          <w:lang w:val="fr-CH"/>
        </w:rPr>
        <w:t xml:space="preserve"> L</w:t>
      </w:r>
      <w:r w:rsidR="000D310E" w:rsidRPr="00ED711A">
        <w:rPr>
          <w:b/>
          <w:lang w:val="fr-CH"/>
        </w:rPr>
        <w:t>’</w:t>
      </w:r>
      <w:r w:rsidRPr="00ED711A">
        <w:rPr>
          <w:b/>
          <w:lang w:val="fr-CH"/>
        </w:rPr>
        <w:t>ANNEXE I DE LA CONVENTION</w:t>
      </w:r>
    </w:p>
    <w:p w:rsidR="007B68CF" w:rsidRPr="00ED711A" w:rsidRDefault="007B68CF" w:rsidP="008C1FD5">
      <w:pPr>
        <w:autoSpaceDE w:val="0"/>
        <w:autoSpaceDN w:val="0"/>
        <w:adjustRightInd w:val="0"/>
        <w:ind w:right="23"/>
        <w:jc w:val="both"/>
        <w:rPr>
          <w:sz w:val="22"/>
          <w:szCs w:val="22"/>
          <w:lang w:val="fr-CH" w:eastAsia="fr-FR"/>
        </w:rPr>
      </w:pPr>
    </w:p>
    <w:p w:rsidR="00EE4716" w:rsidRPr="00ED711A" w:rsidRDefault="00EE4716" w:rsidP="008C1FD5">
      <w:pPr>
        <w:autoSpaceDE w:val="0"/>
        <w:autoSpaceDN w:val="0"/>
        <w:adjustRightInd w:val="0"/>
        <w:ind w:right="23"/>
        <w:jc w:val="both"/>
        <w:rPr>
          <w:sz w:val="22"/>
          <w:szCs w:val="22"/>
          <w:lang w:val="fr-CH" w:eastAsia="fr-FR"/>
        </w:rPr>
      </w:pPr>
    </w:p>
    <w:p w:rsidR="00510BDA" w:rsidRPr="00ED711A" w:rsidRDefault="00510BDA" w:rsidP="0070218D">
      <w:pPr>
        <w:widowControl w:val="0"/>
        <w:pBdr>
          <w:bottom w:val="single" w:sz="4" w:space="1" w:color="auto"/>
        </w:pBdr>
        <w:snapToGrid w:val="0"/>
        <w:spacing w:after="120"/>
        <w:jc w:val="both"/>
        <w:rPr>
          <w:b/>
          <w:caps/>
          <w:szCs w:val="16"/>
        </w:rPr>
      </w:pPr>
      <w:r w:rsidRPr="00ED711A">
        <w:rPr>
          <w:b/>
          <w:caps/>
          <w:szCs w:val="16"/>
        </w:rPr>
        <w:t>Brésil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tblPr>
      <w:tblGrid>
        <w:gridCol w:w="5895"/>
        <w:gridCol w:w="2299"/>
        <w:gridCol w:w="1944"/>
      </w:tblGrid>
      <w:tr w:rsidR="00510BDA" w:rsidRPr="00ED711A" w:rsidTr="00510BDA">
        <w:tc>
          <w:tcPr>
            <w:tcW w:w="1667" w:type="pct"/>
            <w:hideMark/>
          </w:tcPr>
          <w:p w:rsidR="00510BDA" w:rsidRPr="00ED711A" w:rsidRDefault="00510BDA" w:rsidP="0070218D">
            <w:pPr>
              <w:widowControl w:val="0"/>
              <w:snapToGrid w:val="0"/>
              <w:spacing w:after="120"/>
              <w:jc w:val="both"/>
              <w:rPr>
                <w:sz w:val="22"/>
                <w:szCs w:val="22"/>
                <w:lang w:eastAsia="en-US"/>
              </w:rPr>
            </w:pPr>
            <w:r w:rsidRPr="00ED711A">
              <w:rPr>
                <w:b/>
                <w:i/>
                <w:sz w:val="22"/>
                <w:szCs w:val="22"/>
              </w:rPr>
              <w:t xml:space="preserve">Nom usuel: </w:t>
            </w:r>
            <w:r w:rsidRPr="00ED711A">
              <w:rPr>
                <w:sz w:val="22"/>
                <w:szCs w:val="22"/>
              </w:rPr>
              <w:t>Phorate</w:t>
            </w:r>
          </w:p>
        </w:tc>
        <w:tc>
          <w:tcPr>
            <w:tcW w:w="650" w:type="pct"/>
            <w:hideMark/>
          </w:tcPr>
          <w:p w:rsidR="00510BDA" w:rsidRPr="00ED711A" w:rsidRDefault="00510BDA" w:rsidP="0070218D">
            <w:pPr>
              <w:widowControl w:val="0"/>
              <w:snapToGrid w:val="0"/>
              <w:spacing w:after="120"/>
              <w:jc w:val="both"/>
              <w:rPr>
                <w:b/>
                <w:i/>
                <w:sz w:val="22"/>
                <w:szCs w:val="22"/>
                <w:lang w:eastAsia="en-US"/>
              </w:rPr>
            </w:pPr>
            <w:r w:rsidRPr="00ED711A">
              <w:rPr>
                <w:b/>
                <w:i/>
                <w:sz w:val="22"/>
                <w:szCs w:val="22"/>
              </w:rPr>
              <w:t>Numéro CAS:</w:t>
            </w:r>
          </w:p>
        </w:tc>
        <w:tc>
          <w:tcPr>
            <w:tcW w:w="550" w:type="pct"/>
            <w:hideMark/>
          </w:tcPr>
          <w:p w:rsidR="00510BDA" w:rsidRPr="00ED711A" w:rsidRDefault="00510BDA" w:rsidP="0070218D">
            <w:pPr>
              <w:widowControl w:val="0"/>
              <w:snapToGrid w:val="0"/>
              <w:spacing w:after="120"/>
              <w:jc w:val="both"/>
              <w:rPr>
                <w:sz w:val="22"/>
                <w:szCs w:val="22"/>
                <w:lang w:eastAsia="en-US"/>
              </w:rPr>
            </w:pPr>
            <w:r w:rsidRPr="00ED711A">
              <w:rPr>
                <w:sz w:val="22"/>
                <w:szCs w:val="22"/>
              </w:rPr>
              <w:t>298-02-2</w:t>
            </w:r>
          </w:p>
        </w:tc>
      </w:tr>
    </w:tbl>
    <w:p w:rsidR="00510BDA" w:rsidRPr="00ED711A" w:rsidRDefault="00510BDA" w:rsidP="0070218D">
      <w:pPr>
        <w:widowControl w:val="0"/>
        <w:snapToGrid w:val="0"/>
        <w:spacing w:after="120"/>
        <w:jc w:val="both"/>
        <w:rPr>
          <w:b/>
          <w:i/>
          <w:sz w:val="22"/>
          <w:szCs w:val="22"/>
          <w:lang w:val="fr-CH" w:eastAsia="en-US"/>
        </w:rPr>
      </w:pPr>
      <w:r w:rsidRPr="00ED711A">
        <w:rPr>
          <w:b/>
          <w:i/>
          <w:sz w:val="22"/>
          <w:szCs w:val="22"/>
          <w:lang w:val="fr-CH"/>
        </w:rPr>
        <w:t xml:space="preserve">Nom chimique: </w:t>
      </w:r>
      <w:r w:rsidR="005D5C7D" w:rsidRPr="005D2E47">
        <w:rPr>
          <w:sz w:val="22"/>
          <w:szCs w:val="22"/>
          <w:lang w:val="fr-CH"/>
        </w:rPr>
        <w:t xml:space="preserve">Dithiophosphate de </w:t>
      </w:r>
      <w:r w:rsidR="005D5C7D" w:rsidRPr="005D2E47">
        <w:rPr>
          <w:i/>
          <w:sz w:val="22"/>
          <w:szCs w:val="22"/>
          <w:lang w:val="fr-CH"/>
        </w:rPr>
        <w:t>O</w:t>
      </w:r>
      <w:proofErr w:type="gramStart"/>
      <w:r w:rsidR="005D5C7D" w:rsidRPr="005D2E47">
        <w:rPr>
          <w:i/>
          <w:sz w:val="22"/>
          <w:szCs w:val="22"/>
          <w:lang w:val="fr-CH"/>
        </w:rPr>
        <w:t>,O</w:t>
      </w:r>
      <w:proofErr w:type="gramEnd"/>
      <w:r w:rsidR="005D5C7D" w:rsidRPr="005D2E47">
        <w:rPr>
          <w:sz w:val="22"/>
          <w:szCs w:val="22"/>
          <w:lang w:val="fr-CH"/>
        </w:rPr>
        <w:t xml:space="preserve">-diethyle et </w:t>
      </w:r>
      <w:r w:rsidR="00061ABE">
        <w:rPr>
          <w:sz w:val="22"/>
          <w:szCs w:val="22"/>
          <w:lang w:val="fr-CH"/>
        </w:rPr>
        <w:t>d</w:t>
      </w:r>
      <w:r w:rsidR="005D5C7D" w:rsidRPr="005D2E47">
        <w:rPr>
          <w:sz w:val="22"/>
          <w:szCs w:val="22"/>
          <w:lang w:val="fr-CH"/>
        </w:rPr>
        <w:t>'ethylthiomethyle</w:t>
      </w:r>
    </w:p>
    <w:p w:rsidR="00510BDA" w:rsidRPr="00ED711A" w:rsidRDefault="00510BDA" w:rsidP="0070218D">
      <w:pPr>
        <w:widowControl w:val="0"/>
        <w:snapToGrid w:val="0"/>
        <w:spacing w:after="120"/>
        <w:jc w:val="both"/>
        <w:rPr>
          <w:b/>
          <w:i/>
          <w:sz w:val="22"/>
          <w:szCs w:val="22"/>
          <w:lang w:val="fr-CH"/>
        </w:rPr>
      </w:pPr>
      <w:r w:rsidRPr="00ED711A">
        <w:rPr>
          <w:b/>
          <w:i/>
          <w:sz w:val="22"/>
          <w:szCs w:val="22"/>
          <w:lang w:val="fr-CH"/>
        </w:rPr>
        <w:t xml:space="preserve">Catégorie pour laquelle a été prise la mesure de réglementation finale: </w:t>
      </w:r>
      <w:r w:rsidRPr="00ED711A">
        <w:rPr>
          <w:sz w:val="22"/>
          <w:szCs w:val="22"/>
          <w:lang w:val="fr-CH"/>
        </w:rPr>
        <w:t>Pesticide</w:t>
      </w:r>
    </w:p>
    <w:p w:rsidR="00510BDA" w:rsidRPr="00ED711A" w:rsidRDefault="00510BDA" w:rsidP="0070218D">
      <w:pPr>
        <w:widowControl w:val="0"/>
        <w:snapToGrid w:val="0"/>
        <w:spacing w:after="120"/>
        <w:jc w:val="both"/>
        <w:rPr>
          <w:sz w:val="22"/>
          <w:szCs w:val="22"/>
          <w:lang w:val="fr-CH"/>
        </w:rPr>
      </w:pPr>
      <w:r w:rsidRPr="00ED711A">
        <w:rPr>
          <w:b/>
          <w:i/>
          <w:sz w:val="22"/>
          <w:szCs w:val="22"/>
          <w:lang w:val="fr-CH"/>
        </w:rPr>
        <w:t xml:space="preserve">Mesure de réglementation finale: </w:t>
      </w:r>
      <w:r w:rsidRPr="00ED711A">
        <w:rPr>
          <w:sz w:val="22"/>
          <w:szCs w:val="22"/>
          <w:lang w:val="fr-CH"/>
        </w:rPr>
        <w:t>Le produit chimique est interdit</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Emplois interdits par la mesure de réglementation finale: </w:t>
      </w:r>
      <w:r w:rsidRPr="00ED711A">
        <w:rPr>
          <w:sz w:val="22"/>
          <w:szCs w:val="22"/>
          <w:lang w:val="fr-CH"/>
        </w:rPr>
        <w:t>Toutes les utilisations.</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Emplois qui demeurent autorisés: </w:t>
      </w:r>
      <w:r w:rsidRPr="00ED711A">
        <w:rPr>
          <w:sz w:val="22"/>
          <w:szCs w:val="22"/>
          <w:lang w:val="fr-CH"/>
        </w:rPr>
        <w:t>Aucun.</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Mesure de réglementation finale a-t-elle été prise après une évaluation des risques et des dangers</w:t>
      </w:r>
      <w:proofErr w:type="gramStart"/>
      <w:r w:rsidRPr="00ED711A">
        <w:rPr>
          <w:b/>
          <w:i/>
          <w:sz w:val="22"/>
          <w:szCs w:val="22"/>
          <w:lang w:val="fr-CH"/>
        </w:rPr>
        <w:t>?:</w:t>
      </w:r>
      <w:proofErr w:type="gramEnd"/>
      <w:r w:rsidRPr="00ED711A">
        <w:rPr>
          <w:b/>
          <w:i/>
          <w:sz w:val="22"/>
          <w:szCs w:val="22"/>
          <w:lang w:val="fr-CH"/>
        </w:rPr>
        <w:t xml:space="preserve"> </w:t>
      </w:r>
      <w:r w:rsidRPr="00ED711A">
        <w:rPr>
          <w:sz w:val="22"/>
          <w:szCs w:val="22"/>
          <w:lang w:val="fr-CH"/>
        </w:rPr>
        <w:t>Oui</w:t>
      </w:r>
    </w:p>
    <w:p w:rsidR="00510BDA" w:rsidRPr="00ED711A" w:rsidRDefault="00510BDA" w:rsidP="0070218D">
      <w:pPr>
        <w:widowControl w:val="0"/>
        <w:autoSpaceDE w:val="0"/>
        <w:autoSpaceDN w:val="0"/>
        <w:adjustRightInd w:val="0"/>
        <w:snapToGrid w:val="0"/>
        <w:spacing w:after="120"/>
        <w:jc w:val="both"/>
        <w:rPr>
          <w:sz w:val="22"/>
          <w:szCs w:val="22"/>
          <w:lang w:val="fr-FR"/>
        </w:rPr>
      </w:pPr>
      <w:r w:rsidRPr="00ED711A">
        <w:rPr>
          <w:b/>
          <w:i/>
          <w:sz w:val="22"/>
          <w:szCs w:val="22"/>
          <w:lang w:val="fr-CH"/>
        </w:rPr>
        <w:t xml:space="preserve">Résumé de la mesure de réglementation finale: </w:t>
      </w:r>
      <w:r w:rsidRPr="00ED711A">
        <w:rPr>
          <w:sz w:val="22"/>
          <w:szCs w:val="22"/>
          <w:lang w:val="fr-FR"/>
        </w:rPr>
        <w:t>Interdiction de tous les produits techniques et formulés basés sur la substance active phorate. Par conséquent, la production, l</w:t>
      </w:r>
      <w:r w:rsidR="000D310E" w:rsidRPr="00ED711A">
        <w:rPr>
          <w:sz w:val="22"/>
          <w:szCs w:val="22"/>
          <w:lang w:val="fr-FR"/>
        </w:rPr>
        <w:t>’</w:t>
      </w:r>
      <w:r w:rsidRPr="00ED711A">
        <w:rPr>
          <w:sz w:val="22"/>
          <w:szCs w:val="22"/>
          <w:lang w:val="fr-FR"/>
        </w:rPr>
        <w:t>utilisation, la commercialisation, l</w:t>
      </w:r>
      <w:r w:rsidR="000D310E" w:rsidRPr="00ED711A">
        <w:rPr>
          <w:sz w:val="22"/>
          <w:szCs w:val="22"/>
          <w:lang w:val="fr-FR"/>
        </w:rPr>
        <w:t>’</w:t>
      </w:r>
      <w:r w:rsidRPr="00ED711A">
        <w:rPr>
          <w:sz w:val="22"/>
          <w:szCs w:val="22"/>
          <w:lang w:val="fr-FR"/>
        </w:rPr>
        <w:t>importation et l</w:t>
      </w:r>
      <w:r w:rsidR="000D310E" w:rsidRPr="00ED711A">
        <w:rPr>
          <w:sz w:val="22"/>
          <w:szCs w:val="22"/>
          <w:lang w:val="fr-FR"/>
        </w:rPr>
        <w:t>’</w:t>
      </w:r>
      <w:r w:rsidRPr="00ED711A">
        <w:rPr>
          <w:sz w:val="22"/>
          <w:szCs w:val="22"/>
          <w:lang w:val="fr-FR"/>
        </w:rPr>
        <w:t>exportation du phorate ont été interdites.</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Les raisons ayant motivé la mesure de réglementation finale étaient liées à: </w:t>
      </w:r>
      <w:r w:rsidRPr="00ED711A">
        <w:rPr>
          <w:sz w:val="22"/>
          <w:szCs w:val="22"/>
          <w:lang w:val="fr-CH"/>
        </w:rPr>
        <w:t>La santé humaine.</w:t>
      </w:r>
    </w:p>
    <w:p w:rsidR="00510BDA" w:rsidRPr="00ED711A" w:rsidRDefault="00510BDA" w:rsidP="0070218D">
      <w:pPr>
        <w:widowControl w:val="0"/>
        <w:autoSpaceDE w:val="0"/>
        <w:autoSpaceDN w:val="0"/>
        <w:adjustRightInd w:val="0"/>
        <w:snapToGrid w:val="0"/>
        <w:spacing w:after="120"/>
        <w:jc w:val="both"/>
        <w:rPr>
          <w:sz w:val="22"/>
          <w:szCs w:val="22"/>
          <w:lang w:val="fr-FR"/>
        </w:rPr>
      </w:pPr>
      <w:r w:rsidRPr="00ED711A">
        <w:rPr>
          <w:b/>
          <w:i/>
          <w:sz w:val="22"/>
          <w:szCs w:val="22"/>
          <w:lang w:val="fr-CH"/>
        </w:rPr>
        <w:t xml:space="preserve">Résumé des dangers et risques connus pour la santé des personnes: </w:t>
      </w:r>
      <w:r w:rsidRPr="00ED711A">
        <w:rPr>
          <w:sz w:val="22"/>
          <w:szCs w:val="22"/>
          <w:lang w:val="fr-FR"/>
        </w:rPr>
        <w:t>Le phorate était un insecticide autorisé au Brésil exclusivement pour l</w:t>
      </w:r>
      <w:r w:rsidR="000D310E" w:rsidRPr="00ED711A">
        <w:rPr>
          <w:sz w:val="22"/>
          <w:szCs w:val="22"/>
          <w:lang w:val="fr-FR"/>
        </w:rPr>
        <w:t>’</w:t>
      </w:r>
      <w:r w:rsidRPr="00ED711A">
        <w:rPr>
          <w:sz w:val="22"/>
          <w:szCs w:val="22"/>
          <w:lang w:val="fr-FR"/>
        </w:rPr>
        <w:t>agriculture dans les cultures de coton, de pommes de terre, de café, de haricots et de maïs. En 2008 l</w:t>
      </w:r>
      <w:r w:rsidR="000D310E" w:rsidRPr="00ED711A">
        <w:rPr>
          <w:sz w:val="22"/>
          <w:szCs w:val="22"/>
          <w:lang w:val="fr-FR"/>
        </w:rPr>
        <w:t>’</w:t>
      </w:r>
      <w:r w:rsidRPr="00ED711A">
        <w:rPr>
          <w:sz w:val="22"/>
          <w:szCs w:val="22"/>
          <w:lang w:val="fr-FR"/>
        </w:rPr>
        <w:t>Agence nationale brésilienne de veille sanitaire (ANVISA) a lancé une réévaluation du phorate due à des indications de toxicité aiguë et de neurotoxicité de cette substance active des pesticides.</w:t>
      </w:r>
    </w:p>
    <w:p w:rsidR="00510BDA" w:rsidRPr="00ED711A" w:rsidRDefault="00510BDA" w:rsidP="0070218D">
      <w:pPr>
        <w:widowControl w:val="0"/>
        <w:autoSpaceDE w:val="0"/>
        <w:autoSpaceDN w:val="0"/>
        <w:adjustRightInd w:val="0"/>
        <w:snapToGrid w:val="0"/>
        <w:spacing w:after="120"/>
        <w:jc w:val="both"/>
        <w:rPr>
          <w:sz w:val="22"/>
          <w:szCs w:val="22"/>
          <w:lang w:val="fr-FR"/>
        </w:rPr>
      </w:pPr>
      <w:r w:rsidRPr="00ED711A">
        <w:rPr>
          <w:sz w:val="22"/>
          <w:szCs w:val="22"/>
          <w:lang w:val="fr-FR"/>
        </w:rPr>
        <w:t>La loi du Brésil prévoit qu</w:t>
      </w:r>
      <w:r w:rsidR="000D310E" w:rsidRPr="00ED711A">
        <w:rPr>
          <w:sz w:val="22"/>
          <w:szCs w:val="22"/>
          <w:lang w:val="fr-FR"/>
        </w:rPr>
        <w:t>’</w:t>
      </w:r>
      <w:r w:rsidRPr="00ED711A">
        <w:rPr>
          <w:sz w:val="22"/>
          <w:szCs w:val="22"/>
          <w:lang w:val="fr-FR"/>
        </w:rPr>
        <w:t>il est possible de révoquer l</w:t>
      </w:r>
      <w:r w:rsidR="000D310E" w:rsidRPr="00ED711A">
        <w:rPr>
          <w:sz w:val="22"/>
          <w:szCs w:val="22"/>
          <w:lang w:val="fr-FR"/>
        </w:rPr>
        <w:t>’</w:t>
      </w:r>
      <w:r w:rsidRPr="00ED711A">
        <w:rPr>
          <w:sz w:val="22"/>
          <w:szCs w:val="22"/>
          <w:lang w:val="fr-FR"/>
        </w:rPr>
        <w:t>homologation des pesticides dans le pays s</w:t>
      </w:r>
      <w:r w:rsidR="000D310E" w:rsidRPr="00ED711A">
        <w:rPr>
          <w:sz w:val="22"/>
          <w:szCs w:val="22"/>
          <w:lang w:val="fr-FR"/>
        </w:rPr>
        <w:t>’</w:t>
      </w:r>
      <w:r w:rsidRPr="00ED711A">
        <w:rPr>
          <w:sz w:val="22"/>
          <w:szCs w:val="22"/>
          <w:lang w:val="fr-FR"/>
        </w:rPr>
        <w:t>ils présentent les caractéristiques suivantes liées à la santé des personnes: s</w:t>
      </w:r>
      <w:r w:rsidR="000D310E" w:rsidRPr="00ED711A">
        <w:rPr>
          <w:sz w:val="22"/>
          <w:szCs w:val="22"/>
          <w:lang w:val="fr-FR"/>
        </w:rPr>
        <w:t>’</w:t>
      </w:r>
      <w:r w:rsidRPr="00ED711A">
        <w:rPr>
          <w:sz w:val="22"/>
          <w:szCs w:val="22"/>
          <w:lang w:val="fr-FR"/>
        </w:rPr>
        <w:t>il n</w:t>
      </w:r>
      <w:r w:rsidR="000D310E" w:rsidRPr="00ED711A">
        <w:rPr>
          <w:sz w:val="22"/>
          <w:szCs w:val="22"/>
          <w:lang w:val="fr-FR"/>
        </w:rPr>
        <w:t>’</w:t>
      </w:r>
      <w:r w:rsidRPr="00ED711A">
        <w:rPr>
          <w:sz w:val="22"/>
          <w:szCs w:val="22"/>
          <w:lang w:val="fr-FR"/>
        </w:rPr>
        <w:t>y a pas d</w:t>
      </w:r>
      <w:r w:rsidR="000D310E" w:rsidRPr="00ED711A">
        <w:rPr>
          <w:sz w:val="22"/>
          <w:szCs w:val="22"/>
          <w:lang w:val="fr-FR"/>
        </w:rPr>
        <w:t>’</w:t>
      </w:r>
      <w:r w:rsidRPr="00ED711A">
        <w:rPr>
          <w:sz w:val="22"/>
          <w:szCs w:val="22"/>
          <w:lang w:val="fr-FR"/>
        </w:rPr>
        <w:t>antidote ou de traitement efficace au Brésil, s</w:t>
      </w:r>
      <w:r w:rsidR="000D310E" w:rsidRPr="00ED711A">
        <w:rPr>
          <w:sz w:val="22"/>
          <w:szCs w:val="22"/>
          <w:lang w:val="fr-FR"/>
        </w:rPr>
        <w:t>’</w:t>
      </w:r>
      <w:r w:rsidRPr="00ED711A">
        <w:rPr>
          <w:sz w:val="22"/>
          <w:szCs w:val="22"/>
          <w:lang w:val="fr-FR"/>
        </w:rPr>
        <w:t>il est constaté qu</w:t>
      </w:r>
      <w:r w:rsidR="000D310E" w:rsidRPr="00ED711A">
        <w:rPr>
          <w:sz w:val="22"/>
          <w:szCs w:val="22"/>
          <w:lang w:val="fr-FR"/>
        </w:rPr>
        <w:t>’</w:t>
      </w:r>
      <w:r w:rsidRPr="00ED711A">
        <w:rPr>
          <w:sz w:val="22"/>
          <w:szCs w:val="22"/>
          <w:lang w:val="fr-FR"/>
        </w:rPr>
        <w:t>ils sont tératogènes, mutagènes, carcinogènes; s</w:t>
      </w:r>
      <w:r w:rsidR="000D310E" w:rsidRPr="00ED711A">
        <w:rPr>
          <w:sz w:val="22"/>
          <w:szCs w:val="22"/>
          <w:lang w:val="fr-FR"/>
        </w:rPr>
        <w:t>’</w:t>
      </w:r>
      <w:r w:rsidRPr="00ED711A">
        <w:rPr>
          <w:sz w:val="22"/>
          <w:szCs w:val="22"/>
          <w:lang w:val="fr-FR"/>
        </w:rPr>
        <w:t>ils provoquent des troubles hormonaux et des dommages au système reproductif ou s</w:t>
      </w:r>
      <w:r w:rsidR="000D310E" w:rsidRPr="00ED711A">
        <w:rPr>
          <w:sz w:val="22"/>
          <w:szCs w:val="22"/>
          <w:lang w:val="fr-FR"/>
        </w:rPr>
        <w:t>’</w:t>
      </w:r>
      <w:r w:rsidRPr="00ED711A">
        <w:rPr>
          <w:sz w:val="22"/>
          <w:szCs w:val="22"/>
          <w:lang w:val="fr-FR"/>
        </w:rPr>
        <w:t>il sont plus dangereux pour les personnes que ce que des études menées sur des animaux de laboratoire ont démontré.</w:t>
      </w:r>
    </w:p>
    <w:p w:rsidR="00510BDA" w:rsidRPr="00ED711A" w:rsidRDefault="00510BDA" w:rsidP="0070218D">
      <w:pPr>
        <w:widowControl w:val="0"/>
        <w:autoSpaceDE w:val="0"/>
        <w:autoSpaceDN w:val="0"/>
        <w:adjustRightInd w:val="0"/>
        <w:snapToGrid w:val="0"/>
        <w:spacing w:after="120"/>
        <w:jc w:val="both"/>
        <w:rPr>
          <w:sz w:val="22"/>
          <w:szCs w:val="22"/>
          <w:lang w:val="fr-FR"/>
        </w:rPr>
      </w:pPr>
      <w:r w:rsidRPr="00ED711A">
        <w:rPr>
          <w:sz w:val="22"/>
          <w:szCs w:val="22"/>
          <w:lang w:val="fr-FR"/>
        </w:rPr>
        <w:t>Le phorate et ses métabolites sont facilement absorbés par la peau et les membranes muqueuses et il bloque de façon irréversible l</w:t>
      </w:r>
      <w:r w:rsidR="000D310E" w:rsidRPr="00ED711A">
        <w:rPr>
          <w:sz w:val="22"/>
          <w:szCs w:val="22"/>
          <w:lang w:val="fr-FR"/>
        </w:rPr>
        <w:t>’</w:t>
      </w:r>
      <w:r w:rsidRPr="00ED711A">
        <w:rPr>
          <w:sz w:val="22"/>
          <w:szCs w:val="22"/>
          <w:lang w:val="fr-FR"/>
        </w:rPr>
        <w:t>activité catalytique de l</w:t>
      </w:r>
      <w:r w:rsidR="000D310E" w:rsidRPr="00ED711A">
        <w:rPr>
          <w:sz w:val="22"/>
          <w:szCs w:val="22"/>
          <w:lang w:val="fr-FR"/>
        </w:rPr>
        <w:t>’</w:t>
      </w:r>
      <w:r w:rsidRPr="00ED711A">
        <w:rPr>
          <w:sz w:val="22"/>
          <w:szCs w:val="22"/>
          <w:lang w:val="fr-FR"/>
        </w:rPr>
        <w:t>acétylcholinestérase (AChE), l</w:t>
      </w:r>
      <w:r w:rsidR="000D310E" w:rsidRPr="00ED711A">
        <w:rPr>
          <w:sz w:val="22"/>
          <w:szCs w:val="22"/>
          <w:lang w:val="fr-FR"/>
        </w:rPr>
        <w:t>’</w:t>
      </w:r>
      <w:r w:rsidRPr="00ED711A">
        <w:rPr>
          <w:sz w:val="22"/>
          <w:szCs w:val="22"/>
          <w:lang w:val="fr-FR"/>
        </w:rPr>
        <w:t>enzyme jouant un rôle de médiation dans l</w:t>
      </w:r>
      <w:r w:rsidR="000D310E" w:rsidRPr="00ED711A">
        <w:rPr>
          <w:sz w:val="22"/>
          <w:szCs w:val="22"/>
          <w:lang w:val="fr-FR"/>
        </w:rPr>
        <w:t>’</w:t>
      </w:r>
      <w:r w:rsidRPr="00ED711A">
        <w:rPr>
          <w:sz w:val="22"/>
          <w:szCs w:val="22"/>
          <w:lang w:val="fr-FR"/>
        </w:rPr>
        <w:t>hydrolyse de l</w:t>
      </w:r>
      <w:r w:rsidR="000D310E" w:rsidRPr="00ED711A">
        <w:rPr>
          <w:sz w:val="22"/>
          <w:szCs w:val="22"/>
          <w:lang w:val="fr-FR"/>
        </w:rPr>
        <w:t>’</w:t>
      </w:r>
      <w:r w:rsidRPr="00ED711A">
        <w:rPr>
          <w:sz w:val="22"/>
          <w:szCs w:val="22"/>
          <w:lang w:val="fr-FR"/>
        </w:rPr>
        <w:t>acétylcholine en acide acétique et en choline. Ils interrompent ainsi la transmission des impulsions nerveuses dans la synapse cholinergique du système nerveux central (CNS), du système nerveux autonome (ANS) et de la jonction neuromusculaire. L</w:t>
      </w:r>
      <w:r w:rsidR="000D310E" w:rsidRPr="00ED711A">
        <w:rPr>
          <w:sz w:val="22"/>
          <w:szCs w:val="22"/>
          <w:lang w:val="fr-FR"/>
        </w:rPr>
        <w:t>’</w:t>
      </w:r>
      <w:r w:rsidRPr="00ED711A">
        <w:rPr>
          <w:sz w:val="22"/>
          <w:szCs w:val="22"/>
          <w:lang w:val="fr-FR"/>
        </w:rPr>
        <w:t>inactivation du AChE provoque une hyperstimulation cholinergique par l</w:t>
      </w:r>
      <w:r w:rsidR="000D310E" w:rsidRPr="00ED711A">
        <w:rPr>
          <w:sz w:val="22"/>
          <w:szCs w:val="22"/>
          <w:lang w:val="fr-FR"/>
        </w:rPr>
        <w:t>’</w:t>
      </w:r>
      <w:r w:rsidRPr="00ED711A">
        <w:rPr>
          <w:sz w:val="22"/>
          <w:szCs w:val="22"/>
          <w:lang w:val="fr-FR"/>
        </w:rPr>
        <w:t>accumulation de l</w:t>
      </w:r>
      <w:r w:rsidR="000D310E" w:rsidRPr="00ED711A">
        <w:rPr>
          <w:sz w:val="22"/>
          <w:szCs w:val="22"/>
          <w:lang w:val="fr-FR"/>
        </w:rPr>
        <w:t>’</w:t>
      </w:r>
      <w:r w:rsidRPr="00ED711A">
        <w:rPr>
          <w:sz w:val="22"/>
          <w:szCs w:val="22"/>
          <w:lang w:val="fr-FR"/>
        </w:rPr>
        <w:t xml:space="preserve">acétylcholine dans la fente synaptique. </w:t>
      </w:r>
    </w:p>
    <w:p w:rsidR="00510BDA" w:rsidRPr="00ED711A" w:rsidRDefault="00510BDA" w:rsidP="0070218D">
      <w:pPr>
        <w:widowControl w:val="0"/>
        <w:autoSpaceDE w:val="0"/>
        <w:autoSpaceDN w:val="0"/>
        <w:adjustRightInd w:val="0"/>
        <w:snapToGrid w:val="0"/>
        <w:spacing w:after="120"/>
        <w:jc w:val="both"/>
        <w:rPr>
          <w:sz w:val="22"/>
          <w:szCs w:val="22"/>
          <w:lang w:val="fr-FR"/>
        </w:rPr>
      </w:pPr>
      <w:r w:rsidRPr="00ED711A">
        <w:rPr>
          <w:sz w:val="22"/>
          <w:szCs w:val="22"/>
          <w:lang w:val="fr-FR"/>
        </w:rPr>
        <w:t>Le phorate est considéré comme un des inhibiteurs organophosphates AChE les plus toxiques, avec une DL 50 orale moyenne chez les rats allant de 1,4 à 10 mg/kg de poids corporel.</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sz w:val="22"/>
          <w:szCs w:val="22"/>
          <w:lang w:val="fr-FR"/>
        </w:rPr>
        <w:t>Le phorate peut provoquer des manifestations cliniques complexes chez l</w:t>
      </w:r>
      <w:r w:rsidR="000D310E" w:rsidRPr="00ED711A">
        <w:rPr>
          <w:sz w:val="22"/>
          <w:szCs w:val="22"/>
          <w:lang w:val="fr-FR"/>
        </w:rPr>
        <w:t>’</w:t>
      </w:r>
      <w:r w:rsidRPr="00ED711A">
        <w:rPr>
          <w:sz w:val="22"/>
          <w:szCs w:val="22"/>
          <w:lang w:val="fr-FR"/>
        </w:rPr>
        <w:t>homme comme l</w:t>
      </w:r>
      <w:r w:rsidR="000D310E" w:rsidRPr="00ED711A">
        <w:rPr>
          <w:sz w:val="22"/>
          <w:szCs w:val="22"/>
          <w:lang w:val="fr-FR"/>
        </w:rPr>
        <w:t>’</w:t>
      </w:r>
      <w:r w:rsidRPr="00ED711A">
        <w:rPr>
          <w:sz w:val="22"/>
          <w:szCs w:val="22"/>
          <w:lang w:val="fr-FR"/>
        </w:rPr>
        <w:t>encéphalopathie, le syndrome intermédiaire et la polynéuropathie, décrites par différents auteurs (Young, Jung; Ay</w:t>
      </w:r>
      <w:r w:rsidR="009C5DF5" w:rsidRPr="00ED711A">
        <w:rPr>
          <w:sz w:val="22"/>
          <w:szCs w:val="22"/>
          <w:lang w:val="fr-FR"/>
        </w:rPr>
        <w:t>er, 1979; Kashyap et al., 1984;</w:t>
      </w:r>
      <w:r w:rsidRPr="00ED711A">
        <w:rPr>
          <w:sz w:val="22"/>
          <w:szCs w:val="22"/>
          <w:lang w:val="fr-FR"/>
        </w:rPr>
        <w:t xml:space="preserve"> </w:t>
      </w:r>
      <w:r w:rsidRPr="00ED711A">
        <w:rPr>
          <w:sz w:val="22"/>
          <w:szCs w:val="22"/>
          <w:lang w:val="fr-CH"/>
        </w:rPr>
        <w:t>WHO/FAO, 1988; Kusic et al., 1991; Dobozy, 1998; Das and Jena, 2000; Thanal, 2001; Jayakumar, 2002; Mission, 2006; Peter; Prabhakar; Picharnuthu, 2008 a; 2008 b).</w:t>
      </w:r>
    </w:p>
    <w:p w:rsidR="00510BDA" w:rsidRPr="00ED711A" w:rsidRDefault="00510BDA" w:rsidP="0070218D">
      <w:pPr>
        <w:widowControl w:val="0"/>
        <w:shd w:val="clear" w:color="auto" w:fill="FFFFFF"/>
        <w:autoSpaceDE w:val="0"/>
        <w:autoSpaceDN w:val="0"/>
        <w:adjustRightInd w:val="0"/>
        <w:snapToGrid w:val="0"/>
        <w:spacing w:after="120"/>
        <w:jc w:val="both"/>
        <w:rPr>
          <w:sz w:val="22"/>
          <w:szCs w:val="22"/>
          <w:lang w:val="fr-FR"/>
        </w:rPr>
      </w:pPr>
      <w:r w:rsidRPr="00ED711A">
        <w:rPr>
          <w:sz w:val="22"/>
          <w:szCs w:val="22"/>
          <w:lang w:val="fr-FR"/>
        </w:rPr>
        <w:t>Toutefois, il n</w:t>
      </w:r>
      <w:r w:rsidR="000D310E" w:rsidRPr="00ED711A">
        <w:rPr>
          <w:sz w:val="22"/>
          <w:szCs w:val="22"/>
          <w:lang w:val="fr-FR"/>
        </w:rPr>
        <w:t>’</w:t>
      </w:r>
      <w:r w:rsidRPr="00ED711A">
        <w:rPr>
          <w:sz w:val="22"/>
          <w:szCs w:val="22"/>
          <w:lang w:val="fr-FR"/>
        </w:rPr>
        <w:t>y a pas eu de cas de syndrome intermédiaire ou de polynéuropathie chez les animaux de laboratoire qui ont reçu du phorate, ce qui prouve que ce pesticide est plus toxique pour l</w:t>
      </w:r>
      <w:r w:rsidR="000D310E" w:rsidRPr="00ED711A">
        <w:rPr>
          <w:sz w:val="22"/>
          <w:szCs w:val="22"/>
          <w:lang w:val="fr-FR"/>
        </w:rPr>
        <w:t>’</w:t>
      </w:r>
      <w:r w:rsidRPr="00ED711A">
        <w:rPr>
          <w:sz w:val="22"/>
          <w:szCs w:val="22"/>
          <w:lang w:val="fr-FR"/>
        </w:rPr>
        <w:t>homme qu</w:t>
      </w:r>
      <w:r w:rsidR="000D310E" w:rsidRPr="00ED711A">
        <w:rPr>
          <w:sz w:val="22"/>
          <w:szCs w:val="22"/>
          <w:lang w:val="fr-FR"/>
        </w:rPr>
        <w:t>’</w:t>
      </w:r>
      <w:r w:rsidRPr="00ED711A">
        <w:rPr>
          <w:sz w:val="22"/>
          <w:szCs w:val="22"/>
          <w:lang w:val="fr-FR"/>
        </w:rPr>
        <w:t>il n</w:t>
      </w:r>
      <w:r w:rsidR="000D310E" w:rsidRPr="00ED711A">
        <w:rPr>
          <w:sz w:val="22"/>
          <w:szCs w:val="22"/>
          <w:lang w:val="fr-FR"/>
        </w:rPr>
        <w:t>’</w:t>
      </w:r>
      <w:r w:rsidRPr="00ED711A">
        <w:rPr>
          <w:sz w:val="22"/>
          <w:szCs w:val="22"/>
          <w:lang w:val="fr-FR"/>
        </w:rPr>
        <w:t>est démontré dans les tests avec des animaux de laboratoire, un critère prohibitif pour l</w:t>
      </w:r>
      <w:r w:rsidR="000D310E" w:rsidRPr="00ED711A">
        <w:rPr>
          <w:sz w:val="22"/>
          <w:szCs w:val="22"/>
          <w:lang w:val="fr-FR"/>
        </w:rPr>
        <w:t>’</w:t>
      </w:r>
      <w:r w:rsidRPr="00ED711A">
        <w:rPr>
          <w:sz w:val="22"/>
          <w:szCs w:val="22"/>
          <w:lang w:val="fr-FR"/>
        </w:rPr>
        <w:t>homologation d</w:t>
      </w:r>
      <w:r w:rsidR="000D310E" w:rsidRPr="00ED711A">
        <w:rPr>
          <w:sz w:val="22"/>
          <w:szCs w:val="22"/>
          <w:lang w:val="fr-FR"/>
        </w:rPr>
        <w:t>’</w:t>
      </w:r>
      <w:r w:rsidRPr="00ED711A">
        <w:rPr>
          <w:sz w:val="22"/>
          <w:szCs w:val="22"/>
          <w:lang w:val="fr-FR"/>
        </w:rPr>
        <w:t>un pesticide au Brésil.</w:t>
      </w:r>
    </w:p>
    <w:p w:rsidR="00510BDA" w:rsidRPr="00ED711A" w:rsidRDefault="00510BDA" w:rsidP="0070218D">
      <w:pPr>
        <w:widowControl w:val="0"/>
        <w:shd w:val="clear" w:color="auto" w:fill="FFFFFF"/>
        <w:autoSpaceDE w:val="0"/>
        <w:autoSpaceDN w:val="0"/>
        <w:adjustRightInd w:val="0"/>
        <w:snapToGrid w:val="0"/>
        <w:spacing w:after="120"/>
        <w:jc w:val="both"/>
        <w:rPr>
          <w:sz w:val="22"/>
          <w:szCs w:val="22"/>
          <w:lang w:val="fr-FR"/>
        </w:rPr>
      </w:pPr>
      <w:r w:rsidRPr="00ED711A">
        <w:rPr>
          <w:sz w:val="22"/>
          <w:szCs w:val="22"/>
          <w:lang w:val="fr-FR"/>
        </w:rPr>
        <w:t>A part ses effets neurotoxiques, le phorate a montré son potentiel à causer des effets indésirables dans le processus de régulation endocrinienne des horm</w:t>
      </w:r>
      <w:r w:rsidR="009C5DF5" w:rsidRPr="00ED711A">
        <w:rPr>
          <w:sz w:val="22"/>
          <w:szCs w:val="22"/>
          <w:lang w:val="fr-FR"/>
        </w:rPr>
        <w:t>ones stéroïdiennes chez l</w:t>
      </w:r>
      <w:r w:rsidR="000D310E" w:rsidRPr="00ED711A">
        <w:rPr>
          <w:sz w:val="22"/>
          <w:szCs w:val="22"/>
          <w:lang w:val="fr-FR"/>
        </w:rPr>
        <w:t>’</w:t>
      </w:r>
      <w:r w:rsidR="009C5DF5" w:rsidRPr="00ED711A">
        <w:rPr>
          <w:sz w:val="22"/>
          <w:szCs w:val="22"/>
          <w:lang w:val="fr-FR"/>
        </w:rPr>
        <w:t xml:space="preserve">homme </w:t>
      </w:r>
      <w:r w:rsidRPr="00ED711A">
        <w:rPr>
          <w:sz w:val="22"/>
          <w:szCs w:val="22"/>
          <w:lang w:val="fr-FR"/>
        </w:rPr>
        <w:t xml:space="preserve">(Usmani, 2003), ce qui pourrait contribuer à un nombre croissant de cancers (Alavanja, et </w:t>
      </w:r>
      <w:proofErr w:type="gramStart"/>
      <w:r w:rsidRPr="00ED711A">
        <w:rPr>
          <w:sz w:val="22"/>
          <w:szCs w:val="22"/>
          <w:lang w:val="fr-FR"/>
        </w:rPr>
        <w:t>al.,</w:t>
      </w:r>
      <w:proofErr w:type="gramEnd"/>
      <w:r w:rsidRPr="00ED711A">
        <w:rPr>
          <w:sz w:val="22"/>
          <w:szCs w:val="22"/>
          <w:lang w:val="fr-FR"/>
        </w:rPr>
        <w:t xml:space="preserve"> 2002; Mahajan et al., 2006; Koutros et al., 2010).</w:t>
      </w:r>
    </w:p>
    <w:p w:rsidR="00510BDA" w:rsidRPr="00ED711A" w:rsidRDefault="00510BDA" w:rsidP="0070218D">
      <w:pPr>
        <w:widowControl w:val="0"/>
        <w:shd w:val="clear" w:color="auto" w:fill="FFFFFF"/>
        <w:autoSpaceDE w:val="0"/>
        <w:autoSpaceDN w:val="0"/>
        <w:adjustRightInd w:val="0"/>
        <w:snapToGrid w:val="0"/>
        <w:spacing w:after="120"/>
        <w:jc w:val="both"/>
        <w:rPr>
          <w:sz w:val="22"/>
          <w:szCs w:val="22"/>
          <w:lang w:val="fr-FR"/>
        </w:rPr>
      </w:pPr>
      <w:r w:rsidRPr="00ED711A">
        <w:rPr>
          <w:sz w:val="22"/>
          <w:szCs w:val="22"/>
          <w:lang w:val="fr-FR"/>
        </w:rPr>
        <w:lastRenderedPageBreak/>
        <w:t>En ce qui concerne l</w:t>
      </w:r>
      <w:r w:rsidR="000D310E" w:rsidRPr="00ED711A">
        <w:rPr>
          <w:sz w:val="22"/>
          <w:szCs w:val="22"/>
          <w:lang w:val="fr-FR"/>
        </w:rPr>
        <w:t>’</w:t>
      </w:r>
      <w:r w:rsidRPr="00ED711A">
        <w:rPr>
          <w:sz w:val="22"/>
          <w:szCs w:val="22"/>
          <w:lang w:val="fr-FR"/>
        </w:rPr>
        <w:t>exposition humaine, Usha et Harikrishnan (2004) ont signalé plusieurs cas d</w:t>
      </w:r>
      <w:r w:rsidR="000D310E" w:rsidRPr="00ED711A">
        <w:rPr>
          <w:sz w:val="22"/>
          <w:szCs w:val="22"/>
          <w:lang w:val="fr-FR"/>
        </w:rPr>
        <w:t>’</w:t>
      </w:r>
      <w:r w:rsidRPr="00ED711A">
        <w:rPr>
          <w:sz w:val="22"/>
          <w:szCs w:val="22"/>
          <w:lang w:val="fr-FR"/>
        </w:rPr>
        <w:t>empoisonnement aigu chez certaines communautés du Kerala, Inde. Parmi ces cas, 5 qui ont eu lieu entre 1999 et 2002, sont associés à l</w:t>
      </w:r>
      <w:r w:rsidR="000D310E" w:rsidRPr="00ED711A">
        <w:rPr>
          <w:sz w:val="22"/>
          <w:szCs w:val="22"/>
          <w:lang w:val="fr-FR"/>
        </w:rPr>
        <w:t>’</w:t>
      </w:r>
      <w:r w:rsidRPr="00ED711A">
        <w:rPr>
          <w:sz w:val="22"/>
          <w:szCs w:val="22"/>
          <w:lang w:val="fr-FR"/>
        </w:rPr>
        <w:t>exposition au phorate. Selon les auteurs, 12 personnes environ habitant des zones de plantations de bananes ont été gravement empoisonnées par le phorate en juillet 1999.</w:t>
      </w:r>
    </w:p>
    <w:p w:rsidR="00510BDA" w:rsidRPr="00ED711A" w:rsidRDefault="00510BDA" w:rsidP="0070218D">
      <w:pPr>
        <w:widowControl w:val="0"/>
        <w:shd w:val="clear" w:color="auto" w:fill="FFFFFF"/>
        <w:autoSpaceDE w:val="0"/>
        <w:autoSpaceDN w:val="0"/>
        <w:adjustRightInd w:val="0"/>
        <w:snapToGrid w:val="0"/>
        <w:spacing w:after="120"/>
        <w:jc w:val="both"/>
        <w:rPr>
          <w:sz w:val="22"/>
          <w:szCs w:val="22"/>
          <w:lang w:val="fr-FR"/>
        </w:rPr>
      </w:pPr>
      <w:r w:rsidRPr="00ED711A">
        <w:rPr>
          <w:sz w:val="22"/>
          <w:szCs w:val="22"/>
          <w:lang w:val="fr-FR"/>
        </w:rPr>
        <w:t>Après l</w:t>
      </w:r>
      <w:r w:rsidR="000D310E" w:rsidRPr="00ED711A">
        <w:rPr>
          <w:sz w:val="22"/>
          <w:szCs w:val="22"/>
          <w:lang w:val="fr-FR"/>
        </w:rPr>
        <w:t>’</w:t>
      </w:r>
      <w:r w:rsidRPr="00ED711A">
        <w:rPr>
          <w:sz w:val="22"/>
          <w:szCs w:val="22"/>
          <w:lang w:val="fr-FR"/>
        </w:rPr>
        <w:t>utilisation du produit, il a plu sur la région causant l</w:t>
      </w:r>
      <w:r w:rsidR="000D310E" w:rsidRPr="00ED711A">
        <w:rPr>
          <w:sz w:val="22"/>
          <w:szCs w:val="22"/>
          <w:lang w:val="fr-FR"/>
        </w:rPr>
        <w:t>’</w:t>
      </w:r>
      <w:r w:rsidRPr="00ED711A">
        <w:rPr>
          <w:sz w:val="22"/>
          <w:szCs w:val="22"/>
          <w:lang w:val="fr-FR"/>
        </w:rPr>
        <w:t>évaporation rapide du produit qui s</w:t>
      </w:r>
      <w:r w:rsidR="000D310E" w:rsidRPr="00ED711A">
        <w:rPr>
          <w:sz w:val="22"/>
          <w:szCs w:val="22"/>
          <w:lang w:val="fr-FR"/>
        </w:rPr>
        <w:t>’</w:t>
      </w:r>
      <w:r w:rsidRPr="00ED711A">
        <w:rPr>
          <w:sz w:val="22"/>
          <w:szCs w:val="22"/>
          <w:lang w:val="fr-FR"/>
        </w:rPr>
        <w:t>est étendu aux zones limitrophes, atteignant les maisons. Peu après l</w:t>
      </w:r>
      <w:r w:rsidR="000D310E" w:rsidRPr="00ED711A">
        <w:rPr>
          <w:sz w:val="22"/>
          <w:szCs w:val="22"/>
          <w:lang w:val="fr-FR"/>
        </w:rPr>
        <w:t>’</w:t>
      </w:r>
      <w:r w:rsidRPr="00ED711A">
        <w:rPr>
          <w:sz w:val="22"/>
          <w:szCs w:val="22"/>
          <w:lang w:val="fr-FR"/>
        </w:rPr>
        <w:t>application du produit, les symptômes sont apparus et les personnes atteintes ont dû être hospitalisées. En juin 2001, un garçon de 16 ans est mort suite à une exposition professionnelle au phorate pendant une période d</w:t>
      </w:r>
      <w:r w:rsidR="000D310E" w:rsidRPr="00ED711A">
        <w:rPr>
          <w:sz w:val="22"/>
          <w:szCs w:val="22"/>
          <w:lang w:val="fr-FR"/>
        </w:rPr>
        <w:t>’</w:t>
      </w:r>
      <w:r w:rsidRPr="00ED711A">
        <w:rPr>
          <w:sz w:val="22"/>
          <w:szCs w:val="22"/>
          <w:lang w:val="fr-FR"/>
        </w:rPr>
        <w:t>une semaine. La même année, 40 travailleuses agricoles dans une plantation de thé ont été intoxiquées pendant la récolte. Les symptômes sont apparus 30 minutes après l</w:t>
      </w:r>
      <w:r w:rsidR="000D310E" w:rsidRPr="00ED711A">
        <w:rPr>
          <w:sz w:val="22"/>
          <w:szCs w:val="22"/>
          <w:lang w:val="fr-FR"/>
        </w:rPr>
        <w:t>’</w:t>
      </w:r>
      <w:r w:rsidRPr="00ED711A">
        <w:rPr>
          <w:sz w:val="22"/>
          <w:szCs w:val="22"/>
          <w:lang w:val="fr-FR"/>
        </w:rPr>
        <w:t>exposition, avec sensation de vertiges, étourdissements, vision trouble et vomissements. Trente-sept femmes étaient plus gravement atteintes et ont été hospitalisée pendant deux jours. Les auteurs ont signalé qu</w:t>
      </w:r>
      <w:r w:rsidR="000D310E" w:rsidRPr="00ED711A">
        <w:rPr>
          <w:sz w:val="22"/>
          <w:szCs w:val="22"/>
          <w:lang w:val="fr-FR"/>
        </w:rPr>
        <w:t>’</w:t>
      </w:r>
      <w:r w:rsidRPr="00ED711A">
        <w:rPr>
          <w:sz w:val="22"/>
          <w:szCs w:val="22"/>
          <w:lang w:val="fr-FR"/>
        </w:rPr>
        <w:t>en juillet 2002, 31 enfants d</w:t>
      </w:r>
      <w:r w:rsidR="000D310E" w:rsidRPr="00ED711A">
        <w:rPr>
          <w:sz w:val="22"/>
          <w:szCs w:val="22"/>
          <w:lang w:val="fr-FR"/>
        </w:rPr>
        <w:t>’</w:t>
      </w:r>
      <w:r w:rsidRPr="00ED711A">
        <w:rPr>
          <w:sz w:val="22"/>
          <w:szCs w:val="22"/>
          <w:lang w:val="fr-FR"/>
        </w:rPr>
        <w:t>une école primaire ont été empoisonnés par le phorate appliqué dans une plantation près de l</w:t>
      </w:r>
      <w:r w:rsidR="000D310E" w:rsidRPr="00ED711A">
        <w:rPr>
          <w:sz w:val="22"/>
          <w:szCs w:val="22"/>
          <w:lang w:val="fr-FR"/>
        </w:rPr>
        <w:t>’</w:t>
      </w:r>
      <w:r w:rsidRPr="00ED711A">
        <w:rPr>
          <w:sz w:val="22"/>
          <w:szCs w:val="22"/>
          <w:lang w:val="fr-FR"/>
        </w:rPr>
        <w:t xml:space="preserve">école. </w:t>
      </w:r>
    </w:p>
    <w:p w:rsidR="00510BDA" w:rsidRPr="00ED711A" w:rsidRDefault="00510BDA" w:rsidP="0070218D">
      <w:pPr>
        <w:widowControl w:val="0"/>
        <w:shd w:val="clear" w:color="auto" w:fill="FFFFFF"/>
        <w:autoSpaceDE w:val="0"/>
        <w:autoSpaceDN w:val="0"/>
        <w:adjustRightInd w:val="0"/>
        <w:snapToGrid w:val="0"/>
        <w:spacing w:after="120"/>
        <w:jc w:val="both"/>
        <w:rPr>
          <w:sz w:val="22"/>
          <w:szCs w:val="22"/>
          <w:lang w:val="fr-FR"/>
        </w:rPr>
      </w:pPr>
      <w:r w:rsidRPr="00ED711A">
        <w:rPr>
          <w:sz w:val="22"/>
          <w:szCs w:val="22"/>
          <w:lang w:val="fr-FR"/>
        </w:rPr>
        <w:t>Les enfants ont présenté des maux de tête persistants, des douleurs à la poitrine, des difficultés respiratoires, nausées, vertiges, vision brouillée et douleurs à l</w:t>
      </w:r>
      <w:r w:rsidR="000D310E" w:rsidRPr="00ED711A">
        <w:rPr>
          <w:sz w:val="22"/>
          <w:szCs w:val="22"/>
          <w:lang w:val="fr-FR"/>
        </w:rPr>
        <w:t>’</w:t>
      </w:r>
      <w:r w:rsidRPr="00ED711A">
        <w:rPr>
          <w:sz w:val="22"/>
          <w:szCs w:val="22"/>
          <w:lang w:val="fr-FR"/>
        </w:rPr>
        <w:t>estomac; l</w:t>
      </w:r>
      <w:r w:rsidR="000D310E" w:rsidRPr="00ED711A">
        <w:rPr>
          <w:sz w:val="22"/>
          <w:szCs w:val="22"/>
          <w:lang w:val="fr-FR"/>
        </w:rPr>
        <w:t>’</w:t>
      </w:r>
      <w:r w:rsidRPr="00ED711A">
        <w:rPr>
          <w:sz w:val="22"/>
          <w:szCs w:val="22"/>
          <w:lang w:val="fr-FR"/>
        </w:rPr>
        <w:t>un d</w:t>
      </w:r>
      <w:r w:rsidR="000D310E" w:rsidRPr="00ED711A">
        <w:rPr>
          <w:sz w:val="22"/>
          <w:szCs w:val="22"/>
          <w:lang w:val="fr-FR"/>
        </w:rPr>
        <w:t>’</w:t>
      </w:r>
      <w:r w:rsidRPr="00ED711A">
        <w:rPr>
          <w:sz w:val="22"/>
          <w:szCs w:val="22"/>
          <w:lang w:val="fr-FR"/>
        </w:rPr>
        <w:t>eux a manifesté des contractions musculaires involontaires et des convulsions même 24 heures après le traitement.</w:t>
      </w:r>
    </w:p>
    <w:p w:rsidR="00510BDA" w:rsidRPr="00ED711A" w:rsidRDefault="00510BDA" w:rsidP="0070218D">
      <w:pPr>
        <w:widowControl w:val="0"/>
        <w:shd w:val="clear" w:color="auto" w:fill="FFFFFF"/>
        <w:autoSpaceDE w:val="0"/>
        <w:autoSpaceDN w:val="0"/>
        <w:adjustRightInd w:val="0"/>
        <w:snapToGrid w:val="0"/>
        <w:spacing w:after="120"/>
        <w:jc w:val="both"/>
        <w:rPr>
          <w:sz w:val="22"/>
          <w:szCs w:val="22"/>
          <w:lang w:val="fr-FR"/>
        </w:rPr>
      </w:pPr>
      <w:r w:rsidRPr="00ED711A">
        <w:rPr>
          <w:sz w:val="22"/>
          <w:szCs w:val="22"/>
          <w:lang w:val="fr-FR"/>
        </w:rPr>
        <w:t>Le 21 juillet 2006, 20 habitants du village de Salkiana, dans le district de Jalandhar, Inde, ont dû être hospitalisés d</w:t>
      </w:r>
      <w:r w:rsidR="000D310E" w:rsidRPr="00ED711A">
        <w:rPr>
          <w:sz w:val="22"/>
          <w:szCs w:val="22"/>
          <w:lang w:val="fr-FR"/>
        </w:rPr>
        <w:t>’</w:t>
      </w:r>
      <w:r w:rsidRPr="00ED711A">
        <w:rPr>
          <w:sz w:val="22"/>
          <w:szCs w:val="22"/>
          <w:lang w:val="fr-FR"/>
        </w:rPr>
        <w:t>urgence après que des symptômes neurotoxiques par exposition aiguë au phorate avaient été observés. Le produit avait été utilisé dans un champ de canne à sucre très proche. Les étudiants d</w:t>
      </w:r>
      <w:r w:rsidR="000D310E" w:rsidRPr="00ED711A">
        <w:rPr>
          <w:sz w:val="22"/>
          <w:szCs w:val="22"/>
          <w:lang w:val="fr-FR"/>
        </w:rPr>
        <w:t>’</w:t>
      </w:r>
      <w:r w:rsidRPr="00ED711A">
        <w:rPr>
          <w:sz w:val="22"/>
          <w:szCs w:val="22"/>
          <w:lang w:val="fr-FR"/>
        </w:rPr>
        <w:t>une école primaire ont été les plus atteints. Les enseignants et les étudiants ont commencé à se plaindre d</w:t>
      </w:r>
      <w:r w:rsidR="000D310E" w:rsidRPr="00ED711A">
        <w:rPr>
          <w:sz w:val="22"/>
          <w:szCs w:val="22"/>
          <w:lang w:val="fr-FR"/>
        </w:rPr>
        <w:t>’</w:t>
      </w:r>
      <w:r w:rsidRPr="00ED711A">
        <w:rPr>
          <w:sz w:val="22"/>
          <w:szCs w:val="22"/>
          <w:lang w:val="fr-FR"/>
        </w:rPr>
        <w:t>une odeur bizarre et d</w:t>
      </w:r>
      <w:r w:rsidR="000D310E" w:rsidRPr="00ED711A">
        <w:rPr>
          <w:sz w:val="22"/>
          <w:szCs w:val="22"/>
          <w:lang w:val="fr-FR"/>
        </w:rPr>
        <w:t>’</w:t>
      </w:r>
      <w:r w:rsidRPr="00ED711A">
        <w:rPr>
          <w:sz w:val="22"/>
          <w:szCs w:val="22"/>
          <w:lang w:val="fr-FR"/>
        </w:rPr>
        <w:t>essoufflement, soudain un étudiant s</w:t>
      </w:r>
      <w:r w:rsidR="000D310E" w:rsidRPr="00ED711A">
        <w:rPr>
          <w:sz w:val="22"/>
          <w:szCs w:val="22"/>
          <w:lang w:val="fr-FR"/>
        </w:rPr>
        <w:t>’</w:t>
      </w:r>
      <w:r w:rsidRPr="00ED711A">
        <w:rPr>
          <w:sz w:val="22"/>
          <w:szCs w:val="22"/>
          <w:lang w:val="fr-FR"/>
        </w:rPr>
        <w:t>est évanoui et ensuite les autres ont aussi commencé à s</w:t>
      </w:r>
      <w:r w:rsidR="000D310E" w:rsidRPr="00ED711A">
        <w:rPr>
          <w:sz w:val="22"/>
          <w:szCs w:val="22"/>
          <w:lang w:val="fr-FR"/>
        </w:rPr>
        <w:t>’</w:t>
      </w:r>
      <w:r w:rsidRPr="00ED711A">
        <w:rPr>
          <w:sz w:val="22"/>
          <w:szCs w:val="22"/>
          <w:lang w:val="fr-FR"/>
        </w:rPr>
        <w:t>évanouir. En dix minutes, 16 étudiants se sont évanouis après avoir inspiré quelque chose de toxique. En plus des difficultés respiratoires, les symptômes les plus fréquents étaient un malaise, des maux de tête, une irritation des yeux, des étourdissements, nausées, vomissements, le larmoiement, la salivation, des crampes musculaires excessives et des douleurs. Six jours après l</w:t>
      </w:r>
      <w:r w:rsidR="000D310E" w:rsidRPr="00ED711A">
        <w:rPr>
          <w:sz w:val="22"/>
          <w:szCs w:val="22"/>
          <w:lang w:val="fr-FR"/>
        </w:rPr>
        <w:t>’</w:t>
      </w:r>
      <w:r w:rsidRPr="00ED711A">
        <w:rPr>
          <w:sz w:val="22"/>
          <w:szCs w:val="22"/>
          <w:lang w:val="fr-FR"/>
        </w:rPr>
        <w:t>exposition au phorate, plusieurs patients présentaient encore des symptômes tels qu</w:t>
      </w:r>
      <w:r w:rsidR="000D310E" w:rsidRPr="00ED711A">
        <w:rPr>
          <w:sz w:val="22"/>
          <w:szCs w:val="22"/>
          <w:lang w:val="fr-FR"/>
        </w:rPr>
        <w:t>’</w:t>
      </w:r>
      <w:r w:rsidRPr="00ED711A">
        <w:rPr>
          <w:sz w:val="22"/>
          <w:szCs w:val="22"/>
          <w:lang w:val="fr-FR"/>
        </w:rPr>
        <w:t>une irritation des yeux, une réaction dermiques et un malaise général</w:t>
      </w:r>
      <w:r w:rsidR="009C5DF5" w:rsidRPr="00ED711A">
        <w:rPr>
          <w:sz w:val="22"/>
          <w:szCs w:val="22"/>
          <w:lang w:val="fr-FR"/>
        </w:rPr>
        <w:t xml:space="preserve"> (Mission, 2006).</w:t>
      </w:r>
    </w:p>
    <w:p w:rsidR="00510BDA" w:rsidRPr="00ED711A" w:rsidRDefault="00510BDA" w:rsidP="0070218D">
      <w:pPr>
        <w:widowControl w:val="0"/>
        <w:shd w:val="clear" w:color="auto" w:fill="FFFFFF"/>
        <w:autoSpaceDE w:val="0"/>
        <w:autoSpaceDN w:val="0"/>
        <w:adjustRightInd w:val="0"/>
        <w:snapToGrid w:val="0"/>
        <w:spacing w:after="120"/>
        <w:jc w:val="both"/>
        <w:rPr>
          <w:sz w:val="22"/>
          <w:szCs w:val="22"/>
          <w:lang w:val="fr-FR"/>
        </w:rPr>
      </w:pPr>
      <w:r w:rsidRPr="00ED711A">
        <w:rPr>
          <w:sz w:val="22"/>
          <w:szCs w:val="22"/>
          <w:lang w:val="fr-FR"/>
        </w:rPr>
        <w:t>Plusieurs études montrent que les travailleurs agricoles exposés au phorate, sont victimes d</w:t>
      </w:r>
      <w:r w:rsidR="000D310E" w:rsidRPr="00ED711A">
        <w:rPr>
          <w:sz w:val="22"/>
          <w:szCs w:val="22"/>
          <w:lang w:val="fr-FR"/>
        </w:rPr>
        <w:t>’</w:t>
      </w:r>
      <w:r w:rsidRPr="00ED711A">
        <w:rPr>
          <w:sz w:val="22"/>
          <w:szCs w:val="22"/>
          <w:lang w:val="fr-FR"/>
        </w:rPr>
        <w:t>empoisonnement et de mort liés à une toxicité caractéristique de l</w:t>
      </w:r>
      <w:r w:rsidR="000D310E" w:rsidRPr="00ED711A">
        <w:rPr>
          <w:sz w:val="22"/>
          <w:szCs w:val="22"/>
          <w:lang w:val="fr-FR"/>
        </w:rPr>
        <w:t>’</w:t>
      </w:r>
      <w:r w:rsidRPr="00ED711A">
        <w:rPr>
          <w:sz w:val="22"/>
          <w:szCs w:val="22"/>
          <w:lang w:val="fr-FR"/>
        </w:rPr>
        <w:t>ingrédient actif. L</w:t>
      </w:r>
      <w:r w:rsidR="000D310E" w:rsidRPr="00ED711A">
        <w:rPr>
          <w:sz w:val="22"/>
          <w:szCs w:val="22"/>
          <w:lang w:val="fr-FR"/>
        </w:rPr>
        <w:t>’</w:t>
      </w:r>
      <w:r w:rsidRPr="00ED711A">
        <w:rPr>
          <w:sz w:val="22"/>
          <w:szCs w:val="22"/>
          <w:lang w:val="fr-FR"/>
        </w:rPr>
        <w:t>exposition devient encore plus dangereuse du fait des difficultés liées à la disponibilité et/ou l</w:t>
      </w:r>
      <w:r w:rsidR="000D310E" w:rsidRPr="00ED711A">
        <w:rPr>
          <w:sz w:val="22"/>
          <w:szCs w:val="22"/>
          <w:lang w:val="fr-FR"/>
        </w:rPr>
        <w:t>’</w:t>
      </w:r>
      <w:r w:rsidRPr="00ED711A">
        <w:rPr>
          <w:sz w:val="22"/>
          <w:szCs w:val="22"/>
          <w:lang w:val="fr-FR"/>
        </w:rPr>
        <w:t xml:space="preserve">inefficacité </w:t>
      </w:r>
      <w:proofErr w:type="gramStart"/>
      <w:r w:rsidRPr="00ED711A">
        <w:rPr>
          <w:sz w:val="22"/>
          <w:szCs w:val="22"/>
          <w:lang w:val="fr-FR"/>
        </w:rPr>
        <w:t>du EPP</w:t>
      </w:r>
      <w:proofErr w:type="gramEnd"/>
      <w:r w:rsidRPr="00ED711A">
        <w:rPr>
          <w:sz w:val="22"/>
          <w:szCs w:val="22"/>
          <w:lang w:val="fr-FR"/>
        </w:rPr>
        <w:t>. De plus, ces différentes questions sociales (faible niveau d</w:t>
      </w:r>
      <w:r w:rsidR="000D310E" w:rsidRPr="00ED711A">
        <w:rPr>
          <w:sz w:val="22"/>
          <w:szCs w:val="22"/>
          <w:lang w:val="fr-FR"/>
        </w:rPr>
        <w:t>’</w:t>
      </w:r>
      <w:r w:rsidRPr="00ED711A">
        <w:rPr>
          <w:sz w:val="22"/>
          <w:szCs w:val="22"/>
          <w:lang w:val="fr-FR"/>
        </w:rPr>
        <w:t>éducation et faible revenu) et biologiques (âge et genre) sont des facteurs qui augmentent le risque et la gravité de l</w:t>
      </w:r>
      <w:r w:rsidR="000D310E" w:rsidRPr="00ED711A">
        <w:rPr>
          <w:sz w:val="22"/>
          <w:szCs w:val="22"/>
          <w:lang w:val="fr-FR"/>
        </w:rPr>
        <w:t>’</w:t>
      </w:r>
      <w:r w:rsidRPr="00ED711A">
        <w:rPr>
          <w:sz w:val="22"/>
          <w:szCs w:val="22"/>
          <w:lang w:val="fr-FR"/>
        </w:rPr>
        <w:t xml:space="preserve">empoisonnement causé </w:t>
      </w:r>
      <w:r w:rsidR="009C5DF5" w:rsidRPr="00ED711A">
        <w:rPr>
          <w:sz w:val="22"/>
          <w:szCs w:val="22"/>
          <w:lang w:val="fr-FR"/>
        </w:rPr>
        <w:t xml:space="preserve">par cet organophosphoré. </w:t>
      </w:r>
    </w:p>
    <w:p w:rsidR="00510BDA" w:rsidRPr="00ED711A" w:rsidRDefault="00510BDA" w:rsidP="0070218D">
      <w:pPr>
        <w:widowControl w:val="0"/>
        <w:shd w:val="clear" w:color="auto" w:fill="FFFFFF"/>
        <w:autoSpaceDE w:val="0"/>
        <w:autoSpaceDN w:val="0"/>
        <w:adjustRightInd w:val="0"/>
        <w:snapToGrid w:val="0"/>
        <w:spacing w:after="120"/>
        <w:jc w:val="both"/>
        <w:rPr>
          <w:sz w:val="22"/>
          <w:szCs w:val="22"/>
          <w:lang w:val="fr-FR"/>
        </w:rPr>
      </w:pPr>
      <w:r w:rsidRPr="00ED711A">
        <w:rPr>
          <w:sz w:val="22"/>
          <w:szCs w:val="22"/>
          <w:lang w:val="fr-FR"/>
        </w:rPr>
        <w:t>Par conséquent, suite à la réévaluation des effets du phorate sur la santé, terminée en 2015, l</w:t>
      </w:r>
      <w:r w:rsidR="000D310E" w:rsidRPr="00ED711A">
        <w:rPr>
          <w:sz w:val="22"/>
          <w:szCs w:val="22"/>
          <w:lang w:val="fr-FR"/>
        </w:rPr>
        <w:t>’</w:t>
      </w:r>
      <w:r w:rsidRPr="00ED711A">
        <w:rPr>
          <w:sz w:val="22"/>
          <w:szCs w:val="22"/>
          <w:lang w:val="fr-FR"/>
        </w:rPr>
        <w:t>ANVISA a conclu que cet ingrédient actif des pesticides peut induire des troubles hormonaux chez l</w:t>
      </w:r>
      <w:r w:rsidR="000D310E" w:rsidRPr="00ED711A">
        <w:rPr>
          <w:sz w:val="22"/>
          <w:szCs w:val="22"/>
          <w:lang w:val="fr-FR"/>
        </w:rPr>
        <w:t>’</w:t>
      </w:r>
      <w:r w:rsidRPr="00ED711A">
        <w:rPr>
          <w:sz w:val="22"/>
          <w:szCs w:val="22"/>
          <w:lang w:val="fr-FR"/>
        </w:rPr>
        <w:t>homme et qu</w:t>
      </w:r>
      <w:r w:rsidR="000D310E" w:rsidRPr="00ED711A">
        <w:rPr>
          <w:sz w:val="22"/>
          <w:szCs w:val="22"/>
          <w:lang w:val="fr-FR"/>
        </w:rPr>
        <w:t>’</w:t>
      </w:r>
      <w:r w:rsidRPr="00ED711A">
        <w:rPr>
          <w:sz w:val="22"/>
          <w:szCs w:val="22"/>
          <w:lang w:val="fr-FR"/>
        </w:rPr>
        <w:t>il est plus toxique chez l</w:t>
      </w:r>
      <w:r w:rsidR="000D310E" w:rsidRPr="00ED711A">
        <w:rPr>
          <w:sz w:val="22"/>
          <w:szCs w:val="22"/>
          <w:lang w:val="fr-FR"/>
        </w:rPr>
        <w:t>’</w:t>
      </w:r>
      <w:r w:rsidRPr="00ED711A">
        <w:rPr>
          <w:sz w:val="22"/>
          <w:szCs w:val="22"/>
          <w:lang w:val="fr-FR"/>
        </w:rPr>
        <w:t>homme qu</w:t>
      </w:r>
      <w:r w:rsidR="000D310E" w:rsidRPr="00ED711A">
        <w:rPr>
          <w:sz w:val="22"/>
          <w:szCs w:val="22"/>
          <w:lang w:val="fr-FR"/>
        </w:rPr>
        <w:t>’</w:t>
      </w:r>
      <w:r w:rsidRPr="00ED711A">
        <w:rPr>
          <w:sz w:val="22"/>
          <w:szCs w:val="22"/>
          <w:lang w:val="fr-FR"/>
        </w:rPr>
        <w:t>il n</w:t>
      </w:r>
      <w:r w:rsidR="000D310E" w:rsidRPr="00ED711A">
        <w:rPr>
          <w:sz w:val="22"/>
          <w:szCs w:val="22"/>
          <w:lang w:val="fr-FR"/>
        </w:rPr>
        <w:t>’</w:t>
      </w:r>
      <w:r w:rsidRPr="00ED711A">
        <w:rPr>
          <w:sz w:val="22"/>
          <w:szCs w:val="22"/>
          <w:lang w:val="fr-FR"/>
        </w:rPr>
        <w:t>a été démontré dans des test avec animaux de laboratoire, ce qui est un critère prohibitif pour l</w:t>
      </w:r>
      <w:r w:rsidR="000D310E" w:rsidRPr="00ED711A">
        <w:rPr>
          <w:sz w:val="22"/>
          <w:szCs w:val="22"/>
          <w:lang w:val="fr-FR"/>
        </w:rPr>
        <w:t>’</w:t>
      </w:r>
      <w:r w:rsidRPr="00ED711A">
        <w:rPr>
          <w:sz w:val="22"/>
          <w:szCs w:val="22"/>
          <w:lang w:val="fr-FR"/>
        </w:rPr>
        <w:t>homologation de pesticides au Brésil.</w:t>
      </w:r>
    </w:p>
    <w:p w:rsidR="00510BDA" w:rsidRPr="00ED711A" w:rsidRDefault="00510BDA" w:rsidP="0070218D">
      <w:pPr>
        <w:widowControl w:val="0"/>
        <w:shd w:val="clear" w:color="auto" w:fill="FFFFFF"/>
        <w:autoSpaceDE w:val="0"/>
        <w:autoSpaceDN w:val="0"/>
        <w:adjustRightInd w:val="0"/>
        <w:snapToGrid w:val="0"/>
        <w:spacing w:after="120"/>
        <w:jc w:val="both"/>
        <w:rPr>
          <w:sz w:val="22"/>
          <w:szCs w:val="22"/>
          <w:lang w:val="fr-FR"/>
        </w:rPr>
      </w:pPr>
      <w:r w:rsidRPr="00ED711A">
        <w:rPr>
          <w:sz w:val="22"/>
          <w:szCs w:val="22"/>
          <w:lang w:val="fr-FR"/>
        </w:rPr>
        <w:t>Le phorate a été interdit au Brésil le 16 mars 2014, où il n</w:t>
      </w:r>
      <w:r w:rsidR="000D310E" w:rsidRPr="00ED711A">
        <w:rPr>
          <w:sz w:val="22"/>
          <w:szCs w:val="22"/>
          <w:lang w:val="fr-FR"/>
        </w:rPr>
        <w:t>’</w:t>
      </w:r>
      <w:r w:rsidRPr="00ED711A">
        <w:rPr>
          <w:sz w:val="22"/>
          <w:szCs w:val="22"/>
          <w:lang w:val="fr-FR"/>
        </w:rPr>
        <w:t>avait plus été commercialisé depuis 2011.</w:t>
      </w:r>
    </w:p>
    <w:p w:rsidR="00510BDA" w:rsidRPr="00ED711A" w:rsidRDefault="00510BDA" w:rsidP="0070218D">
      <w:pPr>
        <w:widowControl w:val="0"/>
        <w:shd w:val="clear" w:color="auto" w:fill="FFFFFF"/>
        <w:autoSpaceDE w:val="0"/>
        <w:autoSpaceDN w:val="0"/>
        <w:adjustRightInd w:val="0"/>
        <w:snapToGrid w:val="0"/>
        <w:spacing w:after="120"/>
        <w:jc w:val="both"/>
        <w:rPr>
          <w:sz w:val="22"/>
          <w:szCs w:val="22"/>
          <w:lang w:val="fr-FR"/>
        </w:rPr>
      </w:pPr>
      <w:r w:rsidRPr="00ED711A">
        <w:rPr>
          <w:b/>
          <w:i/>
          <w:sz w:val="22"/>
          <w:szCs w:val="22"/>
          <w:lang w:val="fr-CH"/>
        </w:rPr>
        <w:t xml:space="preserve">Effet escompté de la mesure de réglementation finale sur la santé humaine: </w:t>
      </w:r>
      <w:r w:rsidRPr="00ED711A">
        <w:rPr>
          <w:sz w:val="22"/>
          <w:szCs w:val="22"/>
          <w:lang w:val="fr-FR"/>
        </w:rPr>
        <w:t>Eliminer les risques posés par le phorate.</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Date de prise d</w:t>
      </w:r>
      <w:r w:rsidR="000D310E" w:rsidRPr="00ED711A">
        <w:rPr>
          <w:b/>
          <w:i/>
          <w:sz w:val="22"/>
          <w:szCs w:val="22"/>
          <w:lang w:val="fr-CH"/>
        </w:rPr>
        <w:t>’</w:t>
      </w:r>
      <w:r w:rsidRPr="00ED711A">
        <w:rPr>
          <w:b/>
          <w:i/>
          <w:sz w:val="22"/>
          <w:szCs w:val="22"/>
          <w:lang w:val="fr-CH"/>
        </w:rPr>
        <w:t xml:space="preserve">effet de la mesure de réglementation finale: </w:t>
      </w:r>
      <w:r w:rsidRPr="00ED711A">
        <w:rPr>
          <w:sz w:val="22"/>
          <w:szCs w:val="22"/>
          <w:lang w:val="fr-CH"/>
        </w:rPr>
        <w:t>16/03/2015</w:t>
      </w:r>
    </w:p>
    <w:p w:rsidR="00510BDA" w:rsidRPr="00ED711A" w:rsidRDefault="00510BDA" w:rsidP="0070218D">
      <w:pPr>
        <w:widowControl w:val="0"/>
        <w:pBdr>
          <w:bottom w:val="single" w:sz="4" w:space="1" w:color="auto"/>
        </w:pBdr>
        <w:autoSpaceDE w:val="0"/>
        <w:autoSpaceDN w:val="0"/>
        <w:adjustRightInd w:val="0"/>
        <w:snapToGrid w:val="0"/>
        <w:spacing w:after="120"/>
        <w:jc w:val="both"/>
        <w:rPr>
          <w:sz w:val="22"/>
          <w:szCs w:val="17"/>
          <w:lang w:val="fr-CH"/>
        </w:rPr>
      </w:pPr>
    </w:p>
    <w:p w:rsidR="00510BDA" w:rsidRPr="00ED711A" w:rsidRDefault="00510BDA" w:rsidP="0070218D">
      <w:pPr>
        <w:widowControl w:val="0"/>
        <w:pBdr>
          <w:bottom w:val="single" w:sz="4" w:space="1" w:color="auto"/>
        </w:pBdr>
        <w:autoSpaceDE w:val="0"/>
        <w:autoSpaceDN w:val="0"/>
        <w:adjustRightInd w:val="0"/>
        <w:snapToGrid w:val="0"/>
        <w:spacing w:after="120"/>
        <w:jc w:val="both"/>
        <w:rPr>
          <w:b/>
          <w:caps/>
          <w:szCs w:val="17"/>
          <w:lang w:val="en-GB"/>
        </w:rPr>
      </w:pPr>
      <w:r w:rsidRPr="00ED711A">
        <w:rPr>
          <w:b/>
          <w:caps/>
          <w:szCs w:val="17"/>
          <w:lang w:val="en-GB"/>
        </w:rPr>
        <w:t>Japon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tblPr>
      <w:tblGrid>
        <w:gridCol w:w="5895"/>
        <w:gridCol w:w="2299"/>
        <w:gridCol w:w="1944"/>
      </w:tblGrid>
      <w:tr w:rsidR="00510BDA" w:rsidRPr="00ED711A" w:rsidTr="00510BDA">
        <w:tc>
          <w:tcPr>
            <w:tcW w:w="1667" w:type="pct"/>
            <w:hideMark/>
          </w:tcPr>
          <w:p w:rsidR="00510BDA" w:rsidRPr="00ED711A" w:rsidRDefault="00510BDA" w:rsidP="0070218D">
            <w:pPr>
              <w:widowControl w:val="0"/>
              <w:autoSpaceDE w:val="0"/>
              <w:autoSpaceDN w:val="0"/>
              <w:adjustRightInd w:val="0"/>
              <w:snapToGrid w:val="0"/>
              <w:spacing w:after="120"/>
              <w:jc w:val="both"/>
              <w:rPr>
                <w:sz w:val="22"/>
                <w:szCs w:val="22"/>
                <w:lang w:val="en-GB" w:eastAsia="en-US"/>
              </w:rPr>
            </w:pPr>
            <w:r w:rsidRPr="00ED711A">
              <w:rPr>
                <w:b/>
                <w:i/>
                <w:sz w:val="22"/>
                <w:szCs w:val="22"/>
                <w:lang w:val="en-GB"/>
              </w:rPr>
              <w:t xml:space="preserve">Nom usuel: </w:t>
            </w:r>
            <w:r w:rsidRPr="00ED711A">
              <w:rPr>
                <w:sz w:val="22"/>
                <w:szCs w:val="22"/>
                <w:lang w:val="en-GB"/>
              </w:rPr>
              <w:t>Endosulfan</w:t>
            </w:r>
          </w:p>
        </w:tc>
        <w:tc>
          <w:tcPr>
            <w:tcW w:w="650" w:type="pct"/>
            <w:hideMark/>
          </w:tcPr>
          <w:p w:rsidR="00510BDA" w:rsidRPr="00ED711A" w:rsidRDefault="00510BDA" w:rsidP="0070218D">
            <w:pPr>
              <w:widowControl w:val="0"/>
              <w:autoSpaceDE w:val="0"/>
              <w:autoSpaceDN w:val="0"/>
              <w:adjustRightInd w:val="0"/>
              <w:snapToGrid w:val="0"/>
              <w:spacing w:after="120"/>
              <w:jc w:val="both"/>
              <w:rPr>
                <w:b/>
                <w:i/>
                <w:sz w:val="22"/>
                <w:szCs w:val="22"/>
                <w:lang w:val="en-GB" w:eastAsia="en-US"/>
              </w:rPr>
            </w:pPr>
            <w:r w:rsidRPr="00ED711A">
              <w:rPr>
                <w:b/>
                <w:i/>
                <w:sz w:val="22"/>
                <w:szCs w:val="22"/>
                <w:lang w:val="en-GB"/>
              </w:rPr>
              <w:t>Numéro CAS:</w:t>
            </w:r>
          </w:p>
        </w:tc>
        <w:tc>
          <w:tcPr>
            <w:tcW w:w="550" w:type="pct"/>
            <w:hideMark/>
          </w:tcPr>
          <w:p w:rsidR="00510BDA" w:rsidRPr="00ED711A" w:rsidRDefault="00510BDA" w:rsidP="0070218D">
            <w:pPr>
              <w:widowControl w:val="0"/>
              <w:autoSpaceDE w:val="0"/>
              <w:autoSpaceDN w:val="0"/>
              <w:adjustRightInd w:val="0"/>
              <w:snapToGrid w:val="0"/>
              <w:spacing w:after="120"/>
              <w:jc w:val="both"/>
              <w:rPr>
                <w:sz w:val="22"/>
                <w:szCs w:val="22"/>
                <w:lang w:val="fr-CH" w:eastAsia="en-US"/>
              </w:rPr>
            </w:pPr>
            <w:r w:rsidRPr="00ED711A">
              <w:rPr>
                <w:sz w:val="22"/>
                <w:szCs w:val="22"/>
                <w:lang w:val="fr-CH"/>
              </w:rPr>
              <w:t>115-29-7</w:t>
            </w:r>
            <w:proofErr w:type="gramStart"/>
            <w:r w:rsidR="005D5C7D" w:rsidRPr="00ED711A">
              <w:rPr>
                <w:sz w:val="22"/>
                <w:szCs w:val="22"/>
                <w:lang w:val="fr-CH"/>
              </w:rPr>
              <w:t>,</w:t>
            </w:r>
            <w:proofErr w:type="gramEnd"/>
            <w:r w:rsidRPr="00ED711A">
              <w:rPr>
                <w:sz w:val="22"/>
                <w:szCs w:val="22"/>
                <w:lang w:val="fr-CH"/>
              </w:rPr>
              <w:br/>
              <w:t xml:space="preserve">959-98-8, </w:t>
            </w:r>
            <w:r w:rsidRPr="00ED711A">
              <w:rPr>
                <w:sz w:val="22"/>
                <w:szCs w:val="22"/>
                <w:lang w:val="fr-CH"/>
              </w:rPr>
              <w:br/>
              <w:t>33213-65-9</w:t>
            </w:r>
          </w:p>
        </w:tc>
      </w:tr>
    </w:tbl>
    <w:p w:rsidR="00510BDA" w:rsidRPr="00ED711A" w:rsidRDefault="00510BDA" w:rsidP="0070218D">
      <w:pPr>
        <w:widowControl w:val="0"/>
        <w:autoSpaceDE w:val="0"/>
        <w:autoSpaceDN w:val="0"/>
        <w:adjustRightInd w:val="0"/>
        <w:snapToGrid w:val="0"/>
        <w:spacing w:after="120"/>
        <w:jc w:val="both"/>
        <w:rPr>
          <w:b/>
          <w:i/>
          <w:sz w:val="22"/>
          <w:szCs w:val="22"/>
          <w:lang w:val="fr-CH" w:eastAsia="en-US"/>
        </w:rPr>
      </w:pPr>
      <w:r w:rsidRPr="00ED711A">
        <w:rPr>
          <w:b/>
          <w:i/>
          <w:sz w:val="22"/>
          <w:szCs w:val="22"/>
          <w:lang w:val="fr-CH"/>
        </w:rPr>
        <w:t xml:space="preserve">Nom chimique: </w:t>
      </w:r>
      <w:r w:rsidR="00061ABE">
        <w:rPr>
          <w:sz w:val="22"/>
          <w:szCs w:val="22"/>
          <w:lang w:val="fr-CH"/>
        </w:rPr>
        <w:t>S</w:t>
      </w:r>
      <w:r w:rsidRPr="00ED711A">
        <w:rPr>
          <w:sz w:val="22"/>
          <w:szCs w:val="22"/>
          <w:lang w:val="fr-CH"/>
        </w:rPr>
        <w:t>ulfite de 1</w:t>
      </w:r>
      <w:proofErr w:type="gramStart"/>
      <w:r w:rsidRPr="00ED711A">
        <w:rPr>
          <w:sz w:val="22"/>
          <w:szCs w:val="22"/>
          <w:lang w:val="fr-CH"/>
        </w:rPr>
        <w:t>,2,3,4,7,7</w:t>
      </w:r>
      <w:proofErr w:type="gramEnd"/>
      <w:r w:rsidRPr="00ED711A">
        <w:rPr>
          <w:sz w:val="22"/>
          <w:szCs w:val="22"/>
          <w:lang w:val="fr-CH"/>
        </w:rPr>
        <w:t>-hexachloro-8,9,10-trinorborn-2-ène-5,6-ylène diméthyle</w:t>
      </w:r>
    </w:p>
    <w:p w:rsidR="00510BDA" w:rsidRPr="00ED711A" w:rsidRDefault="00510BDA" w:rsidP="0070218D">
      <w:pPr>
        <w:widowControl w:val="0"/>
        <w:autoSpaceDE w:val="0"/>
        <w:autoSpaceDN w:val="0"/>
        <w:adjustRightInd w:val="0"/>
        <w:snapToGrid w:val="0"/>
        <w:spacing w:after="120"/>
        <w:jc w:val="both"/>
        <w:rPr>
          <w:b/>
          <w:i/>
          <w:sz w:val="22"/>
          <w:szCs w:val="22"/>
          <w:lang w:val="fr-CH"/>
        </w:rPr>
      </w:pPr>
      <w:r w:rsidRPr="00ED711A">
        <w:rPr>
          <w:b/>
          <w:i/>
          <w:sz w:val="22"/>
          <w:szCs w:val="22"/>
          <w:lang w:val="fr-CH"/>
        </w:rPr>
        <w:t xml:space="preserve">Catégorie pour laquelle a été prise la mesure de réglementation finale: </w:t>
      </w:r>
      <w:r w:rsidRPr="00ED711A">
        <w:rPr>
          <w:sz w:val="22"/>
          <w:szCs w:val="22"/>
          <w:lang w:val="fr-CH"/>
        </w:rPr>
        <w:t>Pesticide</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Mesure de réglementation finale: </w:t>
      </w:r>
      <w:r w:rsidRPr="00ED711A">
        <w:rPr>
          <w:sz w:val="22"/>
          <w:szCs w:val="22"/>
          <w:lang w:val="fr-CH"/>
        </w:rPr>
        <w:t>Le produit chimique est interdit</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Emplois interdits par la mesure de réglementation finale: </w:t>
      </w:r>
      <w:r w:rsidRPr="00ED711A">
        <w:rPr>
          <w:sz w:val="22"/>
          <w:szCs w:val="22"/>
          <w:lang w:val="fr-FR"/>
        </w:rPr>
        <w:t>Produits chimiques agricoles</w:t>
      </w:r>
      <w:r w:rsidRPr="00ED711A">
        <w:rPr>
          <w:sz w:val="22"/>
          <w:szCs w:val="22"/>
          <w:lang w:val="fr-CH"/>
        </w:rPr>
        <w:t>.</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Catégorie pour laquelle a été prise la mesure de réglementation finale: </w:t>
      </w:r>
      <w:r w:rsidRPr="00ED711A">
        <w:rPr>
          <w:sz w:val="22"/>
          <w:szCs w:val="22"/>
          <w:lang w:val="fr-CH"/>
        </w:rPr>
        <w:t>Produit à usage industriel</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Mesure de réglementation finale: </w:t>
      </w:r>
      <w:r w:rsidRPr="00ED711A">
        <w:rPr>
          <w:sz w:val="22"/>
          <w:szCs w:val="22"/>
          <w:lang w:val="fr-CH"/>
        </w:rPr>
        <w:t>Le produit chimique est interdit</w:t>
      </w:r>
    </w:p>
    <w:p w:rsidR="00510BDA" w:rsidRPr="00ED711A" w:rsidRDefault="00510BDA" w:rsidP="0070218D">
      <w:pPr>
        <w:widowControl w:val="0"/>
        <w:autoSpaceDE w:val="0"/>
        <w:autoSpaceDN w:val="0"/>
        <w:adjustRightInd w:val="0"/>
        <w:snapToGrid w:val="0"/>
        <w:spacing w:after="120"/>
        <w:jc w:val="both"/>
        <w:rPr>
          <w:sz w:val="22"/>
          <w:szCs w:val="22"/>
          <w:lang w:val="fr-FR"/>
        </w:rPr>
      </w:pPr>
      <w:r w:rsidRPr="00ED711A">
        <w:rPr>
          <w:b/>
          <w:i/>
          <w:sz w:val="22"/>
          <w:szCs w:val="22"/>
          <w:lang w:val="fr-CH"/>
        </w:rPr>
        <w:lastRenderedPageBreak/>
        <w:t xml:space="preserve">Emplois interdits par la mesure de réglementation finale: </w:t>
      </w:r>
      <w:r w:rsidRPr="00ED711A">
        <w:rPr>
          <w:sz w:val="22"/>
          <w:szCs w:val="22"/>
          <w:lang w:val="fr-FR"/>
        </w:rPr>
        <w:t>Tous les emplois.</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Mesure de réglementation finale a-t-elle été prise après une évaluation des risques et des dangers</w:t>
      </w:r>
      <w:proofErr w:type="gramStart"/>
      <w:r w:rsidRPr="00ED711A">
        <w:rPr>
          <w:b/>
          <w:i/>
          <w:sz w:val="22"/>
          <w:szCs w:val="22"/>
          <w:lang w:val="fr-CH"/>
        </w:rPr>
        <w:t>?:</w:t>
      </w:r>
      <w:proofErr w:type="gramEnd"/>
      <w:r w:rsidRPr="00ED711A">
        <w:rPr>
          <w:b/>
          <w:i/>
          <w:sz w:val="22"/>
          <w:szCs w:val="22"/>
          <w:lang w:val="fr-CH"/>
        </w:rPr>
        <w:t xml:space="preserve"> </w:t>
      </w:r>
      <w:r w:rsidRPr="00ED711A">
        <w:rPr>
          <w:sz w:val="22"/>
          <w:szCs w:val="22"/>
          <w:lang w:val="fr-CH"/>
        </w:rPr>
        <w:t>Oui</w:t>
      </w:r>
    </w:p>
    <w:p w:rsidR="00CE5C4E" w:rsidRDefault="00510BDA" w:rsidP="0070218D">
      <w:pPr>
        <w:widowControl w:val="0"/>
        <w:autoSpaceDE w:val="0"/>
        <w:autoSpaceDN w:val="0"/>
        <w:adjustRightInd w:val="0"/>
        <w:snapToGrid w:val="0"/>
        <w:spacing w:after="120"/>
        <w:jc w:val="both"/>
        <w:rPr>
          <w:sz w:val="22"/>
          <w:szCs w:val="22"/>
          <w:lang w:val="fr-FR"/>
        </w:rPr>
      </w:pPr>
      <w:r w:rsidRPr="00ED711A">
        <w:rPr>
          <w:b/>
          <w:i/>
          <w:sz w:val="22"/>
          <w:szCs w:val="22"/>
          <w:lang w:val="fr-CH"/>
        </w:rPr>
        <w:t xml:space="preserve">Résumé de la mesure de réglementation finale: </w:t>
      </w:r>
      <w:r w:rsidRPr="00ED711A">
        <w:rPr>
          <w:sz w:val="22"/>
          <w:szCs w:val="22"/>
          <w:lang w:val="fr-FR"/>
        </w:rPr>
        <w:t>Ce produit chimique est désigné comme produit chimique de classe I. Il est interdit de produire, d</w:t>
      </w:r>
      <w:r w:rsidR="000D310E" w:rsidRPr="00ED711A">
        <w:rPr>
          <w:sz w:val="22"/>
          <w:szCs w:val="22"/>
          <w:lang w:val="fr-FR"/>
        </w:rPr>
        <w:t>’</w:t>
      </w:r>
      <w:r w:rsidRPr="00ED711A">
        <w:rPr>
          <w:sz w:val="22"/>
          <w:szCs w:val="22"/>
          <w:lang w:val="fr-FR"/>
        </w:rPr>
        <w:t>importer ou d</w:t>
      </w:r>
      <w:r w:rsidR="000D310E" w:rsidRPr="00ED711A">
        <w:rPr>
          <w:sz w:val="22"/>
          <w:szCs w:val="22"/>
          <w:lang w:val="fr-FR"/>
        </w:rPr>
        <w:t>’</w:t>
      </w:r>
      <w:r w:rsidRPr="00ED711A">
        <w:rPr>
          <w:sz w:val="22"/>
          <w:szCs w:val="22"/>
          <w:lang w:val="fr-FR"/>
        </w:rPr>
        <w:t>utiliser cette substance chimique.</w:t>
      </w:r>
      <w:r w:rsidR="009F476A" w:rsidRPr="00ED711A">
        <w:rPr>
          <w:sz w:val="22"/>
          <w:szCs w:val="22"/>
          <w:lang w:val="fr-FR"/>
        </w:rPr>
        <w:t xml:space="preserve"> </w:t>
      </w:r>
    </w:p>
    <w:p w:rsidR="00510BDA" w:rsidRPr="00ED711A" w:rsidRDefault="00510BDA" w:rsidP="0070218D">
      <w:pPr>
        <w:widowControl w:val="0"/>
        <w:autoSpaceDE w:val="0"/>
        <w:autoSpaceDN w:val="0"/>
        <w:adjustRightInd w:val="0"/>
        <w:snapToGrid w:val="0"/>
        <w:spacing w:after="120"/>
        <w:jc w:val="both"/>
        <w:rPr>
          <w:sz w:val="22"/>
          <w:szCs w:val="22"/>
          <w:lang w:val="fr-FR"/>
        </w:rPr>
      </w:pPr>
      <w:r w:rsidRPr="00ED711A">
        <w:rPr>
          <w:sz w:val="22"/>
          <w:szCs w:val="22"/>
          <w:lang w:val="fr-FR"/>
        </w:rPr>
        <w:t>La vente et l</w:t>
      </w:r>
      <w:r w:rsidR="000D310E" w:rsidRPr="00ED711A">
        <w:rPr>
          <w:sz w:val="22"/>
          <w:szCs w:val="22"/>
          <w:lang w:val="fr-FR"/>
        </w:rPr>
        <w:t>’</w:t>
      </w:r>
      <w:r w:rsidRPr="00ED711A">
        <w:rPr>
          <w:sz w:val="22"/>
          <w:szCs w:val="22"/>
          <w:lang w:val="fr-FR"/>
        </w:rPr>
        <w:t>emploi de ce produit chimique en tant que produit chimique agricole sont interdits.</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Les raisons ayant motivé la mesure de réglementation finale étaient liées à: </w:t>
      </w:r>
      <w:r w:rsidRPr="00ED711A">
        <w:rPr>
          <w:sz w:val="22"/>
          <w:szCs w:val="22"/>
          <w:lang w:val="fr-CH"/>
        </w:rPr>
        <w:t>La santé humaine.</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Résumé des dangers et risques connus pour la santé des personnes: </w:t>
      </w:r>
      <w:r w:rsidRPr="00ED711A">
        <w:rPr>
          <w:sz w:val="22"/>
          <w:szCs w:val="22"/>
          <w:lang w:val="fr-CH"/>
        </w:rPr>
        <w:t>Ce produit chimique est persistant, très bioaccumulable et toxique à long terme chez les personnes.</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Effet escompté de la mesure de réglementation finale sur la santé humaine: </w:t>
      </w:r>
      <w:r w:rsidRPr="00ED711A">
        <w:rPr>
          <w:sz w:val="22"/>
          <w:szCs w:val="22"/>
          <w:lang w:val="fr-CH"/>
        </w:rPr>
        <w:t>Réduction de l</w:t>
      </w:r>
      <w:r w:rsidR="000D310E" w:rsidRPr="00ED711A">
        <w:rPr>
          <w:sz w:val="22"/>
          <w:szCs w:val="22"/>
          <w:lang w:val="fr-CH"/>
        </w:rPr>
        <w:t>’</w:t>
      </w:r>
      <w:r w:rsidRPr="00ED711A">
        <w:rPr>
          <w:sz w:val="22"/>
          <w:szCs w:val="22"/>
          <w:lang w:val="fr-CH"/>
        </w:rPr>
        <w:t>exposition des personnes à cette substance avec la suppression progressive de son utilisation.</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Date de prise d</w:t>
      </w:r>
      <w:r w:rsidR="000D310E" w:rsidRPr="00ED711A">
        <w:rPr>
          <w:b/>
          <w:i/>
          <w:sz w:val="22"/>
          <w:szCs w:val="22"/>
          <w:lang w:val="fr-CH"/>
        </w:rPr>
        <w:t>’</w:t>
      </w:r>
      <w:r w:rsidRPr="00ED711A">
        <w:rPr>
          <w:b/>
          <w:i/>
          <w:sz w:val="22"/>
          <w:szCs w:val="22"/>
          <w:lang w:val="fr-CH"/>
        </w:rPr>
        <w:t xml:space="preserve">effet de la mesure de réglementation finale: </w:t>
      </w:r>
      <w:r w:rsidRPr="00ED711A">
        <w:rPr>
          <w:sz w:val="22"/>
          <w:szCs w:val="22"/>
          <w:lang w:val="fr-CH"/>
        </w:rPr>
        <w:t>01/05/2014</w:t>
      </w:r>
    </w:p>
    <w:p w:rsidR="00510BDA" w:rsidRPr="00ED711A" w:rsidRDefault="00510BDA" w:rsidP="0070218D">
      <w:pPr>
        <w:widowControl w:val="0"/>
        <w:pBdr>
          <w:bottom w:val="single" w:sz="4" w:space="1" w:color="auto"/>
        </w:pBdr>
        <w:autoSpaceDE w:val="0"/>
        <w:autoSpaceDN w:val="0"/>
        <w:adjustRightInd w:val="0"/>
        <w:snapToGrid w:val="0"/>
        <w:spacing w:after="120"/>
        <w:jc w:val="both"/>
        <w:rPr>
          <w:sz w:val="22"/>
          <w:szCs w:val="22"/>
          <w:lang w:val="fr-CH"/>
        </w:rPr>
      </w:pPr>
    </w:p>
    <w:p w:rsidR="00510BDA" w:rsidRPr="00ED711A" w:rsidRDefault="00510BDA" w:rsidP="0070218D">
      <w:pPr>
        <w:widowControl w:val="0"/>
        <w:pBdr>
          <w:bottom w:val="single" w:sz="4" w:space="1" w:color="auto"/>
        </w:pBdr>
        <w:autoSpaceDE w:val="0"/>
        <w:autoSpaceDN w:val="0"/>
        <w:adjustRightInd w:val="0"/>
        <w:snapToGrid w:val="0"/>
        <w:spacing w:after="120"/>
        <w:jc w:val="both"/>
        <w:rPr>
          <w:b/>
          <w:caps/>
          <w:szCs w:val="17"/>
        </w:rPr>
      </w:pPr>
      <w:r w:rsidRPr="00ED711A">
        <w:rPr>
          <w:b/>
          <w:caps/>
          <w:szCs w:val="17"/>
        </w:rPr>
        <w:t>Japon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tblPr>
      <w:tblGrid>
        <w:gridCol w:w="5895"/>
        <w:gridCol w:w="2299"/>
        <w:gridCol w:w="1944"/>
      </w:tblGrid>
      <w:tr w:rsidR="00510BDA" w:rsidRPr="00ED711A" w:rsidTr="00510BDA">
        <w:tc>
          <w:tcPr>
            <w:tcW w:w="1667" w:type="pct"/>
            <w:hideMark/>
          </w:tcPr>
          <w:p w:rsidR="00510BDA" w:rsidRPr="00ED711A" w:rsidRDefault="00510BDA" w:rsidP="0070218D">
            <w:pPr>
              <w:widowControl w:val="0"/>
              <w:autoSpaceDE w:val="0"/>
              <w:autoSpaceDN w:val="0"/>
              <w:adjustRightInd w:val="0"/>
              <w:snapToGrid w:val="0"/>
              <w:spacing w:after="120"/>
              <w:jc w:val="both"/>
              <w:rPr>
                <w:sz w:val="22"/>
                <w:szCs w:val="22"/>
                <w:lang w:eastAsia="en-US"/>
              </w:rPr>
            </w:pPr>
            <w:r w:rsidRPr="00ED711A">
              <w:rPr>
                <w:b/>
                <w:i/>
                <w:sz w:val="22"/>
                <w:szCs w:val="22"/>
              </w:rPr>
              <w:t xml:space="preserve">Nom usuel: </w:t>
            </w:r>
            <w:r w:rsidRPr="00ED711A">
              <w:rPr>
                <w:sz w:val="22"/>
                <w:szCs w:val="22"/>
              </w:rPr>
              <w:t>Hexabromocyclododécane</w:t>
            </w:r>
          </w:p>
        </w:tc>
        <w:tc>
          <w:tcPr>
            <w:tcW w:w="650" w:type="pct"/>
            <w:hideMark/>
          </w:tcPr>
          <w:p w:rsidR="00510BDA" w:rsidRPr="00ED711A" w:rsidRDefault="00510BDA" w:rsidP="0070218D">
            <w:pPr>
              <w:widowControl w:val="0"/>
              <w:autoSpaceDE w:val="0"/>
              <w:autoSpaceDN w:val="0"/>
              <w:adjustRightInd w:val="0"/>
              <w:snapToGrid w:val="0"/>
              <w:spacing w:after="120"/>
              <w:jc w:val="both"/>
              <w:rPr>
                <w:b/>
                <w:i/>
                <w:sz w:val="22"/>
                <w:szCs w:val="22"/>
                <w:lang w:eastAsia="en-US"/>
              </w:rPr>
            </w:pPr>
            <w:r w:rsidRPr="00ED711A">
              <w:rPr>
                <w:b/>
                <w:i/>
                <w:sz w:val="22"/>
                <w:szCs w:val="22"/>
              </w:rPr>
              <w:t>Numéro CAS:</w:t>
            </w:r>
          </w:p>
        </w:tc>
        <w:tc>
          <w:tcPr>
            <w:tcW w:w="550" w:type="pct"/>
            <w:hideMark/>
          </w:tcPr>
          <w:p w:rsidR="00510BDA" w:rsidRPr="00ED711A" w:rsidRDefault="00510BDA" w:rsidP="0070218D">
            <w:pPr>
              <w:widowControl w:val="0"/>
              <w:autoSpaceDE w:val="0"/>
              <w:autoSpaceDN w:val="0"/>
              <w:adjustRightInd w:val="0"/>
              <w:snapToGrid w:val="0"/>
              <w:spacing w:after="120"/>
              <w:jc w:val="both"/>
              <w:rPr>
                <w:sz w:val="22"/>
                <w:szCs w:val="22"/>
                <w:lang w:eastAsia="en-US"/>
              </w:rPr>
            </w:pPr>
            <w:r w:rsidRPr="00ED711A">
              <w:rPr>
                <w:sz w:val="22"/>
                <w:szCs w:val="22"/>
              </w:rPr>
              <w:t>25637-99-4</w:t>
            </w:r>
          </w:p>
        </w:tc>
      </w:tr>
    </w:tbl>
    <w:p w:rsidR="00510BDA" w:rsidRPr="00ED711A" w:rsidRDefault="00510BDA" w:rsidP="0070218D">
      <w:pPr>
        <w:widowControl w:val="0"/>
        <w:autoSpaceDE w:val="0"/>
        <w:autoSpaceDN w:val="0"/>
        <w:adjustRightInd w:val="0"/>
        <w:snapToGrid w:val="0"/>
        <w:spacing w:after="120"/>
        <w:jc w:val="both"/>
        <w:rPr>
          <w:sz w:val="22"/>
          <w:szCs w:val="22"/>
          <w:lang w:eastAsia="en-US"/>
        </w:rPr>
      </w:pPr>
      <w:r w:rsidRPr="00ED711A">
        <w:rPr>
          <w:b/>
          <w:i/>
          <w:sz w:val="22"/>
          <w:szCs w:val="22"/>
        </w:rPr>
        <w:t xml:space="preserve">Nom chimique: </w:t>
      </w:r>
      <w:r w:rsidRPr="00ED711A">
        <w:rPr>
          <w:sz w:val="22"/>
          <w:szCs w:val="22"/>
        </w:rPr>
        <w:t>Hexabromocyclododécane</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Catégorie pour laquelle a été prise la mesure de réglementation finale: </w:t>
      </w:r>
      <w:r w:rsidRPr="00ED711A">
        <w:rPr>
          <w:sz w:val="22"/>
          <w:szCs w:val="22"/>
          <w:lang w:val="fr-CH"/>
        </w:rPr>
        <w:t>Produit à usage industriel</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Mesure de réglementation finale: </w:t>
      </w:r>
      <w:r w:rsidRPr="00ED711A">
        <w:rPr>
          <w:sz w:val="22"/>
          <w:szCs w:val="22"/>
          <w:lang w:val="fr-CH"/>
        </w:rPr>
        <w:t>Le produit chimique est interdit</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Emplois interdits par la mesure de réglementation finale: </w:t>
      </w:r>
      <w:r w:rsidRPr="00ED711A">
        <w:rPr>
          <w:sz w:val="22"/>
          <w:szCs w:val="22"/>
          <w:lang w:val="fr-CH"/>
        </w:rPr>
        <w:t>Toutes les utilisations.</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Mesure de réglementation finale a-t-elle été prise après une évaluation des risques et des dangers</w:t>
      </w:r>
      <w:proofErr w:type="gramStart"/>
      <w:r w:rsidRPr="00ED711A">
        <w:rPr>
          <w:b/>
          <w:i/>
          <w:sz w:val="22"/>
          <w:szCs w:val="22"/>
          <w:lang w:val="fr-CH"/>
        </w:rPr>
        <w:t>?:</w:t>
      </w:r>
      <w:proofErr w:type="gramEnd"/>
      <w:r w:rsidRPr="00ED711A">
        <w:rPr>
          <w:b/>
          <w:i/>
          <w:sz w:val="22"/>
          <w:szCs w:val="22"/>
          <w:lang w:val="fr-CH"/>
        </w:rPr>
        <w:t xml:space="preserve"> </w:t>
      </w:r>
      <w:r w:rsidRPr="00ED711A">
        <w:rPr>
          <w:sz w:val="22"/>
          <w:szCs w:val="22"/>
          <w:lang w:val="fr-CH"/>
        </w:rPr>
        <w:t>Oui</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Résumé de la mesure de réglementation finale: </w:t>
      </w:r>
      <w:r w:rsidRPr="00ED711A">
        <w:rPr>
          <w:sz w:val="22"/>
          <w:szCs w:val="22"/>
          <w:lang w:val="fr-CH"/>
        </w:rPr>
        <w:t>Ce produit chimique est désigné parmi les substances chimiques spécifiées de classe I. Il est interdit de produire, importer ou utiliser cette substance chimique.</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Les raisons ayant motivé la mesure de réglementation finale étaient liées à: </w:t>
      </w:r>
      <w:r w:rsidRPr="00ED711A">
        <w:rPr>
          <w:sz w:val="22"/>
          <w:szCs w:val="22"/>
          <w:lang w:val="fr-CH"/>
        </w:rPr>
        <w:t>La santé humaine.</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Résumé des dangers et risques connus pour la santé des personnes: </w:t>
      </w:r>
      <w:r w:rsidRPr="00ED711A">
        <w:rPr>
          <w:sz w:val="22"/>
          <w:szCs w:val="22"/>
          <w:lang w:val="fr-CH"/>
        </w:rPr>
        <w:t>Ce produit chimique est persistant, extrêmement bioaccumulatif et a une toxicité à long terme chez l</w:t>
      </w:r>
      <w:r w:rsidR="000D310E" w:rsidRPr="00ED711A">
        <w:rPr>
          <w:sz w:val="22"/>
          <w:szCs w:val="22"/>
          <w:lang w:val="fr-CH"/>
        </w:rPr>
        <w:t>’</w:t>
      </w:r>
      <w:r w:rsidRPr="00ED711A">
        <w:rPr>
          <w:sz w:val="22"/>
          <w:szCs w:val="22"/>
          <w:lang w:val="fr-CH"/>
        </w:rPr>
        <w:t>homme.</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Effet escompté de la mesure de réglementation finale sur la santé humaine: </w:t>
      </w:r>
      <w:r w:rsidRPr="00ED711A">
        <w:rPr>
          <w:sz w:val="22"/>
          <w:szCs w:val="22"/>
          <w:lang w:val="fr-CH"/>
        </w:rPr>
        <w:t>Réduction de l</w:t>
      </w:r>
      <w:r w:rsidR="000D310E" w:rsidRPr="00ED711A">
        <w:rPr>
          <w:sz w:val="22"/>
          <w:szCs w:val="22"/>
          <w:lang w:val="fr-CH"/>
        </w:rPr>
        <w:t>’</w:t>
      </w:r>
      <w:r w:rsidRPr="00ED711A">
        <w:rPr>
          <w:sz w:val="22"/>
          <w:szCs w:val="22"/>
          <w:lang w:val="fr-CH"/>
        </w:rPr>
        <w:t>exposition humaine avec l</w:t>
      </w:r>
      <w:r w:rsidR="000D310E" w:rsidRPr="00ED711A">
        <w:rPr>
          <w:sz w:val="22"/>
          <w:szCs w:val="22"/>
          <w:lang w:val="fr-CH"/>
        </w:rPr>
        <w:t>’</w:t>
      </w:r>
      <w:r w:rsidRPr="00ED711A">
        <w:rPr>
          <w:sz w:val="22"/>
          <w:szCs w:val="22"/>
          <w:lang w:val="fr-CH"/>
        </w:rPr>
        <w:t>abandon progressif de son utilisation.</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Date de prise d</w:t>
      </w:r>
      <w:r w:rsidR="000D310E" w:rsidRPr="00ED711A">
        <w:rPr>
          <w:b/>
          <w:i/>
          <w:sz w:val="22"/>
          <w:szCs w:val="22"/>
          <w:lang w:val="fr-CH"/>
        </w:rPr>
        <w:t>’</w:t>
      </w:r>
      <w:r w:rsidRPr="00ED711A">
        <w:rPr>
          <w:b/>
          <w:i/>
          <w:sz w:val="22"/>
          <w:szCs w:val="22"/>
          <w:lang w:val="fr-CH"/>
        </w:rPr>
        <w:t xml:space="preserve">effet de la mesure de réglementation finale: </w:t>
      </w:r>
      <w:r w:rsidRPr="00ED711A">
        <w:rPr>
          <w:sz w:val="22"/>
          <w:szCs w:val="22"/>
          <w:lang w:val="fr-CH"/>
        </w:rPr>
        <w:t>01/05/2014</w:t>
      </w:r>
    </w:p>
    <w:p w:rsidR="00510BDA" w:rsidRPr="00ED711A" w:rsidRDefault="00510BDA" w:rsidP="0070218D">
      <w:pPr>
        <w:widowControl w:val="0"/>
        <w:pBdr>
          <w:bottom w:val="single" w:sz="4" w:space="1" w:color="auto"/>
        </w:pBdr>
        <w:autoSpaceDE w:val="0"/>
        <w:autoSpaceDN w:val="0"/>
        <w:adjustRightInd w:val="0"/>
        <w:snapToGrid w:val="0"/>
        <w:spacing w:after="120"/>
        <w:jc w:val="both"/>
        <w:rPr>
          <w:sz w:val="22"/>
          <w:szCs w:val="16"/>
          <w:lang w:val="fr-CH"/>
        </w:rPr>
      </w:pPr>
    </w:p>
    <w:p w:rsidR="00510BDA" w:rsidRPr="00ED711A" w:rsidRDefault="00510BDA" w:rsidP="0070218D">
      <w:pPr>
        <w:widowControl w:val="0"/>
        <w:pBdr>
          <w:bottom w:val="single" w:sz="4" w:space="1" w:color="auto"/>
        </w:pBdr>
        <w:autoSpaceDE w:val="0"/>
        <w:autoSpaceDN w:val="0"/>
        <w:adjustRightInd w:val="0"/>
        <w:snapToGrid w:val="0"/>
        <w:spacing w:after="120"/>
        <w:jc w:val="both"/>
        <w:rPr>
          <w:b/>
          <w:caps/>
          <w:szCs w:val="16"/>
        </w:rPr>
      </w:pPr>
      <w:r w:rsidRPr="00ED711A">
        <w:rPr>
          <w:b/>
          <w:caps/>
          <w:szCs w:val="16"/>
        </w:rPr>
        <w:t>Japon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tblPr>
      <w:tblGrid>
        <w:gridCol w:w="5895"/>
        <w:gridCol w:w="2299"/>
        <w:gridCol w:w="1944"/>
      </w:tblGrid>
      <w:tr w:rsidR="00510BDA" w:rsidRPr="00ED711A" w:rsidTr="00510BDA">
        <w:tc>
          <w:tcPr>
            <w:tcW w:w="1667" w:type="pct"/>
            <w:hideMark/>
          </w:tcPr>
          <w:p w:rsidR="00510BDA" w:rsidRPr="00ED711A" w:rsidRDefault="00510BDA" w:rsidP="0070218D">
            <w:pPr>
              <w:widowControl w:val="0"/>
              <w:autoSpaceDE w:val="0"/>
              <w:autoSpaceDN w:val="0"/>
              <w:adjustRightInd w:val="0"/>
              <w:snapToGrid w:val="0"/>
              <w:spacing w:after="120"/>
              <w:jc w:val="both"/>
              <w:rPr>
                <w:sz w:val="22"/>
                <w:szCs w:val="22"/>
                <w:lang w:val="fr-CH" w:eastAsia="en-US"/>
              </w:rPr>
            </w:pPr>
            <w:r w:rsidRPr="00ED711A">
              <w:rPr>
                <w:b/>
                <w:i/>
                <w:sz w:val="22"/>
                <w:szCs w:val="22"/>
                <w:lang w:val="fr-CH"/>
              </w:rPr>
              <w:t xml:space="preserve">Nom usuel: </w:t>
            </w:r>
            <w:r w:rsidRPr="00ED711A">
              <w:rPr>
                <w:sz w:val="22"/>
                <w:szCs w:val="22"/>
                <w:lang w:val="fr-CH"/>
              </w:rPr>
              <w:t>Pentachlorophénol et ses sels et esters</w:t>
            </w:r>
          </w:p>
        </w:tc>
        <w:tc>
          <w:tcPr>
            <w:tcW w:w="650" w:type="pct"/>
            <w:hideMark/>
          </w:tcPr>
          <w:p w:rsidR="00510BDA" w:rsidRPr="00ED711A" w:rsidRDefault="00510BDA" w:rsidP="0070218D">
            <w:pPr>
              <w:widowControl w:val="0"/>
              <w:autoSpaceDE w:val="0"/>
              <w:autoSpaceDN w:val="0"/>
              <w:adjustRightInd w:val="0"/>
              <w:snapToGrid w:val="0"/>
              <w:spacing w:after="120"/>
              <w:jc w:val="both"/>
              <w:rPr>
                <w:b/>
                <w:i/>
                <w:sz w:val="22"/>
                <w:szCs w:val="22"/>
                <w:lang w:eastAsia="en-US"/>
              </w:rPr>
            </w:pPr>
            <w:r w:rsidRPr="00ED711A">
              <w:rPr>
                <w:b/>
                <w:i/>
                <w:sz w:val="22"/>
                <w:szCs w:val="22"/>
              </w:rPr>
              <w:t>Numéro CAS:</w:t>
            </w:r>
          </w:p>
        </w:tc>
        <w:tc>
          <w:tcPr>
            <w:tcW w:w="550" w:type="pct"/>
            <w:hideMark/>
          </w:tcPr>
          <w:p w:rsidR="00510BDA" w:rsidRPr="00ED711A" w:rsidRDefault="00510BDA" w:rsidP="0070218D">
            <w:pPr>
              <w:widowControl w:val="0"/>
              <w:autoSpaceDE w:val="0"/>
              <w:autoSpaceDN w:val="0"/>
              <w:adjustRightInd w:val="0"/>
              <w:snapToGrid w:val="0"/>
              <w:spacing w:after="120"/>
              <w:jc w:val="both"/>
              <w:rPr>
                <w:sz w:val="22"/>
                <w:szCs w:val="22"/>
                <w:lang w:eastAsia="en-US"/>
              </w:rPr>
            </w:pPr>
            <w:r w:rsidRPr="00ED711A">
              <w:rPr>
                <w:sz w:val="22"/>
                <w:szCs w:val="22"/>
              </w:rPr>
              <w:t>87-86-5</w:t>
            </w:r>
            <w:r w:rsidRPr="00ED711A">
              <w:rPr>
                <w:sz w:val="22"/>
                <w:szCs w:val="22"/>
                <w:lang w:val="en-GB"/>
              </w:rPr>
              <w:br/>
              <w:t xml:space="preserve">131-52-2, </w:t>
            </w:r>
            <w:r w:rsidRPr="00ED711A">
              <w:rPr>
                <w:sz w:val="22"/>
                <w:szCs w:val="22"/>
                <w:lang w:val="en-GB"/>
              </w:rPr>
              <w:br/>
              <w:t xml:space="preserve">27735-64-4, </w:t>
            </w:r>
            <w:r w:rsidRPr="00ED711A">
              <w:rPr>
                <w:sz w:val="22"/>
                <w:szCs w:val="22"/>
                <w:lang w:val="en-GB"/>
              </w:rPr>
              <w:br/>
              <w:t>3772-94-9</w:t>
            </w:r>
          </w:p>
        </w:tc>
      </w:tr>
    </w:tbl>
    <w:p w:rsidR="00510BDA" w:rsidRPr="00ED711A" w:rsidRDefault="00510BDA" w:rsidP="0070218D">
      <w:pPr>
        <w:widowControl w:val="0"/>
        <w:autoSpaceDE w:val="0"/>
        <w:autoSpaceDN w:val="0"/>
        <w:adjustRightInd w:val="0"/>
        <w:snapToGrid w:val="0"/>
        <w:spacing w:after="120"/>
        <w:jc w:val="both"/>
        <w:rPr>
          <w:b/>
          <w:i/>
          <w:sz w:val="22"/>
          <w:szCs w:val="22"/>
          <w:lang w:eastAsia="en-US"/>
        </w:rPr>
      </w:pPr>
      <w:r w:rsidRPr="00ED711A">
        <w:rPr>
          <w:b/>
          <w:i/>
          <w:sz w:val="22"/>
          <w:szCs w:val="22"/>
        </w:rPr>
        <w:t xml:space="preserve">Nom chimique: </w:t>
      </w:r>
      <w:r w:rsidRPr="00ED711A">
        <w:rPr>
          <w:sz w:val="22"/>
          <w:szCs w:val="22"/>
        </w:rPr>
        <w:t>Phénol, pentachloro-</w:t>
      </w:r>
    </w:p>
    <w:p w:rsidR="00510BDA" w:rsidRPr="00ED711A" w:rsidRDefault="00510BDA" w:rsidP="0070218D">
      <w:pPr>
        <w:widowControl w:val="0"/>
        <w:autoSpaceDE w:val="0"/>
        <w:autoSpaceDN w:val="0"/>
        <w:adjustRightInd w:val="0"/>
        <w:snapToGrid w:val="0"/>
        <w:spacing w:after="120"/>
        <w:jc w:val="both"/>
        <w:rPr>
          <w:b/>
          <w:i/>
          <w:sz w:val="22"/>
          <w:szCs w:val="22"/>
          <w:lang w:val="fr-CH"/>
        </w:rPr>
      </w:pPr>
      <w:r w:rsidRPr="00ED711A">
        <w:rPr>
          <w:b/>
          <w:i/>
          <w:sz w:val="22"/>
          <w:szCs w:val="22"/>
          <w:lang w:val="fr-CH"/>
        </w:rPr>
        <w:t xml:space="preserve">Catégorie pour laquelle a été prise la mesure de réglementation finale: </w:t>
      </w:r>
      <w:r w:rsidRPr="00ED711A">
        <w:rPr>
          <w:sz w:val="22"/>
          <w:szCs w:val="22"/>
          <w:lang w:val="fr-CH"/>
        </w:rPr>
        <w:t>Pesticide</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Mesure de réglementation finale: </w:t>
      </w:r>
      <w:r w:rsidRPr="00ED711A">
        <w:rPr>
          <w:sz w:val="22"/>
          <w:szCs w:val="22"/>
          <w:lang w:val="fr-CH"/>
        </w:rPr>
        <w:t>Le produit chimique est interdit</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Emplois interdits par la mesure de réglementation finale: </w:t>
      </w:r>
      <w:r w:rsidRPr="00ED711A">
        <w:rPr>
          <w:sz w:val="22"/>
          <w:szCs w:val="22"/>
          <w:lang w:val="fr-CH"/>
        </w:rPr>
        <w:t>Produits chimiques agricoles.</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Catégorie pour laquelle a été prise la mesure de réglementation finale: </w:t>
      </w:r>
      <w:r w:rsidRPr="00ED711A">
        <w:rPr>
          <w:sz w:val="22"/>
          <w:szCs w:val="22"/>
          <w:lang w:val="fr-CH"/>
        </w:rPr>
        <w:t>Produit à usage industriel</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Mesure de réglementation finale: </w:t>
      </w:r>
      <w:r w:rsidRPr="00ED711A">
        <w:rPr>
          <w:sz w:val="22"/>
          <w:szCs w:val="22"/>
          <w:lang w:val="fr-CH"/>
        </w:rPr>
        <w:t>Le produit chimique est interdit</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Emplois interdits par la mesure de réglementation finale: </w:t>
      </w:r>
      <w:r w:rsidRPr="00ED711A">
        <w:rPr>
          <w:sz w:val="22"/>
          <w:szCs w:val="22"/>
          <w:lang w:val="fr-CH"/>
        </w:rPr>
        <w:t>Tous les emplois.</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Mesure de réglementation finale a-t-elle été prise après une évaluation des risques et des dangers</w:t>
      </w:r>
      <w:proofErr w:type="gramStart"/>
      <w:r w:rsidRPr="00ED711A">
        <w:rPr>
          <w:b/>
          <w:i/>
          <w:sz w:val="22"/>
          <w:szCs w:val="22"/>
          <w:lang w:val="fr-CH"/>
        </w:rPr>
        <w:t>?:</w:t>
      </w:r>
      <w:proofErr w:type="gramEnd"/>
      <w:r w:rsidRPr="00ED711A">
        <w:rPr>
          <w:b/>
          <w:i/>
          <w:sz w:val="22"/>
          <w:szCs w:val="22"/>
          <w:lang w:val="fr-CH"/>
        </w:rPr>
        <w:t xml:space="preserve"> </w:t>
      </w:r>
      <w:r w:rsidRPr="00ED711A">
        <w:rPr>
          <w:sz w:val="22"/>
          <w:szCs w:val="22"/>
          <w:lang w:val="fr-CH"/>
        </w:rPr>
        <w:t>Oui</w:t>
      </w:r>
    </w:p>
    <w:p w:rsidR="00CE5C4E"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Résumé de la mesure de réglementation finale: </w:t>
      </w:r>
      <w:r w:rsidRPr="00ED711A">
        <w:rPr>
          <w:sz w:val="22"/>
          <w:szCs w:val="22"/>
          <w:lang w:val="fr-CH"/>
        </w:rPr>
        <w:t>Ce produit chimique est désigné comme produit chimique de classe I. Il est interdit de produire, d</w:t>
      </w:r>
      <w:r w:rsidR="000D310E" w:rsidRPr="00ED711A">
        <w:rPr>
          <w:sz w:val="22"/>
          <w:szCs w:val="22"/>
          <w:lang w:val="fr-CH"/>
        </w:rPr>
        <w:t>’</w:t>
      </w:r>
      <w:r w:rsidRPr="00ED711A">
        <w:rPr>
          <w:sz w:val="22"/>
          <w:szCs w:val="22"/>
          <w:lang w:val="fr-CH"/>
        </w:rPr>
        <w:t>importer ou d</w:t>
      </w:r>
      <w:r w:rsidR="000D310E" w:rsidRPr="00ED711A">
        <w:rPr>
          <w:sz w:val="22"/>
          <w:szCs w:val="22"/>
          <w:lang w:val="fr-CH"/>
        </w:rPr>
        <w:t>’</w:t>
      </w:r>
      <w:r w:rsidRPr="00ED711A">
        <w:rPr>
          <w:sz w:val="22"/>
          <w:szCs w:val="22"/>
          <w:lang w:val="fr-CH"/>
        </w:rPr>
        <w:t>utiliser cette substance chimique.</w:t>
      </w:r>
      <w:r w:rsidR="009F476A" w:rsidRPr="00ED711A">
        <w:rPr>
          <w:sz w:val="22"/>
          <w:szCs w:val="22"/>
          <w:lang w:val="fr-CH"/>
        </w:rPr>
        <w:t xml:space="preserve"> </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sz w:val="22"/>
          <w:szCs w:val="22"/>
          <w:lang w:val="fr-CH"/>
        </w:rPr>
        <w:lastRenderedPageBreak/>
        <w:t>La vente ou l</w:t>
      </w:r>
      <w:r w:rsidR="000D310E" w:rsidRPr="00ED711A">
        <w:rPr>
          <w:sz w:val="22"/>
          <w:szCs w:val="22"/>
          <w:lang w:val="fr-CH"/>
        </w:rPr>
        <w:t>’</w:t>
      </w:r>
      <w:r w:rsidRPr="00ED711A">
        <w:rPr>
          <w:sz w:val="22"/>
          <w:szCs w:val="22"/>
          <w:lang w:val="fr-CH"/>
        </w:rPr>
        <w:t>emploi de ce produit chimique en tant que produit chimique agricole sont interdits.</w:t>
      </w:r>
    </w:p>
    <w:p w:rsidR="009F476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Les raisons ayant motivé la mesure de réglementation finale étaient liées à: </w:t>
      </w:r>
      <w:r w:rsidRPr="00ED711A">
        <w:rPr>
          <w:sz w:val="22"/>
          <w:szCs w:val="22"/>
          <w:lang w:val="fr-CH"/>
        </w:rPr>
        <w:t>La santé humaine.</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Résumé des dangers et risques connus pour la santé des personnes: </w:t>
      </w:r>
      <w:r w:rsidRPr="00ED711A">
        <w:rPr>
          <w:sz w:val="22"/>
          <w:szCs w:val="22"/>
          <w:lang w:val="fr-CH"/>
        </w:rPr>
        <w:t xml:space="preserve">Ce produit chimique est persistant, très bioaccumulable et toxique à long terme chez les personnes. </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Effet escompté de la mesure de réglementation finale sur la santé humaine: </w:t>
      </w:r>
      <w:r w:rsidRPr="00ED711A">
        <w:rPr>
          <w:sz w:val="22"/>
          <w:szCs w:val="22"/>
          <w:lang w:val="fr-CH"/>
        </w:rPr>
        <w:t>Réduction de l</w:t>
      </w:r>
      <w:r w:rsidR="000D310E" w:rsidRPr="00ED711A">
        <w:rPr>
          <w:sz w:val="22"/>
          <w:szCs w:val="22"/>
          <w:lang w:val="fr-CH"/>
        </w:rPr>
        <w:t>’</w:t>
      </w:r>
      <w:r w:rsidRPr="00ED711A">
        <w:rPr>
          <w:sz w:val="22"/>
          <w:szCs w:val="22"/>
          <w:lang w:val="fr-CH"/>
        </w:rPr>
        <w:t>exposition des personnes à cette substance avec la suppression progressive de son utilisation.</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Date de prise d</w:t>
      </w:r>
      <w:r w:rsidR="000D310E" w:rsidRPr="00ED711A">
        <w:rPr>
          <w:b/>
          <w:i/>
          <w:sz w:val="22"/>
          <w:szCs w:val="22"/>
          <w:lang w:val="fr-CH"/>
        </w:rPr>
        <w:t>’</w:t>
      </w:r>
      <w:r w:rsidRPr="00ED711A">
        <w:rPr>
          <w:b/>
          <w:i/>
          <w:sz w:val="22"/>
          <w:szCs w:val="22"/>
          <w:lang w:val="fr-CH"/>
        </w:rPr>
        <w:t xml:space="preserve">effet de la mesure de réglementation finale: </w:t>
      </w:r>
      <w:r w:rsidRPr="00ED711A">
        <w:rPr>
          <w:sz w:val="22"/>
          <w:szCs w:val="22"/>
          <w:lang w:val="fr-CH"/>
        </w:rPr>
        <w:t>01/05/2016</w:t>
      </w:r>
    </w:p>
    <w:p w:rsidR="00510BDA" w:rsidRPr="00ED711A" w:rsidRDefault="00510BDA" w:rsidP="0070218D">
      <w:pPr>
        <w:widowControl w:val="0"/>
        <w:pBdr>
          <w:bottom w:val="single" w:sz="4" w:space="1" w:color="auto"/>
        </w:pBdr>
        <w:autoSpaceDE w:val="0"/>
        <w:autoSpaceDN w:val="0"/>
        <w:adjustRightInd w:val="0"/>
        <w:snapToGrid w:val="0"/>
        <w:spacing w:after="120"/>
        <w:jc w:val="both"/>
        <w:rPr>
          <w:sz w:val="22"/>
          <w:szCs w:val="18"/>
          <w:lang w:val="fr-CH"/>
        </w:rPr>
      </w:pPr>
    </w:p>
    <w:p w:rsidR="00510BDA" w:rsidRPr="00ED711A" w:rsidRDefault="00510BDA" w:rsidP="0070218D">
      <w:pPr>
        <w:widowControl w:val="0"/>
        <w:pBdr>
          <w:bottom w:val="single" w:sz="4" w:space="1" w:color="auto"/>
        </w:pBdr>
        <w:autoSpaceDE w:val="0"/>
        <w:autoSpaceDN w:val="0"/>
        <w:adjustRightInd w:val="0"/>
        <w:snapToGrid w:val="0"/>
        <w:spacing w:after="120"/>
        <w:jc w:val="both"/>
        <w:rPr>
          <w:b/>
          <w:caps/>
          <w:szCs w:val="17"/>
          <w:lang w:val="fr-CH"/>
        </w:rPr>
      </w:pPr>
      <w:r w:rsidRPr="00ED711A">
        <w:rPr>
          <w:b/>
          <w:caps/>
          <w:szCs w:val="17"/>
          <w:lang w:val="fr-CH"/>
        </w:rPr>
        <w:t>Japon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tblPr>
      <w:tblGrid>
        <w:gridCol w:w="5895"/>
        <w:gridCol w:w="2299"/>
        <w:gridCol w:w="1944"/>
      </w:tblGrid>
      <w:tr w:rsidR="00510BDA" w:rsidRPr="00ED711A" w:rsidTr="00510BDA">
        <w:tc>
          <w:tcPr>
            <w:tcW w:w="1667" w:type="pct"/>
            <w:hideMark/>
          </w:tcPr>
          <w:p w:rsidR="00510BDA" w:rsidRPr="00ED711A" w:rsidRDefault="00510BDA" w:rsidP="0070218D">
            <w:pPr>
              <w:widowControl w:val="0"/>
              <w:autoSpaceDE w:val="0"/>
              <w:autoSpaceDN w:val="0"/>
              <w:adjustRightInd w:val="0"/>
              <w:snapToGrid w:val="0"/>
              <w:spacing w:after="120"/>
              <w:jc w:val="both"/>
              <w:rPr>
                <w:sz w:val="22"/>
                <w:szCs w:val="22"/>
                <w:lang w:val="fr-CH" w:eastAsia="en-US"/>
              </w:rPr>
            </w:pPr>
            <w:r w:rsidRPr="00ED711A">
              <w:rPr>
                <w:b/>
                <w:i/>
                <w:sz w:val="22"/>
                <w:szCs w:val="22"/>
                <w:lang w:val="fr-CH"/>
              </w:rPr>
              <w:t xml:space="preserve">Nom usuel: </w:t>
            </w:r>
            <w:r w:rsidRPr="00ED711A">
              <w:rPr>
                <w:sz w:val="22"/>
                <w:szCs w:val="22"/>
                <w:lang w:val="fr-CH"/>
              </w:rPr>
              <w:t>Polychloronaphtalènes (PCNs)  (Cl:2</w:t>
            </w:r>
            <w:r w:rsidRPr="00ED711A">
              <w:rPr>
                <w:sz w:val="22"/>
                <w:szCs w:val="22"/>
              </w:rPr>
              <w:sym w:font="Symbol" w:char="00A3"/>
            </w:r>
            <w:r w:rsidRPr="00ED711A">
              <w:rPr>
                <w:sz w:val="22"/>
                <w:szCs w:val="22"/>
                <w:lang w:val="fr-CH"/>
              </w:rPr>
              <w:t>)</w:t>
            </w:r>
          </w:p>
        </w:tc>
        <w:tc>
          <w:tcPr>
            <w:tcW w:w="650" w:type="pct"/>
            <w:hideMark/>
          </w:tcPr>
          <w:p w:rsidR="00510BDA" w:rsidRPr="00ED711A" w:rsidRDefault="00510BDA" w:rsidP="0070218D">
            <w:pPr>
              <w:widowControl w:val="0"/>
              <w:autoSpaceDE w:val="0"/>
              <w:autoSpaceDN w:val="0"/>
              <w:adjustRightInd w:val="0"/>
              <w:snapToGrid w:val="0"/>
              <w:spacing w:after="120"/>
              <w:jc w:val="both"/>
              <w:rPr>
                <w:b/>
                <w:i/>
                <w:sz w:val="22"/>
                <w:szCs w:val="22"/>
                <w:lang w:val="en-GB" w:eastAsia="en-US"/>
              </w:rPr>
            </w:pPr>
            <w:r w:rsidRPr="00ED711A">
              <w:rPr>
                <w:b/>
                <w:i/>
                <w:sz w:val="22"/>
                <w:szCs w:val="22"/>
                <w:lang w:val="fr-CH"/>
              </w:rPr>
              <w:t>Numéro CAS :</w:t>
            </w:r>
            <w:r w:rsidRPr="00ED711A">
              <w:rPr>
                <w:b/>
                <w:i/>
                <w:sz w:val="22"/>
                <w:szCs w:val="22"/>
                <w:lang w:val="en-GB"/>
              </w:rPr>
              <w:t xml:space="preserve"> </w:t>
            </w:r>
          </w:p>
        </w:tc>
        <w:tc>
          <w:tcPr>
            <w:tcW w:w="550" w:type="pct"/>
            <w:hideMark/>
          </w:tcPr>
          <w:p w:rsidR="00510BDA" w:rsidRPr="00ED711A" w:rsidRDefault="00510BDA" w:rsidP="0070218D">
            <w:pPr>
              <w:widowControl w:val="0"/>
              <w:autoSpaceDE w:val="0"/>
              <w:autoSpaceDN w:val="0"/>
              <w:adjustRightInd w:val="0"/>
              <w:snapToGrid w:val="0"/>
              <w:spacing w:after="120"/>
              <w:jc w:val="both"/>
              <w:rPr>
                <w:sz w:val="22"/>
                <w:szCs w:val="22"/>
                <w:lang w:eastAsia="en-US"/>
              </w:rPr>
            </w:pPr>
            <w:r w:rsidRPr="00ED711A">
              <w:rPr>
                <w:sz w:val="22"/>
                <w:szCs w:val="22"/>
              </w:rPr>
              <w:t>28699-88-9,</w:t>
            </w:r>
            <w:r w:rsidRPr="00ED711A">
              <w:rPr>
                <w:sz w:val="22"/>
                <w:szCs w:val="22"/>
              </w:rPr>
              <w:br/>
              <w:t xml:space="preserve">1321-65-9, </w:t>
            </w:r>
            <w:r w:rsidRPr="00ED711A">
              <w:rPr>
                <w:sz w:val="22"/>
                <w:szCs w:val="22"/>
              </w:rPr>
              <w:br/>
              <w:t xml:space="preserve">1335-88-2, </w:t>
            </w:r>
            <w:r w:rsidRPr="00ED711A">
              <w:rPr>
                <w:sz w:val="22"/>
                <w:szCs w:val="22"/>
              </w:rPr>
              <w:br/>
              <w:t xml:space="preserve">1321-64-8, </w:t>
            </w:r>
            <w:r w:rsidRPr="00ED711A">
              <w:rPr>
                <w:sz w:val="22"/>
                <w:szCs w:val="22"/>
              </w:rPr>
              <w:br/>
              <w:t xml:space="preserve">1335-87-1, </w:t>
            </w:r>
            <w:r w:rsidRPr="00ED711A">
              <w:rPr>
                <w:sz w:val="22"/>
                <w:szCs w:val="22"/>
              </w:rPr>
              <w:br/>
              <w:t xml:space="preserve">32241-08-0, </w:t>
            </w:r>
            <w:r w:rsidRPr="00ED711A">
              <w:rPr>
                <w:sz w:val="22"/>
                <w:szCs w:val="22"/>
              </w:rPr>
              <w:br/>
              <w:t xml:space="preserve">2234-13-1 </w:t>
            </w:r>
          </w:p>
        </w:tc>
      </w:tr>
    </w:tbl>
    <w:p w:rsidR="00510BDA" w:rsidRPr="00ED711A" w:rsidRDefault="00510BDA" w:rsidP="0070218D">
      <w:pPr>
        <w:widowControl w:val="0"/>
        <w:autoSpaceDE w:val="0"/>
        <w:autoSpaceDN w:val="0"/>
        <w:adjustRightInd w:val="0"/>
        <w:snapToGrid w:val="0"/>
        <w:spacing w:after="120"/>
        <w:jc w:val="both"/>
        <w:rPr>
          <w:sz w:val="22"/>
          <w:szCs w:val="22"/>
          <w:lang w:val="fr-CH" w:eastAsia="en-US"/>
        </w:rPr>
      </w:pPr>
      <w:r w:rsidRPr="00ED711A">
        <w:rPr>
          <w:b/>
          <w:i/>
          <w:sz w:val="22"/>
          <w:szCs w:val="22"/>
          <w:lang w:val="fr-CH"/>
        </w:rPr>
        <w:t xml:space="preserve">Nom chimique: </w:t>
      </w:r>
      <w:r w:rsidRPr="00ED711A">
        <w:rPr>
          <w:sz w:val="22"/>
          <w:szCs w:val="22"/>
          <w:lang w:val="fr-CH"/>
        </w:rPr>
        <w:t>Polychloronaphtalènes (PCNs)</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Catégorie pour laquelle a été prise la mesure de réglementation finale: </w:t>
      </w:r>
      <w:r w:rsidRPr="00ED711A">
        <w:rPr>
          <w:sz w:val="22"/>
          <w:szCs w:val="22"/>
          <w:lang w:val="fr-CH"/>
        </w:rPr>
        <w:t>Produit à usage industriel</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Mesure de réglementation finale: </w:t>
      </w:r>
      <w:r w:rsidRPr="00ED711A">
        <w:rPr>
          <w:sz w:val="22"/>
          <w:szCs w:val="22"/>
          <w:lang w:val="fr-CH"/>
        </w:rPr>
        <w:t>Le produit chimique est interdit</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Emplois interdits par la mesure de réglementation finale: </w:t>
      </w:r>
      <w:r w:rsidRPr="00ED711A">
        <w:rPr>
          <w:sz w:val="22"/>
          <w:szCs w:val="22"/>
          <w:lang w:val="fr-CH"/>
        </w:rPr>
        <w:t>Toutes les utilisations.</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Mesure de réglementation finale a-t-elle été prise après une évaluation des risques et des dangers</w:t>
      </w:r>
      <w:proofErr w:type="gramStart"/>
      <w:r w:rsidRPr="00ED711A">
        <w:rPr>
          <w:b/>
          <w:i/>
          <w:sz w:val="22"/>
          <w:szCs w:val="22"/>
          <w:lang w:val="fr-CH"/>
        </w:rPr>
        <w:t>?:</w:t>
      </w:r>
      <w:proofErr w:type="gramEnd"/>
      <w:r w:rsidRPr="00ED711A">
        <w:rPr>
          <w:b/>
          <w:i/>
          <w:sz w:val="22"/>
          <w:szCs w:val="22"/>
          <w:lang w:val="fr-CH"/>
        </w:rPr>
        <w:t xml:space="preserve"> </w:t>
      </w:r>
      <w:r w:rsidRPr="00ED711A">
        <w:rPr>
          <w:sz w:val="22"/>
          <w:szCs w:val="22"/>
          <w:lang w:val="fr-CH"/>
        </w:rPr>
        <w:t>Oui</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Résumé de la mesure de réglementation finale: </w:t>
      </w:r>
      <w:r w:rsidRPr="00ED711A">
        <w:rPr>
          <w:sz w:val="22"/>
          <w:szCs w:val="22"/>
          <w:lang w:val="fr-CH"/>
        </w:rPr>
        <w:t xml:space="preserve">Ce produit chimique est désigné parmi les substances chimiques spécifiées de classe I. </w:t>
      </w:r>
      <w:r w:rsidR="00413717" w:rsidRPr="00ED711A">
        <w:rPr>
          <w:sz w:val="22"/>
          <w:szCs w:val="22"/>
          <w:lang w:val="fr-CH"/>
        </w:rPr>
        <w:t xml:space="preserve"> </w:t>
      </w:r>
      <w:r w:rsidRPr="00ED711A">
        <w:rPr>
          <w:sz w:val="22"/>
          <w:szCs w:val="22"/>
          <w:lang w:val="fr-CH"/>
        </w:rPr>
        <w:t>Il est interdit de produire, importer ou utiliser cette substance chimique.</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Les raisons ayant motivé la mesure de réglementation finale étaient liées à: </w:t>
      </w:r>
      <w:r w:rsidRPr="00ED711A">
        <w:rPr>
          <w:sz w:val="22"/>
          <w:szCs w:val="22"/>
          <w:lang w:val="fr-CH"/>
        </w:rPr>
        <w:t>La santé humaine.</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Résumé des dangers et risques connus pour la santé des personnes: </w:t>
      </w:r>
      <w:r w:rsidRPr="00ED711A">
        <w:rPr>
          <w:sz w:val="22"/>
          <w:szCs w:val="22"/>
          <w:lang w:val="fr-CH"/>
        </w:rPr>
        <w:t>Ce produit chimique est persistant, extrêmement bioaccumulatif et a une toxicité à long terme chez l</w:t>
      </w:r>
      <w:r w:rsidR="000D310E" w:rsidRPr="00ED711A">
        <w:rPr>
          <w:sz w:val="22"/>
          <w:szCs w:val="22"/>
          <w:lang w:val="fr-CH"/>
        </w:rPr>
        <w:t>’</w:t>
      </w:r>
      <w:r w:rsidRPr="00ED711A">
        <w:rPr>
          <w:sz w:val="22"/>
          <w:szCs w:val="22"/>
          <w:lang w:val="fr-CH"/>
        </w:rPr>
        <w:t xml:space="preserve">homme. </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Effet escompté de la mesure de réglementation finale sur la santé humaine: </w:t>
      </w:r>
      <w:r w:rsidRPr="00ED711A">
        <w:rPr>
          <w:sz w:val="22"/>
          <w:szCs w:val="22"/>
          <w:lang w:val="fr-CH"/>
        </w:rPr>
        <w:t>Réduction de l</w:t>
      </w:r>
      <w:r w:rsidR="000D310E" w:rsidRPr="00ED711A">
        <w:rPr>
          <w:sz w:val="22"/>
          <w:szCs w:val="22"/>
          <w:lang w:val="fr-CH"/>
        </w:rPr>
        <w:t>’</w:t>
      </w:r>
      <w:r w:rsidRPr="00ED711A">
        <w:rPr>
          <w:sz w:val="22"/>
          <w:szCs w:val="22"/>
          <w:lang w:val="fr-CH"/>
        </w:rPr>
        <w:t>exposition humaine avec l</w:t>
      </w:r>
      <w:r w:rsidR="000D310E" w:rsidRPr="00ED711A">
        <w:rPr>
          <w:sz w:val="22"/>
          <w:szCs w:val="22"/>
          <w:lang w:val="fr-CH"/>
        </w:rPr>
        <w:t>’</w:t>
      </w:r>
      <w:r w:rsidRPr="00ED711A">
        <w:rPr>
          <w:sz w:val="22"/>
          <w:szCs w:val="22"/>
          <w:lang w:val="fr-CH"/>
        </w:rPr>
        <w:t>abandon progressif de son utilisation.</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Date de prise d</w:t>
      </w:r>
      <w:r w:rsidR="000D310E" w:rsidRPr="00ED711A">
        <w:rPr>
          <w:b/>
          <w:i/>
          <w:sz w:val="22"/>
          <w:szCs w:val="22"/>
          <w:lang w:val="fr-CH"/>
        </w:rPr>
        <w:t>’</w:t>
      </w:r>
      <w:r w:rsidRPr="00ED711A">
        <w:rPr>
          <w:b/>
          <w:i/>
          <w:sz w:val="22"/>
          <w:szCs w:val="22"/>
          <w:lang w:val="fr-CH"/>
        </w:rPr>
        <w:t xml:space="preserve">effet de la mesure de réglementation finale: </w:t>
      </w:r>
      <w:r w:rsidRPr="00ED711A">
        <w:rPr>
          <w:sz w:val="22"/>
          <w:szCs w:val="22"/>
          <w:lang w:val="fr-CH"/>
        </w:rPr>
        <w:t>01/04/2016</w:t>
      </w:r>
    </w:p>
    <w:p w:rsidR="00510BDA" w:rsidRPr="00ED711A" w:rsidRDefault="00510BDA" w:rsidP="0070218D">
      <w:pPr>
        <w:widowControl w:val="0"/>
        <w:autoSpaceDE w:val="0"/>
        <w:autoSpaceDN w:val="0"/>
        <w:adjustRightInd w:val="0"/>
        <w:snapToGrid w:val="0"/>
        <w:spacing w:after="120"/>
        <w:jc w:val="both"/>
        <w:rPr>
          <w:sz w:val="22"/>
          <w:szCs w:val="22"/>
          <w:lang w:val="fr-CH"/>
        </w:rPr>
      </w:pPr>
    </w:p>
    <w:p w:rsidR="00510BDA" w:rsidRPr="00ED711A" w:rsidRDefault="00510BDA" w:rsidP="0070218D">
      <w:pPr>
        <w:widowControl w:val="0"/>
        <w:pBdr>
          <w:bottom w:val="single" w:sz="4" w:space="1" w:color="auto"/>
        </w:pBdr>
        <w:autoSpaceDE w:val="0"/>
        <w:autoSpaceDN w:val="0"/>
        <w:adjustRightInd w:val="0"/>
        <w:snapToGrid w:val="0"/>
        <w:spacing w:after="120"/>
        <w:jc w:val="both"/>
        <w:rPr>
          <w:b/>
          <w:caps/>
          <w:szCs w:val="16"/>
        </w:rPr>
      </w:pPr>
      <w:r w:rsidRPr="00ED711A">
        <w:rPr>
          <w:b/>
          <w:caps/>
          <w:szCs w:val="16"/>
        </w:rPr>
        <w:t>Jordanie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tblPr>
      <w:tblGrid>
        <w:gridCol w:w="5895"/>
        <w:gridCol w:w="2299"/>
        <w:gridCol w:w="1944"/>
      </w:tblGrid>
      <w:tr w:rsidR="00510BDA" w:rsidRPr="00ED711A" w:rsidTr="00510BDA">
        <w:tc>
          <w:tcPr>
            <w:tcW w:w="1667" w:type="pct"/>
            <w:hideMark/>
          </w:tcPr>
          <w:p w:rsidR="00510BDA" w:rsidRPr="00ED711A" w:rsidRDefault="00510BDA" w:rsidP="0070218D">
            <w:pPr>
              <w:widowControl w:val="0"/>
              <w:autoSpaceDE w:val="0"/>
              <w:autoSpaceDN w:val="0"/>
              <w:adjustRightInd w:val="0"/>
              <w:snapToGrid w:val="0"/>
              <w:spacing w:after="120"/>
              <w:jc w:val="both"/>
              <w:rPr>
                <w:sz w:val="22"/>
                <w:szCs w:val="22"/>
                <w:lang w:val="fr-CH" w:eastAsia="en-US"/>
              </w:rPr>
            </w:pPr>
            <w:r w:rsidRPr="00ED711A">
              <w:rPr>
                <w:b/>
                <w:i/>
                <w:sz w:val="22"/>
                <w:szCs w:val="22"/>
                <w:lang w:val="fr-CH"/>
              </w:rPr>
              <w:t xml:space="preserve">Nom usuel: </w:t>
            </w:r>
            <w:r w:rsidRPr="00ED711A">
              <w:rPr>
                <w:sz w:val="22"/>
                <w:szCs w:val="22"/>
                <w:lang w:val="fr-CH"/>
              </w:rPr>
              <w:t>Tétrachlorure de carbone</w:t>
            </w:r>
          </w:p>
        </w:tc>
        <w:tc>
          <w:tcPr>
            <w:tcW w:w="650" w:type="pct"/>
            <w:hideMark/>
          </w:tcPr>
          <w:p w:rsidR="00510BDA" w:rsidRPr="00ED711A" w:rsidRDefault="00510BDA" w:rsidP="0070218D">
            <w:pPr>
              <w:widowControl w:val="0"/>
              <w:autoSpaceDE w:val="0"/>
              <w:autoSpaceDN w:val="0"/>
              <w:adjustRightInd w:val="0"/>
              <w:snapToGrid w:val="0"/>
              <w:spacing w:after="120"/>
              <w:jc w:val="both"/>
              <w:rPr>
                <w:b/>
                <w:i/>
                <w:sz w:val="22"/>
                <w:szCs w:val="22"/>
                <w:lang w:eastAsia="en-US"/>
              </w:rPr>
            </w:pPr>
            <w:r w:rsidRPr="00ED711A">
              <w:rPr>
                <w:b/>
                <w:i/>
                <w:sz w:val="22"/>
                <w:szCs w:val="22"/>
              </w:rPr>
              <w:t>Numéro CAS:</w:t>
            </w:r>
          </w:p>
        </w:tc>
        <w:tc>
          <w:tcPr>
            <w:tcW w:w="550" w:type="pct"/>
            <w:hideMark/>
          </w:tcPr>
          <w:p w:rsidR="00510BDA" w:rsidRPr="00ED711A" w:rsidRDefault="00510BDA" w:rsidP="0070218D">
            <w:pPr>
              <w:widowControl w:val="0"/>
              <w:autoSpaceDE w:val="0"/>
              <w:autoSpaceDN w:val="0"/>
              <w:adjustRightInd w:val="0"/>
              <w:snapToGrid w:val="0"/>
              <w:spacing w:after="120"/>
              <w:jc w:val="both"/>
              <w:rPr>
                <w:sz w:val="22"/>
                <w:szCs w:val="22"/>
                <w:lang w:eastAsia="en-US"/>
              </w:rPr>
            </w:pPr>
            <w:r w:rsidRPr="00ED711A">
              <w:rPr>
                <w:sz w:val="22"/>
                <w:szCs w:val="22"/>
              </w:rPr>
              <w:t>56-23-5</w:t>
            </w:r>
          </w:p>
        </w:tc>
      </w:tr>
    </w:tbl>
    <w:p w:rsidR="00510BDA" w:rsidRPr="00BB768B" w:rsidRDefault="00510BDA" w:rsidP="0070218D">
      <w:pPr>
        <w:widowControl w:val="0"/>
        <w:autoSpaceDE w:val="0"/>
        <w:autoSpaceDN w:val="0"/>
        <w:adjustRightInd w:val="0"/>
        <w:snapToGrid w:val="0"/>
        <w:spacing w:after="120"/>
        <w:jc w:val="both"/>
        <w:rPr>
          <w:sz w:val="22"/>
          <w:szCs w:val="22"/>
          <w:lang w:val="fr-CH" w:eastAsia="en-US"/>
        </w:rPr>
      </w:pPr>
      <w:r w:rsidRPr="00BB768B">
        <w:rPr>
          <w:b/>
          <w:i/>
          <w:sz w:val="22"/>
          <w:szCs w:val="22"/>
          <w:lang w:val="fr-CH"/>
        </w:rPr>
        <w:t xml:space="preserve">Nom chimique: </w:t>
      </w:r>
      <w:r w:rsidRPr="00BB768B">
        <w:rPr>
          <w:sz w:val="22"/>
          <w:szCs w:val="22"/>
          <w:lang w:val="fr-CH"/>
        </w:rPr>
        <w:t>Tétrachlorométhane</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Catégorie pour laquelle a été prise la mesure de réglementation finale: </w:t>
      </w:r>
      <w:r w:rsidRPr="00ED711A">
        <w:rPr>
          <w:sz w:val="22"/>
          <w:szCs w:val="22"/>
          <w:lang w:val="fr-CH"/>
        </w:rPr>
        <w:t>Produit à usage industriel</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Mesure de réglementation finale: </w:t>
      </w:r>
      <w:r w:rsidRPr="00ED711A">
        <w:rPr>
          <w:sz w:val="22"/>
          <w:szCs w:val="22"/>
          <w:lang w:val="fr-CH"/>
        </w:rPr>
        <w:t>Le produit chimique est strictement réglementé</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Emplois interdits par la mesure de réglementation finale: </w:t>
      </w:r>
      <w:r w:rsidRPr="00ED711A">
        <w:rPr>
          <w:sz w:val="22"/>
          <w:szCs w:val="22"/>
          <w:lang w:val="fr-CH"/>
        </w:rPr>
        <w:t>Il ne doit pas être utilisé dans des concentrations égales ou supérieures à 0,1% en masse dans des substances et des préparations mises sur le marché en vue d</w:t>
      </w:r>
      <w:r w:rsidR="000D310E" w:rsidRPr="00ED711A">
        <w:rPr>
          <w:sz w:val="22"/>
          <w:szCs w:val="22"/>
          <w:lang w:val="fr-CH"/>
        </w:rPr>
        <w:t>’</w:t>
      </w:r>
      <w:r w:rsidRPr="00ED711A">
        <w:rPr>
          <w:sz w:val="22"/>
          <w:szCs w:val="22"/>
          <w:lang w:val="fr-CH"/>
        </w:rPr>
        <w:t xml:space="preserve">être vendues au grand public et/ou destinées aux applications conduisant à une diffusion, telles que le nettoyage des surfaces et le nettoyage des tissus. </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Emplois qui demeurent autorisés: </w:t>
      </w:r>
    </w:p>
    <w:p w:rsidR="00510BDA" w:rsidRPr="00ED711A" w:rsidRDefault="00510BDA" w:rsidP="0070218D">
      <w:pPr>
        <w:widowControl w:val="0"/>
        <w:autoSpaceDE w:val="0"/>
        <w:autoSpaceDN w:val="0"/>
        <w:adjustRightInd w:val="0"/>
        <w:snapToGrid w:val="0"/>
        <w:spacing w:after="120"/>
        <w:jc w:val="both"/>
        <w:rPr>
          <w:sz w:val="22"/>
          <w:szCs w:val="22"/>
          <w:lang w:val="fr-FR"/>
        </w:rPr>
      </w:pPr>
      <w:r w:rsidRPr="00ED711A">
        <w:rPr>
          <w:sz w:val="22"/>
          <w:szCs w:val="22"/>
          <w:lang w:val="fr-FR"/>
        </w:rPr>
        <w:t>Son utilisation est autorisée</w:t>
      </w:r>
      <w:r w:rsidR="00413717" w:rsidRPr="00ED711A">
        <w:rPr>
          <w:sz w:val="22"/>
          <w:szCs w:val="22"/>
          <w:lang w:val="fr-FR"/>
        </w:rPr>
        <w:t> :</w:t>
      </w:r>
    </w:p>
    <w:p w:rsidR="00413717" w:rsidRPr="00ED711A" w:rsidRDefault="00510BDA" w:rsidP="0070218D">
      <w:pPr>
        <w:widowControl w:val="0"/>
        <w:tabs>
          <w:tab w:val="left" w:pos="217"/>
          <w:tab w:val="left" w:pos="262"/>
        </w:tabs>
        <w:autoSpaceDE w:val="0"/>
        <w:autoSpaceDN w:val="0"/>
        <w:adjustRightInd w:val="0"/>
        <w:snapToGrid w:val="0"/>
        <w:spacing w:after="120"/>
        <w:ind w:left="237" w:hanging="237"/>
        <w:jc w:val="both"/>
        <w:rPr>
          <w:sz w:val="22"/>
          <w:szCs w:val="22"/>
          <w:lang w:val="fr-FR"/>
        </w:rPr>
      </w:pPr>
      <w:r w:rsidRPr="00ED711A">
        <w:rPr>
          <w:sz w:val="22"/>
          <w:szCs w:val="22"/>
          <w:lang w:val="fr-FR"/>
        </w:rPr>
        <w:t>-</w:t>
      </w:r>
      <w:r w:rsidRPr="00ED711A">
        <w:rPr>
          <w:sz w:val="22"/>
          <w:szCs w:val="22"/>
          <w:lang w:val="fr-FR"/>
        </w:rPr>
        <w:tab/>
        <w:t>dans les installations industrielles seulement</w:t>
      </w:r>
      <w:r w:rsidR="00413717" w:rsidRPr="00ED711A">
        <w:rPr>
          <w:sz w:val="22"/>
          <w:szCs w:val="22"/>
          <w:lang w:val="fr-FR"/>
        </w:rPr>
        <w:t> ;</w:t>
      </w:r>
    </w:p>
    <w:p w:rsidR="00510BDA" w:rsidRPr="00ED711A" w:rsidRDefault="00413717" w:rsidP="0070218D">
      <w:pPr>
        <w:widowControl w:val="0"/>
        <w:tabs>
          <w:tab w:val="left" w:pos="217"/>
          <w:tab w:val="left" w:pos="262"/>
        </w:tabs>
        <w:autoSpaceDE w:val="0"/>
        <w:autoSpaceDN w:val="0"/>
        <w:adjustRightInd w:val="0"/>
        <w:snapToGrid w:val="0"/>
        <w:spacing w:after="120"/>
        <w:ind w:left="237" w:hanging="237"/>
        <w:jc w:val="both"/>
        <w:rPr>
          <w:sz w:val="22"/>
          <w:szCs w:val="22"/>
          <w:lang w:val="fr-FR"/>
        </w:rPr>
      </w:pPr>
      <w:r w:rsidRPr="00ED711A">
        <w:rPr>
          <w:sz w:val="22"/>
          <w:szCs w:val="22"/>
          <w:lang w:val="fr-FR"/>
        </w:rPr>
        <w:t>-</w:t>
      </w:r>
      <w:r w:rsidRPr="00ED711A">
        <w:rPr>
          <w:sz w:val="22"/>
          <w:szCs w:val="22"/>
          <w:lang w:val="fr-FR"/>
        </w:rPr>
        <w:tab/>
      </w:r>
      <w:r w:rsidR="00510BDA" w:rsidRPr="00ED711A">
        <w:rPr>
          <w:sz w:val="22"/>
          <w:szCs w:val="22"/>
          <w:lang w:val="fr-CH"/>
        </w:rPr>
        <w:t>dans les laboratoires et les centres de recherche.</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Mesure de réglementation finale a-t-elle été prise après une évaluation des risques et des dangers</w:t>
      </w:r>
      <w:proofErr w:type="gramStart"/>
      <w:r w:rsidRPr="00ED711A">
        <w:rPr>
          <w:b/>
          <w:i/>
          <w:sz w:val="22"/>
          <w:szCs w:val="22"/>
          <w:lang w:val="fr-CH"/>
        </w:rPr>
        <w:t>?:</w:t>
      </w:r>
      <w:proofErr w:type="gramEnd"/>
      <w:r w:rsidRPr="00ED711A">
        <w:rPr>
          <w:b/>
          <w:i/>
          <w:sz w:val="22"/>
          <w:szCs w:val="22"/>
          <w:lang w:val="fr-CH"/>
        </w:rPr>
        <w:t xml:space="preserve"> </w:t>
      </w:r>
      <w:r w:rsidRPr="00ED711A">
        <w:rPr>
          <w:sz w:val="22"/>
          <w:szCs w:val="22"/>
          <w:lang w:val="fr-CH"/>
        </w:rPr>
        <w:t>Oui</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lastRenderedPageBreak/>
        <w:t xml:space="preserve">Résumé de la mesure de réglementation finale: </w:t>
      </w:r>
    </w:p>
    <w:p w:rsidR="00510BDA" w:rsidRPr="00ED711A" w:rsidRDefault="00510BDA" w:rsidP="0070218D">
      <w:pPr>
        <w:widowControl w:val="0"/>
        <w:autoSpaceDE w:val="0"/>
        <w:autoSpaceDN w:val="0"/>
        <w:adjustRightInd w:val="0"/>
        <w:snapToGrid w:val="0"/>
        <w:spacing w:after="120"/>
        <w:jc w:val="both"/>
        <w:rPr>
          <w:sz w:val="22"/>
          <w:szCs w:val="22"/>
          <w:lang w:val="fr-FR"/>
        </w:rPr>
      </w:pPr>
      <w:r w:rsidRPr="00ED711A">
        <w:rPr>
          <w:sz w:val="22"/>
          <w:szCs w:val="22"/>
          <w:lang w:val="fr-FR"/>
        </w:rPr>
        <w:t>Le tétrachlorure de carbone ne doit pas être utilisé dans des concentrations égales ou supérieures à 0,1% en masse dans des substances et des préparations mises sur le marché en vue d</w:t>
      </w:r>
      <w:r w:rsidR="000D310E" w:rsidRPr="00ED711A">
        <w:rPr>
          <w:sz w:val="22"/>
          <w:szCs w:val="22"/>
          <w:lang w:val="fr-FR"/>
        </w:rPr>
        <w:t>’</w:t>
      </w:r>
      <w:r w:rsidRPr="00ED711A">
        <w:rPr>
          <w:sz w:val="22"/>
          <w:szCs w:val="22"/>
          <w:lang w:val="fr-FR"/>
        </w:rPr>
        <w:t xml:space="preserve">être vendues au grand public et/ou destinées aux applications conduisant à une diffusion, telles que le nettoyage des surfaces et le nettoyage des tissus. </w:t>
      </w:r>
    </w:p>
    <w:p w:rsidR="00510BDA" w:rsidRPr="00ED711A" w:rsidRDefault="00510BDA" w:rsidP="0070218D">
      <w:pPr>
        <w:widowControl w:val="0"/>
        <w:autoSpaceDE w:val="0"/>
        <w:autoSpaceDN w:val="0"/>
        <w:adjustRightInd w:val="0"/>
        <w:snapToGrid w:val="0"/>
        <w:spacing w:after="120"/>
        <w:jc w:val="both"/>
        <w:rPr>
          <w:sz w:val="22"/>
          <w:szCs w:val="22"/>
          <w:lang w:val="fr-FR"/>
        </w:rPr>
      </w:pPr>
      <w:r w:rsidRPr="00ED711A">
        <w:rPr>
          <w:sz w:val="22"/>
          <w:szCs w:val="22"/>
          <w:lang w:val="fr-CH"/>
        </w:rPr>
        <w:t>Sur la base de la décision du Ministère de la santé</w:t>
      </w:r>
      <w:r w:rsidRPr="00ED711A">
        <w:rPr>
          <w:sz w:val="22"/>
          <w:szCs w:val="22"/>
          <w:lang w:val="fr-FR"/>
        </w:rPr>
        <w:t xml:space="preserve"> son utilisation est autorisée :</w:t>
      </w:r>
    </w:p>
    <w:p w:rsidR="00510BDA" w:rsidRPr="00ED711A" w:rsidRDefault="00510BDA" w:rsidP="0070218D">
      <w:pPr>
        <w:widowControl w:val="0"/>
        <w:tabs>
          <w:tab w:val="left" w:pos="217"/>
          <w:tab w:val="left" w:pos="262"/>
        </w:tabs>
        <w:autoSpaceDE w:val="0"/>
        <w:autoSpaceDN w:val="0"/>
        <w:adjustRightInd w:val="0"/>
        <w:snapToGrid w:val="0"/>
        <w:spacing w:after="120"/>
        <w:ind w:left="237" w:hanging="237"/>
        <w:jc w:val="both"/>
        <w:rPr>
          <w:sz w:val="22"/>
          <w:szCs w:val="22"/>
          <w:lang w:val="fr-FR"/>
        </w:rPr>
      </w:pPr>
      <w:r w:rsidRPr="00ED711A">
        <w:rPr>
          <w:sz w:val="22"/>
          <w:szCs w:val="22"/>
          <w:lang w:val="fr-FR"/>
        </w:rPr>
        <w:t>-</w:t>
      </w:r>
      <w:r w:rsidRPr="00ED711A">
        <w:rPr>
          <w:sz w:val="22"/>
          <w:szCs w:val="22"/>
          <w:lang w:val="fr-FR"/>
        </w:rPr>
        <w:tab/>
        <w:t>dans les installations industrielles seulement</w:t>
      </w:r>
      <w:r w:rsidR="00413717" w:rsidRPr="00ED711A">
        <w:rPr>
          <w:sz w:val="22"/>
          <w:szCs w:val="22"/>
          <w:lang w:val="fr-FR"/>
        </w:rPr>
        <w:t> ;</w:t>
      </w:r>
    </w:p>
    <w:p w:rsidR="00510BDA" w:rsidRPr="00ED711A" w:rsidRDefault="00510BDA" w:rsidP="0070218D">
      <w:pPr>
        <w:widowControl w:val="0"/>
        <w:tabs>
          <w:tab w:val="left" w:pos="217"/>
          <w:tab w:val="left" w:pos="262"/>
        </w:tabs>
        <w:autoSpaceDE w:val="0"/>
        <w:autoSpaceDN w:val="0"/>
        <w:adjustRightInd w:val="0"/>
        <w:snapToGrid w:val="0"/>
        <w:spacing w:after="120"/>
        <w:ind w:left="237" w:hanging="237"/>
        <w:jc w:val="both"/>
        <w:rPr>
          <w:sz w:val="22"/>
          <w:szCs w:val="22"/>
          <w:lang w:val="fr-FR"/>
        </w:rPr>
      </w:pPr>
      <w:r w:rsidRPr="00ED711A">
        <w:rPr>
          <w:sz w:val="22"/>
          <w:szCs w:val="22"/>
          <w:lang w:val="fr-FR"/>
        </w:rPr>
        <w:t>-</w:t>
      </w:r>
      <w:r w:rsidRPr="00ED711A">
        <w:rPr>
          <w:sz w:val="22"/>
          <w:szCs w:val="22"/>
          <w:lang w:val="fr-FR"/>
        </w:rPr>
        <w:tab/>
        <w:t>dans les laboratoires et les centres de recherche</w:t>
      </w:r>
      <w:r w:rsidR="00413717" w:rsidRPr="00ED711A">
        <w:rPr>
          <w:sz w:val="22"/>
          <w:szCs w:val="22"/>
          <w:lang w:val="fr-FR"/>
        </w:rPr>
        <w:t>.</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Les raisons ayant motivé la mesure de réglementation finale étaient liées à: </w:t>
      </w:r>
      <w:r w:rsidRPr="00ED711A">
        <w:rPr>
          <w:sz w:val="22"/>
          <w:szCs w:val="22"/>
          <w:lang w:val="fr-CH"/>
        </w:rPr>
        <w:t>La santé humaine et l</w:t>
      </w:r>
      <w:r w:rsidR="000D310E" w:rsidRPr="00ED711A">
        <w:rPr>
          <w:sz w:val="22"/>
          <w:szCs w:val="22"/>
          <w:lang w:val="fr-CH"/>
        </w:rPr>
        <w:t>’</w:t>
      </w:r>
      <w:r w:rsidRPr="00ED711A">
        <w:rPr>
          <w:sz w:val="22"/>
          <w:szCs w:val="22"/>
          <w:lang w:val="fr-CH"/>
        </w:rPr>
        <w:t>environnement</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Résumé des dangers et risques connus pour la santé des personnes: </w:t>
      </w:r>
      <w:r w:rsidRPr="00ED711A">
        <w:rPr>
          <w:sz w:val="22"/>
          <w:szCs w:val="22"/>
          <w:lang w:val="fr-CH"/>
        </w:rPr>
        <w:t>La substance est irritante pour les yeux. La substance peut avoir des effets sur le foie, les reins et le système nerveux et peut entraîner une perte de connaissance. Une surveillance médicale est indiquée. Un contact répété ou prolongé avec la peau peut provoquer une dermatite. Cette substance est probablement carcinogène pour l</w:t>
      </w:r>
      <w:r w:rsidR="000D310E" w:rsidRPr="00ED711A">
        <w:rPr>
          <w:sz w:val="22"/>
          <w:szCs w:val="22"/>
          <w:lang w:val="fr-CH"/>
        </w:rPr>
        <w:t>’</w:t>
      </w:r>
      <w:r w:rsidRPr="00ED711A">
        <w:rPr>
          <w:sz w:val="22"/>
          <w:szCs w:val="22"/>
          <w:lang w:val="fr-CH"/>
        </w:rPr>
        <w:t>homme.</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Effet escompté de la mesure de réglementation finale sur la santé humaine: </w:t>
      </w:r>
      <w:r w:rsidRPr="00ED711A">
        <w:rPr>
          <w:sz w:val="22"/>
          <w:szCs w:val="22"/>
          <w:lang w:val="fr-CH"/>
        </w:rPr>
        <w:t>La décision a été adoptée comme mesure de précaution pour protéger la santé du peuple jordanien en s</w:t>
      </w:r>
      <w:r w:rsidR="000D310E" w:rsidRPr="00ED711A">
        <w:rPr>
          <w:sz w:val="22"/>
          <w:szCs w:val="22"/>
          <w:lang w:val="fr-CH"/>
        </w:rPr>
        <w:t>’</w:t>
      </w:r>
      <w:r w:rsidRPr="00ED711A">
        <w:rPr>
          <w:sz w:val="22"/>
          <w:szCs w:val="22"/>
          <w:lang w:val="fr-CH"/>
        </w:rPr>
        <w:t>assurant que les importations futures et l</w:t>
      </w:r>
      <w:r w:rsidR="000D310E" w:rsidRPr="00ED711A">
        <w:rPr>
          <w:sz w:val="22"/>
          <w:szCs w:val="22"/>
          <w:lang w:val="fr-CH"/>
        </w:rPr>
        <w:t>’</w:t>
      </w:r>
      <w:r w:rsidRPr="00ED711A">
        <w:rPr>
          <w:sz w:val="22"/>
          <w:szCs w:val="22"/>
          <w:lang w:val="fr-CH"/>
        </w:rPr>
        <w:t xml:space="preserve">utilisation du tétrachlorure de carbone sont interdites avec des dérogations très limitées. </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Résumé des dangers et risques connus pour l</w:t>
      </w:r>
      <w:r w:rsidR="000D310E" w:rsidRPr="00ED711A">
        <w:rPr>
          <w:b/>
          <w:i/>
          <w:sz w:val="22"/>
          <w:szCs w:val="22"/>
          <w:lang w:val="fr-CH"/>
        </w:rPr>
        <w:t>’</w:t>
      </w:r>
      <w:r w:rsidRPr="00ED711A">
        <w:rPr>
          <w:b/>
          <w:i/>
          <w:sz w:val="22"/>
          <w:szCs w:val="22"/>
          <w:lang w:val="fr-CH"/>
        </w:rPr>
        <w:t xml:space="preserve">environnement: </w:t>
      </w:r>
      <w:r w:rsidRPr="00ED711A">
        <w:rPr>
          <w:sz w:val="22"/>
          <w:szCs w:val="22"/>
          <w:lang w:val="fr-CH"/>
        </w:rPr>
        <w:t>La substance est nuisible pour les organismes aquatiques. Cette substance peut être nuisible dans l</w:t>
      </w:r>
      <w:r w:rsidR="000D310E" w:rsidRPr="00ED711A">
        <w:rPr>
          <w:sz w:val="22"/>
          <w:szCs w:val="22"/>
          <w:lang w:val="fr-CH"/>
        </w:rPr>
        <w:t>’</w:t>
      </w:r>
      <w:r w:rsidRPr="00ED711A">
        <w:rPr>
          <w:sz w:val="22"/>
          <w:szCs w:val="22"/>
          <w:lang w:val="fr-CH"/>
        </w:rPr>
        <w:t>environnement; une attention particulière devrait être accordée à son impact sur la couche d</w:t>
      </w:r>
      <w:r w:rsidR="000D310E" w:rsidRPr="00ED711A">
        <w:rPr>
          <w:sz w:val="22"/>
          <w:szCs w:val="22"/>
          <w:lang w:val="fr-CH"/>
        </w:rPr>
        <w:t>’</w:t>
      </w:r>
      <w:r w:rsidRPr="00ED711A">
        <w:rPr>
          <w:sz w:val="22"/>
          <w:szCs w:val="22"/>
          <w:lang w:val="fr-CH"/>
        </w:rPr>
        <w:t xml:space="preserve">ozone. </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Effet escompté de la mesure de réglementation finale sur l</w:t>
      </w:r>
      <w:r w:rsidR="000D310E" w:rsidRPr="00ED711A">
        <w:rPr>
          <w:b/>
          <w:i/>
          <w:sz w:val="22"/>
          <w:szCs w:val="22"/>
          <w:lang w:val="fr-CH"/>
        </w:rPr>
        <w:t>’</w:t>
      </w:r>
      <w:r w:rsidRPr="00ED711A">
        <w:rPr>
          <w:b/>
          <w:i/>
          <w:sz w:val="22"/>
          <w:szCs w:val="22"/>
          <w:lang w:val="fr-CH"/>
        </w:rPr>
        <w:t xml:space="preserve">environnement: </w:t>
      </w:r>
      <w:r w:rsidRPr="00ED711A">
        <w:rPr>
          <w:sz w:val="22"/>
          <w:szCs w:val="22"/>
          <w:lang w:val="fr-CH"/>
        </w:rPr>
        <w:t>La décision a été adoptée comme mesure de précaution pour protéger les écosystèmes en s</w:t>
      </w:r>
      <w:r w:rsidR="000D310E" w:rsidRPr="00ED711A">
        <w:rPr>
          <w:sz w:val="22"/>
          <w:szCs w:val="22"/>
          <w:lang w:val="fr-CH"/>
        </w:rPr>
        <w:t>’</w:t>
      </w:r>
      <w:r w:rsidRPr="00ED711A">
        <w:rPr>
          <w:sz w:val="22"/>
          <w:szCs w:val="22"/>
          <w:lang w:val="fr-CH"/>
        </w:rPr>
        <w:t>assurant que les importations futures et l</w:t>
      </w:r>
      <w:r w:rsidR="000D310E" w:rsidRPr="00ED711A">
        <w:rPr>
          <w:sz w:val="22"/>
          <w:szCs w:val="22"/>
          <w:lang w:val="fr-CH"/>
        </w:rPr>
        <w:t>’</w:t>
      </w:r>
      <w:r w:rsidRPr="00ED711A">
        <w:rPr>
          <w:sz w:val="22"/>
          <w:szCs w:val="22"/>
          <w:lang w:val="fr-CH"/>
        </w:rPr>
        <w:t>utilisation du tétrachlorure de carbone sont interdites avec des dérogations très limitées.</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Date de prise d</w:t>
      </w:r>
      <w:r w:rsidR="000D310E" w:rsidRPr="00ED711A">
        <w:rPr>
          <w:b/>
          <w:i/>
          <w:sz w:val="22"/>
          <w:szCs w:val="22"/>
          <w:lang w:val="fr-CH"/>
        </w:rPr>
        <w:t>’</w:t>
      </w:r>
      <w:r w:rsidRPr="00ED711A">
        <w:rPr>
          <w:b/>
          <w:i/>
          <w:sz w:val="22"/>
          <w:szCs w:val="22"/>
          <w:lang w:val="fr-CH"/>
        </w:rPr>
        <w:t xml:space="preserve">effet de la mesure de réglementation finale: </w:t>
      </w:r>
      <w:r w:rsidRPr="00ED711A">
        <w:rPr>
          <w:sz w:val="22"/>
          <w:szCs w:val="22"/>
          <w:lang w:val="fr-CH"/>
        </w:rPr>
        <w:t>16/08/2005</w:t>
      </w:r>
    </w:p>
    <w:p w:rsidR="00510BDA" w:rsidRPr="00ED711A" w:rsidRDefault="00510BDA" w:rsidP="0070218D">
      <w:pPr>
        <w:widowControl w:val="0"/>
        <w:pBdr>
          <w:bottom w:val="single" w:sz="4" w:space="1" w:color="auto"/>
        </w:pBdr>
        <w:autoSpaceDE w:val="0"/>
        <w:autoSpaceDN w:val="0"/>
        <w:adjustRightInd w:val="0"/>
        <w:snapToGrid w:val="0"/>
        <w:spacing w:after="120"/>
        <w:jc w:val="both"/>
        <w:rPr>
          <w:sz w:val="22"/>
          <w:szCs w:val="16"/>
          <w:lang w:val="fr-CH"/>
        </w:rPr>
      </w:pPr>
    </w:p>
    <w:p w:rsidR="00510BDA" w:rsidRPr="00ED711A" w:rsidRDefault="00510BDA" w:rsidP="0070218D">
      <w:pPr>
        <w:widowControl w:val="0"/>
        <w:pBdr>
          <w:bottom w:val="single" w:sz="4" w:space="1" w:color="auto"/>
        </w:pBdr>
        <w:autoSpaceDE w:val="0"/>
        <w:autoSpaceDN w:val="0"/>
        <w:adjustRightInd w:val="0"/>
        <w:snapToGrid w:val="0"/>
        <w:spacing w:after="120"/>
        <w:jc w:val="both"/>
        <w:rPr>
          <w:b/>
          <w:caps/>
          <w:szCs w:val="16"/>
        </w:rPr>
      </w:pPr>
      <w:r w:rsidRPr="00ED711A">
        <w:rPr>
          <w:b/>
          <w:caps/>
          <w:szCs w:val="16"/>
        </w:rPr>
        <w:t>Malaisie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tblPr>
      <w:tblGrid>
        <w:gridCol w:w="5895"/>
        <w:gridCol w:w="2299"/>
        <w:gridCol w:w="1944"/>
      </w:tblGrid>
      <w:tr w:rsidR="00510BDA" w:rsidRPr="00ED711A" w:rsidTr="00510BDA">
        <w:tc>
          <w:tcPr>
            <w:tcW w:w="1667" w:type="pct"/>
            <w:hideMark/>
          </w:tcPr>
          <w:p w:rsidR="00510BDA" w:rsidRPr="00ED711A" w:rsidRDefault="00510BDA" w:rsidP="0070218D">
            <w:pPr>
              <w:widowControl w:val="0"/>
              <w:autoSpaceDE w:val="0"/>
              <w:autoSpaceDN w:val="0"/>
              <w:adjustRightInd w:val="0"/>
              <w:snapToGrid w:val="0"/>
              <w:spacing w:after="120"/>
              <w:jc w:val="both"/>
              <w:rPr>
                <w:sz w:val="22"/>
                <w:szCs w:val="22"/>
                <w:lang w:eastAsia="en-US"/>
              </w:rPr>
            </w:pPr>
            <w:r w:rsidRPr="00ED711A">
              <w:rPr>
                <w:b/>
                <w:i/>
                <w:sz w:val="22"/>
                <w:szCs w:val="22"/>
              </w:rPr>
              <w:t xml:space="preserve">Nom usuel: </w:t>
            </w:r>
            <w:r w:rsidRPr="00ED711A">
              <w:rPr>
                <w:sz w:val="22"/>
                <w:szCs w:val="22"/>
              </w:rPr>
              <w:t>Protiofos</w:t>
            </w:r>
          </w:p>
        </w:tc>
        <w:tc>
          <w:tcPr>
            <w:tcW w:w="650" w:type="pct"/>
            <w:hideMark/>
          </w:tcPr>
          <w:p w:rsidR="00510BDA" w:rsidRPr="00ED711A" w:rsidRDefault="00510BDA" w:rsidP="0070218D">
            <w:pPr>
              <w:widowControl w:val="0"/>
              <w:autoSpaceDE w:val="0"/>
              <w:autoSpaceDN w:val="0"/>
              <w:adjustRightInd w:val="0"/>
              <w:snapToGrid w:val="0"/>
              <w:spacing w:after="120"/>
              <w:jc w:val="both"/>
              <w:rPr>
                <w:b/>
                <w:i/>
                <w:sz w:val="22"/>
                <w:szCs w:val="22"/>
                <w:lang w:eastAsia="en-US"/>
              </w:rPr>
            </w:pPr>
            <w:r w:rsidRPr="00ED711A">
              <w:rPr>
                <w:b/>
                <w:i/>
                <w:sz w:val="22"/>
                <w:szCs w:val="22"/>
              </w:rPr>
              <w:t>Numéro CAS:</w:t>
            </w:r>
          </w:p>
        </w:tc>
        <w:tc>
          <w:tcPr>
            <w:tcW w:w="550" w:type="pct"/>
            <w:hideMark/>
          </w:tcPr>
          <w:p w:rsidR="00510BDA" w:rsidRPr="00ED711A" w:rsidRDefault="00510BDA" w:rsidP="0070218D">
            <w:pPr>
              <w:widowControl w:val="0"/>
              <w:autoSpaceDE w:val="0"/>
              <w:autoSpaceDN w:val="0"/>
              <w:adjustRightInd w:val="0"/>
              <w:snapToGrid w:val="0"/>
              <w:spacing w:after="120"/>
              <w:jc w:val="both"/>
              <w:rPr>
                <w:sz w:val="22"/>
                <w:szCs w:val="22"/>
                <w:lang w:eastAsia="en-US"/>
              </w:rPr>
            </w:pPr>
            <w:r w:rsidRPr="00ED711A">
              <w:rPr>
                <w:sz w:val="22"/>
                <w:szCs w:val="22"/>
              </w:rPr>
              <w:t>34643-46-4</w:t>
            </w:r>
          </w:p>
        </w:tc>
      </w:tr>
    </w:tbl>
    <w:p w:rsidR="00510BDA" w:rsidRPr="00ED711A" w:rsidRDefault="00510BDA" w:rsidP="0070218D">
      <w:pPr>
        <w:widowControl w:val="0"/>
        <w:autoSpaceDE w:val="0"/>
        <w:autoSpaceDN w:val="0"/>
        <w:adjustRightInd w:val="0"/>
        <w:snapToGrid w:val="0"/>
        <w:spacing w:after="120"/>
        <w:jc w:val="both"/>
        <w:rPr>
          <w:b/>
          <w:i/>
          <w:sz w:val="22"/>
          <w:szCs w:val="22"/>
          <w:lang w:val="fr-CH" w:eastAsia="en-US"/>
        </w:rPr>
      </w:pPr>
      <w:r w:rsidRPr="00ED711A">
        <w:rPr>
          <w:b/>
          <w:i/>
          <w:sz w:val="22"/>
          <w:szCs w:val="22"/>
          <w:lang w:val="fr-CH"/>
        </w:rPr>
        <w:t xml:space="preserve">Nom chimique: </w:t>
      </w:r>
      <w:r w:rsidRPr="00ED711A">
        <w:rPr>
          <w:sz w:val="22"/>
          <w:szCs w:val="22"/>
          <w:lang w:val="fr-CH"/>
        </w:rPr>
        <w:t xml:space="preserve">Phosphorodithioate </w:t>
      </w:r>
      <w:proofErr w:type="gramStart"/>
      <w:r w:rsidRPr="00ED711A">
        <w:rPr>
          <w:sz w:val="22"/>
          <w:szCs w:val="22"/>
          <w:lang w:val="fr-CH"/>
        </w:rPr>
        <w:t xml:space="preserve">de </w:t>
      </w:r>
      <w:r w:rsidRPr="00BB768B">
        <w:rPr>
          <w:i/>
          <w:sz w:val="22"/>
          <w:szCs w:val="22"/>
          <w:lang w:val="fr-CH"/>
        </w:rPr>
        <w:t>O-</w:t>
      </w:r>
      <w:r w:rsidRPr="00ED711A">
        <w:rPr>
          <w:sz w:val="22"/>
          <w:szCs w:val="22"/>
          <w:lang w:val="fr-CH"/>
        </w:rPr>
        <w:t>(2,4-dichlorophényle</w:t>
      </w:r>
      <w:proofErr w:type="gramEnd"/>
      <w:r w:rsidRPr="00ED711A">
        <w:rPr>
          <w:sz w:val="22"/>
          <w:szCs w:val="22"/>
          <w:lang w:val="fr-CH"/>
        </w:rPr>
        <w:t xml:space="preserve">) et de </w:t>
      </w:r>
      <w:r w:rsidRPr="00BB768B">
        <w:rPr>
          <w:i/>
          <w:sz w:val="22"/>
          <w:szCs w:val="22"/>
          <w:lang w:val="fr-CH"/>
        </w:rPr>
        <w:t>O-</w:t>
      </w:r>
      <w:r w:rsidRPr="00ED711A">
        <w:rPr>
          <w:sz w:val="22"/>
          <w:szCs w:val="22"/>
          <w:lang w:val="fr-CH"/>
        </w:rPr>
        <w:t xml:space="preserve">éthyle et de </w:t>
      </w:r>
      <w:r w:rsidRPr="00C64CB8">
        <w:rPr>
          <w:i/>
          <w:sz w:val="22"/>
          <w:szCs w:val="22"/>
          <w:lang w:val="fr-CH"/>
        </w:rPr>
        <w:t>S</w:t>
      </w:r>
      <w:r w:rsidRPr="00ED711A">
        <w:rPr>
          <w:sz w:val="22"/>
          <w:szCs w:val="22"/>
          <w:lang w:val="fr-CH"/>
        </w:rPr>
        <w:t>-propyle</w:t>
      </w:r>
    </w:p>
    <w:p w:rsidR="00510BDA" w:rsidRPr="00ED711A" w:rsidRDefault="00510BDA" w:rsidP="0070218D">
      <w:pPr>
        <w:widowControl w:val="0"/>
        <w:autoSpaceDE w:val="0"/>
        <w:autoSpaceDN w:val="0"/>
        <w:adjustRightInd w:val="0"/>
        <w:snapToGrid w:val="0"/>
        <w:spacing w:after="120"/>
        <w:jc w:val="both"/>
        <w:rPr>
          <w:b/>
          <w:i/>
          <w:sz w:val="22"/>
          <w:szCs w:val="22"/>
          <w:lang w:val="fr-CH"/>
        </w:rPr>
      </w:pPr>
      <w:r w:rsidRPr="00ED711A">
        <w:rPr>
          <w:b/>
          <w:i/>
          <w:sz w:val="22"/>
          <w:szCs w:val="22"/>
          <w:lang w:val="fr-CH"/>
        </w:rPr>
        <w:t xml:space="preserve">Catégorie pour laquelle a été prise la mesure de réglementation finale: </w:t>
      </w:r>
      <w:r w:rsidRPr="00ED711A">
        <w:rPr>
          <w:sz w:val="22"/>
          <w:szCs w:val="22"/>
          <w:lang w:val="fr-CH"/>
        </w:rPr>
        <w:t>Pesticide</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Mesure de réglementation finale: </w:t>
      </w:r>
      <w:r w:rsidRPr="00ED711A">
        <w:rPr>
          <w:sz w:val="22"/>
          <w:szCs w:val="22"/>
          <w:lang w:val="fr-CH"/>
        </w:rPr>
        <w:t>Le produit chimique est interdit</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Mesure de réglementation finale a-t-elle été prise après une évaluation des risques et des dangers</w:t>
      </w:r>
      <w:proofErr w:type="gramStart"/>
      <w:r w:rsidRPr="00ED711A">
        <w:rPr>
          <w:b/>
          <w:i/>
          <w:sz w:val="22"/>
          <w:szCs w:val="22"/>
          <w:lang w:val="fr-CH"/>
        </w:rPr>
        <w:t>?:</w:t>
      </w:r>
      <w:proofErr w:type="gramEnd"/>
      <w:r w:rsidRPr="00ED711A">
        <w:rPr>
          <w:b/>
          <w:i/>
          <w:sz w:val="22"/>
          <w:szCs w:val="22"/>
          <w:lang w:val="fr-CH"/>
        </w:rPr>
        <w:t xml:space="preserve"> </w:t>
      </w:r>
      <w:r w:rsidRPr="00ED711A">
        <w:rPr>
          <w:sz w:val="22"/>
          <w:szCs w:val="22"/>
          <w:lang w:val="fr-CH"/>
        </w:rPr>
        <w:t>No</w:t>
      </w:r>
    </w:p>
    <w:p w:rsidR="00510BDA" w:rsidRPr="00ED711A" w:rsidRDefault="00510BDA" w:rsidP="0070218D">
      <w:pPr>
        <w:widowControl w:val="0"/>
        <w:shd w:val="clear" w:color="auto" w:fill="FFFFFF"/>
        <w:autoSpaceDE w:val="0"/>
        <w:autoSpaceDN w:val="0"/>
        <w:adjustRightInd w:val="0"/>
        <w:snapToGrid w:val="0"/>
        <w:spacing w:after="120"/>
        <w:jc w:val="both"/>
        <w:rPr>
          <w:sz w:val="22"/>
          <w:szCs w:val="22"/>
          <w:lang w:val="fr-FR"/>
        </w:rPr>
      </w:pPr>
      <w:r w:rsidRPr="00ED711A">
        <w:rPr>
          <w:b/>
          <w:i/>
          <w:sz w:val="22"/>
          <w:szCs w:val="22"/>
          <w:lang w:val="fr-CH"/>
        </w:rPr>
        <w:t xml:space="preserve">Résumé de la mesure de réglementation finale: </w:t>
      </w:r>
      <w:r w:rsidRPr="00ED711A">
        <w:rPr>
          <w:sz w:val="22"/>
          <w:szCs w:val="22"/>
          <w:lang w:val="it-IT"/>
        </w:rPr>
        <w:t>L</w:t>
      </w:r>
      <w:r w:rsidR="000D310E" w:rsidRPr="00ED711A">
        <w:rPr>
          <w:sz w:val="22"/>
          <w:szCs w:val="22"/>
          <w:lang w:val="it-IT"/>
        </w:rPr>
        <w:t>’</w:t>
      </w:r>
      <w:r w:rsidRPr="00ED711A">
        <w:rPr>
          <w:sz w:val="22"/>
          <w:szCs w:val="22"/>
          <w:lang w:val="it-IT"/>
        </w:rPr>
        <w:t xml:space="preserve">emploi du </w:t>
      </w:r>
      <w:r w:rsidRPr="00ED711A">
        <w:rPr>
          <w:sz w:val="22"/>
          <w:szCs w:val="22"/>
          <w:lang w:val="fr-FR"/>
        </w:rPr>
        <w:t>prothiofos en tant que pesticide a été interdit à partir du 1er janvier  2015. Cette interdiction concerneral</w:t>
      </w:r>
      <w:r w:rsidR="000D310E" w:rsidRPr="00ED711A">
        <w:rPr>
          <w:sz w:val="22"/>
          <w:szCs w:val="22"/>
          <w:lang w:val="fr-FR"/>
        </w:rPr>
        <w:t>’</w:t>
      </w:r>
      <w:r w:rsidRPr="00ED711A">
        <w:rPr>
          <w:sz w:val="22"/>
          <w:szCs w:val="22"/>
          <w:lang w:val="fr-FR"/>
        </w:rPr>
        <w:t>importation, l</w:t>
      </w:r>
      <w:r w:rsidR="000D310E" w:rsidRPr="00ED711A">
        <w:rPr>
          <w:sz w:val="22"/>
          <w:szCs w:val="22"/>
          <w:lang w:val="fr-FR"/>
        </w:rPr>
        <w:t>’</w:t>
      </w:r>
      <w:r w:rsidRPr="00ED711A">
        <w:rPr>
          <w:sz w:val="22"/>
          <w:szCs w:val="22"/>
          <w:lang w:val="fr-FR"/>
        </w:rPr>
        <w:t>exportation, la production, l</w:t>
      </w:r>
      <w:r w:rsidR="000D310E" w:rsidRPr="00ED711A">
        <w:rPr>
          <w:sz w:val="22"/>
          <w:szCs w:val="22"/>
          <w:lang w:val="fr-FR"/>
        </w:rPr>
        <w:t>’</w:t>
      </w:r>
      <w:r w:rsidRPr="00ED711A">
        <w:rPr>
          <w:sz w:val="22"/>
          <w:szCs w:val="22"/>
          <w:lang w:val="fr-FR"/>
        </w:rPr>
        <w:t>emploi et la vente, à l</w:t>
      </w:r>
      <w:r w:rsidR="000D310E" w:rsidRPr="00ED711A">
        <w:rPr>
          <w:sz w:val="22"/>
          <w:szCs w:val="22"/>
          <w:lang w:val="fr-FR"/>
        </w:rPr>
        <w:t>’</w:t>
      </w:r>
      <w:r w:rsidRPr="00ED711A">
        <w:rPr>
          <w:sz w:val="22"/>
          <w:szCs w:val="22"/>
          <w:lang w:val="fr-FR"/>
        </w:rPr>
        <w:t>exception de quantités limitées à des fins de recherche ou didactiques, subordonnée à l</w:t>
      </w:r>
      <w:r w:rsidR="000D310E" w:rsidRPr="00ED711A">
        <w:rPr>
          <w:sz w:val="22"/>
          <w:szCs w:val="22"/>
          <w:lang w:val="fr-FR"/>
        </w:rPr>
        <w:t>’</w:t>
      </w:r>
      <w:r w:rsidRPr="00ED711A">
        <w:rPr>
          <w:sz w:val="22"/>
          <w:szCs w:val="22"/>
          <w:lang w:val="fr-FR"/>
        </w:rPr>
        <w:t xml:space="preserve">approbation du Conseil des pesticides de la Malaisie. </w:t>
      </w:r>
    </w:p>
    <w:p w:rsidR="00510BDA" w:rsidRPr="00ED711A" w:rsidRDefault="00510BDA" w:rsidP="0070218D">
      <w:pPr>
        <w:widowControl w:val="0"/>
        <w:shd w:val="clear" w:color="auto" w:fill="FFFFFF"/>
        <w:autoSpaceDE w:val="0"/>
        <w:autoSpaceDN w:val="0"/>
        <w:adjustRightInd w:val="0"/>
        <w:snapToGrid w:val="0"/>
        <w:spacing w:after="120"/>
        <w:jc w:val="both"/>
        <w:rPr>
          <w:sz w:val="22"/>
          <w:szCs w:val="22"/>
          <w:lang w:val="fr-FR"/>
        </w:rPr>
      </w:pPr>
      <w:r w:rsidRPr="00ED711A">
        <w:rPr>
          <w:sz w:val="22"/>
          <w:szCs w:val="22"/>
          <w:lang w:val="fr-FR"/>
        </w:rPr>
        <w:t>Une circulaire a été émise le 16 mai 2014 informant de l</w:t>
      </w:r>
      <w:r w:rsidR="000D310E" w:rsidRPr="00ED711A">
        <w:rPr>
          <w:sz w:val="22"/>
          <w:szCs w:val="22"/>
          <w:lang w:val="fr-FR"/>
        </w:rPr>
        <w:t>’</w:t>
      </w:r>
      <w:r w:rsidRPr="00ED711A">
        <w:rPr>
          <w:sz w:val="22"/>
          <w:szCs w:val="22"/>
          <w:lang w:val="fr-FR"/>
        </w:rPr>
        <w:t>annulation de l</w:t>
      </w:r>
      <w:r w:rsidR="000D310E" w:rsidRPr="00ED711A">
        <w:rPr>
          <w:sz w:val="22"/>
          <w:szCs w:val="22"/>
          <w:lang w:val="fr-FR"/>
        </w:rPr>
        <w:t>’</w:t>
      </w:r>
      <w:r w:rsidRPr="00ED711A">
        <w:rPr>
          <w:sz w:val="22"/>
          <w:szCs w:val="22"/>
          <w:lang w:val="fr-FR"/>
        </w:rPr>
        <w:t>homologation du prothofios.</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Les raisons ayant motivé la mesure de réglementation finale étaient liées à: </w:t>
      </w:r>
      <w:r w:rsidRPr="00ED711A">
        <w:rPr>
          <w:sz w:val="22"/>
          <w:szCs w:val="22"/>
          <w:lang w:val="fr-CH"/>
        </w:rPr>
        <w:t>La santé humaine.</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Date de prise d</w:t>
      </w:r>
      <w:r w:rsidR="000D310E" w:rsidRPr="00ED711A">
        <w:rPr>
          <w:b/>
          <w:i/>
          <w:sz w:val="22"/>
          <w:szCs w:val="22"/>
          <w:lang w:val="fr-CH"/>
        </w:rPr>
        <w:t>’</w:t>
      </w:r>
      <w:r w:rsidRPr="00ED711A">
        <w:rPr>
          <w:b/>
          <w:i/>
          <w:sz w:val="22"/>
          <w:szCs w:val="22"/>
          <w:lang w:val="fr-CH"/>
        </w:rPr>
        <w:t xml:space="preserve">effet de la mesure de réglementation finale: </w:t>
      </w:r>
      <w:r w:rsidRPr="00ED711A">
        <w:rPr>
          <w:sz w:val="22"/>
          <w:szCs w:val="22"/>
          <w:lang w:val="fr-CH"/>
        </w:rPr>
        <w:t>01/01/2015</w:t>
      </w:r>
    </w:p>
    <w:p w:rsidR="00510BDA" w:rsidRPr="00ED711A" w:rsidRDefault="00510BDA" w:rsidP="0070218D">
      <w:pPr>
        <w:widowControl w:val="0"/>
        <w:autoSpaceDE w:val="0"/>
        <w:autoSpaceDN w:val="0"/>
        <w:adjustRightInd w:val="0"/>
        <w:snapToGrid w:val="0"/>
        <w:spacing w:after="120"/>
        <w:jc w:val="both"/>
        <w:rPr>
          <w:sz w:val="22"/>
          <w:szCs w:val="17"/>
          <w:lang w:val="fr-CH"/>
        </w:rPr>
      </w:pPr>
    </w:p>
    <w:p w:rsidR="00510BDA" w:rsidRPr="00ED711A" w:rsidRDefault="00510BDA" w:rsidP="0070218D">
      <w:pPr>
        <w:widowControl w:val="0"/>
        <w:pBdr>
          <w:bottom w:val="single" w:sz="4" w:space="1" w:color="auto"/>
        </w:pBdr>
        <w:autoSpaceDE w:val="0"/>
        <w:autoSpaceDN w:val="0"/>
        <w:adjustRightInd w:val="0"/>
        <w:snapToGrid w:val="0"/>
        <w:spacing w:after="120"/>
        <w:jc w:val="both"/>
        <w:rPr>
          <w:b/>
          <w:caps/>
          <w:szCs w:val="17"/>
        </w:rPr>
      </w:pPr>
      <w:r w:rsidRPr="00ED711A">
        <w:rPr>
          <w:b/>
          <w:caps/>
          <w:szCs w:val="17"/>
        </w:rPr>
        <w:t>Malaisie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tblPr>
      <w:tblGrid>
        <w:gridCol w:w="5895"/>
        <w:gridCol w:w="2299"/>
        <w:gridCol w:w="1944"/>
      </w:tblGrid>
      <w:tr w:rsidR="00510BDA" w:rsidRPr="00A97FB1" w:rsidTr="00510BDA">
        <w:tc>
          <w:tcPr>
            <w:tcW w:w="1667" w:type="pct"/>
            <w:hideMark/>
          </w:tcPr>
          <w:p w:rsidR="00510BDA" w:rsidRPr="00A97FB1" w:rsidRDefault="00510BDA" w:rsidP="0070218D">
            <w:pPr>
              <w:widowControl w:val="0"/>
              <w:autoSpaceDE w:val="0"/>
              <w:autoSpaceDN w:val="0"/>
              <w:adjustRightInd w:val="0"/>
              <w:snapToGrid w:val="0"/>
              <w:spacing w:after="120"/>
              <w:jc w:val="both"/>
              <w:rPr>
                <w:sz w:val="22"/>
                <w:szCs w:val="22"/>
                <w:lang w:eastAsia="en-US"/>
              </w:rPr>
            </w:pPr>
            <w:r w:rsidRPr="00A97FB1">
              <w:rPr>
                <w:b/>
                <w:i/>
                <w:sz w:val="22"/>
                <w:szCs w:val="22"/>
              </w:rPr>
              <w:t xml:space="preserve">Nom usuel: </w:t>
            </w:r>
            <w:r w:rsidR="00A97FB1" w:rsidRPr="00A97FB1">
              <w:rPr>
                <w:sz w:val="22"/>
                <w:szCs w:val="22"/>
              </w:rPr>
              <w:t>Phenthoate</w:t>
            </w:r>
          </w:p>
        </w:tc>
        <w:tc>
          <w:tcPr>
            <w:tcW w:w="650" w:type="pct"/>
            <w:hideMark/>
          </w:tcPr>
          <w:p w:rsidR="00510BDA" w:rsidRPr="00A97FB1" w:rsidRDefault="00510BDA" w:rsidP="0070218D">
            <w:pPr>
              <w:widowControl w:val="0"/>
              <w:autoSpaceDE w:val="0"/>
              <w:autoSpaceDN w:val="0"/>
              <w:adjustRightInd w:val="0"/>
              <w:snapToGrid w:val="0"/>
              <w:spacing w:after="120"/>
              <w:jc w:val="both"/>
              <w:rPr>
                <w:b/>
                <w:i/>
                <w:sz w:val="22"/>
                <w:szCs w:val="22"/>
                <w:lang w:eastAsia="en-US"/>
              </w:rPr>
            </w:pPr>
            <w:r w:rsidRPr="00A97FB1">
              <w:rPr>
                <w:b/>
                <w:i/>
                <w:sz w:val="22"/>
                <w:szCs w:val="22"/>
              </w:rPr>
              <w:t>Numéro CAS:</w:t>
            </w:r>
          </w:p>
        </w:tc>
        <w:tc>
          <w:tcPr>
            <w:tcW w:w="550" w:type="pct"/>
            <w:hideMark/>
          </w:tcPr>
          <w:p w:rsidR="00510BDA" w:rsidRPr="00A97FB1" w:rsidRDefault="00510BDA" w:rsidP="0070218D">
            <w:pPr>
              <w:widowControl w:val="0"/>
              <w:autoSpaceDE w:val="0"/>
              <w:autoSpaceDN w:val="0"/>
              <w:adjustRightInd w:val="0"/>
              <w:snapToGrid w:val="0"/>
              <w:spacing w:after="120"/>
              <w:jc w:val="both"/>
              <w:rPr>
                <w:sz w:val="22"/>
                <w:szCs w:val="22"/>
                <w:lang w:eastAsia="en-US"/>
              </w:rPr>
            </w:pPr>
            <w:r w:rsidRPr="00A97FB1">
              <w:rPr>
                <w:sz w:val="22"/>
                <w:szCs w:val="22"/>
              </w:rPr>
              <w:t>2597-03-7</w:t>
            </w:r>
          </w:p>
        </w:tc>
      </w:tr>
    </w:tbl>
    <w:p w:rsidR="00510BDA" w:rsidRPr="00A97FB1" w:rsidRDefault="00510BDA" w:rsidP="0070218D">
      <w:pPr>
        <w:spacing w:after="120"/>
        <w:jc w:val="both"/>
        <w:rPr>
          <w:sz w:val="22"/>
          <w:szCs w:val="22"/>
        </w:rPr>
      </w:pPr>
      <w:r w:rsidRPr="00A97FB1">
        <w:rPr>
          <w:b/>
          <w:i/>
          <w:sz w:val="22"/>
          <w:szCs w:val="22"/>
        </w:rPr>
        <w:t xml:space="preserve">Nom chimique: </w:t>
      </w:r>
      <w:r w:rsidRPr="0010017F">
        <w:rPr>
          <w:sz w:val="22"/>
          <w:szCs w:val="22"/>
        </w:rPr>
        <w:t>2-(diméthoxyphosphinothioylthio)-2-phénylacétate d</w:t>
      </w:r>
      <w:r w:rsidR="000D310E" w:rsidRPr="0010017F">
        <w:rPr>
          <w:sz w:val="22"/>
          <w:szCs w:val="22"/>
        </w:rPr>
        <w:t>’</w:t>
      </w:r>
      <w:r w:rsidRPr="0010017F">
        <w:rPr>
          <w:sz w:val="22"/>
          <w:szCs w:val="22"/>
        </w:rPr>
        <w:t>éthyle</w:t>
      </w:r>
    </w:p>
    <w:p w:rsidR="00510BDA" w:rsidRPr="00A97FB1" w:rsidRDefault="00510BDA" w:rsidP="0070218D">
      <w:pPr>
        <w:spacing w:after="120"/>
        <w:jc w:val="both"/>
        <w:rPr>
          <w:sz w:val="22"/>
          <w:szCs w:val="22"/>
          <w:lang w:val="fr-CH"/>
        </w:rPr>
      </w:pPr>
      <w:r w:rsidRPr="00A97FB1">
        <w:rPr>
          <w:b/>
          <w:i/>
          <w:sz w:val="22"/>
          <w:szCs w:val="22"/>
          <w:lang w:val="fr-CH"/>
        </w:rPr>
        <w:t xml:space="preserve">Catégorie pour laquelle a été prise la mesure de réglementation finale: </w:t>
      </w:r>
      <w:r w:rsidRPr="00A97FB1">
        <w:rPr>
          <w:sz w:val="22"/>
          <w:szCs w:val="22"/>
          <w:lang w:val="fr-CH"/>
        </w:rPr>
        <w:t>Pesticide</w:t>
      </w:r>
    </w:p>
    <w:p w:rsidR="00510BDA" w:rsidRPr="00A97FB1" w:rsidRDefault="00510BDA" w:rsidP="0070218D">
      <w:pPr>
        <w:spacing w:after="120"/>
        <w:jc w:val="both"/>
        <w:rPr>
          <w:sz w:val="22"/>
          <w:szCs w:val="22"/>
          <w:lang w:val="fr-CH"/>
        </w:rPr>
      </w:pPr>
      <w:r w:rsidRPr="00A97FB1">
        <w:rPr>
          <w:b/>
          <w:i/>
          <w:sz w:val="22"/>
          <w:szCs w:val="22"/>
          <w:lang w:val="fr-CH"/>
        </w:rPr>
        <w:t xml:space="preserve">Mesure de réglementation finale: </w:t>
      </w:r>
      <w:r w:rsidRPr="00A97FB1">
        <w:rPr>
          <w:sz w:val="22"/>
          <w:szCs w:val="22"/>
          <w:lang w:val="fr-CH"/>
        </w:rPr>
        <w:t>Le produit chimique est interdit</w:t>
      </w:r>
    </w:p>
    <w:p w:rsidR="00510BDA" w:rsidRPr="00A97FB1" w:rsidRDefault="00510BDA" w:rsidP="0070218D">
      <w:pPr>
        <w:spacing w:after="120"/>
        <w:jc w:val="both"/>
        <w:rPr>
          <w:sz w:val="22"/>
          <w:szCs w:val="22"/>
          <w:lang w:val="fr-FR"/>
        </w:rPr>
      </w:pPr>
      <w:r w:rsidRPr="00A97FB1">
        <w:rPr>
          <w:b/>
          <w:i/>
          <w:sz w:val="22"/>
          <w:szCs w:val="22"/>
          <w:lang w:val="fr-CH"/>
        </w:rPr>
        <w:t xml:space="preserve">Emplois interdits par la mesure de réglementation finale: </w:t>
      </w:r>
      <w:r w:rsidRPr="00A97FB1">
        <w:rPr>
          <w:sz w:val="22"/>
          <w:szCs w:val="22"/>
          <w:lang w:val="fr-CH"/>
        </w:rPr>
        <w:t>Toutes les préparati</w:t>
      </w:r>
      <w:r w:rsidRPr="00A97FB1">
        <w:rPr>
          <w:sz w:val="22"/>
          <w:szCs w:val="22"/>
          <w:lang w:val="it-IT"/>
        </w:rPr>
        <w:t>ons pour l</w:t>
      </w:r>
      <w:r w:rsidR="000D310E" w:rsidRPr="00A97FB1">
        <w:rPr>
          <w:sz w:val="22"/>
          <w:szCs w:val="22"/>
          <w:lang w:val="it-IT"/>
        </w:rPr>
        <w:t>’</w:t>
      </w:r>
      <w:r w:rsidRPr="00A97FB1">
        <w:rPr>
          <w:sz w:val="22"/>
          <w:szCs w:val="22"/>
          <w:lang w:val="it-IT"/>
        </w:rPr>
        <w:t>agriculture</w:t>
      </w:r>
      <w:r w:rsidRPr="00A97FB1">
        <w:rPr>
          <w:sz w:val="22"/>
          <w:szCs w:val="22"/>
          <w:lang w:val="fr-FR"/>
        </w:rPr>
        <w:t>.</w:t>
      </w:r>
    </w:p>
    <w:p w:rsidR="00510BDA" w:rsidRPr="00A97FB1" w:rsidRDefault="00510BDA" w:rsidP="0070218D">
      <w:pPr>
        <w:widowControl w:val="0"/>
        <w:autoSpaceDE w:val="0"/>
        <w:autoSpaceDN w:val="0"/>
        <w:adjustRightInd w:val="0"/>
        <w:snapToGrid w:val="0"/>
        <w:spacing w:after="120"/>
        <w:jc w:val="both"/>
        <w:rPr>
          <w:sz w:val="22"/>
          <w:szCs w:val="22"/>
          <w:lang w:val="fr-CH"/>
        </w:rPr>
      </w:pPr>
      <w:r w:rsidRPr="00A97FB1">
        <w:rPr>
          <w:b/>
          <w:i/>
          <w:sz w:val="22"/>
          <w:szCs w:val="22"/>
          <w:lang w:val="fr-CH"/>
        </w:rPr>
        <w:lastRenderedPageBreak/>
        <w:t>Mesure de réglementation finale a-t-elle été prise après une évaluation des risques et des dangers</w:t>
      </w:r>
      <w:proofErr w:type="gramStart"/>
      <w:r w:rsidRPr="00A97FB1">
        <w:rPr>
          <w:b/>
          <w:i/>
          <w:sz w:val="22"/>
          <w:szCs w:val="22"/>
          <w:lang w:val="fr-CH"/>
        </w:rPr>
        <w:t>?:</w:t>
      </w:r>
      <w:proofErr w:type="gramEnd"/>
      <w:r w:rsidRPr="00A97FB1">
        <w:rPr>
          <w:b/>
          <w:i/>
          <w:sz w:val="22"/>
          <w:szCs w:val="22"/>
          <w:lang w:val="fr-CH"/>
        </w:rPr>
        <w:t xml:space="preserve"> </w:t>
      </w:r>
      <w:r w:rsidRPr="00A97FB1">
        <w:rPr>
          <w:sz w:val="22"/>
          <w:szCs w:val="22"/>
          <w:lang w:val="fr-CH"/>
        </w:rPr>
        <w:t>No</w:t>
      </w:r>
    </w:p>
    <w:p w:rsidR="00510BDA" w:rsidRPr="00A97FB1" w:rsidRDefault="00510BDA" w:rsidP="0070218D">
      <w:pPr>
        <w:widowControl w:val="0"/>
        <w:shd w:val="clear" w:color="auto" w:fill="FFFFFF"/>
        <w:autoSpaceDE w:val="0"/>
        <w:autoSpaceDN w:val="0"/>
        <w:adjustRightInd w:val="0"/>
        <w:snapToGrid w:val="0"/>
        <w:spacing w:after="120"/>
        <w:jc w:val="both"/>
        <w:rPr>
          <w:sz w:val="22"/>
          <w:szCs w:val="22"/>
          <w:lang w:val="fr-FR"/>
        </w:rPr>
      </w:pPr>
      <w:r w:rsidRPr="00A97FB1">
        <w:rPr>
          <w:b/>
          <w:i/>
          <w:sz w:val="22"/>
          <w:szCs w:val="22"/>
          <w:lang w:val="fr-CH"/>
        </w:rPr>
        <w:t xml:space="preserve">Résumé de la mesure de réglementation finale: </w:t>
      </w:r>
      <w:r w:rsidRPr="00A97FB1">
        <w:rPr>
          <w:sz w:val="22"/>
          <w:szCs w:val="22"/>
          <w:lang w:val="it-IT"/>
        </w:rPr>
        <w:t>L</w:t>
      </w:r>
      <w:r w:rsidR="000D310E" w:rsidRPr="00A97FB1">
        <w:rPr>
          <w:sz w:val="22"/>
          <w:szCs w:val="22"/>
          <w:lang w:val="it-IT"/>
        </w:rPr>
        <w:t>’</w:t>
      </w:r>
      <w:r w:rsidRPr="00A97FB1">
        <w:rPr>
          <w:sz w:val="22"/>
          <w:szCs w:val="22"/>
          <w:lang w:val="it-IT"/>
        </w:rPr>
        <w:t xml:space="preserve">emploi du </w:t>
      </w:r>
      <w:r w:rsidRPr="00A97FB1">
        <w:rPr>
          <w:sz w:val="22"/>
          <w:szCs w:val="22"/>
          <w:lang w:val="fr-FR"/>
        </w:rPr>
        <w:t>phentoate en tant que pesticide a été interdit à partir du 1er janvier  2015. Cette interdiction concernera l</w:t>
      </w:r>
      <w:r w:rsidR="000D310E" w:rsidRPr="00A97FB1">
        <w:rPr>
          <w:sz w:val="22"/>
          <w:szCs w:val="22"/>
          <w:lang w:val="fr-FR"/>
        </w:rPr>
        <w:t>’</w:t>
      </w:r>
      <w:r w:rsidRPr="00A97FB1">
        <w:rPr>
          <w:sz w:val="22"/>
          <w:szCs w:val="22"/>
          <w:lang w:val="fr-FR"/>
        </w:rPr>
        <w:t>importation, l</w:t>
      </w:r>
      <w:r w:rsidR="000D310E" w:rsidRPr="00A97FB1">
        <w:rPr>
          <w:sz w:val="22"/>
          <w:szCs w:val="22"/>
          <w:lang w:val="fr-FR"/>
        </w:rPr>
        <w:t>’</w:t>
      </w:r>
      <w:r w:rsidRPr="00A97FB1">
        <w:rPr>
          <w:sz w:val="22"/>
          <w:szCs w:val="22"/>
          <w:lang w:val="fr-FR"/>
        </w:rPr>
        <w:t>exportation, la production, l</w:t>
      </w:r>
      <w:r w:rsidR="000D310E" w:rsidRPr="00A97FB1">
        <w:rPr>
          <w:sz w:val="22"/>
          <w:szCs w:val="22"/>
          <w:lang w:val="fr-FR"/>
        </w:rPr>
        <w:t>’</w:t>
      </w:r>
      <w:r w:rsidRPr="00A97FB1">
        <w:rPr>
          <w:sz w:val="22"/>
          <w:szCs w:val="22"/>
          <w:lang w:val="fr-FR"/>
        </w:rPr>
        <w:t>emploi et la vente, à l</w:t>
      </w:r>
      <w:r w:rsidR="000D310E" w:rsidRPr="00A97FB1">
        <w:rPr>
          <w:sz w:val="22"/>
          <w:szCs w:val="22"/>
          <w:lang w:val="fr-FR"/>
        </w:rPr>
        <w:t>’</w:t>
      </w:r>
      <w:r w:rsidRPr="00A97FB1">
        <w:rPr>
          <w:sz w:val="22"/>
          <w:szCs w:val="22"/>
          <w:lang w:val="fr-FR"/>
        </w:rPr>
        <w:t>exception de quantités limitées à des fins de recherche ou didactiques, subordonnées à l</w:t>
      </w:r>
      <w:r w:rsidR="000D310E" w:rsidRPr="00A97FB1">
        <w:rPr>
          <w:sz w:val="22"/>
          <w:szCs w:val="22"/>
          <w:lang w:val="fr-FR"/>
        </w:rPr>
        <w:t>’</w:t>
      </w:r>
      <w:r w:rsidRPr="00A97FB1">
        <w:rPr>
          <w:sz w:val="22"/>
          <w:szCs w:val="22"/>
          <w:lang w:val="fr-FR"/>
        </w:rPr>
        <w:t xml:space="preserve">approbation du Conseil des pesticides de la Malaisie. </w:t>
      </w:r>
    </w:p>
    <w:p w:rsidR="00510BDA" w:rsidRPr="00ED711A" w:rsidRDefault="00510BDA" w:rsidP="0070218D">
      <w:pPr>
        <w:widowControl w:val="0"/>
        <w:autoSpaceDE w:val="0"/>
        <w:autoSpaceDN w:val="0"/>
        <w:adjustRightInd w:val="0"/>
        <w:snapToGrid w:val="0"/>
        <w:spacing w:after="120"/>
        <w:jc w:val="both"/>
        <w:rPr>
          <w:sz w:val="22"/>
          <w:szCs w:val="22"/>
          <w:lang w:val="fr-FR"/>
        </w:rPr>
      </w:pPr>
      <w:r w:rsidRPr="00A97FB1">
        <w:rPr>
          <w:sz w:val="22"/>
          <w:szCs w:val="22"/>
          <w:lang w:val="fr-FR"/>
        </w:rPr>
        <w:t>Une circulaire a été émis</w:t>
      </w:r>
      <w:r w:rsidRPr="00ED711A">
        <w:rPr>
          <w:sz w:val="22"/>
          <w:szCs w:val="22"/>
          <w:lang w:val="fr-FR"/>
        </w:rPr>
        <w:t>e le 16 mai 2014 informant de l</w:t>
      </w:r>
      <w:r w:rsidR="000D310E" w:rsidRPr="00ED711A">
        <w:rPr>
          <w:sz w:val="22"/>
          <w:szCs w:val="22"/>
          <w:lang w:val="fr-FR"/>
        </w:rPr>
        <w:t>’</w:t>
      </w:r>
      <w:r w:rsidRPr="00ED711A">
        <w:rPr>
          <w:sz w:val="22"/>
          <w:szCs w:val="22"/>
          <w:lang w:val="fr-FR"/>
        </w:rPr>
        <w:t>annulation de l</w:t>
      </w:r>
      <w:r w:rsidR="000D310E" w:rsidRPr="00ED711A">
        <w:rPr>
          <w:sz w:val="22"/>
          <w:szCs w:val="22"/>
          <w:lang w:val="fr-FR"/>
        </w:rPr>
        <w:t>’</w:t>
      </w:r>
      <w:r w:rsidRPr="00ED711A">
        <w:rPr>
          <w:sz w:val="22"/>
          <w:szCs w:val="22"/>
          <w:lang w:val="fr-FR"/>
        </w:rPr>
        <w:t>homologation du phentoate. Une période allant du 1er juillet 2014 au 31 décembre 2104 a été octroyée aux déclarants pour la liquidation des stocks existant sur le marché.</w:t>
      </w:r>
    </w:p>
    <w:p w:rsidR="00510BDA" w:rsidRPr="00ED711A" w:rsidRDefault="00510BDA" w:rsidP="0070218D">
      <w:pPr>
        <w:widowControl w:val="0"/>
        <w:autoSpaceDE w:val="0"/>
        <w:autoSpaceDN w:val="0"/>
        <w:adjustRightInd w:val="0"/>
        <w:snapToGrid w:val="0"/>
        <w:spacing w:after="120"/>
        <w:jc w:val="both"/>
        <w:rPr>
          <w:sz w:val="22"/>
          <w:szCs w:val="22"/>
          <w:lang w:val="fr-FR"/>
        </w:rPr>
      </w:pPr>
      <w:r w:rsidRPr="00ED711A">
        <w:rPr>
          <w:b/>
          <w:i/>
          <w:sz w:val="22"/>
          <w:szCs w:val="22"/>
          <w:lang w:val="fr-FR"/>
        </w:rPr>
        <w:t xml:space="preserve">Les raisons ayant motivé la mesure de réglementation finale étaient liées à: </w:t>
      </w:r>
      <w:r w:rsidRPr="00ED711A">
        <w:rPr>
          <w:sz w:val="22"/>
          <w:szCs w:val="22"/>
          <w:lang w:val="fr-FR"/>
        </w:rPr>
        <w:t>La santé humaine.</w:t>
      </w:r>
    </w:p>
    <w:p w:rsidR="00510BDA" w:rsidRPr="00ED711A" w:rsidRDefault="00510BDA" w:rsidP="0070218D">
      <w:pPr>
        <w:widowControl w:val="0"/>
        <w:autoSpaceDE w:val="0"/>
        <w:autoSpaceDN w:val="0"/>
        <w:adjustRightInd w:val="0"/>
        <w:snapToGrid w:val="0"/>
        <w:spacing w:after="120"/>
        <w:jc w:val="both"/>
        <w:rPr>
          <w:sz w:val="22"/>
          <w:szCs w:val="22"/>
          <w:lang w:val="fr-FR"/>
        </w:rPr>
      </w:pPr>
      <w:r w:rsidRPr="00ED711A">
        <w:rPr>
          <w:b/>
          <w:i/>
          <w:sz w:val="22"/>
          <w:szCs w:val="22"/>
          <w:lang w:val="fr-FR"/>
        </w:rPr>
        <w:t>Date de prise d</w:t>
      </w:r>
      <w:r w:rsidR="000D310E" w:rsidRPr="00ED711A">
        <w:rPr>
          <w:b/>
          <w:i/>
          <w:sz w:val="22"/>
          <w:szCs w:val="22"/>
          <w:lang w:val="fr-FR"/>
        </w:rPr>
        <w:t>’</w:t>
      </w:r>
      <w:r w:rsidRPr="00ED711A">
        <w:rPr>
          <w:b/>
          <w:i/>
          <w:sz w:val="22"/>
          <w:szCs w:val="22"/>
          <w:lang w:val="fr-FR"/>
        </w:rPr>
        <w:t xml:space="preserve">effet de la mesure de réglementation finale: </w:t>
      </w:r>
      <w:r w:rsidRPr="00ED711A">
        <w:rPr>
          <w:sz w:val="22"/>
          <w:szCs w:val="22"/>
          <w:lang w:val="fr-FR"/>
        </w:rPr>
        <w:t>01/01/2015</w:t>
      </w:r>
    </w:p>
    <w:p w:rsidR="00510BDA" w:rsidRPr="00ED711A" w:rsidRDefault="00510BDA" w:rsidP="0070218D">
      <w:pPr>
        <w:widowControl w:val="0"/>
        <w:pBdr>
          <w:bottom w:val="single" w:sz="4" w:space="1" w:color="auto"/>
        </w:pBdr>
        <w:autoSpaceDE w:val="0"/>
        <w:autoSpaceDN w:val="0"/>
        <w:adjustRightInd w:val="0"/>
        <w:snapToGrid w:val="0"/>
        <w:spacing w:after="120"/>
        <w:jc w:val="both"/>
        <w:rPr>
          <w:sz w:val="22"/>
          <w:szCs w:val="22"/>
          <w:lang w:val="fr-FR"/>
        </w:rPr>
      </w:pPr>
    </w:p>
    <w:p w:rsidR="00510BDA" w:rsidRPr="00ED711A" w:rsidRDefault="00510BDA" w:rsidP="0070218D">
      <w:pPr>
        <w:widowControl w:val="0"/>
        <w:pBdr>
          <w:bottom w:val="single" w:sz="4" w:space="1" w:color="auto"/>
        </w:pBdr>
        <w:autoSpaceDE w:val="0"/>
        <w:autoSpaceDN w:val="0"/>
        <w:adjustRightInd w:val="0"/>
        <w:snapToGrid w:val="0"/>
        <w:spacing w:after="120"/>
        <w:jc w:val="both"/>
        <w:rPr>
          <w:b/>
          <w:caps/>
          <w:szCs w:val="17"/>
          <w:lang w:val="en-GB"/>
        </w:rPr>
      </w:pPr>
      <w:r w:rsidRPr="00ED711A">
        <w:rPr>
          <w:b/>
          <w:caps/>
          <w:szCs w:val="17"/>
          <w:lang w:val="en-GB"/>
        </w:rPr>
        <w:t>Malaisie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tblPr>
      <w:tblGrid>
        <w:gridCol w:w="5895"/>
        <w:gridCol w:w="2299"/>
        <w:gridCol w:w="1944"/>
      </w:tblGrid>
      <w:tr w:rsidR="00510BDA" w:rsidRPr="00ED711A" w:rsidTr="00510BDA">
        <w:tc>
          <w:tcPr>
            <w:tcW w:w="1667" w:type="pct"/>
            <w:hideMark/>
          </w:tcPr>
          <w:p w:rsidR="00510BDA" w:rsidRPr="00ED711A" w:rsidRDefault="00510BDA" w:rsidP="0070218D">
            <w:pPr>
              <w:widowControl w:val="0"/>
              <w:autoSpaceDE w:val="0"/>
              <w:autoSpaceDN w:val="0"/>
              <w:adjustRightInd w:val="0"/>
              <w:snapToGrid w:val="0"/>
              <w:spacing w:after="120"/>
              <w:jc w:val="both"/>
              <w:rPr>
                <w:sz w:val="22"/>
                <w:szCs w:val="22"/>
                <w:lang w:val="en-GB" w:eastAsia="en-US"/>
              </w:rPr>
            </w:pPr>
            <w:r w:rsidRPr="00ED711A">
              <w:rPr>
                <w:b/>
                <w:i/>
                <w:sz w:val="22"/>
                <w:szCs w:val="22"/>
                <w:lang w:val="en-GB"/>
              </w:rPr>
              <w:t xml:space="preserve">Nom usuel: </w:t>
            </w:r>
            <w:r w:rsidR="00BB768B" w:rsidRPr="00BB768B">
              <w:rPr>
                <w:sz w:val="22"/>
                <w:szCs w:val="22"/>
                <w:lang w:val="en-GB"/>
              </w:rPr>
              <w:t>Quinalphos</w:t>
            </w:r>
          </w:p>
        </w:tc>
        <w:tc>
          <w:tcPr>
            <w:tcW w:w="650" w:type="pct"/>
            <w:hideMark/>
          </w:tcPr>
          <w:p w:rsidR="00510BDA" w:rsidRPr="00ED711A" w:rsidRDefault="00510BDA" w:rsidP="0070218D">
            <w:pPr>
              <w:widowControl w:val="0"/>
              <w:autoSpaceDE w:val="0"/>
              <w:autoSpaceDN w:val="0"/>
              <w:adjustRightInd w:val="0"/>
              <w:snapToGrid w:val="0"/>
              <w:spacing w:after="120"/>
              <w:jc w:val="both"/>
              <w:rPr>
                <w:b/>
                <w:i/>
                <w:sz w:val="22"/>
                <w:szCs w:val="22"/>
                <w:lang w:val="en-GB" w:eastAsia="en-US"/>
              </w:rPr>
            </w:pPr>
            <w:r w:rsidRPr="00ED711A">
              <w:rPr>
                <w:b/>
                <w:i/>
                <w:sz w:val="22"/>
                <w:szCs w:val="22"/>
                <w:lang w:val="en-GB"/>
              </w:rPr>
              <w:t>Numéro CAS:</w:t>
            </w:r>
          </w:p>
        </w:tc>
        <w:tc>
          <w:tcPr>
            <w:tcW w:w="550" w:type="pct"/>
            <w:hideMark/>
          </w:tcPr>
          <w:p w:rsidR="00510BDA" w:rsidRPr="00ED711A" w:rsidRDefault="00510BDA" w:rsidP="0070218D">
            <w:pPr>
              <w:widowControl w:val="0"/>
              <w:autoSpaceDE w:val="0"/>
              <w:autoSpaceDN w:val="0"/>
              <w:adjustRightInd w:val="0"/>
              <w:snapToGrid w:val="0"/>
              <w:spacing w:after="120"/>
              <w:jc w:val="both"/>
              <w:rPr>
                <w:sz w:val="22"/>
                <w:szCs w:val="22"/>
                <w:lang w:val="en-GB" w:eastAsia="en-US"/>
              </w:rPr>
            </w:pPr>
            <w:r w:rsidRPr="00ED711A">
              <w:rPr>
                <w:sz w:val="22"/>
                <w:szCs w:val="22"/>
                <w:lang w:val="en-GB"/>
              </w:rPr>
              <w:t>13593-03-8</w:t>
            </w:r>
          </w:p>
        </w:tc>
      </w:tr>
    </w:tbl>
    <w:p w:rsidR="00510BDA" w:rsidRPr="00ED711A" w:rsidRDefault="00510BDA" w:rsidP="0070218D">
      <w:pPr>
        <w:widowControl w:val="0"/>
        <w:autoSpaceDE w:val="0"/>
        <w:autoSpaceDN w:val="0"/>
        <w:adjustRightInd w:val="0"/>
        <w:snapToGrid w:val="0"/>
        <w:spacing w:after="120"/>
        <w:jc w:val="both"/>
        <w:rPr>
          <w:b/>
          <w:i/>
          <w:sz w:val="22"/>
          <w:szCs w:val="22"/>
          <w:lang w:val="fr-CH" w:eastAsia="en-US"/>
        </w:rPr>
      </w:pPr>
      <w:r w:rsidRPr="00ED711A">
        <w:rPr>
          <w:b/>
          <w:i/>
          <w:sz w:val="22"/>
          <w:szCs w:val="22"/>
          <w:lang w:val="fr-CH"/>
        </w:rPr>
        <w:t xml:space="preserve">Nom chimique: </w:t>
      </w:r>
      <w:r w:rsidRPr="00ED711A">
        <w:rPr>
          <w:sz w:val="22"/>
          <w:szCs w:val="22"/>
          <w:lang w:val="fr-CH"/>
        </w:rPr>
        <w:t xml:space="preserve">Phosphorothioate de </w:t>
      </w:r>
      <w:r w:rsidRPr="00BB768B">
        <w:rPr>
          <w:i/>
          <w:sz w:val="22"/>
          <w:szCs w:val="22"/>
          <w:lang w:val="fr-CH"/>
        </w:rPr>
        <w:t>O</w:t>
      </w:r>
      <w:proofErr w:type="gramStart"/>
      <w:r w:rsidRPr="00BB768B">
        <w:rPr>
          <w:i/>
          <w:sz w:val="22"/>
          <w:szCs w:val="22"/>
          <w:lang w:val="fr-CH"/>
        </w:rPr>
        <w:t>,O</w:t>
      </w:r>
      <w:proofErr w:type="gramEnd"/>
      <w:r w:rsidRPr="00BB768B">
        <w:rPr>
          <w:i/>
          <w:sz w:val="22"/>
          <w:szCs w:val="22"/>
          <w:lang w:val="fr-CH"/>
        </w:rPr>
        <w:t>-</w:t>
      </w:r>
      <w:r w:rsidRPr="00ED711A">
        <w:rPr>
          <w:sz w:val="22"/>
          <w:szCs w:val="22"/>
          <w:lang w:val="fr-CH"/>
        </w:rPr>
        <w:t xml:space="preserve">diéthyle et de </w:t>
      </w:r>
      <w:r w:rsidRPr="00BB768B">
        <w:rPr>
          <w:i/>
          <w:sz w:val="22"/>
          <w:szCs w:val="22"/>
          <w:lang w:val="fr-CH"/>
        </w:rPr>
        <w:t>O-</w:t>
      </w:r>
      <w:r w:rsidRPr="00ED711A">
        <w:rPr>
          <w:sz w:val="22"/>
          <w:szCs w:val="22"/>
          <w:lang w:val="fr-CH"/>
        </w:rPr>
        <w:t>quinoxaline-2-yle</w:t>
      </w:r>
    </w:p>
    <w:p w:rsidR="00510BDA" w:rsidRPr="00ED711A" w:rsidRDefault="00510BDA" w:rsidP="0070218D">
      <w:pPr>
        <w:widowControl w:val="0"/>
        <w:autoSpaceDE w:val="0"/>
        <w:autoSpaceDN w:val="0"/>
        <w:adjustRightInd w:val="0"/>
        <w:snapToGrid w:val="0"/>
        <w:spacing w:after="120"/>
        <w:jc w:val="both"/>
        <w:rPr>
          <w:b/>
          <w:i/>
          <w:sz w:val="22"/>
          <w:szCs w:val="22"/>
          <w:lang w:val="fr-CH"/>
        </w:rPr>
      </w:pPr>
      <w:r w:rsidRPr="00ED711A">
        <w:rPr>
          <w:b/>
          <w:i/>
          <w:sz w:val="22"/>
          <w:szCs w:val="22"/>
          <w:lang w:val="fr-CH"/>
        </w:rPr>
        <w:t xml:space="preserve">Catégorie pour laquelle a été prise la mesure de réglementation finale: </w:t>
      </w:r>
      <w:r w:rsidRPr="00ED711A">
        <w:rPr>
          <w:sz w:val="22"/>
          <w:szCs w:val="22"/>
          <w:lang w:val="fr-CH"/>
        </w:rPr>
        <w:t>Pesticide</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Mesure de réglementation finale: </w:t>
      </w:r>
      <w:r w:rsidRPr="00ED711A">
        <w:rPr>
          <w:sz w:val="22"/>
          <w:szCs w:val="22"/>
          <w:lang w:val="fr-CH"/>
        </w:rPr>
        <w:t>Le produit chimique est interdit</w:t>
      </w:r>
    </w:p>
    <w:p w:rsidR="00510BDA" w:rsidRPr="00ED711A" w:rsidRDefault="00510BDA" w:rsidP="0070218D">
      <w:pPr>
        <w:widowControl w:val="0"/>
        <w:autoSpaceDE w:val="0"/>
        <w:autoSpaceDN w:val="0"/>
        <w:adjustRightInd w:val="0"/>
        <w:snapToGrid w:val="0"/>
        <w:spacing w:after="120"/>
        <w:jc w:val="both"/>
        <w:rPr>
          <w:sz w:val="22"/>
          <w:szCs w:val="22"/>
          <w:lang w:val="fr-FR"/>
        </w:rPr>
      </w:pPr>
      <w:r w:rsidRPr="00ED711A">
        <w:rPr>
          <w:b/>
          <w:i/>
          <w:sz w:val="22"/>
          <w:szCs w:val="22"/>
          <w:lang w:val="fr-CH"/>
        </w:rPr>
        <w:t>Emplois interdits par la mesure de réglementation finale</w:t>
      </w:r>
      <w:r w:rsidR="00BB768B" w:rsidRPr="00ED711A">
        <w:rPr>
          <w:b/>
          <w:i/>
          <w:sz w:val="22"/>
          <w:szCs w:val="22"/>
          <w:lang w:val="fr-CH"/>
        </w:rPr>
        <w:t xml:space="preserve">: </w:t>
      </w:r>
      <w:r w:rsidR="00BB768B" w:rsidRPr="00BB768B">
        <w:rPr>
          <w:sz w:val="22"/>
          <w:szCs w:val="22"/>
          <w:lang w:val="fr-FR"/>
        </w:rPr>
        <w:t xml:space="preserve">Toutes les </w:t>
      </w:r>
      <w:r w:rsidR="00BB768B">
        <w:rPr>
          <w:sz w:val="22"/>
          <w:szCs w:val="22"/>
          <w:lang w:val="fr-FR"/>
        </w:rPr>
        <w:t>préparations pour l'agriculture</w:t>
      </w:r>
      <w:r w:rsidRPr="00ED711A">
        <w:rPr>
          <w:sz w:val="22"/>
          <w:szCs w:val="22"/>
          <w:lang w:val="fr-FR"/>
        </w:rPr>
        <w:t>.</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Mesure de réglementation finale a-t-elle été prise après une évaluation des risques et des dangers</w:t>
      </w:r>
      <w:proofErr w:type="gramStart"/>
      <w:r w:rsidRPr="00ED711A">
        <w:rPr>
          <w:b/>
          <w:i/>
          <w:sz w:val="22"/>
          <w:szCs w:val="22"/>
          <w:lang w:val="fr-CH"/>
        </w:rPr>
        <w:t>?:</w:t>
      </w:r>
      <w:proofErr w:type="gramEnd"/>
      <w:r w:rsidRPr="00ED711A">
        <w:rPr>
          <w:b/>
          <w:i/>
          <w:sz w:val="22"/>
          <w:szCs w:val="22"/>
          <w:lang w:val="fr-CH"/>
        </w:rPr>
        <w:t xml:space="preserve"> </w:t>
      </w:r>
      <w:r w:rsidRPr="00ED711A">
        <w:rPr>
          <w:sz w:val="22"/>
          <w:szCs w:val="22"/>
          <w:lang w:val="fr-CH"/>
        </w:rPr>
        <w:t>No</w:t>
      </w:r>
    </w:p>
    <w:p w:rsidR="00510BDA" w:rsidRPr="00ED711A" w:rsidRDefault="00510BDA" w:rsidP="0070218D">
      <w:pPr>
        <w:widowControl w:val="0"/>
        <w:shd w:val="clear" w:color="auto" w:fill="FFFFFF"/>
        <w:autoSpaceDE w:val="0"/>
        <w:autoSpaceDN w:val="0"/>
        <w:adjustRightInd w:val="0"/>
        <w:snapToGrid w:val="0"/>
        <w:spacing w:after="120"/>
        <w:jc w:val="both"/>
        <w:rPr>
          <w:sz w:val="22"/>
          <w:szCs w:val="22"/>
          <w:lang w:val="fr-FR"/>
        </w:rPr>
      </w:pPr>
      <w:r w:rsidRPr="00ED711A">
        <w:rPr>
          <w:b/>
          <w:i/>
          <w:sz w:val="22"/>
          <w:szCs w:val="22"/>
          <w:lang w:val="fr-CH"/>
        </w:rPr>
        <w:t xml:space="preserve">Résumé de la mesure de réglementation finale: </w:t>
      </w:r>
      <w:r w:rsidRPr="00ED711A">
        <w:rPr>
          <w:sz w:val="22"/>
          <w:szCs w:val="22"/>
          <w:lang w:val="it-IT"/>
        </w:rPr>
        <w:t>L</w:t>
      </w:r>
      <w:r w:rsidR="000D310E" w:rsidRPr="00ED711A">
        <w:rPr>
          <w:sz w:val="22"/>
          <w:szCs w:val="22"/>
          <w:lang w:val="it-IT"/>
        </w:rPr>
        <w:t>’</w:t>
      </w:r>
      <w:r w:rsidRPr="00ED711A">
        <w:rPr>
          <w:sz w:val="22"/>
          <w:szCs w:val="22"/>
          <w:lang w:val="it-IT"/>
        </w:rPr>
        <w:t>emploi du quinalphos</w:t>
      </w:r>
      <w:r w:rsidRPr="00ED711A">
        <w:rPr>
          <w:sz w:val="22"/>
          <w:szCs w:val="22"/>
          <w:lang w:val="fr-FR"/>
        </w:rPr>
        <w:t xml:space="preserve"> en tant que pesticide a été interdit à partir du 1er janvier  2015. Cette interdiction concernera l</w:t>
      </w:r>
      <w:r w:rsidR="000D310E" w:rsidRPr="00ED711A">
        <w:rPr>
          <w:sz w:val="22"/>
          <w:szCs w:val="22"/>
          <w:lang w:val="fr-FR"/>
        </w:rPr>
        <w:t>’</w:t>
      </w:r>
      <w:r w:rsidRPr="00ED711A">
        <w:rPr>
          <w:sz w:val="22"/>
          <w:szCs w:val="22"/>
          <w:lang w:val="fr-FR"/>
        </w:rPr>
        <w:t>importation, l</w:t>
      </w:r>
      <w:r w:rsidR="000D310E" w:rsidRPr="00ED711A">
        <w:rPr>
          <w:sz w:val="22"/>
          <w:szCs w:val="22"/>
          <w:lang w:val="fr-FR"/>
        </w:rPr>
        <w:t>’</w:t>
      </w:r>
      <w:r w:rsidRPr="00ED711A">
        <w:rPr>
          <w:sz w:val="22"/>
          <w:szCs w:val="22"/>
          <w:lang w:val="fr-FR"/>
        </w:rPr>
        <w:t>exportation, la production, l</w:t>
      </w:r>
      <w:r w:rsidR="000D310E" w:rsidRPr="00ED711A">
        <w:rPr>
          <w:sz w:val="22"/>
          <w:szCs w:val="22"/>
          <w:lang w:val="fr-FR"/>
        </w:rPr>
        <w:t>’</w:t>
      </w:r>
      <w:r w:rsidRPr="00ED711A">
        <w:rPr>
          <w:sz w:val="22"/>
          <w:szCs w:val="22"/>
          <w:lang w:val="fr-FR"/>
        </w:rPr>
        <w:t>emploi et la vente, à l</w:t>
      </w:r>
      <w:r w:rsidR="000D310E" w:rsidRPr="00ED711A">
        <w:rPr>
          <w:sz w:val="22"/>
          <w:szCs w:val="22"/>
          <w:lang w:val="fr-FR"/>
        </w:rPr>
        <w:t>’</w:t>
      </w:r>
      <w:r w:rsidRPr="00ED711A">
        <w:rPr>
          <w:sz w:val="22"/>
          <w:szCs w:val="22"/>
          <w:lang w:val="fr-FR"/>
        </w:rPr>
        <w:t>exception de quantités limitées à des fins de recherche ou didactiques, subordonnée à l</w:t>
      </w:r>
      <w:r w:rsidR="000D310E" w:rsidRPr="00ED711A">
        <w:rPr>
          <w:sz w:val="22"/>
          <w:szCs w:val="22"/>
          <w:lang w:val="fr-FR"/>
        </w:rPr>
        <w:t>’</w:t>
      </w:r>
      <w:r w:rsidRPr="00ED711A">
        <w:rPr>
          <w:sz w:val="22"/>
          <w:szCs w:val="22"/>
          <w:lang w:val="fr-FR"/>
        </w:rPr>
        <w:t xml:space="preserve">approbation du Conseil des pesticides de la Malaisie. </w:t>
      </w:r>
    </w:p>
    <w:p w:rsidR="00510BDA" w:rsidRPr="00ED711A" w:rsidRDefault="00510BDA" w:rsidP="0070218D">
      <w:pPr>
        <w:widowControl w:val="0"/>
        <w:shd w:val="clear" w:color="auto" w:fill="FFFFFF"/>
        <w:autoSpaceDE w:val="0"/>
        <w:autoSpaceDN w:val="0"/>
        <w:adjustRightInd w:val="0"/>
        <w:snapToGrid w:val="0"/>
        <w:spacing w:after="120"/>
        <w:jc w:val="both"/>
        <w:rPr>
          <w:sz w:val="22"/>
          <w:szCs w:val="22"/>
          <w:lang w:val="fr-FR"/>
        </w:rPr>
      </w:pPr>
      <w:r w:rsidRPr="00ED711A">
        <w:rPr>
          <w:sz w:val="22"/>
          <w:szCs w:val="22"/>
          <w:lang w:val="fr-FR"/>
        </w:rPr>
        <w:t>Une circulaire a été émise le 16 mai 2014 informant de l</w:t>
      </w:r>
      <w:r w:rsidR="000D310E" w:rsidRPr="00ED711A">
        <w:rPr>
          <w:sz w:val="22"/>
          <w:szCs w:val="22"/>
          <w:lang w:val="fr-FR"/>
        </w:rPr>
        <w:t>’</w:t>
      </w:r>
      <w:r w:rsidRPr="00ED711A">
        <w:rPr>
          <w:sz w:val="22"/>
          <w:szCs w:val="22"/>
          <w:lang w:val="fr-FR"/>
        </w:rPr>
        <w:t>annulation de l</w:t>
      </w:r>
      <w:r w:rsidR="000D310E" w:rsidRPr="00ED711A">
        <w:rPr>
          <w:sz w:val="22"/>
          <w:szCs w:val="22"/>
          <w:lang w:val="fr-FR"/>
        </w:rPr>
        <w:t>’</w:t>
      </w:r>
      <w:r w:rsidRPr="00ED711A">
        <w:rPr>
          <w:sz w:val="22"/>
          <w:szCs w:val="22"/>
          <w:lang w:val="fr-FR"/>
        </w:rPr>
        <w:t>homologation du quinalphos. Une période allant du 1er juillet 2014 au 31 décembre 2104 a été octroyée aux déclarants pour la liquidation des stocks existant sur le marché.</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Les raisons ayant motivé la mesure de réglementation finale étaient liées à: </w:t>
      </w:r>
      <w:r w:rsidRPr="00ED711A">
        <w:rPr>
          <w:sz w:val="22"/>
          <w:szCs w:val="22"/>
          <w:lang w:val="fr-CH"/>
        </w:rPr>
        <w:t>La santé humaine.</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Date de prise d</w:t>
      </w:r>
      <w:r w:rsidR="000D310E" w:rsidRPr="00ED711A">
        <w:rPr>
          <w:b/>
          <w:i/>
          <w:sz w:val="22"/>
          <w:szCs w:val="22"/>
          <w:lang w:val="fr-CH"/>
        </w:rPr>
        <w:t>’</w:t>
      </w:r>
      <w:r w:rsidRPr="00ED711A">
        <w:rPr>
          <w:b/>
          <w:i/>
          <w:sz w:val="22"/>
          <w:szCs w:val="22"/>
          <w:lang w:val="fr-CH"/>
        </w:rPr>
        <w:t xml:space="preserve">effet de la mesure de réglementation finale: </w:t>
      </w:r>
      <w:r w:rsidRPr="00ED711A">
        <w:rPr>
          <w:sz w:val="22"/>
          <w:szCs w:val="22"/>
          <w:lang w:val="fr-CH"/>
        </w:rPr>
        <w:t>01/01/2015</w:t>
      </w:r>
    </w:p>
    <w:p w:rsidR="00510BDA" w:rsidRPr="00ED711A" w:rsidRDefault="00510BDA" w:rsidP="0070218D">
      <w:pPr>
        <w:widowControl w:val="0"/>
        <w:autoSpaceDE w:val="0"/>
        <w:autoSpaceDN w:val="0"/>
        <w:adjustRightInd w:val="0"/>
        <w:snapToGrid w:val="0"/>
        <w:spacing w:after="120"/>
        <w:jc w:val="both"/>
        <w:rPr>
          <w:sz w:val="22"/>
          <w:szCs w:val="17"/>
          <w:lang w:val="fr-CH"/>
        </w:rPr>
      </w:pPr>
    </w:p>
    <w:p w:rsidR="00510BDA" w:rsidRPr="00ED711A" w:rsidRDefault="00510BDA" w:rsidP="0070218D">
      <w:pPr>
        <w:widowControl w:val="0"/>
        <w:pBdr>
          <w:bottom w:val="single" w:sz="4" w:space="1" w:color="auto"/>
        </w:pBdr>
        <w:autoSpaceDE w:val="0"/>
        <w:autoSpaceDN w:val="0"/>
        <w:adjustRightInd w:val="0"/>
        <w:snapToGrid w:val="0"/>
        <w:spacing w:after="120"/>
        <w:jc w:val="both"/>
        <w:rPr>
          <w:b/>
          <w:caps/>
          <w:szCs w:val="17"/>
        </w:rPr>
      </w:pPr>
      <w:r w:rsidRPr="00ED711A">
        <w:rPr>
          <w:b/>
          <w:caps/>
          <w:szCs w:val="17"/>
        </w:rPr>
        <w:t>Malaisie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tblPr>
      <w:tblGrid>
        <w:gridCol w:w="5895"/>
        <w:gridCol w:w="2299"/>
        <w:gridCol w:w="1944"/>
      </w:tblGrid>
      <w:tr w:rsidR="00510BDA" w:rsidRPr="00ED711A" w:rsidTr="00510BDA">
        <w:tc>
          <w:tcPr>
            <w:tcW w:w="1667" w:type="pct"/>
            <w:hideMark/>
          </w:tcPr>
          <w:p w:rsidR="00510BDA" w:rsidRPr="00ED711A" w:rsidRDefault="00510BDA" w:rsidP="0070218D">
            <w:pPr>
              <w:spacing w:after="120"/>
              <w:jc w:val="both"/>
              <w:rPr>
                <w:sz w:val="22"/>
                <w:szCs w:val="22"/>
              </w:rPr>
            </w:pPr>
            <w:r w:rsidRPr="00ED711A">
              <w:rPr>
                <w:b/>
                <w:i/>
                <w:sz w:val="22"/>
                <w:szCs w:val="22"/>
              </w:rPr>
              <w:t xml:space="preserve">Nom usuel: </w:t>
            </w:r>
            <w:r w:rsidRPr="00ED711A">
              <w:rPr>
                <w:sz w:val="22"/>
                <w:szCs w:val="22"/>
              </w:rPr>
              <w:t>Profenofos</w:t>
            </w:r>
          </w:p>
        </w:tc>
        <w:tc>
          <w:tcPr>
            <w:tcW w:w="650" w:type="pct"/>
            <w:hideMark/>
          </w:tcPr>
          <w:p w:rsidR="00510BDA" w:rsidRPr="00ED711A" w:rsidRDefault="00510BDA" w:rsidP="0070218D">
            <w:pPr>
              <w:spacing w:after="120"/>
              <w:jc w:val="both"/>
              <w:rPr>
                <w:sz w:val="22"/>
                <w:szCs w:val="22"/>
              </w:rPr>
            </w:pPr>
            <w:r w:rsidRPr="00ED711A">
              <w:rPr>
                <w:sz w:val="22"/>
                <w:szCs w:val="22"/>
              </w:rPr>
              <w:t>Numéro CAS:</w:t>
            </w:r>
          </w:p>
        </w:tc>
        <w:tc>
          <w:tcPr>
            <w:tcW w:w="550" w:type="pct"/>
            <w:hideMark/>
          </w:tcPr>
          <w:p w:rsidR="00510BDA" w:rsidRPr="00ED711A" w:rsidRDefault="00510BDA" w:rsidP="0070218D">
            <w:pPr>
              <w:spacing w:after="120"/>
              <w:jc w:val="both"/>
              <w:rPr>
                <w:sz w:val="22"/>
                <w:szCs w:val="22"/>
              </w:rPr>
            </w:pPr>
            <w:r w:rsidRPr="00ED711A">
              <w:rPr>
                <w:sz w:val="22"/>
                <w:szCs w:val="22"/>
              </w:rPr>
              <w:t>41198-08-7</w:t>
            </w:r>
          </w:p>
        </w:tc>
      </w:tr>
    </w:tbl>
    <w:p w:rsidR="00510BDA" w:rsidRPr="00ED711A" w:rsidRDefault="00510BDA" w:rsidP="0070218D">
      <w:pPr>
        <w:spacing w:after="120"/>
        <w:jc w:val="both"/>
        <w:rPr>
          <w:sz w:val="22"/>
          <w:szCs w:val="22"/>
          <w:lang w:val="fr-CH"/>
        </w:rPr>
      </w:pPr>
      <w:r w:rsidRPr="00ED711A">
        <w:rPr>
          <w:b/>
          <w:i/>
          <w:sz w:val="22"/>
          <w:szCs w:val="22"/>
          <w:lang w:val="fr-CH"/>
        </w:rPr>
        <w:t xml:space="preserve">Nom chimique: </w:t>
      </w:r>
      <w:r w:rsidRPr="00ED711A">
        <w:rPr>
          <w:sz w:val="22"/>
          <w:szCs w:val="22"/>
          <w:lang w:val="fr-CH"/>
        </w:rPr>
        <w:t xml:space="preserve">Phosphorothioate </w:t>
      </w:r>
      <w:proofErr w:type="gramStart"/>
      <w:r w:rsidRPr="00ED711A">
        <w:rPr>
          <w:sz w:val="22"/>
          <w:szCs w:val="22"/>
          <w:lang w:val="fr-CH"/>
        </w:rPr>
        <w:t xml:space="preserve">de </w:t>
      </w:r>
      <w:r w:rsidRPr="00BB768B">
        <w:rPr>
          <w:i/>
          <w:sz w:val="22"/>
          <w:szCs w:val="22"/>
          <w:lang w:val="fr-CH"/>
        </w:rPr>
        <w:t>O-</w:t>
      </w:r>
      <w:r w:rsidRPr="00ED711A">
        <w:rPr>
          <w:sz w:val="22"/>
          <w:szCs w:val="22"/>
          <w:lang w:val="fr-CH"/>
        </w:rPr>
        <w:t>(4-bromo-2-chlorophényle</w:t>
      </w:r>
      <w:proofErr w:type="gramEnd"/>
      <w:r w:rsidRPr="00ED711A">
        <w:rPr>
          <w:sz w:val="22"/>
          <w:szCs w:val="22"/>
          <w:lang w:val="fr-CH"/>
        </w:rPr>
        <w:t xml:space="preserve">) et de </w:t>
      </w:r>
      <w:r w:rsidRPr="00BB768B">
        <w:rPr>
          <w:i/>
          <w:sz w:val="22"/>
          <w:szCs w:val="22"/>
          <w:lang w:val="fr-CH"/>
        </w:rPr>
        <w:t>O-</w:t>
      </w:r>
      <w:r w:rsidRPr="00ED711A">
        <w:rPr>
          <w:sz w:val="22"/>
          <w:szCs w:val="22"/>
          <w:lang w:val="fr-CH"/>
        </w:rPr>
        <w:t xml:space="preserve">éthyle et de </w:t>
      </w:r>
      <w:r w:rsidRPr="00C64CB8">
        <w:rPr>
          <w:i/>
          <w:sz w:val="22"/>
          <w:szCs w:val="22"/>
          <w:lang w:val="fr-CH"/>
        </w:rPr>
        <w:t>S</w:t>
      </w:r>
      <w:r w:rsidRPr="00ED711A">
        <w:rPr>
          <w:sz w:val="22"/>
          <w:szCs w:val="22"/>
          <w:lang w:val="fr-CH"/>
        </w:rPr>
        <w:t>-propyle</w:t>
      </w:r>
    </w:p>
    <w:p w:rsidR="00510BDA" w:rsidRPr="00ED711A" w:rsidRDefault="00510BDA" w:rsidP="0070218D">
      <w:pPr>
        <w:spacing w:after="120"/>
        <w:jc w:val="both"/>
        <w:rPr>
          <w:sz w:val="22"/>
          <w:szCs w:val="22"/>
          <w:lang w:val="fr-CH"/>
        </w:rPr>
      </w:pPr>
      <w:r w:rsidRPr="00ED711A">
        <w:rPr>
          <w:b/>
          <w:i/>
          <w:sz w:val="22"/>
          <w:szCs w:val="22"/>
          <w:lang w:val="fr-CH"/>
        </w:rPr>
        <w:t>Catégorie pour laquelle a été prise la mesure de réglementation finale:</w:t>
      </w:r>
      <w:r w:rsidRPr="00ED711A">
        <w:rPr>
          <w:sz w:val="22"/>
          <w:szCs w:val="22"/>
          <w:lang w:val="fr-CH"/>
        </w:rPr>
        <w:t xml:space="preserve"> Pesticide</w:t>
      </w:r>
    </w:p>
    <w:p w:rsidR="00510BDA" w:rsidRPr="00ED711A" w:rsidRDefault="00510BDA" w:rsidP="0070218D">
      <w:pPr>
        <w:spacing w:after="120"/>
        <w:jc w:val="both"/>
        <w:rPr>
          <w:sz w:val="22"/>
          <w:szCs w:val="22"/>
          <w:lang w:val="fr-CH"/>
        </w:rPr>
      </w:pPr>
      <w:r w:rsidRPr="00ED711A">
        <w:rPr>
          <w:b/>
          <w:i/>
          <w:sz w:val="22"/>
          <w:szCs w:val="22"/>
          <w:lang w:val="fr-CH"/>
        </w:rPr>
        <w:t xml:space="preserve">Mesure de réglementation finale: </w:t>
      </w:r>
      <w:r w:rsidRPr="00ED711A">
        <w:rPr>
          <w:sz w:val="22"/>
          <w:szCs w:val="22"/>
          <w:lang w:val="fr-CH"/>
        </w:rPr>
        <w:t>Le produit chimique est interdit</w:t>
      </w:r>
    </w:p>
    <w:p w:rsidR="00510BDA" w:rsidRPr="00ED711A" w:rsidRDefault="00510BDA" w:rsidP="0070218D">
      <w:pPr>
        <w:spacing w:after="120"/>
        <w:jc w:val="both"/>
        <w:rPr>
          <w:sz w:val="22"/>
          <w:szCs w:val="22"/>
          <w:lang w:val="fr-CH"/>
        </w:rPr>
      </w:pPr>
      <w:r w:rsidRPr="00ED711A">
        <w:rPr>
          <w:b/>
          <w:i/>
          <w:sz w:val="22"/>
          <w:szCs w:val="22"/>
          <w:lang w:val="fr-CH"/>
        </w:rPr>
        <w:t>Emplois interdits par la mesure de réglementation finale</w:t>
      </w:r>
      <w:r w:rsidR="00BB768B" w:rsidRPr="00ED711A">
        <w:rPr>
          <w:b/>
          <w:i/>
          <w:sz w:val="22"/>
          <w:szCs w:val="22"/>
          <w:lang w:val="fr-CH"/>
        </w:rPr>
        <w:t xml:space="preserve">: </w:t>
      </w:r>
      <w:r w:rsidR="00BB768B" w:rsidRPr="00ED711A">
        <w:rPr>
          <w:sz w:val="22"/>
          <w:szCs w:val="22"/>
          <w:lang w:val="fr-CH"/>
        </w:rPr>
        <w:t>Toutes les préparations</w:t>
      </w:r>
      <w:r w:rsidRPr="00ED711A">
        <w:rPr>
          <w:sz w:val="22"/>
          <w:szCs w:val="22"/>
          <w:lang w:val="fr-CH"/>
        </w:rPr>
        <w:t xml:space="preserve"> pour l</w:t>
      </w:r>
      <w:r w:rsidR="000D310E" w:rsidRPr="00ED711A">
        <w:rPr>
          <w:sz w:val="22"/>
          <w:szCs w:val="22"/>
          <w:lang w:val="fr-CH"/>
        </w:rPr>
        <w:t>’</w:t>
      </w:r>
      <w:r w:rsidRPr="00ED711A">
        <w:rPr>
          <w:sz w:val="22"/>
          <w:szCs w:val="22"/>
          <w:lang w:val="fr-CH"/>
        </w:rPr>
        <w:t>agriculture.</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Mesure de réglementation finale a-t-elle été prise après une évaluation des risques et des dangers</w:t>
      </w:r>
      <w:proofErr w:type="gramStart"/>
      <w:r w:rsidRPr="00ED711A">
        <w:rPr>
          <w:b/>
          <w:i/>
          <w:sz w:val="22"/>
          <w:szCs w:val="22"/>
          <w:lang w:val="fr-CH"/>
        </w:rPr>
        <w:t>?:</w:t>
      </w:r>
      <w:proofErr w:type="gramEnd"/>
      <w:r w:rsidRPr="00ED711A">
        <w:rPr>
          <w:b/>
          <w:i/>
          <w:sz w:val="22"/>
          <w:szCs w:val="22"/>
          <w:lang w:val="fr-CH"/>
        </w:rPr>
        <w:t xml:space="preserve"> </w:t>
      </w:r>
      <w:r w:rsidRPr="00ED711A">
        <w:rPr>
          <w:sz w:val="22"/>
          <w:szCs w:val="22"/>
          <w:lang w:val="fr-CH"/>
        </w:rPr>
        <w:t>No</w:t>
      </w:r>
    </w:p>
    <w:p w:rsidR="00510BDA" w:rsidRPr="00ED711A" w:rsidRDefault="00510BDA" w:rsidP="0070218D">
      <w:pPr>
        <w:widowControl w:val="0"/>
        <w:shd w:val="clear" w:color="auto" w:fill="FFFFFF"/>
        <w:autoSpaceDE w:val="0"/>
        <w:autoSpaceDN w:val="0"/>
        <w:adjustRightInd w:val="0"/>
        <w:snapToGrid w:val="0"/>
        <w:spacing w:after="120"/>
        <w:jc w:val="both"/>
        <w:rPr>
          <w:sz w:val="22"/>
          <w:szCs w:val="22"/>
          <w:lang w:val="fr-FR"/>
        </w:rPr>
      </w:pPr>
      <w:r w:rsidRPr="00ED711A">
        <w:rPr>
          <w:b/>
          <w:i/>
          <w:sz w:val="22"/>
          <w:szCs w:val="22"/>
          <w:lang w:val="fr-CH"/>
        </w:rPr>
        <w:t xml:space="preserve">Résumé de la mesure de réglementation finale: </w:t>
      </w:r>
      <w:r w:rsidRPr="00ED711A">
        <w:rPr>
          <w:sz w:val="22"/>
          <w:szCs w:val="22"/>
          <w:lang w:val="it-IT"/>
        </w:rPr>
        <w:t>L</w:t>
      </w:r>
      <w:r w:rsidR="000D310E" w:rsidRPr="00ED711A">
        <w:rPr>
          <w:sz w:val="22"/>
          <w:szCs w:val="22"/>
          <w:lang w:val="it-IT"/>
        </w:rPr>
        <w:t>’</w:t>
      </w:r>
      <w:r w:rsidRPr="00ED711A">
        <w:rPr>
          <w:sz w:val="22"/>
          <w:szCs w:val="22"/>
          <w:lang w:val="it-IT"/>
        </w:rPr>
        <w:t xml:space="preserve">emploi du </w:t>
      </w:r>
      <w:r w:rsidRPr="00ED711A">
        <w:rPr>
          <w:sz w:val="22"/>
          <w:szCs w:val="22"/>
          <w:lang w:val="fr-FR"/>
        </w:rPr>
        <w:t>profenofos en tant que pesticide a été interdit à partir du 1er janvier  2015. Cette interdiction concernera l</w:t>
      </w:r>
      <w:r w:rsidR="000D310E" w:rsidRPr="00ED711A">
        <w:rPr>
          <w:sz w:val="22"/>
          <w:szCs w:val="22"/>
          <w:lang w:val="fr-FR"/>
        </w:rPr>
        <w:t>’</w:t>
      </w:r>
      <w:r w:rsidRPr="00ED711A">
        <w:rPr>
          <w:sz w:val="22"/>
          <w:szCs w:val="22"/>
          <w:lang w:val="fr-FR"/>
        </w:rPr>
        <w:t>importation, l</w:t>
      </w:r>
      <w:r w:rsidR="000D310E" w:rsidRPr="00ED711A">
        <w:rPr>
          <w:sz w:val="22"/>
          <w:szCs w:val="22"/>
          <w:lang w:val="fr-FR"/>
        </w:rPr>
        <w:t>’</w:t>
      </w:r>
      <w:r w:rsidRPr="00ED711A">
        <w:rPr>
          <w:sz w:val="22"/>
          <w:szCs w:val="22"/>
          <w:lang w:val="fr-FR"/>
        </w:rPr>
        <w:t>exportation, la production, l</w:t>
      </w:r>
      <w:r w:rsidR="000D310E" w:rsidRPr="00ED711A">
        <w:rPr>
          <w:sz w:val="22"/>
          <w:szCs w:val="22"/>
          <w:lang w:val="fr-FR"/>
        </w:rPr>
        <w:t>’</w:t>
      </w:r>
      <w:r w:rsidRPr="00ED711A">
        <w:rPr>
          <w:sz w:val="22"/>
          <w:szCs w:val="22"/>
          <w:lang w:val="fr-FR"/>
        </w:rPr>
        <w:t>emploi et la vente, à l</w:t>
      </w:r>
      <w:r w:rsidR="000D310E" w:rsidRPr="00ED711A">
        <w:rPr>
          <w:sz w:val="22"/>
          <w:szCs w:val="22"/>
          <w:lang w:val="fr-FR"/>
        </w:rPr>
        <w:t>’</w:t>
      </w:r>
      <w:r w:rsidRPr="00ED711A">
        <w:rPr>
          <w:sz w:val="22"/>
          <w:szCs w:val="22"/>
          <w:lang w:val="fr-FR"/>
        </w:rPr>
        <w:t>exception de quantités limitées à des fins de recherche ou didactiques, subordonnée à l</w:t>
      </w:r>
      <w:r w:rsidR="000D310E" w:rsidRPr="00ED711A">
        <w:rPr>
          <w:sz w:val="22"/>
          <w:szCs w:val="22"/>
          <w:lang w:val="fr-FR"/>
        </w:rPr>
        <w:t>’</w:t>
      </w:r>
      <w:r w:rsidRPr="00ED711A">
        <w:rPr>
          <w:sz w:val="22"/>
          <w:szCs w:val="22"/>
          <w:lang w:val="fr-FR"/>
        </w:rPr>
        <w:t xml:space="preserve">approbation du Conseil des pesticides de la Malaisie. </w:t>
      </w:r>
    </w:p>
    <w:p w:rsidR="00510BDA" w:rsidRPr="00ED711A" w:rsidRDefault="00510BDA" w:rsidP="0070218D">
      <w:pPr>
        <w:widowControl w:val="0"/>
        <w:shd w:val="clear" w:color="auto" w:fill="FFFFFF"/>
        <w:autoSpaceDE w:val="0"/>
        <w:autoSpaceDN w:val="0"/>
        <w:adjustRightInd w:val="0"/>
        <w:snapToGrid w:val="0"/>
        <w:spacing w:after="120"/>
        <w:jc w:val="both"/>
        <w:rPr>
          <w:sz w:val="22"/>
          <w:szCs w:val="22"/>
          <w:lang w:val="fr-FR"/>
        </w:rPr>
      </w:pPr>
      <w:r w:rsidRPr="00ED711A">
        <w:rPr>
          <w:sz w:val="22"/>
          <w:szCs w:val="22"/>
          <w:lang w:val="fr-FR"/>
        </w:rPr>
        <w:t>Une circulaire a été émise le 16 mai 2014 informant de l</w:t>
      </w:r>
      <w:r w:rsidR="000D310E" w:rsidRPr="00ED711A">
        <w:rPr>
          <w:sz w:val="22"/>
          <w:szCs w:val="22"/>
          <w:lang w:val="fr-FR"/>
        </w:rPr>
        <w:t>’</w:t>
      </w:r>
      <w:r w:rsidRPr="00ED711A">
        <w:rPr>
          <w:sz w:val="22"/>
          <w:szCs w:val="22"/>
          <w:lang w:val="fr-FR"/>
        </w:rPr>
        <w:t>annulation de l</w:t>
      </w:r>
      <w:r w:rsidR="000D310E" w:rsidRPr="00ED711A">
        <w:rPr>
          <w:sz w:val="22"/>
          <w:szCs w:val="22"/>
          <w:lang w:val="fr-FR"/>
        </w:rPr>
        <w:t>’</w:t>
      </w:r>
      <w:r w:rsidRPr="00ED711A">
        <w:rPr>
          <w:sz w:val="22"/>
          <w:szCs w:val="22"/>
          <w:lang w:val="fr-FR"/>
        </w:rPr>
        <w:t>homologation du profenofos. Une période allant du 1er juillet 2014 au 31 décembre 2104 a été octroyée aux déclarants pour la liquidation des stocks existant sur le marché</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Les raisons ayant motivé la mesure de réglementation finale étaient liées à: </w:t>
      </w:r>
      <w:r w:rsidRPr="00ED711A">
        <w:rPr>
          <w:sz w:val="22"/>
          <w:szCs w:val="22"/>
          <w:lang w:val="fr-CH"/>
        </w:rPr>
        <w:t>La santé humaine.</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Date de prise d</w:t>
      </w:r>
      <w:r w:rsidR="000D310E" w:rsidRPr="00ED711A">
        <w:rPr>
          <w:b/>
          <w:i/>
          <w:sz w:val="22"/>
          <w:szCs w:val="22"/>
          <w:lang w:val="fr-CH"/>
        </w:rPr>
        <w:t>’</w:t>
      </w:r>
      <w:r w:rsidRPr="00ED711A">
        <w:rPr>
          <w:b/>
          <w:i/>
          <w:sz w:val="22"/>
          <w:szCs w:val="22"/>
          <w:lang w:val="fr-CH"/>
        </w:rPr>
        <w:t xml:space="preserve">effet de la mesure de réglementation finale: </w:t>
      </w:r>
      <w:r w:rsidRPr="00ED711A">
        <w:rPr>
          <w:sz w:val="22"/>
          <w:szCs w:val="22"/>
          <w:lang w:val="fr-CH"/>
        </w:rPr>
        <w:t>01/01/2015</w:t>
      </w:r>
    </w:p>
    <w:p w:rsidR="00510BDA" w:rsidRPr="00ED711A" w:rsidRDefault="00510BDA" w:rsidP="0070218D">
      <w:pPr>
        <w:widowControl w:val="0"/>
        <w:pBdr>
          <w:bottom w:val="single" w:sz="4" w:space="1" w:color="auto"/>
        </w:pBdr>
        <w:autoSpaceDE w:val="0"/>
        <w:autoSpaceDN w:val="0"/>
        <w:adjustRightInd w:val="0"/>
        <w:snapToGrid w:val="0"/>
        <w:spacing w:after="120"/>
        <w:jc w:val="both"/>
        <w:rPr>
          <w:sz w:val="22"/>
          <w:szCs w:val="17"/>
          <w:lang w:val="fr-CH"/>
        </w:rPr>
      </w:pPr>
    </w:p>
    <w:p w:rsidR="00510BDA" w:rsidRPr="00ED711A" w:rsidRDefault="00510BDA" w:rsidP="0070218D">
      <w:pPr>
        <w:widowControl w:val="0"/>
        <w:pBdr>
          <w:bottom w:val="single" w:sz="4" w:space="1" w:color="auto"/>
        </w:pBdr>
        <w:autoSpaceDE w:val="0"/>
        <w:autoSpaceDN w:val="0"/>
        <w:adjustRightInd w:val="0"/>
        <w:snapToGrid w:val="0"/>
        <w:spacing w:after="120"/>
        <w:jc w:val="both"/>
        <w:rPr>
          <w:b/>
          <w:caps/>
          <w:szCs w:val="17"/>
        </w:rPr>
      </w:pPr>
      <w:r w:rsidRPr="00ED711A">
        <w:rPr>
          <w:b/>
          <w:caps/>
          <w:szCs w:val="17"/>
        </w:rPr>
        <w:t>Malaisie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tblPr>
      <w:tblGrid>
        <w:gridCol w:w="5895"/>
        <w:gridCol w:w="2299"/>
        <w:gridCol w:w="1944"/>
      </w:tblGrid>
      <w:tr w:rsidR="00510BDA" w:rsidRPr="00ED711A" w:rsidTr="00510BDA">
        <w:tc>
          <w:tcPr>
            <w:tcW w:w="1667" w:type="pct"/>
            <w:hideMark/>
          </w:tcPr>
          <w:p w:rsidR="00510BDA" w:rsidRPr="00ED711A" w:rsidRDefault="00510BDA" w:rsidP="0070218D">
            <w:pPr>
              <w:widowControl w:val="0"/>
              <w:autoSpaceDE w:val="0"/>
              <w:autoSpaceDN w:val="0"/>
              <w:adjustRightInd w:val="0"/>
              <w:snapToGrid w:val="0"/>
              <w:spacing w:after="120"/>
              <w:jc w:val="both"/>
              <w:rPr>
                <w:sz w:val="22"/>
                <w:szCs w:val="22"/>
                <w:lang w:eastAsia="en-US"/>
              </w:rPr>
            </w:pPr>
            <w:r w:rsidRPr="00ED711A">
              <w:rPr>
                <w:b/>
                <w:i/>
                <w:sz w:val="22"/>
                <w:szCs w:val="22"/>
              </w:rPr>
              <w:t xml:space="preserve">Nom usuel: </w:t>
            </w:r>
            <w:r w:rsidRPr="00ED711A">
              <w:rPr>
                <w:sz w:val="22"/>
                <w:szCs w:val="22"/>
              </w:rPr>
              <w:t>Triazophos</w:t>
            </w:r>
          </w:p>
        </w:tc>
        <w:tc>
          <w:tcPr>
            <w:tcW w:w="650" w:type="pct"/>
            <w:hideMark/>
          </w:tcPr>
          <w:p w:rsidR="00510BDA" w:rsidRPr="00ED711A" w:rsidRDefault="00510BDA" w:rsidP="0070218D">
            <w:pPr>
              <w:widowControl w:val="0"/>
              <w:autoSpaceDE w:val="0"/>
              <w:autoSpaceDN w:val="0"/>
              <w:adjustRightInd w:val="0"/>
              <w:snapToGrid w:val="0"/>
              <w:spacing w:after="120"/>
              <w:jc w:val="both"/>
              <w:rPr>
                <w:b/>
                <w:i/>
                <w:sz w:val="22"/>
                <w:szCs w:val="22"/>
                <w:lang w:eastAsia="en-US"/>
              </w:rPr>
            </w:pPr>
            <w:r w:rsidRPr="00ED711A">
              <w:rPr>
                <w:b/>
                <w:i/>
                <w:sz w:val="22"/>
                <w:szCs w:val="22"/>
              </w:rPr>
              <w:t>Numéro CAS:</w:t>
            </w:r>
          </w:p>
        </w:tc>
        <w:tc>
          <w:tcPr>
            <w:tcW w:w="550" w:type="pct"/>
            <w:hideMark/>
          </w:tcPr>
          <w:p w:rsidR="00510BDA" w:rsidRPr="00ED711A" w:rsidRDefault="00510BDA" w:rsidP="0070218D">
            <w:pPr>
              <w:widowControl w:val="0"/>
              <w:autoSpaceDE w:val="0"/>
              <w:autoSpaceDN w:val="0"/>
              <w:adjustRightInd w:val="0"/>
              <w:snapToGrid w:val="0"/>
              <w:spacing w:after="120"/>
              <w:jc w:val="both"/>
              <w:rPr>
                <w:sz w:val="22"/>
                <w:szCs w:val="22"/>
                <w:lang w:eastAsia="en-US"/>
              </w:rPr>
            </w:pPr>
            <w:r w:rsidRPr="00ED711A">
              <w:rPr>
                <w:sz w:val="22"/>
                <w:szCs w:val="22"/>
              </w:rPr>
              <w:t>24017-47-8</w:t>
            </w:r>
          </w:p>
        </w:tc>
      </w:tr>
    </w:tbl>
    <w:p w:rsidR="00510BDA" w:rsidRPr="00ED711A" w:rsidRDefault="00510BDA" w:rsidP="0070218D">
      <w:pPr>
        <w:widowControl w:val="0"/>
        <w:autoSpaceDE w:val="0"/>
        <w:autoSpaceDN w:val="0"/>
        <w:adjustRightInd w:val="0"/>
        <w:snapToGrid w:val="0"/>
        <w:spacing w:after="120"/>
        <w:jc w:val="both"/>
        <w:rPr>
          <w:b/>
          <w:i/>
          <w:sz w:val="22"/>
          <w:szCs w:val="22"/>
          <w:lang w:eastAsia="en-US"/>
        </w:rPr>
      </w:pPr>
      <w:r w:rsidRPr="00ED711A">
        <w:rPr>
          <w:b/>
          <w:i/>
          <w:sz w:val="22"/>
          <w:szCs w:val="22"/>
        </w:rPr>
        <w:t xml:space="preserve">Nom chimique: </w:t>
      </w:r>
      <w:r w:rsidRPr="00BB768B">
        <w:rPr>
          <w:i/>
          <w:sz w:val="22"/>
          <w:szCs w:val="22"/>
        </w:rPr>
        <w:t>O</w:t>
      </w:r>
      <w:proofErr w:type="gramStart"/>
      <w:r w:rsidRPr="00BB768B">
        <w:rPr>
          <w:i/>
          <w:sz w:val="22"/>
          <w:szCs w:val="22"/>
        </w:rPr>
        <w:t>,O</w:t>
      </w:r>
      <w:proofErr w:type="gramEnd"/>
      <w:r w:rsidRPr="00BB768B">
        <w:rPr>
          <w:i/>
          <w:sz w:val="22"/>
          <w:szCs w:val="22"/>
        </w:rPr>
        <w:t>-</w:t>
      </w:r>
      <w:r w:rsidRPr="00ED711A">
        <w:rPr>
          <w:sz w:val="22"/>
          <w:szCs w:val="22"/>
        </w:rPr>
        <w:t xml:space="preserve">diethyl </w:t>
      </w:r>
      <w:r w:rsidRPr="00BB768B">
        <w:rPr>
          <w:i/>
          <w:sz w:val="22"/>
          <w:szCs w:val="22"/>
        </w:rPr>
        <w:t>O</w:t>
      </w:r>
      <w:r w:rsidRPr="00ED711A">
        <w:rPr>
          <w:sz w:val="22"/>
          <w:szCs w:val="22"/>
        </w:rPr>
        <w:t>-1-phenyl-1H-1,2,4-triazol-3-yl phosphorothioate</w:t>
      </w:r>
    </w:p>
    <w:p w:rsidR="00510BDA" w:rsidRPr="00ED711A" w:rsidRDefault="00510BDA" w:rsidP="0070218D">
      <w:pPr>
        <w:widowControl w:val="0"/>
        <w:autoSpaceDE w:val="0"/>
        <w:autoSpaceDN w:val="0"/>
        <w:adjustRightInd w:val="0"/>
        <w:snapToGrid w:val="0"/>
        <w:spacing w:after="120"/>
        <w:jc w:val="both"/>
        <w:rPr>
          <w:b/>
          <w:i/>
          <w:sz w:val="22"/>
          <w:szCs w:val="22"/>
          <w:lang w:val="fr-CH"/>
        </w:rPr>
      </w:pPr>
      <w:r w:rsidRPr="00ED711A">
        <w:rPr>
          <w:b/>
          <w:i/>
          <w:sz w:val="22"/>
          <w:szCs w:val="22"/>
          <w:lang w:val="fr-CH"/>
        </w:rPr>
        <w:t xml:space="preserve">Catégorie pour laquelle a été prise la mesure de réglementation finale: </w:t>
      </w:r>
      <w:r w:rsidRPr="00ED711A">
        <w:rPr>
          <w:sz w:val="22"/>
          <w:szCs w:val="22"/>
          <w:lang w:val="fr-CH"/>
        </w:rPr>
        <w:t>Pesticide</w:t>
      </w:r>
    </w:p>
    <w:p w:rsidR="00510BD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Mesure de réglementation finale: </w:t>
      </w:r>
      <w:r w:rsidRPr="00ED711A">
        <w:rPr>
          <w:sz w:val="22"/>
          <w:szCs w:val="22"/>
          <w:lang w:val="fr-CH"/>
        </w:rPr>
        <w:t>Le produit chimique est interdit</w:t>
      </w:r>
    </w:p>
    <w:p w:rsidR="00BB768B" w:rsidRPr="00ED711A" w:rsidRDefault="00BB768B" w:rsidP="0070218D">
      <w:pPr>
        <w:widowControl w:val="0"/>
        <w:autoSpaceDE w:val="0"/>
        <w:autoSpaceDN w:val="0"/>
        <w:adjustRightInd w:val="0"/>
        <w:snapToGrid w:val="0"/>
        <w:spacing w:after="120"/>
        <w:jc w:val="both"/>
        <w:rPr>
          <w:sz w:val="22"/>
          <w:szCs w:val="22"/>
          <w:lang w:val="fr-CH"/>
        </w:rPr>
      </w:pPr>
      <w:r>
        <w:rPr>
          <w:b/>
          <w:i/>
          <w:sz w:val="22"/>
          <w:szCs w:val="17"/>
          <w:lang w:val="fr-CH"/>
        </w:rPr>
        <w:t>Emplois interdits par la mesure de réglementation finale</w:t>
      </w:r>
      <w:r>
        <w:rPr>
          <w:b/>
          <w:i/>
          <w:sz w:val="22"/>
          <w:szCs w:val="17"/>
          <w:lang w:val="fr-CH"/>
        </w:rPr>
        <w:t xml:space="preserve">: </w:t>
      </w:r>
      <w:r>
        <w:rPr>
          <w:sz w:val="22"/>
          <w:szCs w:val="17"/>
          <w:lang w:val="fr-CH"/>
        </w:rPr>
        <w:t>Toutes les préparations</w:t>
      </w:r>
      <w:r>
        <w:rPr>
          <w:sz w:val="22"/>
          <w:szCs w:val="17"/>
          <w:lang w:val="fr-CH"/>
        </w:rPr>
        <w:t xml:space="preserve"> pour l'agriculture.</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Mesure de réglementation finale a-t-elle été prise après une évaluation des risques et des dangers</w:t>
      </w:r>
      <w:proofErr w:type="gramStart"/>
      <w:r w:rsidRPr="00ED711A">
        <w:rPr>
          <w:b/>
          <w:i/>
          <w:sz w:val="22"/>
          <w:szCs w:val="22"/>
          <w:lang w:val="fr-CH"/>
        </w:rPr>
        <w:t>?:</w:t>
      </w:r>
      <w:proofErr w:type="gramEnd"/>
      <w:r w:rsidRPr="00ED711A">
        <w:rPr>
          <w:b/>
          <w:i/>
          <w:sz w:val="22"/>
          <w:szCs w:val="22"/>
          <w:lang w:val="fr-CH"/>
        </w:rPr>
        <w:t xml:space="preserve"> </w:t>
      </w:r>
      <w:r w:rsidRPr="00ED711A">
        <w:rPr>
          <w:sz w:val="22"/>
          <w:szCs w:val="22"/>
          <w:lang w:val="fr-CH"/>
        </w:rPr>
        <w:t>No</w:t>
      </w:r>
    </w:p>
    <w:p w:rsidR="00510BDA" w:rsidRPr="00ED711A" w:rsidRDefault="00510BDA" w:rsidP="0070218D">
      <w:pPr>
        <w:widowControl w:val="0"/>
        <w:shd w:val="clear" w:color="auto" w:fill="FFFFFF"/>
        <w:autoSpaceDE w:val="0"/>
        <w:autoSpaceDN w:val="0"/>
        <w:adjustRightInd w:val="0"/>
        <w:snapToGrid w:val="0"/>
        <w:spacing w:after="120"/>
        <w:jc w:val="both"/>
        <w:rPr>
          <w:sz w:val="22"/>
          <w:szCs w:val="22"/>
          <w:lang w:val="fr-FR"/>
        </w:rPr>
      </w:pPr>
      <w:r w:rsidRPr="00ED711A">
        <w:rPr>
          <w:b/>
          <w:i/>
          <w:sz w:val="22"/>
          <w:szCs w:val="22"/>
          <w:lang w:val="fr-CH"/>
        </w:rPr>
        <w:t xml:space="preserve">Résumé de la mesure de réglementation finale: </w:t>
      </w:r>
      <w:r w:rsidRPr="00ED711A">
        <w:rPr>
          <w:sz w:val="22"/>
          <w:szCs w:val="22"/>
          <w:lang w:val="it-IT"/>
        </w:rPr>
        <w:t>L</w:t>
      </w:r>
      <w:r w:rsidR="000D310E" w:rsidRPr="00ED711A">
        <w:rPr>
          <w:sz w:val="22"/>
          <w:szCs w:val="22"/>
          <w:lang w:val="it-IT"/>
        </w:rPr>
        <w:t>’</w:t>
      </w:r>
      <w:r w:rsidRPr="00ED711A">
        <w:rPr>
          <w:sz w:val="22"/>
          <w:szCs w:val="22"/>
          <w:lang w:val="it-IT"/>
        </w:rPr>
        <w:t>emploi du triazophos</w:t>
      </w:r>
      <w:r w:rsidRPr="00ED711A">
        <w:rPr>
          <w:sz w:val="22"/>
          <w:szCs w:val="22"/>
          <w:lang w:val="fr-FR"/>
        </w:rPr>
        <w:t xml:space="preserve"> en tant que pesticide a été interdit à partir du 1er janvier  2015. Cette interdiction concernera l</w:t>
      </w:r>
      <w:r w:rsidR="000D310E" w:rsidRPr="00ED711A">
        <w:rPr>
          <w:sz w:val="22"/>
          <w:szCs w:val="22"/>
          <w:lang w:val="fr-FR"/>
        </w:rPr>
        <w:t>’</w:t>
      </w:r>
      <w:r w:rsidRPr="00ED711A">
        <w:rPr>
          <w:sz w:val="22"/>
          <w:szCs w:val="22"/>
          <w:lang w:val="fr-FR"/>
        </w:rPr>
        <w:t>importation, l</w:t>
      </w:r>
      <w:r w:rsidR="000D310E" w:rsidRPr="00ED711A">
        <w:rPr>
          <w:sz w:val="22"/>
          <w:szCs w:val="22"/>
          <w:lang w:val="fr-FR"/>
        </w:rPr>
        <w:t>’</w:t>
      </w:r>
      <w:r w:rsidRPr="00ED711A">
        <w:rPr>
          <w:sz w:val="22"/>
          <w:szCs w:val="22"/>
          <w:lang w:val="fr-FR"/>
        </w:rPr>
        <w:t>exportation, la production, l</w:t>
      </w:r>
      <w:r w:rsidR="000D310E" w:rsidRPr="00ED711A">
        <w:rPr>
          <w:sz w:val="22"/>
          <w:szCs w:val="22"/>
          <w:lang w:val="fr-FR"/>
        </w:rPr>
        <w:t>’</w:t>
      </w:r>
      <w:r w:rsidRPr="00ED711A">
        <w:rPr>
          <w:sz w:val="22"/>
          <w:szCs w:val="22"/>
          <w:lang w:val="fr-FR"/>
        </w:rPr>
        <w:t>emploi et la vente, à l</w:t>
      </w:r>
      <w:r w:rsidR="000D310E" w:rsidRPr="00ED711A">
        <w:rPr>
          <w:sz w:val="22"/>
          <w:szCs w:val="22"/>
          <w:lang w:val="fr-FR"/>
        </w:rPr>
        <w:t>’</w:t>
      </w:r>
      <w:r w:rsidRPr="00ED711A">
        <w:rPr>
          <w:sz w:val="22"/>
          <w:szCs w:val="22"/>
          <w:lang w:val="fr-FR"/>
        </w:rPr>
        <w:t>exception de quantités limitées à des fins de recherche ou didactiques, subordonnée à l</w:t>
      </w:r>
      <w:r w:rsidR="000D310E" w:rsidRPr="00ED711A">
        <w:rPr>
          <w:sz w:val="22"/>
          <w:szCs w:val="22"/>
          <w:lang w:val="fr-FR"/>
        </w:rPr>
        <w:t>’</w:t>
      </w:r>
      <w:r w:rsidRPr="00ED711A">
        <w:rPr>
          <w:sz w:val="22"/>
          <w:szCs w:val="22"/>
          <w:lang w:val="fr-FR"/>
        </w:rPr>
        <w:t xml:space="preserve">approbation du Conseil des pesticides de la Malaisie. </w:t>
      </w:r>
    </w:p>
    <w:p w:rsidR="00510BDA" w:rsidRPr="00ED711A" w:rsidRDefault="00510BDA" w:rsidP="0070218D">
      <w:pPr>
        <w:widowControl w:val="0"/>
        <w:shd w:val="clear" w:color="auto" w:fill="FFFFFF"/>
        <w:autoSpaceDE w:val="0"/>
        <w:autoSpaceDN w:val="0"/>
        <w:adjustRightInd w:val="0"/>
        <w:snapToGrid w:val="0"/>
        <w:spacing w:after="120"/>
        <w:jc w:val="both"/>
        <w:rPr>
          <w:sz w:val="22"/>
          <w:szCs w:val="22"/>
          <w:lang w:val="fr-FR"/>
        </w:rPr>
      </w:pPr>
      <w:r w:rsidRPr="00ED711A">
        <w:rPr>
          <w:sz w:val="22"/>
          <w:szCs w:val="22"/>
          <w:lang w:val="fr-FR"/>
        </w:rPr>
        <w:t>Une circulaire a été émise le 16 mai 2014 informant de l</w:t>
      </w:r>
      <w:r w:rsidR="000D310E" w:rsidRPr="00ED711A">
        <w:rPr>
          <w:sz w:val="22"/>
          <w:szCs w:val="22"/>
          <w:lang w:val="fr-FR"/>
        </w:rPr>
        <w:t>’</w:t>
      </w:r>
      <w:r w:rsidRPr="00ED711A">
        <w:rPr>
          <w:sz w:val="22"/>
          <w:szCs w:val="22"/>
          <w:lang w:val="fr-FR"/>
        </w:rPr>
        <w:t>annulation de l</w:t>
      </w:r>
      <w:r w:rsidR="000D310E" w:rsidRPr="00ED711A">
        <w:rPr>
          <w:sz w:val="22"/>
          <w:szCs w:val="22"/>
          <w:lang w:val="fr-FR"/>
        </w:rPr>
        <w:t>’</w:t>
      </w:r>
      <w:r w:rsidRPr="00ED711A">
        <w:rPr>
          <w:sz w:val="22"/>
          <w:szCs w:val="22"/>
          <w:lang w:val="fr-FR"/>
        </w:rPr>
        <w:t>homologation du triazophos. Une période allant du 1er juillet 2014 au 31 décembre 2104 avait été octroyée aux déclarants pour la liquidation des stocks existant sur le marché.</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Les raisons ayant motivé la mesure de réglementation finale étaient liées à: </w:t>
      </w:r>
      <w:r w:rsidRPr="00ED711A">
        <w:rPr>
          <w:sz w:val="22"/>
          <w:szCs w:val="22"/>
          <w:lang w:val="fr-CH"/>
        </w:rPr>
        <w:t>La santé humaine.</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Date de prise d</w:t>
      </w:r>
      <w:r w:rsidR="000D310E" w:rsidRPr="00ED711A">
        <w:rPr>
          <w:b/>
          <w:i/>
          <w:sz w:val="22"/>
          <w:szCs w:val="22"/>
          <w:lang w:val="fr-CH"/>
        </w:rPr>
        <w:t>’</w:t>
      </w:r>
      <w:r w:rsidRPr="00ED711A">
        <w:rPr>
          <w:b/>
          <w:i/>
          <w:sz w:val="22"/>
          <w:szCs w:val="22"/>
          <w:lang w:val="fr-CH"/>
        </w:rPr>
        <w:t xml:space="preserve">effet de la mesure de réglementation finale: </w:t>
      </w:r>
      <w:r w:rsidRPr="00ED711A">
        <w:rPr>
          <w:sz w:val="22"/>
          <w:szCs w:val="22"/>
          <w:lang w:val="fr-CH"/>
        </w:rPr>
        <w:t>01/01/2015</w:t>
      </w:r>
    </w:p>
    <w:p w:rsidR="00510BDA" w:rsidRPr="00ED711A" w:rsidRDefault="00510BDA" w:rsidP="0070218D">
      <w:pPr>
        <w:widowControl w:val="0"/>
        <w:pBdr>
          <w:bottom w:val="single" w:sz="4" w:space="1" w:color="auto"/>
        </w:pBdr>
        <w:autoSpaceDE w:val="0"/>
        <w:autoSpaceDN w:val="0"/>
        <w:adjustRightInd w:val="0"/>
        <w:snapToGrid w:val="0"/>
        <w:spacing w:after="120"/>
        <w:jc w:val="both"/>
        <w:rPr>
          <w:sz w:val="22"/>
          <w:szCs w:val="17"/>
          <w:lang w:val="fr-CH"/>
        </w:rPr>
      </w:pPr>
    </w:p>
    <w:p w:rsidR="00510BDA" w:rsidRPr="00ED711A" w:rsidRDefault="00510BDA" w:rsidP="0070218D">
      <w:pPr>
        <w:widowControl w:val="0"/>
        <w:pBdr>
          <w:bottom w:val="single" w:sz="4" w:space="1" w:color="auto"/>
        </w:pBdr>
        <w:autoSpaceDE w:val="0"/>
        <w:autoSpaceDN w:val="0"/>
        <w:adjustRightInd w:val="0"/>
        <w:snapToGrid w:val="0"/>
        <w:spacing w:after="120"/>
        <w:jc w:val="both"/>
        <w:rPr>
          <w:b/>
          <w:caps/>
          <w:szCs w:val="17"/>
          <w:lang w:val="fr-CH"/>
        </w:rPr>
      </w:pPr>
      <w:r w:rsidRPr="00ED711A">
        <w:rPr>
          <w:b/>
          <w:caps/>
          <w:szCs w:val="17"/>
          <w:lang w:val="fr-CH"/>
        </w:rPr>
        <w:t>Norvège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tblPr>
      <w:tblGrid>
        <w:gridCol w:w="5895"/>
        <w:gridCol w:w="2299"/>
        <w:gridCol w:w="1944"/>
      </w:tblGrid>
      <w:tr w:rsidR="00510BDA" w:rsidRPr="00ED711A" w:rsidTr="00510BDA">
        <w:tc>
          <w:tcPr>
            <w:tcW w:w="1667" w:type="pct"/>
            <w:hideMark/>
          </w:tcPr>
          <w:p w:rsidR="00510BDA" w:rsidRPr="00ED711A" w:rsidRDefault="00510BDA" w:rsidP="0070218D">
            <w:pPr>
              <w:widowControl w:val="0"/>
              <w:autoSpaceDE w:val="0"/>
              <w:autoSpaceDN w:val="0"/>
              <w:adjustRightInd w:val="0"/>
              <w:snapToGrid w:val="0"/>
              <w:spacing w:after="120"/>
              <w:jc w:val="both"/>
              <w:rPr>
                <w:sz w:val="22"/>
                <w:szCs w:val="17"/>
                <w:lang w:val="fr-CH" w:eastAsia="en-US"/>
              </w:rPr>
            </w:pPr>
            <w:r w:rsidRPr="00ED711A">
              <w:rPr>
                <w:b/>
                <w:i/>
                <w:sz w:val="22"/>
                <w:szCs w:val="22"/>
                <w:lang w:val="fr-CH"/>
              </w:rPr>
              <w:t xml:space="preserve">Nom usuel: </w:t>
            </w:r>
            <w:r w:rsidRPr="00ED711A">
              <w:rPr>
                <w:sz w:val="22"/>
                <w:szCs w:val="22"/>
                <w:lang w:val="fr-CH"/>
              </w:rPr>
              <w:t xml:space="preserve">Hexabromocyclododécane </w:t>
            </w:r>
          </w:p>
        </w:tc>
        <w:tc>
          <w:tcPr>
            <w:tcW w:w="650" w:type="pct"/>
            <w:hideMark/>
          </w:tcPr>
          <w:p w:rsidR="00510BDA" w:rsidRPr="00ED711A" w:rsidRDefault="00510BDA" w:rsidP="0070218D">
            <w:pPr>
              <w:widowControl w:val="0"/>
              <w:autoSpaceDE w:val="0"/>
              <w:autoSpaceDN w:val="0"/>
              <w:adjustRightInd w:val="0"/>
              <w:snapToGrid w:val="0"/>
              <w:spacing w:after="120"/>
              <w:jc w:val="both"/>
              <w:rPr>
                <w:b/>
                <w:i/>
                <w:sz w:val="22"/>
                <w:szCs w:val="17"/>
                <w:lang w:eastAsia="en-US"/>
              </w:rPr>
            </w:pPr>
            <w:r w:rsidRPr="00ED711A">
              <w:rPr>
                <w:b/>
                <w:i/>
                <w:sz w:val="22"/>
                <w:szCs w:val="22"/>
                <w:lang w:val="fr-CH"/>
              </w:rPr>
              <w:t>Numéro CAS:</w:t>
            </w:r>
            <w:r w:rsidRPr="00ED711A">
              <w:rPr>
                <w:b/>
                <w:i/>
                <w:sz w:val="22"/>
                <w:szCs w:val="17"/>
                <w:lang w:val="fr-CH"/>
              </w:rPr>
              <w:t xml:space="preserve"> </w:t>
            </w:r>
          </w:p>
        </w:tc>
        <w:tc>
          <w:tcPr>
            <w:tcW w:w="550" w:type="pct"/>
            <w:hideMark/>
          </w:tcPr>
          <w:p w:rsidR="00510BDA" w:rsidRPr="00ED711A" w:rsidRDefault="00510BDA" w:rsidP="0070218D">
            <w:pPr>
              <w:widowControl w:val="0"/>
              <w:autoSpaceDE w:val="0"/>
              <w:autoSpaceDN w:val="0"/>
              <w:adjustRightInd w:val="0"/>
              <w:snapToGrid w:val="0"/>
              <w:spacing w:after="120"/>
              <w:jc w:val="both"/>
              <w:rPr>
                <w:sz w:val="22"/>
                <w:szCs w:val="17"/>
                <w:lang w:eastAsia="en-US"/>
              </w:rPr>
            </w:pPr>
            <w:r w:rsidRPr="00ED711A">
              <w:rPr>
                <w:sz w:val="22"/>
                <w:szCs w:val="17"/>
              </w:rPr>
              <w:t xml:space="preserve">3194-55-6, </w:t>
            </w:r>
            <w:r w:rsidRPr="00ED711A">
              <w:rPr>
                <w:sz w:val="22"/>
                <w:szCs w:val="17"/>
              </w:rPr>
              <w:br/>
              <w:t>25637-99-4, 134237-50-6, 134237-51-7, 134237-52-8</w:t>
            </w:r>
          </w:p>
        </w:tc>
      </w:tr>
    </w:tbl>
    <w:p w:rsidR="00510BDA" w:rsidRPr="00ED711A" w:rsidRDefault="00510BDA" w:rsidP="0070218D">
      <w:pPr>
        <w:widowControl w:val="0"/>
        <w:autoSpaceDE w:val="0"/>
        <w:autoSpaceDN w:val="0"/>
        <w:adjustRightInd w:val="0"/>
        <w:snapToGrid w:val="0"/>
        <w:spacing w:after="120"/>
        <w:jc w:val="both"/>
        <w:rPr>
          <w:sz w:val="22"/>
          <w:szCs w:val="22"/>
          <w:lang w:val="fr-CH" w:eastAsia="en-US"/>
        </w:rPr>
      </w:pPr>
      <w:r w:rsidRPr="00ED711A">
        <w:rPr>
          <w:b/>
          <w:i/>
          <w:sz w:val="22"/>
          <w:szCs w:val="22"/>
          <w:lang w:val="fr-CH"/>
        </w:rPr>
        <w:t xml:space="preserve">Nom chimique: </w:t>
      </w:r>
      <w:r w:rsidRPr="00ED711A">
        <w:rPr>
          <w:sz w:val="22"/>
          <w:szCs w:val="22"/>
          <w:lang w:val="fr-CH"/>
        </w:rPr>
        <w:t>1</w:t>
      </w:r>
      <w:proofErr w:type="gramStart"/>
      <w:r w:rsidRPr="00ED711A">
        <w:rPr>
          <w:sz w:val="22"/>
          <w:szCs w:val="22"/>
          <w:lang w:val="fr-CH"/>
        </w:rPr>
        <w:t>,2,5,6,9,10</w:t>
      </w:r>
      <w:proofErr w:type="gramEnd"/>
      <w:r w:rsidRPr="00ED711A">
        <w:rPr>
          <w:sz w:val="22"/>
          <w:szCs w:val="22"/>
          <w:lang w:val="fr-CH"/>
        </w:rPr>
        <w:t>-Hexabromocyclododécane</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Catégorie pour laquelle a été prise la mesure de réglementation finale: </w:t>
      </w:r>
      <w:r w:rsidRPr="00ED711A">
        <w:rPr>
          <w:sz w:val="22"/>
          <w:szCs w:val="22"/>
          <w:lang w:val="fr-CH"/>
        </w:rPr>
        <w:t>Produit à usage industriel</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Mesure de réglementation finale: </w:t>
      </w:r>
      <w:r w:rsidRPr="00ED711A">
        <w:rPr>
          <w:sz w:val="22"/>
          <w:szCs w:val="22"/>
          <w:lang w:val="fr-CH"/>
        </w:rPr>
        <w:t>Le produit chimique est strictement réglementé</w:t>
      </w:r>
    </w:p>
    <w:p w:rsidR="00510BDA" w:rsidRPr="00ED711A" w:rsidRDefault="00510BDA" w:rsidP="0070218D">
      <w:pPr>
        <w:widowControl w:val="0"/>
        <w:autoSpaceDE w:val="0"/>
        <w:autoSpaceDN w:val="0"/>
        <w:adjustRightInd w:val="0"/>
        <w:snapToGrid w:val="0"/>
        <w:spacing w:after="120"/>
        <w:jc w:val="both"/>
        <w:rPr>
          <w:sz w:val="22"/>
          <w:szCs w:val="22"/>
          <w:lang w:val="fr-FR"/>
        </w:rPr>
      </w:pPr>
      <w:r w:rsidRPr="00ED711A">
        <w:rPr>
          <w:b/>
          <w:i/>
          <w:sz w:val="22"/>
          <w:szCs w:val="22"/>
          <w:lang w:val="fr-CH"/>
        </w:rPr>
        <w:t xml:space="preserve">Emplois interdits par la mesure de réglementation finale: </w:t>
      </w:r>
      <w:r w:rsidRPr="00ED711A">
        <w:rPr>
          <w:sz w:val="22"/>
          <w:szCs w:val="22"/>
          <w:lang w:val="fr-FR"/>
        </w:rPr>
        <w:t>Il est interdit de produire, d</w:t>
      </w:r>
      <w:r w:rsidR="000D310E" w:rsidRPr="00ED711A">
        <w:rPr>
          <w:sz w:val="22"/>
          <w:szCs w:val="22"/>
          <w:lang w:val="fr-FR"/>
        </w:rPr>
        <w:t>’</w:t>
      </w:r>
      <w:r w:rsidRPr="00ED711A">
        <w:rPr>
          <w:sz w:val="22"/>
          <w:szCs w:val="22"/>
          <w:lang w:val="fr-FR"/>
        </w:rPr>
        <w:t>importer, d</w:t>
      </w:r>
      <w:r w:rsidR="000D310E" w:rsidRPr="00ED711A">
        <w:rPr>
          <w:sz w:val="22"/>
          <w:szCs w:val="22"/>
          <w:lang w:val="fr-FR"/>
        </w:rPr>
        <w:t>’</w:t>
      </w:r>
      <w:r w:rsidRPr="00ED711A">
        <w:rPr>
          <w:sz w:val="22"/>
          <w:szCs w:val="22"/>
          <w:lang w:val="fr-FR"/>
        </w:rPr>
        <w:t>exporter, de mettre sur le marché et d</w:t>
      </w:r>
      <w:r w:rsidR="000D310E" w:rsidRPr="00ED711A">
        <w:rPr>
          <w:sz w:val="22"/>
          <w:szCs w:val="22"/>
          <w:lang w:val="fr-FR"/>
        </w:rPr>
        <w:t>’</w:t>
      </w:r>
      <w:r w:rsidRPr="00ED711A">
        <w:rPr>
          <w:sz w:val="22"/>
          <w:szCs w:val="22"/>
          <w:lang w:val="fr-FR"/>
        </w:rPr>
        <w:t>utiliser les substances contenant 0,01 pour cent ou plus en masse d</w:t>
      </w:r>
      <w:r w:rsidR="000D310E" w:rsidRPr="00ED711A">
        <w:rPr>
          <w:sz w:val="22"/>
          <w:szCs w:val="22"/>
          <w:lang w:val="fr-FR"/>
        </w:rPr>
        <w:t>’</w:t>
      </w:r>
      <w:r w:rsidRPr="00ED711A">
        <w:rPr>
          <w:sz w:val="22"/>
          <w:szCs w:val="22"/>
          <w:lang w:val="fr-FR"/>
        </w:rPr>
        <w:t xml:space="preserve">hexabromocyclododécane </w:t>
      </w:r>
      <w:r w:rsidR="00F93887" w:rsidRPr="00ED711A">
        <w:rPr>
          <w:sz w:val="22"/>
          <w:szCs w:val="22"/>
          <w:lang w:val="fr-FR"/>
        </w:rPr>
        <w:t xml:space="preserve">(HBCDD) </w:t>
      </w:r>
      <w:r w:rsidRPr="00ED711A">
        <w:rPr>
          <w:sz w:val="22"/>
          <w:szCs w:val="22"/>
          <w:lang w:val="fr-FR"/>
        </w:rPr>
        <w:t>(numéro de CAS 25637-99-4, 3194-55-6, 134237-50-6, 134237-51-7, 134237</w:t>
      </w:r>
      <w:r w:rsidRPr="00ED711A">
        <w:rPr>
          <w:sz w:val="22"/>
          <w:szCs w:val="22"/>
          <w:lang w:val="fr-FR"/>
        </w:rPr>
        <w:noBreakHyphen/>
        <w:t>52</w:t>
      </w:r>
      <w:r w:rsidRPr="00ED711A">
        <w:rPr>
          <w:sz w:val="22"/>
          <w:szCs w:val="22"/>
          <w:lang w:val="fr-FR"/>
        </w:rPr>
        <w:noBreakHyphen/>
        <w:t>8).</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sz w:val="22"/>
          <w:szCs w:val="22"/>
          <w:lang w:val="fr-CH"/>
        </w:rPr>
        <w:t>Il est interdit de produire, d</w:t>
      </w:r>
      <w:r w:rsidR="000D310E" w:rsidRPr="00ED711A">
        <w:rPr>
          <w:sz w:val="22"/>
          <w:szCs w:val="22"/>
          <w:lang w:val="fr-CH"/>
        </w:rPr>
        <w:t>’</w:t>
      </w:r>
      <w:r w:rsidRPr="00ED711A">
        <w:rPr>
          <w:sz w:val="22"/>
          <w:szCs w:val="22"/>
          <w:lang w:val="fr-CH"/>
        </w:rPr>
        <w:t>importer, d</w:t>
      </w:r>
      <w:r w:rsidR="000D310E" w:rsidRPr="00ED711A">
        <w:rPr>
          <w:sz w:val="22"/>
          <w:szCs w:val="22"/>
          <w:lang w:val="fr-CH"/>
        </w:rPr>
        <w:t>’</w:t>
      </w:r>
      <w:r w:rsidRPr="00ED711A">
        <w:rPr>
          <w:sz w:val="22"/>
          <w:szCs w:val="22"/>
          <w:lang w:val="fr-CH"/>
        </w:rPr>
        <w:t>exporter, de mettre à disposition sur le marché des produits ou des parties de produits retardateurs de flamme contenant 0,01 pour-cent ou plus en masse d</w:t>
      </w:r>
      <w:r w:rsidR="000D310E" w:rsidRPr="00ED711A">
        <w:rPr>
          <w:sz w:val="22"/>
          <w:szCs w:val="22"/>
          <w:lang w:val="fr-CH"/>
        </w:rPr>
        <w:t>’</w:t>
      </w:r>
      <w:r w:rsidRPr="00ED711A">
        <w:rPr>
          <w:sz w:val="22"/>
          <w:szCs w:val="22"/>
          <w:lang w:val="fr-CH"/>
        </w:rPr>
        <w:t>hexabromocyclododécane (numéro de CAS 25637-99-4, 3194-55-6, 134237-50-6, 134237-51-7, 134237</w:t>
      </w:r>
      <w:r w:rsidRPr="00ED711A">
        <w:rPr>
          <w:sz w:val="22"/>
          <w:szCs w:val="22"/>
          <w:lang w:val="fr-CH"/>
        </w:rPr>
        <w:noBreakHyphen/>
        <w:t>52</w:t>
      </w:r>
      <w:r w:rsidRPr="00ED711A">
        <w:rPr>
          <w:sz w:val="22"/>
          <w:szCs w:val="22"/>
          <w:lang w:val="fr-CH"/>
        </w:rPr>
        <w:noBreakHyphen/>
        <w:t>8).</w:t>
      </w:r>
    </w:p>
    <w:p w:rsidR="00510BDA" w:rsidRPr="00ED711A" w:rsidRDefault="00510BDA" w:rsidP="0070218D">
      <w:pPr>
        <w:widowControl w:val="0"/>
        <w:autoSpaceDE w:val="0"/>
        <w:autoSpaceDN w:val="0"/>
        <w:adjustRightInd w:val="0"/>
        <w:snapToGrid w:val="0"/>
        <w:spacing w:after="120"/>
        <w:jc w:val="both"/>
        <w:rPr>
          <w:sz w:val="22"/>
          <w:szCs w:val="22"/>
          <w:lang w:val="fr-FR"/>
        </w:rPr>
      </w:pPr>
      <w:r w:rsidRPr="00ED711A">
        <w:rPr>
          <w:b/>
          <w:i/>
          <w:sz w:val="22"/>
          <w:szCs w:val="22"/>
          <w:lang w:val="fr-CH"/>
        </w:rPr>
        <w:t xml:space="preserve">Emplois qui demeurent autorisés: </w:t>
      </w:r>
      <w:r w:rsidRPr="00ED711A">
        <w:rPr>
          <w:sz w:val="22"/>
          <w:szCs w:val="22"/>
          <w:lang w:val="fr-FR"/>
        </w:rPr>
        <w:t>L</w:t>
      </w:r>
      <w:r w:rsidR="000D310E" w:rsidRPr="00ED711A">
        <w:rPr>
          <w:sz w:val="22"/>
          <w:szCs w:val="22"/>
          <w:lang w:val="fr-FR"/>
        </w:rPr>
        <w:t>’</w:t>
      </w:r>
      <w:r w:rsidRPr="00ED711A">
        <w:rPr>
          <w:sz w:val="22"/>
          <w:szCs w:val="22"/>
          <w:lang w:val="fr-FR"/>
        </w:rPr>
        <w:t>utilisation de l</w:t>
      </w:r>
      <w:r w:rsidR="000D310E" w:rsidRPr="00ED711A">
        <w:rPr>
          <w:sz w:val="22"/>
          <w:szCs w:val="22"/>
          <w:lang w:val="fr-FR"/>
        </w:rPr>
        <w:t>’</w:t>
      </w:r>
      <w:r w:rsidRPr="00ED711A">
        <w:rPr>
          <w:sz w:val="22"/>
          <w:szCs w:val="22"/>
          <w:lang w:val="fr-FR"/>
        </w:rPr>
        <w:t>hexabromocyclododécane, tel quel ou dans une préparation, dans la production d</w:t>
      </w:r>
      <w:r w:rsidR="000D310E" w:rsidRPr="00ED711A">
        <w:rPr>
          <w:sz w:val="22"/>
          <w:szCs w:val="22"/>
          <w:lang w:val="fr-FR"/>
        </w:rPr>
        <w:t>’</w:t>
      </w:r>
      <w:r w:rsidRPr="00ED711A">
        <w:rPr>
          <w:sz w:val="22"/>
          <w:szCs w:val="22"/>
          <w:lang w:val="fr-FR"/>
        </w:rPr>
        <w:t>articles en polystyrène expansé et la production ainsi que la mise sur le marché de l</w:t>
      </w:r>
      <w:r w:rsidR="000D310E" w:rsidRPr="00ED711A">
        <w:rPr>
          <w:sz w:val="22"/>
          <w:szCs w:val="22"/>
          <w:lang w:val="fr-FR"/>
        </w:rPr>
        <w:t>’</w:t>
      </w:r>
      <w:r w:rsidRPr="00ED711A">
        <w:rPr>
          <w:sz w:val="22"/>
          <w:szCs w:val="22"/>
          <w:lang w:val="fr-FR"/>
        </w:rPr>
        <w:t>hexabromocyclododécane pour cette utilisation seront autorisées à condition que cette utilisation ait été autorisée conformément au titre VII du Règlement (CE) No 1907/2006 du Parlement européen et du Conseil(*) ou si elle fait l</w:t>
      </w:r>
      <w:r w:rsidR="000D310E" w:rsidRPr="00ED711A">
        <w:rPr>
          <w:sz w:val="22"/>
          <w:szCs w:val="22"/>
          <w:lang w:val="fr-FR"/>
        </w:rPr>
        <w:t>’</w:t>
      </w:r>
      <w:r w:rsidRPr="00ED711A">
        <w:rPr>
          <w:sz w:val="22"/>
          <w:szCs w:val="22"/>
          <w:lang w:val="fr-FR"/>
        </w:rPr>
        <w:t>objet d</w:t>
      </w:r>
      <w:r w:rsidR="000D310E" w:rsidRPr="00ED711A">
        <w:rPr>
          <w:sz w:val="22"/>
          <w:szCs w:val="22"/>
          <w:lang w:val="fr-FR"/>
        </w:rPr>
        <w:t>’</w:t>
      </w:r>
      <w:r w:rsidRPr="00ED711A">
        <w:rPr>
          <w:sz w:val="22"/>
          <w:szCs w:val="22"/>
          <w:lang w:val="fr-FR"/>
        </w:rPr>
        <w:t>une demande d</w:t>
      </w:r>
      <w:r w:rsidR="000D310E" w:rsidRPr="00ED711A">
        <w:rPr>
          <w:sz w:val="22"/>
          <w:szCs w:val="22"/>
          <w:lang w:val="fr-FR"/>
        </w:rPr>
        <w:t>’</w:t>
      </w:r>
      <w:r w:rsidRPr="00ED711A">
        <w:rPr>
          <w:sz w:val="22"/>
          <w:szCs w:val="22"/>
          <w:lang w:val="fr-FR"/>
        </w:rPr>
        <w:t>autorisation présentée avant le 21 février 2014 pour laquelle une décision n</w:t>
      </w:r>
      <w:r w:rsidR="000D310E" w:rsidRPr="00ED711A">
        <w:rPr>
          <w:sz w:val="22"/>
          <w:szCs w:val="22"/>
          <w:lang w:val="fr-FR"/>
        </w:rPr>
        <w:t>’</w:t>
      </w:r>
      <w:r w:rsidRPr="00ED711A">
        <w:rPr>
          <w:sz w:val="22"/>
          <w:szCs w:val="22"/>
          <w:lang w:val="fr-FR"/>
        </w:rPr>
        <w:t xml:space="preserve">a pas encore été prise. </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sz w:val="22"/>
          <w:szCs w:val="22"/>
          <w:lang w:val="fr-CH"/>
        </w:rPr>
        <w:t>La mise sur le marché et l</w:t>
      </w:r>
      <w:r w:rsidR="000D310E" w:rsidRPr="00ED711A">
        <w:rPr>
          <w:sz w:val="22"/>
          <w:szCs w:val="22"/>
          <w:lang w:val="fr-CH"/>
        </w:rPr>
        <w:t>’</w:t>
      </w:r>
      <w:r w:rsidRPr="00ED711A">
        <w:rPr>
          <w:sz w:val="22"/>
          <w:szCs w:val="22"/>
          <w:lang w:val="fr-CH"/>
        </w:rPr>
        <w:t>utilisation de l</w:t>
      </w:r>
      <w:r w:rsidR="000D310E" w:rsidRPr="00ED711A">
        <w:rPr>
          <w:sz w:val="22"/>
          <w:szCs w:val="22"/>
          <w:lang w:val="fr-CH"/>
        </w:rPr>
        <w:t>’</w:t>
      </w:r>
      <w:r w:rsidRPr="00ED711A">
        <w:rPr>
          <w:sz w:val="22"/>
          <w:szCs w:val="22"/>
          <w:lang w:val="fr-CH"/>
        </w:rPr>
        <w:t>hexabromocyclododecane, tel quel ou dans une préparation, conformément à ce paragraphe ne seront autorisées que jusqu</w:t>
      </w:r>
      <w:r w:rsidR="000D310E" w:rsidRPr="00ED711A">
        <w:rPr>
          <w:sz w:val="22"/>
          <w:szCs w:val="22"/>
          <w:lang w:val="fr-CH"/>
        </w:rPr>
        <w:t>’</w:t>
      </w:r>
      <w:r w:rsidRPr="00ED711A">
        <w:rPr>
          <w:sz w:val="22"/>
          <w:szCs w:val="22"/>
          <w:lang w:val="fr-CH"/>
        </w:rPr>
        <w:t>au 26 novembre 2019 ou, si elle est antérieure, jusqu</w:t>
      </w:r>
      <w:r w:rsidR="000D310E" w:rsidRPr="00ED711A">
        <w:rPr>
          <w:sz w:val="22"/>
          <w:szCs w:val="22"/>
          <w:lang w:val="fr-CH"/>
        </w:rPr>
        <w:t>’</w:t>
      </w:r>
      <w:r w:rsidRPr="00ED711A">
        <w:rPr>
          <w:sz w:val="22"/>
          <w:szCs w:val="22"/>
          <w:lang w:val="fr-CH"/>
        </w:rPr>
        <w:t>à la date d</w:t>
      </w:r>
      <w:r w:rsidR="000D310E" w:rsidRPr="00ED711A">
        <w:rPr>
          <w:sz w:val="22"/>
          <w:szCs w:val="22"/>
          <w:lang w:val="fr-CH"/>
        </w:rPr>
        <w:t>’</w:t>
      </w:r>
      <w:r w:rsidRPr="00ED711A">
        <w:rPr>
          <w:sz w:val="22"/>
          <w:szCs w:val="22"/>
          <w:lang w:val="fr-CH"/>
        </w:rPr>
        <w:t>expiration de la période d</w:t>
      </w:r>
      <w:r w:rsidR="000D310E" w:rsidRPr="00ED711A">
        <w:rPr>
          <w:sz w:val="22"/>
          <w:szCs w:val="22"/>
          <w:lang w:val="fr-CH"/>
        </w:rPr>
        <w:t>’</w:t>
      </w:r>
      <w:r w:rsidRPr="00ED711A">
        <w:rPr>
          <w:sz w:val="22"/>
          <w:szCs w:val="22"/>
          <w:lang w:val="fr-CH"/>
        </w:rPr>
        <w:t>examen spécifiée dans une décision d</w:t>
      </w:r>
      <w:r w:rsidR="000D310E" w:rsidRPr="00ED711A">
        <w:rPr>
          <w:sz w:val="22"/>
          <w:szCs w:val="22"/>
          <w:lang w:val="fr-CH"/>
        </w:rPr>
        <w:t>’</w:t>
      </w:r>
      <w:r w:rsidRPr="00ED711A">
        <w:rPr>
          <w:sz w:val="22"/>
          <w:szCs w:val="22"/>
          <w:lang w:val="fr-CH"/>
        </w:rPr>
        <w:t>autorisation ou la date du retrait de l</w:t>
      </w:r>
      <w:r w:rsidR="000D310E" w:rsidRPr="00ED711A">
        <w:rPr>
          <w:sz w:val="22"/>
          <w:szCs w:val="22"/>
          <w:lang w:val="fr-CH"/>
        </w:rPr>
        <w:t>’</w:t>
      </w:r>
      <w:r w:rsidRPr="00ED711A">
        <w:rPr>
          <w:sz w:val="22"/>
          <w:szCs w:val="22"/>
          <w:lang w:val="fr-CH"/>
        </w:rPr>
        <w:t>autorisation en vertu du titre VII du Règlement (CE) No 1907/2006.</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Mesure de réglementation finale a-t-elle été prise après une évaluation des risques et des dangers</w:t>
      </w:r>
      <w:proofErr w:type="gramStart"/>
      <w:r w:rsidRPr="00ED711A">
        <w:rPr>
          <w:b/>
          <w:i/>
          <w:sz w:val="22"/>
          <w:szCs w:val="22"/>
          <w:lang w:val="fr-CH"/>
        </w:rPr>
        <w:t>?:</w:t>
      </w:r>
      <w:proofErr w:type="gramEnd"/>
      <w:r w:rsidRPr="00ED711A">
        <w:rPr>
          <w:b/>
          <w:i/>
          <w:sz w:val="22"/>
          <w:szCs w:val="22"/>
          <w:lang w:val="fr-CH"/>
        </w:rPr>
        <w:t xml:space="preserve"> </w:t>
      </w:r>
      <w:r w:rsidRPr="00ED711A">
        <w:rPr>
          <w:sz w:val="22"/>
          <w:szCs w:val="22"/>
          <w:lang w:val="fr-CH"/>
        </w:rPr>
        <w:t>Oui</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Résumé de la mesure de réglementation finale: </w:t>
      </w:r>
      <w:r w:rsidRPr="00ED711A">
        <w:rPr>
          <w:sz w:val="22"/>
          <w:szCs w:val="22"/>
          <w:lang w:val="fr-CH"/>
        </w:rPr>
        <w:t>Réglementations pour limiter la production, l</w:t>
      </w:r>
      <w:r w:rsidR="000D310E" w:rsidRPr="00ED711A">
        <w:rPr>
          <w:sz w:val="22"/>
          <w:szCs w:val="22"/>
          <w:lang w:val="fr-CH"/>
        </w:rPr>
        <w:t>’</w:t>
      </w:r>
      <w:r w:rsidRPr="00ED711A">
        <w:rPr>
          <w:sz w:val="22"/>
          <w:szCs w:val="22"/>
          <w:lang w:val="fr-CH"/>
        </w:rPr>
        <w:t xml:space="preserve">importation, </w:t>
      </w:r>
      <w:r w:rsidRPr="00ED711A">
        <w:rPr>
          <w:sz w:val="22"/>
          <w:szCs w:val="22"/>
          <w:lang w:val="fr-CH"/>
        </w:rPr>
        <w:lastRenderedPageBreak/>
        <w:t>l</w:t>
      </w:r>
      <w:r w:rsidR="000D310E" w:rsidRPr="00ED711A">
        <w:rPr>
          <w:sz w:val="22"/>
          <w:szCs w:val="22"/>
          <w:lang w:val="fr-CH"/>
        </w:rPr>
        <w:t>’</w:t>
      </w:r>
      <w:r w:rsidRPr="00ED711A">
        <w:rPr>
          <w:sz w:val="22"/>
          <w:szCs w:val="22"/>
          <w:lang w:val="fr-CH"/>
        </w:rPr>
        <w:t xml:space="preserve">exportation ou la vente de biens de consommation contenant du HBCDD dépassant les valeurs </w:t>
      </w:r>
      <w:proofErr w:type="gramStart"/>
      <w:r w:rsidRPr="00ED711A">
        <w:rPr>
          <w:sz w:val="22"/>
          <w:szCs w:val="22"/>
          <w:lang w:val="fr-CH"/>
        </w:rPr>
        <w:t>limites</w:t>
      </w:r>
      <w:proofErr w:type="gramEnd"/>
      <w:r w:rsidRPr="00ED711A">
        <w:rPr>
          <w:sz w:val="22"/>
          <w:szCs w:val="22"/>
          <w:lang w:val="fr-CH"/>
        </w:rPr>
        <w:t>.</w:t>
      </w:r>
    </w:p>
    <w:p w:rsidR="00510BDA" w:rsidRPr="00ED711A" w:rsidRDefault="00510BDA" w:rsidP="0070218D">
      <w:pPr>
        <w:widowControl w:val="0"/>
        <w:autoSpaceDE w:val="0"/>
        <w:autoSpaceDN w:val="0"/>
        <w:adjustRightInd w:val="0"/>
        <w:snapToGrid w:val="0"/>
        <w:spacing w:after="120"/>
        <w:ind w:right="22"/>
        <w:jc w:val="both"/>
        <w:rPr>
          <w:sz w:val="22"/>
          <w:szCs w:val="22"/>
          <w:lang w:val="fr-CH"/>
        </w:rPr>
      </w:pPr>
      <w:r w:rsidRPr="00ED711A">
        <w:rPr>
          <w:b/>
          <w:i/>
          <w:sz w:val="22"/>
          <w:szCs w:val="22"/>
          <w:lang w:val="fr-CH"/>
        </w:rPr>
        <w:t xml:space="preserve">Les raisons ayant motivé la mesure de réglementation finale étaient liées à: </w:t>
      </w:r>
      <w:r w:rsidRPr="00ED711A">
        <w:rPr>
          <w:sz w:val="22"/>
          <w:szCs w:val="22"/>
          <w:lang w:val="fr-CH"/>
        </w:rPr>
        <w:t>La santé humaine et l</w:t>
      </w:r>
      <w:r w:rsidR="000D310E" w:rsidRPr="00ED711A">
        <w:rPr>
          <w:sz w:val="22"/>
          <w:szCs w:val="22"/>
          <w:lang w:val="fr-CH"/>
        </w:rPr>
        <w:t>’</w:t>
      </w:r>
      <w:r w:rsidRPr="00ED711A">
        <w:rPr>
          <w:sz w:val="22"/>
          <w:szCs w:val="22"/>
          <w:lang w:val="fr-CH"/>
        </w:rPr>
        <w:t>environnement.</w:t>
      </w:r>
    </w:p>
    <w:p w:rsidR="00510BDA" w:rsidRPr="00ED711A" w:rsidRDefault="00510BDA" w:rsidP="0070218D">
      <w:pPr>
        <w:widowControl w:val="0"/>
        <w:autoSpaceDE w:val="0"/>
        <w:autoSpaceDN w:val="0"/>
        <w:adjustRightInd w:val="0"/>
        <w:snapToGrid w:val="0"/>
        <w:spacing w:after="120"/>
        <w:jc w:val="both"/>
        <w:rPr>
          <w:sz w:val="22"/>
          <w:szCs w:val="22"/>
          <w:lang w:val="fr-FR"/>
        </w:rPr>
      </w:pPr>
      <w:r w:rsidRPr="00ED711A">
        <w:rPr>
          <w:b/>
          <w:i/>
          <w:sz w:val="22"/>
          <w:szCs w:val="22"/>
          <w:lang w:val="fr-CH"/>
        </w:rPr>
        <w:t xml:space="preserve">Résumé des dangers et risques connus pour la santé des personnes: </w:t>
      </w:r>
      <w:r w:rsidRPr="00ED711A">
        <w:rPr>
          <w:sz w:val="22"/>
          <w:szCs w:val="22"/>
          <w:lang w:val="fr-FR"/>
        </w:rPr>
        <w:t>Le HBCDD est utilisé dans plusieurs produits dont certains sont disponibles pour le consommateur, par ex. les tissus d</w:t>
      </w:r>
      <w:r w:rsidR="000D310E" w:rsidRPr="00ED711A">
        <w:rPr>
          <w:sz w:val="22"/>
          <w:szCs w:val="22"/>
          <w:lang w:val="fr-FR"/>
        </w:rPr>
        <w:t>’</w:t>
      </w:r>
      <w:r w:rsidRPr="00ED711A">
        <w:rPr>
          <w:sz w:val="22"/>
          <w:szCs w:val="22"/>
          <w:lang w:val="fr-FR"/>
        </w:rPr>
        <w:t>ameublement, les tissus à l</w:t>
      </w:r>
      <w:r w:rsidR="000D310E" w:rsidRPr="00ED711A">
        <w:rPr>
          <w:sz w:val="22"/>
          <w:szCs w:val="22"/>
          <w:lang w:val="fr-FR"/>
        </w:rPr>
        <w:t>’</w:t>
      </w:r>
      <w:r w:rsidRPr="00ED711A">
        <w:rPr>
          <w:sz w:val="22"/>
          <w:szCs w:val="22"/>
          <w:lang w:val="fr-FR"/>
        </w:rPr>
        <w:t xml:space="preserve">intérieur des automobiles, les panneaux de construction et les toiles à matelas. Dans la plupart des applications, le HBCDD est présent en tant que non lié dans un polymère et peut migrer du polymère et être libéré. </w:t>
      </w:r>
    </w:p>
    <w:p w:rsidR="00510BDA" w:rsidRPr="00ED711A" w:rsidRDefault="00510BDA" w:rsidP="0070218D">
      <w:pPr>
        <w:widowControl w:val="0"/>
        <w:autoSpaceDE w:val="0"/>
        <w:autoSpaceDN w:val="0"/>
        <w:adjustRightInd w:val="0"/>
        <w:snapToGrid w:val="0"/>
        <w:spacing w:after="120"/>
        <w:jc w:val="both"/>
        <w:rPr>
          <w:sz w:val="22"/>
          <w:szCs w:val="22"/>
          <w:lang w:val="fr-FR"/>
        </w:rPr>
      </w:pPr>
      <w:r w:rsidRPr="00ED711A">
        <w:rPr>
          <w:sz w:val="22"/>
          <w:szCs w:val="22"/>
          <w:lang w:val="fr-FR"/>
        </w:rPr>
        <w:t xml:space="preserve">Les consommateurs peuvent être exposés au HBCDD par voie cutanée, par voie orale ou respiratoire. </w:t>
      </w:r>
    </w:p>
    <w:p w:rsidR="00510BDA" w:rsidRPr="00ED711A" w:rsidRDefault="00510BDA" w:rsidP="0070218D">
      <w:pPr>
        <w:widowControl w:val="0"/>
        <w:autoSpaceDE w:val="0"/>
        <w:autoSpaceDN w:val="0"/>
        <w:adjustRightInd w:val="0"/>
        <w:snapToGrid w:val="0"/>
        <w:spacing w:after="120"/>
        <w:jc w:val="both"/>
        <w:rPr>
          <w:sz w:val="22"/>
          <w:szCs w:val="22"/>
          <w:lang w:val="el-GR"/>
        </w:rPr>
      </w:pPr>
      <w:r w:rsidRPr="00ED711A">
        <w:rPr>
          <w:sz w:val="22"/>
          <w:szCs w:val="22"/>
          <w:lang w:val="fr-CH"/>
        </w:rPr>
        <w:t>Le HBCDD a été détecté dans le lait maternel et dans le plasma de mères norvégiennes. En 1986, 1993 et 2001, des échantillons de lait maternel ont été obtenus de 10-12 mères primipares habitant des zones côtières dans le nord (Tromsø), des zones rurales internes (Hamar) et des zones industrialisées dans le sud de la Norvège (Skin/Porsgrunn). Les échantillons collectés en 1993 et 2001 à Tromsø, Hamar et Skien/Porsgrunn ont été regroupés. De l</w:t>
      </w:r>
      <w:r w:rsidR="000D310E" w:rsidRPr="00ED711A">
        <w:rPr>
          <w:sz w:val="22"/>
          <w:szCs w:val="22"/>
          <w:lang w:val="fr-CH"/>
        </w:rPr>
        <w:t>’</w:t>
      </w:r>
      <w:r w:rsidRPr="00ED711A">
        <w:rPr>
          <w:sz w:val="22"/>
          <w:szCs w:val="22"/>
          <w:lang w:val="fr-CH"/>
        </w:rPr>
        <w:t>étude de 1986, n</w:t>
      </w:r>
      <w:r w:rsidR="000D310E" w:rsidRPr="00ED711A">
        <w:rPr>
          <w:sz w:val="22"/>
          <w:szCs w:val="22"/>
          <w:lang w:val="fr-CH"/>
        </w:rPr>
        <w:t>’</w:t>
      </w:r>
      <w:r w:rsidRPr="00ED711A">
        <w:rPr>
          <w:sz w:val="22"/>
          <w:szCs w:val="22"/>
          <w:lang w:val="fr-CH"/>
        </w:rPr>
        <w:t xml:space="preserve">étaient disponibles que deux échantillons individuels. Le HBCDD a été trouvé dans tous les échantillons mais à des niveaux très variables, plage de valeurs 0,25-2 ng/g dans les lipides (Thomsen et </w:t>
      </w:r>
      <w:proofErr w:type="gramStart"/>
      <w:r w:rsidRPr="00ED711A">
        <w:rPr>
          <w:sz w:val="22"/>
          <w:szCs w:val="22"/>
          <w:lang w:val="fr-CH"/>
        </w:rPr>
        <w:t>al.,</w:t>
      </w:r>
      <w:proofErr w:type="gramEnd"/>
      <w:r w:rsidRPr="00ED711A">
        <w:rPr>
          <w:sz w:val="22"/>
          <w:szCs w:val="22"/>
          <w:lang w:val="fr-CH"/>
        </w:rPr>
        <w:t xml:space="preserve"> 2003). Les niveaux du HBCDD dans le plasma de 10 femmes enceintes habitant Bodø, Norvège, et de 10 femmes habitant Taimyr, Russie, ont été analysés par CL-SM. Les échantillons ont été collectés en  août-décembre 2002. L</w:t>
      </w:r>
      <w:r w:rsidR="000D310E" w:rsidRPr="00ED711A">
        <w:rPr>
          <w:sz w:val="22"/>
          <w:szCs w:val="22"/>
          <w:lang w:val="fr-CH"/>
        </w:rPr>
        <w:t>’</w:t>
      </w:r>
      <w:r w:rsidRPr="00ED711A">
        <w:rPr>
          <w:sz w:val="22"/>
          <w:szCs w:val="22"/>
          <w:lang w:val="fr-CH"/>
        </w:rPr>
        <w:t>âge des femmes variait entre 20 et 35 ans et elles avaient déjà eu un enfant précédemment. Aucun des sites n</w:t>
      </w:r>
      <w:r w:rsidR="000D310E" w:rsidRPr="00ED711A">
        <w:rPr>
          <w:sz w:val="22"/>
          <w:szCs w:val="22"/>
          <w:lang w:val="fr-CH"/>
        </w:rPr>
        <w:t>’</w:t>
      </w:r>
      <w:r w:rsidRPr="00ED711A">
        <w:rPr>
          <w:sz w:val="22"/>
          <w:szCs w:val="22"/>
          <w:lang w:val="fr-CH"/>
        </w:rPr>
        <w:t>avait de source locale de HBCDD connue. Le HBCDD avait été détecté dans plus de la moitié des échantillons mais à de basses concentrations, près du seuil de détection. Les valeurs médianes et la plage des valeurs des échantillons norvégiens étaient (</w:t>
      </w:r>
      <w:r w:rsidRPr="00ED711A">
        <w:rPr>
          <w:sz w:val="22"/>
          <w:szCs w:val="22"/>
          <w:lang w:val="el-GR"/>
        </w:rPr>
        <w:t xml:space="preserve">pg/ml plasma): α-HBCDD 19 (&lt;11-345), β-HBCDD 7 (5-343), γ-HBCDD 23 (7-317) et les valeurs </w:t>
      </w:r>
      <w:r w:rsidRPr="00ED711A">
        <w:rPr>
          <w:sz w:val="22"/>
          <w:szCs w:val="22"/>
          <w:lang w:val="fr-CH"/>
        </w:rPr>
        <w:t>médianes et la plage des valeurs des échantillons russes é</w:t>
      </w:r>
      <w:r w:rsidRPr="00ED711A">
        <w:rPr>
          <w:sz w:val="22"/>
          <w:szCs w:val="22"/>
          <w:lang w:val="el-GR"/>
        </w:rPr>
        <w:t>taient: α-HBCDD 21(&lt;11-51), β-HBCDD 8 (&lt;5-126), γ-HBCDD 33 (13- 160). (Odland et al., 2005).</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 xml:space="preserve">Effet escompté de la mesure de réglementation finale sur la santé humaine: </w:t>
      </w:r>
      <w:r w:rsidRPr="00ED711A">
        <w:rPr>
          <w:sz w:val="22"/>
          <w:szCs w:val="22"/>
          <w:lang w:val="fr-CH"/>
        </w:rPr>
        <w:t>Niveaux réduits d</w:t>
      </w:r>
      <w:r w:rsidR="000D310E" w:rsidRPr="00ED711A">
        <w:rPr>
          <w:sz w:val="22"/>
          <w:szCs w:val="22"/>
          <w:lang w:val="fr-CH"/>
        </w:rPr>
        <w:t>’</w:t>
      </w:r>
      <w:r w:rsidRPr="00ED711A">
        <w:rPr>
          <w:sz w:val="22"/>
          <w:szCs w:val="22"/>
          <w:lang w:val="fr-CH"/>
        </w:rPr>
        <w:t>exposition au HBCDD.</w:t>
      </w:r>
    </w:p>
    <w:p w:rsidR="00510BDA" w:rsidRPr="00ED711A" w:rsidRDefault="00510BDA" w:rsidP="0070218D">
      <w:pPr>
        <w:widowControl w:val="0"/>
        <w:autoSpaceDE w:val="0"/>
        <w:autoSpaceDN w:val="0"/>
        <w:adjustRightInd w:val="0"/>
        <w:snapToGrid w:val="0"/>
        <w:spacing w:after="120"/>
        <w:jc w:val="both"/>
        <w:rPr>
          <w:sz w:val="22"/>
          <w:szCs w:val="22"/>
          <w:lang w:val="fr-FR"/>
        </w:rPr>
      </w:pPr>
      <w:r w:rsidRPr="00ED711A">
        <w:rPr>
          <w:b/>
          <w:i/>
          <w:sz w:val="22"/>
          <w:szCs w:val="22"/>
          <w:lang w:val="fr-CH"/>
        </w:rPr>
        <w:t>Résumé des dangers et risques connus pour l</w:t>
      </w:r>
      <w:r w:rsidR="000D310E" w:rsidRPr="00ED711A">
        <w:rPr>
          <w:b/>
          <w:i/>
          <w:sz w:val="22"/>
          <w:szCs w:val="22"/>
          <w:lang w:val="fr-CH"/>
        </w:rPr>
        <w:t>’</w:t>
      </w:r>
      <w:r w:rsidRPr="00ED711A">
        <w:rPr>
          <w:b/>
          <w:i/>
          <w:sz w:val="22"/>
          <w:szCs w:val="22"/>
          <w:lang w:val="fr-CH"/>
        </w:rPr>
        <w:t xml:space="preserve">environnement: </w:t>
      </w:r>
      <w:r w:rsidRPr="00ED711A">
        <w:rPr>
          <w:sz w:val="22"/>
          <w:szCs w:val="22"/>
          <w:lang w:val="fr-FR"/>
        </w:rPr>
        <w:t>Le HCBDD est persistant dans l</w:t>
      </w:r>
      <w:r w:rsidR="000D310E" w:rsidRPr="00ED711A">
        <w:rPr>
          <w:sz w:val="22"/>
          <w:szCs w:val="22"/>
          <w:lang w:val="fr-FR"/>
        </w:rPr>
        <w:t>’</w:t>
      </w:r>
      <w:r w:rsidRPr="00ED711A">
        <w:rPr>
          <w:sz w:val="22"/>
          <w:szCs w:val="22"/>
          <w:lang w:val="fr-FR"/>
        </w:rPr>
        <w:t>environnement et se bioaccumule. Il a été détecté largement disséminé dans l</w:t>
      </w:r>
      <w:r w:rsidR="000D310E" w:rsidRPr="00ED711A">
        <w:rPr>
          <w:sz w:val="22"/>
          <w:szCs w:val="22"/>
          <w:lang w:val="fr-FR"/>
        </w:rPr>
        <w:t>’</w:t>
      </w:r>
      <w:r w:rsidRPr="00ED711A">
        <w:rPr>
          <w:sz w:val="22"/>
          <w:szCs w:val="22"/>
          <w:lang w:val="fr-FR"/>
        </w:rPr>
        <w:t xml:space="preserve">environnement norvégien dans les zones reculées et les zones urbaines/suburbaines. Les préoccupations étaient liées au degré de bioaccumulation dans plusieurs chaînes alimentaires et dans les organismes arctiques en particulier, qui souffrent de multiples facteurs de stress dus au changement climatique et à une charge corporelle de polluants élevée. </w:t>
      </w:r>
    </w:p>
    <w:p w:rsidR="00510BDA" w:rsidRPr="00ED711A" w:rsidRDefault="00510BDA" w:rsidP="00702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 w:val="left" w:pos="10080"/>
          <w:tab w:val="left" w:pos="10800"/>
          <w:tab w:val="left" w:pos="11520"/>
          <w:tab w:val="left" w:pos="12240"/>
          <w:tab w:val="left" w:pos="12960"/>
          <w:tab w:val="left" w:pos="13680"/>
          <w:tab w:val="left" w:pos="14400"/>
          <w:tab w:val="left" w:pos="14639"/>
        </w:tabs>
        <w:autoSpaceDE w:val="0"/>
        <w:autoSpaceDN w:val="0"/>
        <w:adjustRightInd w:val="0"/>
        <w:snapToGrid w:val="0"/>
        <w:spacing w:after="120"/>
        <w:jc w:val="both"/>
        <w:rPr>
          <w:sz w:val="22"/>
          <w:szCs w:val="22"/>
          <w:lang w:val="fr-CH"/>
        </w:rPr>
      </w:pPr>
      <w:r w:rsidRPr="00ED711A">
        <w:rPr>
          <w:sz w:val="22"/>
          <w:szCs w:val="22"/>
          <w:lang w:val="fr-FR"/>
        </w:rPr>
        <w:t>Le HBCDD a été détecté dans les eaux usées et la boue des STEPs urbaines [STation d</w:t>
      </w:r>
      <w:r w:rsidR="000D310E" w:rsidRPr="00ED711A">
        <w:rPr>
          <w:sz w:val="22"/>
          <w:szCs w:val="22"/>
          <w:lang w:val="fr-FR"/>
        </w:rPr>
        <w:t>’</w:t>
      </w:r>
      <w:r w:rsidRPr="00ED711A">
        <w:rPr>
          <w:sz w:val="22"/>
          <w:szCs w:val="22"/>
          <w:lang w:val="fr-FR"/>
        </w:rPr>
        <w:t>EPuration des eaux usées] en Norvège. La concentration détectée dans les eaux usées variait d</w:t>
      </w:r>
      <w:r w:rsidR="000D310E" w:rsidRPr="00ED711A">
        <w:rPr>
          <w:sz w:val="22"/>
          <w:szCs w:val="22"/>
          <w:lang w:val="fr-FR"/>
        </w:rPr>
        <w:t>’</w:t>
      </w:r>
      <w:r w:rsidRPr="00ED711A">
        <w:rPr>
          <w:sz w:val="22"/>
          <w:szCs w:val="22"/>
          <w:lang w:val="fr-FR"/>
        </w:rPr>
        <w:t xml:space="preserve">environ 0,0005 </w:t>
      </w:r>
      <w:r w:rsidRPr="00ED711A">
        <w:rPr>
          <w:sz w:val="22"/>
          <w:szCs w:val="22"/>
          <w:lang w:val="el-GR"/>
        </w:rPr>
        <w:t xml:space="preserve">μg HBCDD/l </w:t>
      </w:r>
      <w:r w:rsidRPr="00ED711A">
        <w:rPr>
          <w:sz w:val="22"/>
          <w:szCs w:val="22"/>
          <w:lang w:val="fr-CH"/>
        </w:rPr>
        <w:t xml:space="preserve">à Bekkelaget à environ  0,025 </w:t>
      </w:r>
      <w:r w:rsidRPr="00ED711A">
        <w:rPr>
          <w:sz w:val="22"/>
          <w:szCs w:val="22"/>
          <w:lang w:val="el-GR"/>
        </w:rPr>
        <w:t xml:space="preserve">μg HBCDD/l </w:t>
      </w:r>
      <w:r w:rsidRPr="00ED711A">
        <w:rPr>
          <w:sz w:val="22"/>
          <w:szCs w:val="22"/>
          <w:lang w:val="fr-CH"/>
        </w:rPr>
        <w:t xml:space="preserve">à Høvringen. Les concentrations dans la boue variaient entre des parties de </w:t>
      </w:r>
      <w:r w:rsidRPr="00ED711A">
        <w:rPr>
          <w:sz w:val="22"/>
          <w:szCs w:val="22"/>
          <w:lang w:val="el-GR"/>
        </w:rPr>
        <w:t xml:space="preserve">μg HBCDD/kg </w:t>
      </w:r>
      <w:r w:rsidRPr="00ED711A">
        <w:rPr>
          <w:sz w:val="22"/>
          <w:szCs w:val="22"/>
          <w:lang w:val="fr-CH"/>
        </w:rPr>
        <w:t xml:space="preserve">de poids sec à Bekkelag et environ cinquante dans la boue à Høvringen (Fjeld et </w:t>
      </w:r>
      <w:proofErr w:type="gramStart"/>
      <w:r w:rsidRPr="00ED711A">
        <w:rPr>
          <w:sz w:val="22"/>
          <w:szCs w:val="22"/>
          <w:lang w:val="fr-CH"/>
        </w:rPr>
        <w:t>al.,</w:t>
      </w:r>
      <w:proofErr w:type="gramEnd"/>
      <w:r w:rsidRPr="00ED711A">
        <w:rPr>
          <w:sz w:val="22"/>
          <w:szCs w:val="22"/>
          <w:lang w:val="fr-CH"/>
        </w:rPr>
        <w:t xml:space="preserve"> 2005). Les auteurs ont également analysé les eaux de lixiviation et la boue des décharges. Les concentrations de HBCDD dans les eaux de lixiviation non traitées et dans la boue variaient entre 0,00036-0.149 </w:t>
      </w:r>
      <w:r w:rsidRPr="00ED711A">
        <w:rPr>
          <w:sz w:val="22"/>
          <w:szCs w:val="22"/>
          <w:lang w:val="el-GR"/>
        </w:rPr>
        <w:t>μg HBCDD/l et 0.16-9.95 μg HBCDD/kg</w:t>
      </w:r>
      <w:r w:rsidRPr="00ED711A">
        <w:rPr>
          <w:sz w:val="22"/>
          <w:szCs w:val="22"/>
          <w:lang w:val="fr-CH"/>
        </w:rPr>
        <w:t xml:space="preserve"> de poids sec. Les concentrations les plus élevées ont été mesurées dans la décharge de Djupvik. La concentration dans les échantillons rincés était de 34-67% de celle dans les échantillons d</w:t>
      </w:r>
      <w:r w:rsidR="000D310E" w:rsidRPr="00ED711A">
        <w:rPr>
          <w:sz w:val="22"/>
          <w:szCs w:val="22"/>
          <w:lang w:val="fr-CH"/>
        </w:rPr>
        <w:t>’</w:t>
      </w:r>
      <w:r w:rsidRPr="00ED711A">
        <w:rPr>
          <w:sz w:val="22"/>
          <w:szCs w:val="22"/>
          <w:lang w:val="fr-CH"/>
        </w:rPr>
        <w:t>eau non traitée (Fjeld and co-workers, 2005).</w:t>
      </w:r>
    </w:p>
    <w:p w:rsidR="00510BDA" w:rsidRPr="00ED711A" w:rsidRDefault="00510BDA" w:rsidP="00702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 w:val="left" w:pos="10080"/>
          <w:tab w:val="left" w:pos="10800"/>
          <w:tab w:val="left" w:pos="11520"/>
          <w:tab w:val="left" w:pos="12240"/>
          <w:tab w:val="left" w:pos="12960"/>
          <w:tab w:val="left" w:pos="13680"/>
          <w:tab w:val="left" w:pos="14400"/>
          <w:tab w:val="left" w:pos="14639"/>
        </w:tabs>
        <w:autoSpaceDE w:val="0"/>
        <w:autoSpaceDN w:val="0"/>
        <w:adjustRightInd w:val="0"/>
        <w:snapToGrid w:val="0"/>
        <w:spacing w:after="120"/>
        <w:jc w:val="both"/>
        <w:rPr>
          <w:sz w:val="22"/>
          <w:szCs w:val="22"/>
          <w:lang w:val="fr-CH"/>
        </w:rPr>
      </w:pPr>
      <w:r w:rsidRPr="00ED711A">
        <w:rPr>
          <w:sz w:val="22"/>
          <w:szCs w:val="22"/>
          <w:lang w:val="fr-CH"/>
        </w:rPr>
        <w:t>Un dépistage de la présence du HCBDD dans l</w:t>
      </w:r>
      <w:r w:rsidR="000D310E" w:rsidRPr="00ED711A">
        <w:rPr>
          <w:sz w:val="22"/>
          <w:szCs w:val="22"/>
          <w:lang w:val="fr-CH"/>
        </w:rPr>
        <w:t>’</w:t>
      </w:r>
      <w:r w:rsidRPr="00ED711A">
        <w:rPr>
          <w:sz w:val="22"/>
          <w:szCs w:val="22"/>
          <w:lang w:val="fr-CH"/>
        </w:rPr>
        <w:t>environnement norvégien a été mené par Fjeld et al. (2005): des échantillons de sédiments ont été collectés dans un environnement d</w:t>
      </w:r>
      <w:r w:rsidR="000D310E" w:rsidRPr="00ED711A">
        <w:rPr>
          <w:sz w:val="22"/>
          <w:szCs w:val="22"/>
          <w:lang w:val="fr-CH"/>
        </w:rPr>
        <w:t>’</w:t>
      </w:r>
      <w:r w:rsidRPr="00ED711A">
        <w:rPr>
          <w:sz w:val="22"/>
          <w:szCs w:val="22"/>
          <w:lang w:val="fr-CH"/>
        </w:rPr>
        <w:t xml:space="preserve">eau douce de 6 localités du sud de la Norvège. Dans chaque site de prélèvement, 5-8 échantillons ont été pris dans la couche supérieure à 0-2 cm. Fjeld et collaborateurs ((2006b) ont mesuré le HBCDD dans les sédiments de surface dans le lac Mjøsa en Norvège. Des concentrations élevées de HBCDD (8-21 </w:t>
      </w:r>
      <w:r w:rsidRPr="00ED711A">
        <w:rPr>
          <w:sz w:val="22"/>
          <w:szCs w:val="22"/>
          <w:lang w:val="el-GR"/>
        </w:rPr>
        <w:t xml:space="preserve">μg HBCDD/kg </w:t>
      </w:r>
      <w:r w:rsidRPr="00ED711A">
        <w:rPr>
          <w:sz w:val="22"/>
          <w:szCs w:val="22"/>
          <w:lang w:val="fr-CH"/>
        </w:rPr>
        <w:t>de poids sec) ont été trouvées à l</w:t>
      </w:r>
      <w:r w:rsidR="000D310E" w:rsidRPr="00ED711A">
        <w:rPr>
          <w:sz w:val="22"/>
          <w:szCs w:val="22"/>
          <w:lang w:val="fr-CH"/>
        </w:rPr>
        <w:t>’</w:t>
      </w:r>
      <w:r w:rsidRPr="00ED711A">
        <w:rPr>
          <w:sz w:val="22"/>
          <w:szCs w:val="22"/>
          <w:lang w:val="fr-CH"/>
        </w:rPr>
        <w:t xml:space="preserve">extérieur de la ville de Lillehammer et dans le site de Vineront par rapport aux concentrations couramment trouvées (0.5-2 </w:t>
      </w:r>
      <w:r w:rsidRPr="00ED711A">
        <w:rPr>
          <w:sz w:val="22"/>
          <w:szCs w:val="22"/>
          <w:lang w:val="el-GR"/>
        </w:rPr>
        <w:t xml:space="preserve">μg HBCDD/kg </w:t>
      </w:r>
      <w:r w:rsidRPr="00ED711A">
        <w:rPr>
          <w:sz w:val="22"/>
          <w:szCs w:val="22"/>
          <w:lang w:val="fr-CH"/>
        </w:rPr>
        <w:t>de poids sec). Il a été considéré que ces concentrations élevées étaient dues au fait que ces dernières années une usine textile avait utilisé le HBCDD dans sa production à Lillehammer. Dans quelques autres stations urbaines d</w:t>
      </w:r>
      <w:r w:rsidR="000D310E" w:rsidRPr="00ED711A">
        <w:rPr>
          <w:sz w:val="22"/>
          <w:szCs w:val="22"/>
          <w:lang w:val="fr-CH"/>
        </w:rPr>
        <w:t>’</w:t>
      </w:r>
      <w:r w:rsidRPr="00ED711A">
        <w:rPr>
          <w:sz w:val="22"/>
          <w:szCs w:val="22"/>
          <w:lang w:val="fr-CH"/>
        </w:rPr>
        <w:t>échantillonnage des sédiments, n</w:t>
      </w:r>
      <w:r w:rsidR="000D310E" w:rsidRPr="00ED711A">
        <w:rPr>
          <w:sz w:val="22"/>
          <w:szCs w:val="22"/>
          <w:lang w:val="fr-CH"/>
        </w:rPr>
        <w:t>’</w:t>
      </w:r>
      <w:r w:rsidRPr="00ED711A">
        <w:rPr>
          <w:sz w:val="22"/>
          <w:szCs w:val="22"/>
          <w:lang w:val="fr-CH"/>
        </w:rPr>
        <w:t xml:space="preserve">ont été trouvées que des concentrations légèrement élevées (2-6.5 </w:t>
      </w:r>
      <w:r w:rsidRPr="00ED711A">
        <w:rPr>
          <w:sz w:val="22"/>
          <w:szCs w:val="22"/>
          <w:lang w:val="el-GR"/>
        </w:rPr>
        <w:t xml:space="preserve">μg HBCDD/kg </w:t>
      </w:r>
      <w:r w:rsidRPr="00ED711A">
        <w:rPr>
          <w:sz w:val="22"/>
          <w:szCs w:val="22"/>
          <w:lang w:val="fr-CH"/>
        </w:rPr>
        <w:t>de poids sec). Les carottes sédimentaires datées dans le site de Vingrom ont montré une claire augmentation des concentrations de HBCDD à partir de la fin des années 1990s, avec un niveau maximal dans les couches de surface. Les autres carottes datées n</w:t>
      </w:r>
      <w:r w:rsidR="000D310E" w:rsidRPr="00ED711A">
        <w:rPr>
          <w:sz w:val="22"/>
          <w:szCs w:val="22"/>
          <w:lang w:val="fr-CH"/>
        </w:rPr>
        <w:t>’</w:t>
      </w:r>
      <w:r w:rsidRPr="00ED711A">
        <w:rPr>
          <w:sz w:val="22"/>
          <w:szCs w:val="22"/>
          <w:lang w:val="fr-CH"/>
        </w:rPr>
        <w:t>ont relevé qu</w:t>
      </w:r>
      <w:r w:rsidR="000D310E" w:rsidRPr="00ED711A">
        <w:rPr>
          <w:sz w:val="22"/>
          <w:szCs w:val="22"/>
          <w:lang w:val="fr-CH"/>
        </w:rPr>
        <w:t>’</w:t>
      </w:r>
      <w:r w:rsidRPr="00ED711A">
        <w:rPr>
          <w:sz w:val="22"/>
          <w:szCs w:val="22"/>
          <w:lang w:val="fr-CH"/>
        </w:rPr>
        <w:t xml:space="preserve">une faible augmentation de la concentration de HBCDD vers la surface du sédiment. Schlabach et al. (2002) ont mesuré le HBCDD dans les bassins de sédimentation pour les eaux de lixiviation de six décharges dans le sud de la Norvège. Les concentrations variaient entre des valeurs inférieures à la limite de détection à Drammen et 84 ng HBCDD/kg de poids humide dans la décharge de Kristiansand. Des échantillons de sédiment prélevés dans la rivière Drammens présentaient des concentrations décelables de </w:t>
      </w:r>
      <w:r w:rsidRPr="00ED711A">
        <w:rPr>
          <w:sz w:val="22"/>
          <w:szCs w:val="22"/>
          <w:lang w:val="el-GR"/>
        </w:rPr>
        <w:t xml:space="preserve">α-HBCDD et de γ-HBCDD (Schlabach et </w:t>
      </w:r>
      <w:proofErr w:type="gramStart"/>
      <w:r w:rsidRPr="00ED711A">
        <w:rPr>
          <w:sz w:val="22"/>
          <w:szCs w:val="22"/>
          <w:lang w:val="el-GR"/>
        </w:rPr>
        <w:t>al.,</w:t>
      </w:r>
      <w:proofErr w:type="gramEnd"/>
      <w:r w:rsidRPr="00ED711A">
        <w:rPr>
          <w:sz w:val="22"/>
          <w:szCs w:val="22"/>
          <w:lang w:val="el-GR"/>
        </w:rPr>
        <w:t xml:space="preserve"> </w:t>
      </w:r>
      <w:r w:rsidRPr="00ED711A">
        <w:rPr>
          <w:sz w:val="22"/>
          <w:szCs w:val="22"/>
          <w:lang w:val="el-GR"/>
        </w:rPr>
        <w:lastRenderedPageBreak/>
        <w:t>2004). Des conce</w:t>
      </w:r>
      <w:r w:rsidRPr="00ED711A">
        <w:rPr>
          <w:sz w:val="22"/>
          <w:szCs w:val="22"/>
          <w:lang w:val="fr-CH"/>
        </w:rPr>
        <w:t>ntrations étonnamment élevées d</w:t>
      </w:r>
      <w:r w:rsidR="000D310E" w:rsidRPr="00ED711A">
        <w:rPr>
          <w:sz w:val="22"/>
          <w:szCs w:val="22"/>
          <w:lang w:val="fr-CH"/>
        </w:rPr>
        <w:t>’</w:t>
      </w:r>
      <w:r w:rsidRPr="00ED711A">
        <w:rPr>
          <w:sz w:val="22"/>
          <w:szCs w:val="22"/>
          <w:lang w:val="fr-CH"/>
        </w:rPr>
        <w:t xml:space="preserve">environ 8000 </w:t>
      </w:r>
      <w:r w:rsidRPr="00ED711A">
        <w:rPr>
          <w:sz w:val="22"/>
          <w:szCs w:val="22"/>
          <w:lang w:val="el-GR"/>
        </w:rPr>
        <w:t xml:space="preserve">μg HBCDD/kg </w:t>
      </w:r>
      <w:r w:rsidRPr="00ED711A">
        <w:rPr>
          <w:sz w:val="22"/>
          <w:szCs w:val="22"/>
          <w:lang w:val="fr-CH"/>
        </w:rPr>
        <w:t>de poids sec ont été décelées dans le Åsnefjord norvégien qui reçoit les eaux usées d</w:t>
      </w:r>
      <w:r w:rsidR="000D310E" w:rsidRPr="00ED711A">
        <w:rPr>
          <w:sz w:val="22"/>
          <w:szCs w:val="22"/>
          <w:lang w:val="fr-CH"/>
        </w:rPr>
        <w:t>’</w:t>
      </w:r>
      <w:r w:rsidRPr="00ED711A">
        <w:rPr>
          <w:sz w:val="22"/>
          <w:szCs w:val="22"/>
          <w:lang w:val="fr-CH"/>
        </w:rPr>
        <w:t>un formulateur de polystyrène expansé (PSE).</w:t>
      </w:r>
    </w:p>
    <w:p w:rsidR="00510BDA" w:rsidRPr="00ED711A" w:rsidRDefault="00510BDA" w:rsidP="00702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 w:val="left" w:pos="10080"/>
          <w:tab w:val="left" w:pos="10800"/>
          <w:tab w:val="left" w:pos="11520"/>
          <w:tab w:val="left" w:pos="12240"/>
          <w:tab w:val="left" w:pos="12960"/>
          <w:tab w:val="left" w:pos="13680"/>
          <w:tab w:val="left" w:pos="14400"/>
          <w:tab w:val="left" w:pos="14639"/>
        </w:tabs>
        <w:autoSpaceDE w:val="0"/>
        <w:autoSpaceDN w:val="0"/>
        <w:adjustRightInd w:val="0"/>
        <w:snapToGrid w:val="0"/>
        <w:spacing w:after="120"/>
        <w:jc w:val="both"/>
        <w:rPr>
          <w:sz w:val="22"/>
          <w:szCs w:val="22"/>
          <w:lang w:val="fr-CH"/>
        </w:rPr>
      </w:pPr>
      <w:r w:rsidRPr="00ED711A">
        <w:rPr>
          <w:sz w:val="22"/>
          <w:szCs w:val="22"/>
          <w:lang w:val="fr-CH"/>
        </w:rPr>
        <w:t>Le HBCDD a également été trouvé dans le biote en Norvège. Field et collaborateurs (2005) ont échantillonné des moules le long des côtes et dans les fjords norvégiens. La plupart des valeurs se situaient entre environ 0,</w:t>
      </w:r>
      <w:r w:rsidRPr="00ED711A">
        <w:rPr>
          <w:sz w:val="22"/>
          <w:szCs w:val="22"/>
          <w:lang w:val="el-GR"/>
        </w:rPr>
        <w:t xml:space="preserve">2-2.3 μg HBCDD/kg </w:t>
      </w:r>
      <w:r w:rsidRPr="00ED711A">
        <w:rPr>
          <w:sz w:val="22"/>
          <w:szCs w:val="22"/>
          <w:lang w:val="fr-CH"/>
        </w:rPr>
        <w:t>de poids humide. Tou</w:t>
      </w:r>
      <w:r w:rsidRPr="00ED711A">
        <w:rPr>
          <w:sz w:val="22"/>
          <w:szCs w:val="22"/>
          <w:lang w:val="el-GR"/>
        </w:rPr>
        <w:t xml:space="preserve">tefois, des concentrations entre 55-329 μg HBCDD/kg </w:t>
      </w:r>
      <w:r w:rsidRPr="00ED711A">
        <w:rPr>
          <w:sz w:val="22"/>
          <w:szCs w:val="22"/>
          <w:lang w:val="fr-CH"/>
        </w:rPr>
        <w:t xml:space="preserve">de poids humide ont été détectées dans le fjord de Åsne, où se trouvait un producteur de billes PSE. </w:t>
      </w:r>
    </w:p>
    <w:p w:rsidR="00510BDA" w:rsidRPr="00ED711A" w:rsidRDefault="00510BDA" w:rsidP="00702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 w:val="left" w:pos="10080"/>
          <w:tab w:val="left" w:pos="10800"/>
          <w:tab w:val="left" w:pos="11520"/>
          <w:tab w:val="left" w:pos="12240"/>
          <w:tab w:val="left" w:pos="12960"/>
          <w:tab w:val="left" w:pos="13680"/>
          <w:tab w:val="left" w:pos="14400"/>
          <w:tab w:val="left" w:pos="14639"/>
        </w:tabs>
        <w:autoSpaceDE w:val="0"/>
        <w:autoSpaceDN w:val="0"/>
        <w:adjustRightInd w:val="0"/>
        <w:snapToGrid w:val="0"/>
        <w:spacing w:after="120"/>
        <w:jc w:val="both"/>
        <w:rPr>
          <w:sz w:val="22"/>
          <w:szCs w:val="22"/>
          <w:lang w:val="fr-CH"/>
        </w:rPr>
      </w:pPr>
      <w:r w:rsidRPr="00ED711A">
        <w:rPr>
          <w:sz w:val="22"/>
          <w:szCs w:val="22"/>
          <w:lang w:val="fr-CH"/>
        </w:rPr>
        <w:t>Fjeld (2006a) a signalé des concentrations de HBCDD chez l</w:t>
      </w:r>
      <w:r w:rsidR="000D310E" w:rsidRPr="00ED711A">
        <w:rPr>
          <w:sz w:val="22"/>
          <w:szCs w:val="22"/>
          <w:lang w:val="fr-CH"/>
        </w:rPr>
        <w:t>’</w:t>
      </w:r>
      <w:r w:rsidRPr="00ED711A">
        <w:rPr>
          <w:sz w:val="22"/>
          <w:szCs w:val="22"/>
          <w:lang w:val="fr-CH"/>
        </w:rPr>
        <w:t>éperlan (</w:t>
      </w:r>
      <w:r w:rsidRPr="00ED711A">
        <w:rPr>
          <w:i/>
          <w:iCs/>
          <w:sz w:val="22"/>
          <w:szCs w:val="22"/>
          <w:lang w:val="fr-CH"/>
        </w:rPr>
        <w:t>Osmerus emperlants</w:t>
      </w:r>
      <w:r w:rsidRPr="00ED711A">
        <w:rPr>
          <w:sz w:val="22"/>
          <w:szCs w:val="22"/>
          <w:lang w:val="fr-CH"/>
        </w:rPr>
        <w:t>), le corégone blanc (</w:t>
      </w:r>
      <w:r w:rsidRPr="00ED711A">
        <w:rPr>
          <w:i/>
          <w:iCs/>
          <w:sz w:val="22"/>
          <w:szCs w:val="22"/>
          <w:lang w:val="fr-CH"/>
        </w:rPr>
        <w:t>Coregonus albula</w:t>
      </w:r>
      <w:r w:rsidRPr="00ED711A">
        <w:rPr>
          <w:sz w:val="22"/>
          <w:szCs w:val="22"/>
          <w:lang w:val="fr-CH"/>
        </w:rPr>
        <w:t>), la truite brune (</w:t>
      </w:r>
      <w:r w:rsidRPr="00ED711A">
        <w:rPr>
          <w:i/>
          <w:iCs/>
          <w:sz w:val="22"/>
          <w:szCs w:val="22"/>
          <w:lang w:val="fr-CH"/>
        </w:rPr>
        <w:t>Salmo trutta trutta</w:t>
      </w:r>
      <w:r w:rsidRPr="00ED711A">
        <w:rPr>
          <w:sz w:val="22"/>
          <w:szCs w:val="22"/>
          <w:lang w:val="fr-CH"/>
        </w:rPr>
        <w:t>) dans le lac Mjøsa en Norvège. L</w:t>
      </w:r>
      <w:r w:rsidR="000D310E" w:rsidRPr="00ED711A">
        <w:rPr>
          <w:sz w:val="22"/>
          <w:szCs w:val="22"/>
          <w:lang w:val="fr-CH"/>
        </w:rPr>
        <w:t>’</w:t>
      </w:r>
      <w:r w:rsidRPr="00ED711A">
        <w:rPr>
          <w:sz w:val="22"/>
          <w:szCs w:val="22"/>
          <w:lang w:val="fr-CH"/>
        </w:rPr>
        <w:t xml:space="preserve">éperlan et le corégone blanc sont des poissons-proies importants pour la truite. Les concentrations détectées en 2005 étaient de </w:t>
      </w:r>
      <w:r w:rsidRPr="00ED711A">
        <w:rPr>
          <w:sz w:val="22"/>
          <w:szCs w:val="22"/>
          <w:lang w:val="el-GR"/>
        </w:rPr>
        <w:t xml:space="preserve">466 μg HBCDD/kg </w:t>
      </w:r>
      <w:r w:rsidRPr="00ED711A">
        <w:rPr>
          <w:sz w:val="22"/>
          <w:szCs w:val="22"/>
          <w:lang w:val="fr-CH"/>
        </w:rPr>
        <w:t>de poids en lipides</w:t>
      </w:r>
      <w:r w:rsidRPr="00ED711A">
        <w:rPr>
          <w:sz w:val="22"/>
          <w:szCs w:val="22"/>
          <w:lang w:val="el-GR"/>
        </w:rPr>
        <w:t xml:space="preserve"> (8,8 μg HBCDD/kg </w:t>
      </w:r>
      <w:r w:rsidRPr="00ED711A">
        <w:rPr>
          <w:sz w:val="22"/>
          <w:szCs w:val="22"/>
          <w:lang w:val="fr-CH"/>
        </w:rPr>
        <w:t>de poids humide</w:t>
      </w:r>
      <w:r w:rsidRPr="00ED711A">
        <w:rPr>
          <w:sz w:val="22"/>
          <w:szCs w:val="22"/>
          <w:lang w:val="el-GR"/>
        </w:rPr>
        <w:t xml:space="preserve">), 374 μg HBCDD/kg </w:t>
      </w:r>
      <w:r w:rsidRPr="00ED711A">
        <w:rPr>
          <w:sz w:val="22"/>
          <w:szCs w:val="22"/>
          <w:lang w:val="fr-CH"/>
        </w:rPr>
        <w:t>de poids en lipides</w:t>
      </w:r>
      <w:r w:rsidRPr="00ED711A">
        <w:rPr>
          <w:sz w:val="22"/>
          <w:szCs w:val="22"/>
          <w:lang w:val="el-GR"/>
        </w:rPr>
        <w:t xml:space="preserve"> (10,7μg HBCDD/kg </w:t>
      </w:r>
      <w:r w:rsidRPr="00ED711A">
        <w:rPr>
          <w:sz w:val="22"/>
          <w:szCs w:val="22"/>
          <w:lang w:val="fr-CH"/>
        </w:rPr>
        <w:t>de poids humide</w:t>
      </w:r>
      <w:r w:rsidRPr="00ED711A">
        <w:rPr>
          <w:sz w:val="22"/>
          <w:szCs w:val="22"/>
          <w:lang w:val="el-GR"/>
        </w:rPr>
        <w:t xml:space="preserve">), 729 μg HBCDD/kg </w:t>
      </w:r>
      <w:r w:rsidRPr="00ED711A">
        <w:rPr>
          <w:sz w:val="22"/>
          <w:szCs w:val="22"/>
          <w:lang w:val="fr-CH"/>
        </w:rPr>
        <w:t>de poids en lipides</w:t>
      </w:r>
      <w:r w:rsidRPr="00ED711A">
        <w:rPr>
          <w:sz w:val="22"/>
          <w:szCs w:val="22"/>
          <w:lang w:val="el-GR"/>
        </w:rPr>
        <w:t xml:space="preserve"> (18μg HBCDD/kg </w:t>
      </w:r>
      <w:r w:rsidRPr="00ED711A">
        <w:rPr>
          <w:sz w:val="22"/>
          <w:szCs w:val="22"/>
          <w:lang w:val="fr-CH"/>
        </w:rPr>
        <w:t>de poids humide) pour l</w:t>
      </w:r>
      <w:r w:rsidR="000D310E" w:rsidRPr="00ED711A">
        <w:rPr>
          <w:sz w:val="22"/>
          <w:szCs w:val="22"/>
          <w:lang w:val="fr-CH"/>
        </w:rPr>
        <w:t>’</w:t>
      </w:r>
      <w:r w:rsidRPr="00ED711A">
        <w:rPr>
          <w:sz w:val="22"/>
          <w:szCs w:val="22"/>
          <w:lang w:val="fr-CH"/>
        </w:rPr>
        <w:t xml:space="preserve">éperlan, le corégone blanc et la truite brune respectivement. </w:t>
      </w:r>
    </w:p>
    <w:p w:rsidR="00510BDA" w:rsidRPr="00ED711A" w:rsidRDefault="00510BDA" w:rsidP="00702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 w:val="left" w:pos="10080"/>
          <w:tab w:val="left" w:pos="10800"/>
          <w:tab w:val="left" w:pos="11520"/>
          <w:tab w:val="left" w:pos="12240"/>
          <w:tab w:val="left" w:pos="12960"/>
          <w:tab w:val="left" w:pos="13680"/>
          <w:tab w:val="left" w:pos="14400"/>
          <w:tab w:val="left" w:pos="14639"/>
        </w:tabs>
        <w:autoSpaceDE w:val="0"/>
        <w:autoSpaceDN w:val="0"/>
        <w:adjustRightInd w:val="0"/>
        <w:snapToGrid w:val="0"/>
        <w:spacing w:after="120"/>
        <w:jc w:val="both"/>
        <w:rPr>
          <w:sz w:val="22"/>
          <w:szCs w:val="22"/>
          <w:lang w:val="fr-CH"/>
        </w:rPr>
      </w:pPr>
      <w:r w:rsidRPr="00ED711A">
        <w:rPr>
          <w:sz w:val="22"/>
          <w:szCs w:val="22"/>
          <w:lang w:val="fr-CH"/>
        </w:rPr>
        <w:t>Le HBCDD est aussi transporté par l</w:t>
      </w:r>
      <w:r w:rsidR="000D310E" w:rsidRPr="00ED711A">
        <w:rPr>
          <w:sz w:val="22"/>
          <w:szCs w:val="22"/>
          <w:lang w:val="fr-CH"/>
        </w:rPr>
        <w:t>’</w:t>
      </w:r>
      <w:r w:rsidRPr="00ED711A">
        <w:rPr>
          <w:sz w:val="22"/>
          <w:szCs w:val="22"/>
          <w:lang w:val="fr-CH"/>
        </w:rPr>
        <w:t>air et les particules et il a été détecté dans la mousse (</w:t>
      </w:r>
      <w:r w:rsidRPr="00ED711A">
        <w:rPr>
          <w:i/>
          <w:iCs/>
          <w:sz w:val="22"/>
          <w:szCs w:val="22"/>
          <w:lang w:val="fr-CH"/>
        </w:rPr>
        <w:t xml:space="preserve">Hylocomium splendens) </w:t>
      </w:r>
      <w:r w:rsidRPr="00ED711A">
        <w:rPr>
          <w:sz w:val="22"/>
          <w:szCs w:val="22"/>
          <w:lang w:val="fr-CH"/>
        </w:rPr>
        <w:t xml:space="preserve">en </w:t>
      </w:r>
      <w:proofErr w:type="gramStart"/>
      <w:r w:rsidRPr="00ED711A">
        <w:rPr>
          <w:sz w:val="22"/>
          <w:szCs w:val="22"/>
          <w:lang w:val="fr-CH"/>
        </w:rPr>
        <w:t>Norvège</w:t>
      </w:r>
      <w:r w:rsidRPr="00ED711A">
        <w:rPr>
          <w:i/>
          <w:iCs/>
          <w:sz w:val="22"/>
          <w:szCs w:val="22"/>
          <w:lang w:val="fr-CH"/>
        </w:rPr>
        <w:t xml:space="preserve"> .</w:t>
      </w:r>
      <w:proofErr w:type="gramEnd"/>
      <w:r w:rsidRPr="00ED711A">
        <w:rPr>
          <w:i/>
          <w:iCs/>
          <w:sz w:val="22"/>
          <w:szCs w:val="22"/>
          <w:lang w:val="fr-CH"/>
        </w:rPr>
        <w:t xml:space="preserve"> </w:t>
      </w:r>
      <w:r w:rsidRPr="00ED711A">
        <w:rPr>
          <w:sz w:val="22"/>
          <w:szCs w:val="22"/>
          <w:lang w:val="fr-CH"/>
        </w:rPr>
        <w:t>Les concentrations les plus élevées ont été détectées sur la côte sud-sud-ouest et en général elles décroissaient du sud vers le nord. Les concentrations détectées s</w:t>
      </w:r>
      <w:r w:rsidR="000D310E" w:rsidRPr="00ED711A">
        <w:rPr>
          <w:sz w:val="22"/>
          <w:szCs w:val="22"/>
          <w:lang w:val="fr-CH"/>
        </w:rPr>
        <w:t>’</w:t>
      </w:r>
      <w:r w:rsidRPr="00ED711A">
        <w:rPr>
          <w:sz w:val="22"/>
          <w:szCs w:val="22"/>
          <w:lang w:val="fr-CH"/>
        </w:rPr>
        <w:t>étendent sur près de quatre ordres de grandeur en dessous de la limite de détection jusqu</w:t>
      </w:r>
      <w:r w:rsidR="000D310E" w:rsidRPr="00ED711A">
        <w:rPr>
          <w:sz w:val="22"/>
          <w:szCs w:val="22"/>
          <w:lang w:val="fr-CH"/>
        </w:rPr>
        <w:t>’</w:t>
      </w:r>
      <w:r w:rsidRPr="00ED711A">
        <w:rPr>
          <w:sz w:val="22"/>
          <w:szCs w:val="22"/>
          <w:lang w:val="fr-CH"/>
        </w:rPr>
        <w:t xml:space="preserve">à 11114 </w:t>
      </w:r>
      <w:r w:rsidRPr="00ED711A">
        <w:rPr>
          <w:sz w:val="22"/>
          <w:szCs w:val="22"/>
          <w:lang w:val="el-GR"/>
        </w:rPr>
        <w:t xml:space="preserve">μg HBCDD/kg </w:t>
      </w:r>
      <w:r w:rsidRPr="00ED711A">
        <w:rPr>
          <w:sz w:val="22"/>
          <w:szCs w:val="22"/>
          <w:lang w:val="fr-CH"/>
        </w:rPr>
        <w:t>de poids humide.</w:t>
      </w:r>
    </w:p>
    <w:p w:rsidR="00510BDA" w:rsidRPr="00ED711A" w:rsidRDefault="00510BDA" w:rsidP="00702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 w:val="left" w:pos="10080"/>
          <w:tab w:val="left" w:pos="10800"/>
          <w:tab w:val="left" w:pos="11520"/>
          <w:tab w:val="left" w:pos="12240"/>
          <w:tab w:val="left" w:pos="12960"/>
          <w:tab w:val="left" w:pos="13680"/>
          <w:tab w:val="left" w:pos="14400"/>
          <w:tab w:val="left" w:pos="14639"/>
        </w:tabs>
        <w:autoSpaceDE w:val="0"/>
        <w:autoSpaceDN w:val="0"/>
        <w:adjustRightInd w:val="0"/>
        <w:snapToGrid w:val="0"/>
        <w:spacing w:after="120"/>
        <w:jc w:val="both"/>
        <w:rPr>
          <w:sz w:val="22"/>
          <w:szCs w:val="22"/>
          <w:lang w:val="fr-CH"/>
        </w:rPr>
      </w:pPr>
      <w:r w:rsidRPr="00ED711A">
        <w:rPr>
          <w:sz w:val="22"/>
          <w:szCs w:val="22"/>
          <w:lang w:val="fr-CH"/>
        </w:rPr>
        <w:t>Murvoll et collaborateurs (2006) ont analysé le sac vitellin d</w:t>
      </w:r>
      <w:r w:rsidR="000D310E" w:rsidRPr="00ED711A">
        <w:rPr>
          <w:sz w:val="22"/>
          <w:szCs w:val="22"/>
          <w:lang w:val="fr-CH"/>
        </w:rPr>
        <w:t>’</w:t>
      </w:r>
      <w:r w:rsidRPr="00ED711A">
        <w:rPr>
          <w:sz w:val="22"/>
          <w:szCs w:val="22"/>
          <w:lang w:val="fr-CH"/>
        </w:rPr>
        <w:t>oisillons nouvellement éclos du cormoran huppé de l</w:t>
      </w:r>
      <w:r w:rsidR="000D310E" w:rsidRPr="00ED711A">
        <w:rPr>
          <w:sz w:val="22"/>
          <w:szCs w:val="22"/>
          <w:lang w:val="fr-CH"/>
        </w:rPr>
        <w:t>’</w:t>
      </w:r>
      <w:r w:rsidRPr="00ED711A">
        <w:rPr>
          <w:sz w:val="22"/>
          <w:szCs w:val="22"/>
          <w:lang w:val="fr-CH"/>
        </w:rPr>
        <w:t>ile de Sklinna, à 50 km de la côte de Norvège. Le HBCDD a été détecté dans tous les échantillons, avec une con</w:t>
      </w:r>
      <w:r w:rsidRPr="00ED711A">
        <w:rPr>
          <w:sz w:val="22"/>
          <w:szCs w:val="22"/>
          <w:lang w:val="el-GR"/>
        </w:rPr>
        <w:t xml:space="preserve">centration moyenne de 29 μg HBCDD/kg </w:t>
      </w:r>
      <w:r w:rsidRPr="00ED711A">
        <w:rPr>
          <w:sz w:val="22"/>
          <w:szCs w:val="22"/>
          <w:lang w:val="fr-CH"/>
        </w:rPr>
        <w:t>de poids humide</w:t>
      </w:r>
      <w:r w:rsidRPr="00ED711A">
        <w:rPr>
          <w:sz w:val="22"/>
          <w:szCs w:val="22"/>
          <w:lang w:val="el-GR"/>
        </w:rPr>
        <w:t xml:space="preserve">, ou 417 μg HBCDD/kg </w:t>
      </w:r>
      <w:r w:rsidRPr="00ED711A">
        <w:rPr>
          <w:sz w:val="22"/>
          <w:szCs w:val="22"/>
          <w:lang w:val="fr-CH"/>
        </w:rPr>
        <w:t xml:space="preserve">de poids en lipides. La concentration de HBCDD était supérieure à tous les congénères du PBDE. </w:t>
      </w:r>
    </w:p>
    <w:p w:rsidR="00510BDA" w:rsidRPr="00ED711A" w:rsidRDefault="00510BDA" w:rsidP="00702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 w:val="left" w:pos="10080"/>
          <w:tab w:val="left" w:pos="10800"/>
          <w:tab w:val="left" w:pos="11520"/>
          <w:tab w:val="left" w:pos="12240"/>
          <w:tab w:val="left" w:pos="12960"/>
          <w:tab w:val="left" w:pos="13680"/>
          <w:tab w:val="left" w:pos="14400"/>
          <w:tab w:val="left" w:pos="14639"/>
        </w:tabs>
        <w:autoSpaceDE w:val="0"/>
        <w:autoSpaceDN w:val="0"/>
        <w:adjustRightInd w:val="0"/>
        <w:snapToGrid w:val="0"/>
        <w:spacing w:after="120"/>
        <w:jc w:val="both"/>
        <w:rPr>
          <w:sz w:val="22"/>
          <w:szCs w:val="22"/>
          <w:lang w:val="fr-CH"/>
        </w:rPr>
      </w:pPr>
      <w:r w:rsidRPr="00ED711A">
        <w:rPr>
          <w:sz w:val="22"/>
          <w:szCs w:val="22"/>
          <w:lang w:val="fr-CH"/>
        </w:rPr>
        <w:t>De plus, le HBCDD a été détecté dans des régions éloignées de l</w:t>
      </w:r>
      <w:r w:rsidR="000D310E" w:rsidRPr="00ED711A">
        <w:rPr>
          <w:sz w:val="22"/>
          <w:szCs w:val="22"/>
          <w:lang w:val="fr-CH"/>
        </w:rPr>
        <w:t>’</w:t>
      </w:r>
      <w:r w:rsidRPr="00ED711A">
        <w:rPr>
          <w:sz w:val="22"/>
          <w:szCs w:val="22"/>
          <w:lang w:val="fr-CH"/>
        </w:rPr>
        <w:t>Arctique. Le HBCDD a été mesuré dans les sédiments du lac Ellasjøen dan</w:t>
      </w:r>
      <w:r w:rsidRPr="00ED711A">
        <w:rPr>
          <w:b/>
          <w:bCs/>
          <w:i/>
          <w:iCs/>
          <w:sz w:val="22"/>
          <w:szCs w:val="22"/>
          <w:lang w:val="fr-CH"/>
        </w:rPr>
        <w:t>s</w:t>
      </w:r>
      <w:r w:rsidRPr="00ED711A">
        <w:rPr>
          <w:sz w:val="22"/>
          <w:szCs w:val="22"/>
          <w:lang w:val="fr-CH"/>
        </w:rPr>
        <w:t xml:space="preserve"> l</w:t>
      </w:r>
      <w:r w:rsidR="000D310E" w:rsidRPr="00ED711A">
        <w:rPr>
          <w:sz w:val="22"/>
          <w:szCs w:val="22"/>
          <w:lang w:val="fr-CH"/>
        </w:rPr>
        <w:t>’</w:t>
      </w:r>
      <w:r w:rsidRPr="00ED711A">
        <w:rPr>
          <w:sz w:val="22"/>
          <w:szCs w:val="22"/>
          <w:lang w:val="fr-CH"/>
        </w:rPr>
        <w:t xml:space="preserve">île aux Ours, au nord de la Norvège (Christensen et </w:t>
      </w:r>
      <w:proofErr w:type="gramStart"/>
      <w:r w:rsidRPr="00ED711A">
        <w:rPr>
          <w:sz w:val="22"/>
          <w:szCs w:val="22"/>
          <w:lang w:val="fr-CH"/>
        </w:rPr>
        <w:t>al.,</w:t>
      </w:r>
      <w:proofErr w:type="gramEnd"/>
      <w:r w:rsidRPr="00ED711A">
        <w:rPr>
          <w:sz w:val="22"/>
          <w:szCs w:val="22"/>
          <w:lang w:val="fr-CH"/>
        </w:rPr>
        <w:t xml:space="preserve"> 2004). Les diastéréoisomères </w:t>
      </w:r>
      <w:r w:rsidRPr="00ED711A">
        <w:rPr>
          <w:sz w:val="22"/>
          <w:szCs w:val="22"/>
          <w:lang w:val="el-GR"/>
        </w:rPr>
        <w:t xml:space="preserve">α-et γ- du HBCDD ont </w:t>
      </w:r>
      <w:r w:rsidRPr="00ED711A">
        <w:rPr>
          <w:sz w:val="22"/>
          <w:szCs w:val="22"/>
          <w:lang w:val="fr-CH"/>
        </w:rPr>
        <w:t>été détectées dans les sédiments à une profondeur de 1-2 centimètres, c.-à-d. de la période 1973-1987. Le HBCDD n</w:t>
      </w:r>
      <w:r w:rsidR="000D310E" w:rsidRPr="00ED711A">
        <w:rPr>
          <w:sz w:val="22"/>
          <w:szCs w:val="22"/>
          <w:lang w:val="fr-CH"/>
        </w:rPr>
        <w:t>’</w:t>
      </w:r>
      <w:r w:rsidRPr="00ED711A">
        <w:rPr>
          <w:sz w:val="22"/>
          <w:szCs w:val="22"/>
          <w:lang w:val="fr-CH"/>
        </w:rPr>
        <w:t xml:space="preserve">a pas été trouvé dans les couches de la période 1987-2001 ni de la période 1934-1973. Le </w:t>
      </w:r>
      <w:r w:rsidRPr="00ED711A">
        <w:rPr>
          <w:sz w:val="22"/>
          <w:szCs w:val="22"/>
          <w:lang w:val="el-GR"/>
        </w:rPr>
        <w:t>β-</w:t>
      </w:r>
      <w:r w:rsidRPr="00ED711A">
        <w:rPr>
          <w:sz w:val="22"/>
          <w:szCs w:val="22"/>
          <w:lang w:val="fr-CH"/>
        </w:rPr>
        <w:t>diastéréoisomère n</w:t>
      </w:r>
      <w:r w:rsidR="000D310E" w:rsidRPr="00ED711A">
        <w:rPr>
          <w:sz w:val="22"/>
          <w:szCs w:val="22"/>
          <w:lang w:val="fr-CH"/>
        </w:rPr>
        <w:t>’</w:t>
      </w:r>
      <w:r w:rsidRPr="00ED711A">
        <w:rPr>
          <w:sz w:val="22"/>
          <w:szCs w:val="22"/>
          <w:lang w:val="fr-CH"/>
        </w:rPr>
        <w:t xml:space="preserve">a pas du tout été trouvé. </w:t>
      </w:r>
    </w:p>
    <w:p w:rsidR="00510BDA" w:rsidRPr="00ED711A" w:rsidRDefault="00510BDA" w:rsidP="00702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 w:val="left" w:pos="10080"/>
          <w:tab w:val="left" w:pos="10800"/>
          <w:tab w:val="left" w:pos="11520"/>
          <w:tab w:val="left" w:pos="12240"/>
          <w:tab w:val="left" w:pos="12960"/>
          <w:tab w:val="left" w:pos="13680"/>
          <w:tab w:val="left" w:pos="14400"/>
          <w:tab w:val="left" w:pos="14639"/>
        </w:tabs>
        <w:autoSpaceDE w:val="0"/>
        <w:autoSpaceDN w:val="0"/>
        <w:adjustRightInd w:val="0"/>
        <w:snapToGrid w:val="0"/>
        <w:spacing w:after="120"/>
        <w:jc w:val="both"/>
        <w:rPr>
          <w:sz w:val="22"/>
          <w:szCs w:val="22"/>
          <w:lang w:val="fr-CH"/>
        </w:rPr>
      </w:pPr>
      <w:r w:rsidRPr="00ED711A">
        <w:rPr>
          <w:sz w:val="22"/>
          <w:szCs w:val="22"/>
          <w:lang w:val="fr-CH"/>
        </w:rPr>
        <w:t>Jenssen et al. (2004) ont mesuré des retardateurs de flamme bromés (y compris le HBCDD) dans le réseau alimentaire marin de l</w:t>
      </w:r>
      <w:r w:rsidR="000D310E" w:rsidRPr="00ED711A">
        <w:rPr>
          <w:sz w:val="22"/>
          <w:szCs w:val="22"/>
          <w:lang w:val="fr-CH"/>
        </w:rPr>
        <w:t>’</w:t>
      </w:r>
      <w:r w:rsidRPr="00ED711A">
        <w:rPr>
          <w:sz w:val="22"/>
          <w:szCs w:val="22"/>
          <w:lang w:val="fr-CH"/>
        </w:rPr>
        <w:t>arctique dans la région de Svalbard dans l</w:t>
      </w:r>
      <w:r w:rsidR="000D310E" w:rsidRPr="00ED711A">
        <w:rPr>
          <w:sz w:val="22"/>
          <w:szCs w:val="22"/>
          <w:lang w:val="fr-CH"/>
        </w:rPr>
        <w:t>’</w:t>
      </w:r>
      <w:r w:rsidRPr="00ED711A">
        <w:rPr>
          <w:sz w:val="22"/>
          <w:szCs w:val="22"/>
          <w:lang w:val="fr-CH"/>
        </w:rPr>
        <w:t>Atlantique Nord. La concentration de HBCDD augmentait avec l</w:t>
      </w:r>
      <w:r w:rsidR="000D310E" w:rsidRPr="00ED711A">
        <w:rPr>
          <w:sz w:val="22"/>
          <w:szCs w:val="22"/>
          <w:lang w:val="fr-CH"/>
        </w:rPr>
        <w:t>’</w:t>
      </w:r>
      <w:r w:rsidRPr="00ED711A">
        <w:rPr>
          <w:sz w:val="22"/>
          <w:szCs w:val="22"/>
          <w:lang w:val="fr-CH"/>
        </w:rPr>
        <w:t>augmentation du niveau trophique, à l</w:t>
      </w:r>
      <w:r w:rsidR="000D310E" w:rsidRPr="00ED711A">
        <w:rPr>
          <w:sz w:val="22"/>
          <w:szCs w:val="22"/>
          <w:lang w:val="fr-CH"/>
        </w:rPr>
        <w:t>’</w:t>
      </w:r>
      <w:r w:rsidRPr="00ED711A">
        <w:rPr>
          <w:sz w:val="22"/>
          <w:szCs w:val="22"/>
          <w:lang w:val="fr-CH"/>
        </w:rPr>
        <w:t>exception de l</w:t>
      </w:r>
      <w:r w:rsidR="000D310E" w:rsidRPr="00ED711A">
        <w:rPr>
          <w:sz w:val="22"/>
          <w:szCs w:val="22"/>
          <w:lang w:val="fr-CH"/>
        </w:rPr>
        <w:t>’</w:t>
      </w:r>
      <w:r w:rsidRPr="00ED711A">
        <w:rPr>
          <w:sz w:val="22"/>
          <w:szCs w:val="22"/>
          <w:lang w:val="fr-CH"/>
        </w:rPr>
        <w:t>ours polaire, ce qui peut indiquer une capacité de l</w:t>
      </w:r>
      <w:r w:rsidR="000D310E" w:rsidRPr="00ED711A">
        <w:rPr>
          <w:sz w:val="22"/>
          <w:szCs w:val="22"/>
          <w:lang w:val="fr-CH"/>
        </w:rPr>
        <w:t>’</w:t>
      </w:r>
      <w:r w:rsidRPr="00ED711A">
        <w:rPr>
          <w:sz w:val="22"/>
          <w:szCs w:val="22"/>
          <w:lang w:val="fr-CH"/>
        </w:rPr>
        <w:t>ours polaire de métaboliser la substance. Le HBCDD n</w:t>
      </w:r>
      <w:r w:rsidR="000D310E" w:rsidRPr="00ED711A">
        <w:rPr>
          <w:sz w:val="22"/>
          <w:szCs w:val="22"/>
          <w:lang w:val="fr-CH"/>
        </w:rPr>
        <w:t>’</w:t>
      </w:r>
      <w:r w:rsidRPr="00ED711A">
        <w:rPr>
          <w:sz w:val="22"/>
          <w:szCs w:val="22"/>
          <w:lang w:val="fr-CH"/>
        </w:rPr>
        <w:t xml:space="preserve">a pas été détecté dans les espèces inférieures de zooplancton pélagique </w:t>
      </w:r>
      <w:r w:rsidRPr="00ED711A">
        <w:rPr>
          <w:i/>
          <w:iCs/>
          <w:sz w:val="22"/>
          <w:szCs w:val="22"/>
          <w:lang w:val="fr-CH"/>
        </w:rPr>
        <w:t>Calanus glacialis</w:t>
      </w:r>
      <w:r w:rsidRPr="00ED711A">
        <w:rPr>
          <w:sz w:val="22"/>
          <w:szCs w:val="22"/>
          <w:lang w:val="fr-CH"/>
        </w:rPr>
        <w:t xml:space="preserve">, </w:t>
      </w:r>
      <w:r w:rsidRPr="00ED711A">
        <w:rPr>
          <w:i/>
          <w:iCs/>
          <w:sz w:val="22"/>
          <w:szCs w:val="22"/>
          <w:lang w:val="fr-CH"/>
        </w:rPr>
        <w:t>Thysanoessa inermes</w:t>
      </w:r>
      <w:r w:rsidRPr="00ED711A">
        <w:rPr>
          <w:sz w:val="22"/>
          <w:szCs w:val="22"/>
          <w:lang w:val="fr-CH"/>
        </w:rPr>
        <w:t xml:space="preserve"> et </w:t>
      </w:r>
      <w:r w:rsidRPr="00ED711A">
        <w:rPr>
          <w:i/>
          <w:iCs/>
          <w:sz w:val="22"/>
          <w:szCs w:val="22"/>
          <w:lang w:val="fr-CH"/>
        </w:rPr>
        <w:t>Parratemisto libellula</w:t>
      </w:r>
      <w:r w:rsidRPr="00ED711A">
        <w:rPr>
          <w:sz w:val="22"/>
          <w:szCs w:val="22"/>
          <w:lang w:val="fr-CH"/>
        </w:rPr>
        <w:t xml:space="preserve">. Les niveaux détectés chez la morue polaire, chez les phoques annelés et les ours blancs variaient entre 5-25 </w:t>
      </w:r>
      <w:r w:rsidRPr="00ED711A">
        <w:rPr>
          <w:sz w:val="22"/>
          <w:szCs w:val="22"/>
          <w:lang w:val="el-GR"/>
        </w:rPr>
        <w:t xml:space="preserve">μg HBCDD/kg </w:t>
      </w:r>
      <w:r w:rsidRPr="00ED711A">
        <w:rPr>
          <w:sz w:val="22"/>
          <w:szCs w:val="22"/>
          <w:lang w:val="fr-CH"/>
        </w:rPr>
        <w:t xml:space="preserve">de poids en lipides, 15-35 </w:t>
      </w:r>
      <w:r w:rsidRPr="00ED711A">
        <w:rPr>
          <w:sz w:val="22"/>
          <w:szCs w:val="22"/>
          <w:lang w:val="el-GR"/>
        </w:rPr>
        <w:t>μ</w:t>
      </w:r>
      <w:r w:rsidRPr="00ED711A">
        <w:rPr>
          <w:sz w:val="22"/>
          <w:szCs w:val="22"/>
          <w:lang w:val="fr-CH"/>
        </w:rPr>
        <w:t>g HBCDD/kg de poids en lipides,</w:t>
      </w:r>
      <w:r w:rsidRPr="00ED711A">
        <w:rPr>
          <w:sz w:val="22"/>
          <w:szCs w:val="22"/>
          <w:lang w:val="el-GR"/>
        </w:rPr>
        <w:t xml:space="preserve"> et 5-15 μg HBCDD/kg </w:t>
      </w:r>
      <w:r w:rsidRPr="00ED711A">
        <w:rPr>
          <w:sz w:val="22"/>
          <w:szCs w:val="22"/>
          <w:lang w:val="fr-CH"/>
        </w:rPr>
        <w:t xml:space="preserve">de poids en lipides respectivement. Gabrielsens et al. (2004) ont mesuré les polluants organiques halogénés, y compris le HBCDD, dans le tissu adipeux des ours polaires de Svalbard au nord de la Norvège, dans la région arctique. La moyenne arithmétique était de 25,6 </w:t>
      </w:r>
      <w:r w:rsidRPr="00ED711A">
        <w:rPr>
          <w:sz w:val="22"/>
          <w:szCs w:val="22"/>
          <w:lang w:val="el-GR"/>
        </w:rPr>
        <w:t xml:space="preserve">μg HBCDD/kg </w:t>
      </w:r>
      <w:r w:rsidRPr="00ED711A">
        <w:rPr>
          <w:sz w:val="22"/>
          <w:szCs w:val="22"/>
          <w:lang w:val="fr-CH"/>
        </w:rPr>
        <w:t>de poids humide</w:t>
      </w:r>
      <w:r w:rsidRPr="00ED711A">
        <w:rPr>
          <w:sz w:val="22"/>
          <w:szCs w:val="22"/>
          <w:lang w:val="el-GR"/>
        </w:rPr>
        <w:t xml:space="preserve">, avec une plage de valeurs de 9,7-45 μg HBCDD/kg </w:t>
      </w:r>
      <w:r w:rsidRPr="00ED711A">
        <w:rPr>
          <w:sz w:val="22"/>
          <w:szCs w:val="22"/>
          <w:lang w:val="fr-CH"/>
        </w:rPr>
        <w:t>de poids humide (l</w:t>
      </w:r>
      <w:r w:rsidR="000D310E" w:rsidRPr="00ED711A">
        <w:rPr>
          <w:sz w:val="22"/>
          <w:szCs w:val="22"/>
          <w:lang w:val="fr-CH"/>
        </w:rPr>
        <w:t>’</w:t>
      </w:r>
      <w:r w:rsidRPr="00ED711A">
        <w:rPr>
          <w:sz w:val="22"/>
          <w:szCs w:val="22"/>
          <w:lang w:val="fr-CH"/>
        </w:rPr>
        <w:t xml:space="preserve">ensemble des 15 mesures étaient au-dessus du seuil de détection). </w:t>
      </w:r>
    </w:p>
    <w:p w:rsidR="00510BDA" w:rsidRPr="00ED711A" w:rsidRDefault="00510BDA" w:rsidP="00702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 w:val="left" w:pos="10080"/>
          <w:tab w:val="left" w:pos="10800"/>
          <w:tab w:val="left" w:pos="11520"/>
          <w:tab w:val="left" w:pos="12240"/>
          <w:tab w:val="left" w:pos="12960"/>
          <w:tab w:val="left" w:pos="13680"/>
          <w:tab w:val="left" w:pos="14400"/>
          <w:tab w:val="left" w:pos="14639"/>
        </w:tabs>
        <w:autoSpaceDE w:val="0"/>
        <w:autoSpaceDN w:val="0"/>
        <w:adjustRightInd w:val="0"/>
        <w:snapToGrid w:val="0"/>
        <w:spacing w:after="120"/>
        <w:jc w:val="both"/>
        <w:rPr>
          <w:sz w:val="22"/>
          <w:szCs w:val="22"/>
          <w:lang w:val="fr-CH"/>
        </w:rPr>
      </w:pPr>
      <w:r w:rsidRPr="00ED711A">
        <w:rPr>
          <w:sz w:val="22"/>
          <w:szCs w:val="22"/>
          <w:lang w:val="fr-CH"/>
        </w:rPr>
        <w:t>Tendances temporelles :</w:t>
      </w:r>
    </w:p>
    <w:p w:rsidR="00510BDA" w:rsidRPr="00ED711A" w:rsidRDefault="00510BDA" w:rsidP="00702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 w:val="left" w:pos="10080"/>
          <w:tab w:val="left" w:pos="10800"/>
          <w:tab w:val="left" w:pos="11520"/>
          <w:tab w:val="left" w:pos="12240"/>
          <w:tab w:val="left" w:pos="12960"/>
          <w:tab w:val="left" w:pos="13680"/>
          <w:tab w:val="left" w:pos="14400"/>
          <w:tab w:val="left" w:pos="14639"/>
        </w:tabs>
        <w:autoSpaceDE w:val="0"/>
        <w:autoSpaceDN w:val="0"/>
        <w:adjustRightInd w:val="0"/>
        <w:snapToGrid w:val="0"/>
        <w:spacing w:after="120"/>
        <w:jc w:val="both"/>
        <w:rPr>
          <w:sz w:val="22"/>
          <w:szCs w:val="22"/>
          <w:lang w:val="fr-CH"/>
        </w:rPr>
      </w:pPr>
      <w:r w:rsidRPr="00ED711A">
        <w:rPr>
          <w:sz w:val="22"/>
          <w:szCs w:val="22"/>
          <w:lang w:val="fr-CH"/>
        </w:rPr>
        <w:t>Knudsen et al. (2005) a analysé les œufs du macareux moine, du goéland argenté et de la mouette tridactyle dans la Norvège du Nord (Hornøya et Røst) en 1983, 1993 et 2003. Les niveaux de HBCDD ont augmenté avec un facteur d</w:t>
      </w:r>
      <w:r w:rsidR="000D310E" w:rsidRPr="00ED711A">
        <w:rPr>
          <w:sz w:val="22"/>
          <w:szCs w:val="22"/>
          <w:lang w:val="fr-CH"/>
        </w:rPr>
        <w:t>’</w:t>
      </w:r>
      <w:r w:rsidRPr="00ED711A">
        <w:rPr>
          <w:sz w:val="22"/>
          <w:szCs w:val="22"/>
          <w:lang w:val="fr-CH"/>
        </w:rPr>
        <w:t xml:space="preserve">environ 5-8 sur 20 années de 1,1-2 </w:t>
      </w:r>
      <w:r w:rsidRPr="00ED711A">
        <w:rPr>
          <w:sz w:val="22"/>
          <w:szCs w:val="22"/>
          <w:lang w:val="el-GR"/>
        </w:rPr>
        <w:t xml:space="preserve">μg/kg </w:t>
      </w:r>
      <w:r w:rsidRPr="00ED711A">
        <w:rPr>
          <w:sz w:val="22"/>
          <w:szCs w:val="22"/>
          <w:lang w:val="fr-CH"/>
        </w:rPr>
        <w:t xml:space="preserve">de poids humide en 1983 à 6,1-17 </w:t>
      </w:r>
      <w:r w:rsidRPr="00ED711A">
        <w:rPr>
          <w:sz w:val="22"/>
          <w:szCs w:val="22"/>
          <w:lang w:val="el-GR"/>
        </w:rPr>
        <w:t xml:space="preserve">μg/kg </w:t>
      </w:r>
      <w:r w:rsidRPr="00ED711A">
        <w:rPr>
          <w:sz w:val="22"/>
          <w:szCs w:val="22"/>
          <w:lang w:val="fr-CH"/>
        </w:rPr>
        <w:t xml:space="preserve">de poids humide en 2003. </w:t>
      </w:r>
    </w:p>
    <w:p w:rsidR="00510BDA" w:rsidRPr="00ED711A" w:rsidRDefault="00510BDA" w:rsidP="00702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 w:val="left" w:pos="10080"/>
          <w:tab w:val="left" w:pos="10800"/>
          <w:tab w:val="left" w:pos="11520"/>
          <w:tab w:val="left" w:pos="12240"/>
          <w:tab w:val="left" w:pos="12960"/>
          <w:tab w:val="left" w:pos="13680"/>
          <w:tab w:val="left" w:pos="14400"/>
          <w:tab w:val="left" w:pos="14639"/>
        </w:tabs>
        <w:autoSpaceDE w:val="0"/>
        <w:autoSpaceDN w:val="0"/>
        <w:adjustRightInd w:val="0"/>
        <w:snapToGrid w:val="0"/>
        <w:spacing w:after="120"/>
        <w:jc w:val="both"/>
        <w:rPr>
          <w:sz w:val="22"/>
          <w:szCs w:val="22"/>
          <w:lang w:val="fr-CH"/>
        </w:rPr>
      </w:pPr>
      <w:r w:rsidRPr="00ED711A">
        <w:rPr>
          <w:sz w:val="22"/>
          <w:szCs w:val="22"/>
          <w:lang w:val="fr-CH"/>
        </w:rPr>
        <w:t>Bytingsvik et collaborateurs (2004) ont signalé une tendance temporelle pour le HBCDD chez la morue de l</w:t>
      </w:r>
      <w:r w:rsidR="000D310E" w:rsidRPr="00ED711A">
        <w:rPr>
          <w:sz w:val="22"/>
          <w:szCs w:val="22"/>
          <w:lang w:val="fr-CH"/>
        </w:rPr>
        <w:t>’</w:t>
      </w:r>
      <w:r w:rsidRPr="00ED711A">
        <w:rPr>
          <w:sz w:val="22"/>
          <w:szCs w:val="22"/>
          <w:lang w:val="fr-CH"/>
        </w:rPr>
        <w:t>Atlantique (foie) capturée dans l</w:t>
      </w:r>
      <w:r w:rsidR="000D310E" w:rsidRPr="00ED711A">
        <w:rPr>
          <w:sz w:val="22"/>
          <w:szCs w:val="22"/>
          <w:lang w:val="fr-CH"/>
        </w:rPr>
        <w:t>’</w:t>
      </w:r>
      <w:r w:rsidRPr="00ED711A">
        <w:rPr>
          <w:sz w:val="22"/>
          <w:szCs w:val="22"/>
          <w:lang w:val="fr-CH"/>
        </w:rPr>
        <w:t>estuaire de la rivière Glomma, la concentration augmentant considérablement, 8 ou 3-4 fois de 1998 à 2003, lorsqu</w:t>
      </w:r>
      <w:r w:rsidR="000D310E" w:rsidRPr="00ED711A">
        <w:rPr>
          <w:sz w:val="22"/>
          <w:szCs w:val="22"/>
          <w:lang w:val="fr-CH"/>
        </w:rPr>
        <w:t>’</w:t>
      </w:r>
      <w:r w:rsidRPr="00ED711A">
        <w:rPr>
          <w:sz w:val="22"/>
          <w:szCs w:val="22"/>
          <w:lang w:val="fr-CH"/>
        </w:rPr>
        <w:t>elle est exprimée sur une base de poids humide ou de poids en lipides, respectivement.</w:t>
      </w:r>
    </w:p>
    <w:p w:rsidR="00510BDA" w:rsidRPr="00ED711A" w:rsidRDefault="00510BDA" w:rsidP="0070218D">
      <w:pPr>
        <w:widowControl w:val="0"/>
        <w:autoSpaceDE w:val="0"/>
        <w:autoSpaceDN w:val="0"/>
        <w:adjustRightInd w:val="0"/>
        <w:snapToGrid w:val="0"/>
        <w:spacing w:after="120"/>
        <w:jc w:val="both"/>
        <w:rPr>
          <w:sz w:val="22"/>
          <w:szCs w:val="22"/>
          <w:lang w:val="fr-CH"/>
        </w:rPr>
      </w:pPr>
      <w:r w:rsidRPr="00ED711A">
        <w:rPr>
          <w:b/>
          <w:i/>
          <w:sz w:val="22"/>
          <w:szCs w:val="22"/>
          <w:lang w:val="fr-CH"/>
        </w:rPr>
        <w:t>Effet escompté de la mesure de réglementation finale sur l</w:t>
      </w:r>
      <w:r w:rsidR="000D310E" w:rsidRPr="00ED711A">
        <w:rPr>
          <w:b/>
          <w:i/>
          <w:sz w:val="22"/>
          <w:szCs w:val="22"/>
          <w:lang w:val="fr-CH"/>
        </w:rPr>
        <w:t>’</w:t>
      </w:r>
      <w:r w:rsidRPr="00ED711A">
        <w:rPr>
          <w:b/>
          <w:i/>
          <w:sz w:val="22"/>
          <w:szCs w:val="22"/>
          <w:lang w:val="fr-CH"/>
        </w:rPr>
        <w:t xml:space="preserve">environnement: </w:t>
      </w:r>
      <w:r w:rsidRPr="00ED711A">
        <w:rPr>
          <w:sz w:val="22"/>
          <w:szCs w:val="22"/>
          <w:lang w:val="fr-CH"/>
        </w:rPr>
        <w:t>Niveaux réduits de HBCDD dans l</w:t>
      </w:r>
      <w:r w:rsidR="000D310E" w:rsidRPr="00ED711A">
        <w:rPr>
          <w:sz w:val="22"/>
          <w:szCs w:val="22"/>
          <w:lang w:val="fr-CH"/>
        </w:rPr>
        <w:t>’</w:t>
      </w:r>
      <w:r w:rsidRPr="00ED711A">
        <w:rPr>
          <w:sz w:val="22"/>
          <w:szCs w:val="22"/>
          <w:lang w:val="fr-CH"/>
        </w:rPr>
        <w:t>environnement norvégien et donc un risque réduit d</w:t>
      </w:r>
      <w:r w:rsidR="000D310E" w:rsidRPr="00ED711A">
        <w:rPr>
          <w:sz w:val="22"/>
          <w:szCs w:val="22"/>
          <w:lang w:val="fr-CH"/>
        </w:rPr>
        <w:t>’</w:t>
      </w:r>
      <w:r w:rsidRPr="00ED711A">
        <w:rPr>
          <w:sz w:val="22"/>
          <w:szCs w:val="22"/>
          <w:lang w:val="fr-CH"/>
        </w:rPr>
        <w:t>effet négatif sur la vie sauvage.</w:t>
      </w:r>
    </w:p>
    <w:p w:rsidR="0029756D" w:rsidRPr="00ED711A" w:rsidRDefault="00510BDA" w:rsidP="0070218D">
      <w:pPr>
        <w:widowControl w:val="0"/>
        <w:autoSpaceDE w:val="0"/>
        <w:autoSpaceDN w:val="0"/>
        <w:adjustRightInd w:val="0"/>
        <w:snapToGrid w:val="0"/>
        <w:spacing w:after="120"/>
        <w:jc w:val="both"/>
        <w:rPr>
          <w:sz w:val="22"/>
          <w:szCs w:val="17"/>
          <w:lang w:val="fr-CH"/>
        </w:rPr>
      </w:pPr>
      <w:r w:rsidRPr="00ED711A">
        <w:rPr>
          <w:b/>
          <w:i/>
          <w:sz w:val="22"/>
          <w:szCs w:val="22"/>
          <w:lang w:val="fr-CH"/>
        </w:rPr>
        <w:t>Date de prise d</w:t>
      </w:r>
      <w:r w:rsidR="000D310E" w:rsidRPr="00ED711A">
        <w:rPr>
          <w:b/>
          <w:i/>
          <w:sz w:val="22"/>
          <w:szCs w:val="22"/>
          <w:lang w:val="fr-CH"/>
        </w:rPr>
        <w:t>’</w:t>
      </w:r>
      <w:r w:rsidRPr="00ED711A">
        <w:rPr>
          <w:b/>
          <w:i/>
          <w:sz w:val="22"/>
          <w:szCs w:val="22"/>
          <w:lang w:val="fr-CH"/>
        </w:rPr>
        <w:t xml:space="preserve">effet de la mesure de réglementation finale: </w:t>
      </w:r>
      <w:r w:rsidRPr="00ED711A">
        <w:rPr>
          <w:sz w:val="22"/>
          <w:szCs w:val="22"/>
          <w:lang w:val="fr-CH"/>
        </w:rPr>
        <w:t>09/07/2016</w:t>
      </w:r>
    </w:p>
    <w:p w:rsidR="0029756D" w:rsidRPr="00ED711A" w:rsidRDefault="0029756D" w:rsidP="00BE3D62">
      <w:pPr>
        <w:widowControl w:val="0"/>
        <w:autoSpaceDE w:val="0"/>
        <w:autoSpaceDN w:val="0"/>
        <w:adjustRightInd w:val="0"/>
        <w:spacing w:before="80"/>
        <w:ind w:left="839" w:hanging="794"/>
        <w:jc w:val="both"/>
        <w:rPr>
          <w:sz w:val="22"/>
          <w:szCs w:val="17"/>
          <w:lang w:val="fr-CH"/>
        </w:rPr>
        <w:sectPr w:rsidR="0029756D" w:rsidRPr="00ED711A" w:rsidSect="008A1D9E">
          <w:headerReference w:type="default" r:id="rId47"/>
          <w:pgSz w:w="11906" w:h="16838"/>
          <w:pgMar w:top="567" w:right="850" w:bottom="850" w:left="1134" w:header="360" w:footer="289" w:gutter="0"/>
          <w:cols w:space="720"/>
        </w:sectPr>
      </w:pPr>
    </w:p>
    <w:p w:rsidR="007B68CF" w:rsidRPr="00ED711A" w:rsidRDefault="00B71998" w:rsidP="007B68CF">
      <w:pPr>
        <w:ind w:right="23"/>
        <w:jc w:val="center"/>
        <w:rPr>
          <w:b/>
          <w:sz w:val="22"/>
          <w:szCs w:val="22"/>
          <w:u w:val="single"/>
          <w:lang w:val="fr-CH"/>
        </w:rPr>
      </w:pPr>
      <w:r w:rsidRPr="00ED711A">
        <w:rPr>
          <w:b/>
          <w:sz w:val="22"/>
          <w:szCs w:val="22"/>
          <w:lang w:val="fr-CH"/>
        </w:rPr>
        <w:lastRenderedPageBreak/>
        <w:t>Synop</w:t>
      </w:r>
      <w:r w:rsidR="00724A67" w:rsidRPr="00ED711A">
        <w:rPr>
          <w:b/>
          <w:sz w:val="22"/>
          <w:szCs w:val="22"/>
          <w:lang w:val="fr-CH"/>
        </w:rPr>
        <w:t>sis des notifications de mesure</w:t>
      </w:r>
      <w:r w:rsidRPr="00ED711A">
        <w:rPr>
          <w:b/>
          <w:sz w:val="22"/>
          <w:szCs w:val="22"/>
          <w:lang w:val="fr-CH"/>
        </w:rPr>
        <w:t xml:space="preserve"> de </w:t>
      </w:r>
      <w:r w:rsidR="001F3C16">
        <w:rPr>
          <w:b/>
          <w:sz w:val="22"/>
          <w:szCs w:val="22"/>
          <w:lang w:val="fr-CH"/>
        </w:rPr>
        <w:t>réglementation</w:t>
      </w:r>
      <w:r w:rsidRPr="00ED711A">
        <w:rPr>
          <w:b/>
          <w:sz w:val="22"/>
          <w:szCs w:val="22"/>
          <w:lang w:val="fr-CH"/>
        </w:rPr>
        <w:t xml:space="preserve"> finale reçues depuis la derniere</w:t>
      </w:r>
      <w:r w:rsidR="005D18AF" w:rsidRPr="00ED711A">
        <w:rPr>
          <w:b/>
          <w:sz w:val="22"/>
          <w:szCs w:val="22"/>
          <w:lang w:val="fr-CH"/>
        </w:rPr>
        <w:t xml:space="preserve"> C</w:t>
      </w:r>
      <w:r w:rsidRPr="00ED711A">
        <w:rPr>
          <w:b/>
          <w:sz w:val="22"/>
          <w:szCs w:val="22"/>
          <w:lang w:val="fr-CH"/>
        </w:rPr>
        <w:t>irculaire PIC</w:t>
      </w:r>
    </w:p>
    <w:p w:rsidR="007B68CF" w:rsidRPr="00ED711A" w:rsidRDefault="007B68CF" w:rsidP="007B68CF">
      <w:pPr>
        <w:ind w:right="23"/>
        <w:jc w:val="center"/>
        <w:rPr>
          <w:b/>
          <w:sz w:val="22"/>
          <w:szCs w:val="22"/>
          <w:u w:val="single"/>
          <w:lang w:val="fr-CH"/>
        </w:rPr>
      </w:pPr>
    </w:p>
    <w:p w:rsidR="00340E2B" w:rsidRPr="00ED711A" w:rsidRDefault="00BC73C4" w:rsidP="00340E2B">
      <w:pPr>
        <w:ind w:right="23"/>
        <w:jc w:val="center"/>
        <w:outlineLvl w:val="1"/>
        <w:rPr>
          <w:b/>
          <w:u w:val="single"/>
          <w:lang w:val="fr-CH"/>
        </w:rPr>
      </w:pPr>
      <w:bookmarkStart w:id="130" w:name="_Toc421544486"/>
      <w:bookmarkStart w:id="131" w:name="_Toc468869212"/>
      <w:bookmarkStart w:id="132" w:name="_Toc468870496"/>
      <w:bookmarkStart w:id="133" w:name="_Toc468887023"/>
      <w:bookmarkStart w:id="134" w:name="_Toc469005602"/>
      <w:r w:rsidRPr="00ED711A">
        <w:rPr>
          <w:b/>
          <w:u w:val="single"/>
          <w:lang w:val="fr-CH"/>
        </w:rPr>
        <w:t>PART</w:t>
      </w:r>
      <w:r w:rsidR="00B71998" w:rsidRPr="00ED711A">
        <w:rPr>
          <w:b/>
          <w:u w:val="single"/>
          <w:lang w:val="fr-CH"/>
        </w:rPr>
        <w:t>IE</w:t>
      </w:r>
      <w:r w:rsidRPr="00ED711A">
        <w:rPr>
          <w:b/>
          <w:u w:val="single"/>
          <w:lang w:val="fr-CH"/>
        </w:rPr>
        <w:t xml:space="preserve"> B</w:t>
      </w:r>
      <w:bookmarkEnd w:id="130"/>
      <w:bookmarkEnd w:id="131"/>
      <w:bookmarkEnd w:id="132"/>
      <w:bookmarkEnd w:id="133"/>
      <w:bookmarkEnd w:id="134"/>
    </w:p>
    <w:p w:rsidR="007B68CF" w:rsidRPr="00ED711A" w:rsidRDefault="007B68CF" w:rsidP="007B68CF">
      <w:pPr>
        <w:ind w:right="23"/>
        <w:jc w:val="center"/>
        <w:rPr>
          <w:b/>
          <w:lang w:val="fr-CH"/>
        </w:rPr>
      </w:pPr>
    </w:p>
    <w:p w:rsidR="007B68CF" w:rsidRPr="00ED711A" w:rsidRDefault="00B71998" w:rsidP="007B68CF">
      <w:pPr>
        <w:widowControl w:val="0"/>
        <w:tabs>
          <w:tab w:val="left" w:pos="900"/>
        </w:tabs>
        <w:autoSpaceDE w:val="0"/>
        <w:autoSpaceDN w:val="0"/>
        <w:adjustRightInd w:val="0"/>
        <w:ind w:right="23"/>
        <w:jc w:val="center"/>
        <w:rPr>
          <w:b/>
          <w:lang w:val="fr-CH"/>
        </w:rPr>
      </w:pPr>
      <w:r w:rsidRPr="00ED711A">
        <w:rPr>
          <w:b/>
          <w:lang w:val="fr-CH"/>
        </w:rPr>
        <w:t xml:space="preserve">RENSEIGNEMENTS SUR LES NOTIFICATIONS DE </w:t>
      </w:r>
      <w:r w:rsidR="00DE65F4" w:rsidRPr="00ED711A">
        <w:rPr>
          <w:b/>
          <w:lang w:val="fr-CH"/>
        </w:rPr>
        <w:t xml:space="preserve">MESURE DE </w:t>
      </w:r>
      <w:r w:rsidR="001F3C16">
        <w:rPr>
          <w:b/>
          <w:lang w:val="fr-CH"/>
        </w:rPr>
        <w:t>RÉGLEMENTATION</w:t>
      </w:r>
      <w:r w:rsidR="00DE65F4" w:rsidRPr="00ED711A">
        <w:rPr>
          <w:b/>
          <w:lang w:val="fr-CH"/>
        </w:rPr>
        <w:t xml:space="preserve"> FINALE</w:t>
      </w:r>
      <w:r w:rsidRPr="00ED711A">
        <w:rPr>
          <w:b/>
          <w:lang w:val="fr-CH"/>
        </w:rPr>
        <w:t xml:space="preserve"> DONT LE SECRETARIAT A VERIFIE QU</w:t>
      </w:r>
      <w:r w:rsidR="000D310E" w:rsidRPr="00ED711A">
        <w:rPr>
          <w:b/>
          <w:lang w:val="fr-CH"/>
        </w:rPr>
        <w:t>’</w:t>
      </w:r>
      <w:r w:rsidRPr="00ED711A">
        <w:rPr>
          <w:b/>
          <w:lang w:val="fr-CH"/>
        </w:rPr>
        <w:t xml:space="preserve">ELLES NE CONTIENNENT PAS TOUS LES RENSEIGNEMENTS </w:t>
      </w:r>
      <w:r w:rsidR="00DE65F4" w:rsidRPr="00ED711A">
        <w:rPr>
          <w:b/>
          <w:lang w:val="fr-CH"/>
        </w:rPr>
        <w:t xml:space="preserve">STIPULES DANS </w:t>
      </w:r>
      <w:r w:rsidRPr="00ED711A">
        <w:rPr>
          <w:b/>
          <w:lang w:val="fr-CH"/>
        </w:rPr>
        <w:t>L</w:t>
      </w:r>
      <w:r w:rsidR="000D310E" w:rsidRPr="00ED711A">
        <w:rPr>
          <w:b/>
          <w:lang w:val="fr-CH"/>
        </w:rPr>
        <w:t>’</w:t>
      </w:r>
      <w:r w:rsidRPr="00ED711A">
        <w:rPr>
          <w:b/>
          <w:lang w:val="fr-CH"/>
        </w:rPr>
        <w:t>ANNEXE I DE LA CONVENTION</w:t>
      </w:r>
    </w:p>
    <w:p w:rsidR="007B68CF" w:rsidRPr="00ED711A" w:rsidRDefault="007B68CF" w:rsidP="007B68CF">
      <w:pPr>
        <w:widowControl w:val="0"/>
        <w:autoSpaceDE w:val="0"/>
        <w:autoSpaceDN w:val="0"/>
        <w:adjustRightInd w:val="0"/>
        <w:ind w:right="23"/>
        <w:jc w:val="both"/>
        <w:rPr>
          <w:sz w:val="22"/>
          <w:szCs w:val="22"/>
          <w:lang w:val="fr-CH"/>
        </w:rPr>
      </w:pPr>
    </w:p>
    <w:p w:rsidR="000C265B" w:rsidRPr="00ED711A" w:rsidRDefault="000C265B" w:rsidP="007B68CF">
      <w:pPr>
        <w:widowControl w:val="0"/>
        <w:autoSpaceDE w:val="0"/>
        <w:autoSpaceDN w:val="0"/>
        <w:adjustRightInd w:val="0"/>
        <w:ind w:right="23"/>
        <w:jc w:val="both"/>
        <w:rPr>
          <w:sz w:val="22"/>
          <w:szCs w:val="22"/>
          <w:lang w:val="fr-CH"/>
        </w:rPr>
      </w:pPr>
    </w:p>
    <w:p w:rsidR="00A7090C" w:rsidRPr="00ED711A" w:rsidRDefault="00DE65F4" w:rsidP="007A3DC4">
      <w:pPr>
        <w:tabs>
          <w:tab w:val="left" w:pos="6795"/>
        </w:tabs>
        <w:rPr>
          <w:b/>
          <w:sz w:val="22"/>
          <w:szCs w:val="22"/>
          <w:lang w:val="fr-CH"/>
        </w:rPr>
      </w:pPr>
      <w:r w:rsidRPr="00ED711A">
        <w:rPr>
          <w:sz w:val="22"/>
          <w:szCs w:val="22"/>
          <w:lang w:val="fr-CH" w:eastAsia="fr-FR"/>
        </w:rPr>
        <w:t>Aucune notification de mesure de réglementation finale ne contenant pas tous les renseignements  stipulés dans l</w:t>
      </w:r>
      <w:r w:rsidR="000D310E" w:rsidRPr="00ED711A">
        <w:rPr>
          <w:sz w:val="22"/>
          <w:szCs w:val="22"/>
          <w:lang w:val="fr-CH" w:eastAsia="fr-FR"/>
        </w:rPr>
        <w:t>’</w:t>
      </w:r>
      <w:r w:rsidRPr="00ED711A">
        <w:rPr>
          <w:sz w:val="22"/>
          <w:szCs w:val="22"/>
          <w:lang w:val="fr-CH" w:eastAsia="fr-FR"/>
        </w:rPr>
        <w:t>annexe I de la Convention n</w:t>
      </w:r>
      <w:r w:rsidR="000D310E" w:rsidRPr="00ED711A">
        <w:rPr>
          <w:sz w:val="22"/>
          <w:szCs w:val="22"/>
          <w:lang w:val="fr-CH" w:eastAsia="fr-FR"/>
        </w:rPr>
        <w:t>’</w:t>
      </w:r>
      <w:r w:rsidRPr="00ED711A">
        <w:rPr>
          <w:sz w:val="22"/>
          <w:szCs w:val="22"/>
          <w:lang w:val="fr-CH" w:eastAsia="fr-FR"/>
        </w:rPr>
        <w:t>a été reçue entre le 1</w:t>
      </w:r>
      <w:r w:rsidRPr="00ED711A">
        <w:rPr>
          <w:sz w:val="22"/>
          <w:szCs w:val="22"/>
          <w:vertAlign w:val="superscript"/>
          <w:lang w:val="fr-CH" w:eastAsia="fr-FR"/>
        </w:rPr>
        <w:t>er</w:t>
      </w:r>
      <w:r w:rsidRPr="00ED711A">
        <w:rPr>
          <w:sz w:val="22"/>
          <w:szCs w:val="22"/>
          <w:lang w:val="fr-CH" w:eastAsia="fr-FR"/>
        </w:rPr>
        <w:t xml:space="preserve"> mai 2016 et le 31 octobre 2016.</w:t>
      </w:r>
    </w:p>
    <w:p w:rsidR="000C265B" w:rsidRPr="00ED711A" w:rsidRDefault="000C265B">
      <w:pPr>
        <w:rPr>
          <w:sz w:val="22"/>
          <w:szCs w:val="22"/>
          <w:lang w:val="fr-CH"/>
        </w:rPr>
      </w:pPr>
    </w:p>
    <w:p w:rsidR="00884B4A" w:rsidRPr="00ED711A" w:rsidRDefault="00884B4A">
      <w:pPr>
        <w:rPr>
          <w:sz w:val="22"/>
          <w:szCs w:val="22"/>
          <w:lang w:val="fr-CH"/>
        </w:rPr>
      </w:pPr>
    </w:p>
    <w:p w:rsidR="00340E2B" w:rsidRPr="00ED711A" w:rsidRDefault="00BC73C4" w:rsidP="00340E2B">
      <w:pPr>
        <w:ind w:right="23"/>
        <w:jc w:val="center"/>
        <w:outlineLvl w:val="1"/>
        <w:rPr>
          <w:b/>
          <w:u w:val="single"/>
          <w:lang w:val="fr-CH"/>
        </w:rPr>
      </w:pPr>
      <w:bookmarkStart w:id="135" w:name="_Toc421544487"/>
      <w:bookmarkStart w:id="136" w:name="_Toc468869213"/>
      <w:bookmarkStart w:id="137" w:name="_Toc468870497"/>
      <w:bookmarkStart w:id="138" w:name="_Toc468887024"/>
      <w:bookmarkStart w:id="139" w:name="_Toc469005603"/>
      <w:r w:rsidRPr="00ED711A">
        <w:rPr>
          <w:b/>
          <w:u w:val="single"/>
          <w:lang w:val="fr-CH"/>
        </w:rPr>
        <w:t>PART</w:t>
      </w:r>
      <w:r w:rsidR="00B71998" w:rsidRPr="00ED711A">
        <w:rPr>
          <w:b/>
          <w:u w:val="single"/>
          <w:lang w:val="fr-CH"/>
        </w:rPr>
        <w:t>IE</w:t>
      </w:r>
      <w:r w:rsidRPr="00ED711A">
        <w:rPr>
          <w:b/>
          <w:u w:val="single"/>
          <w:lang w:val="fr-CH"/>
        </w:rPr>
        <w:t xml:space="preserve"> C</w:t>
      </w:r>
      <w:bookmarkEnd w:id="135"/>
      <w:bookmarkEnd w:id="136"/>
      <w:bookmarkEnd w:id="137"/>
      <w:bookmarkEnd w:id="138"/>
      <w:bookmarkEnd w:id="139"/>
    </w:p>
    <w:p w:rsidR="007B68CF" w:rsidRPr="00ED711A" w:rsidRDefault="007B68CF" w:rsidP="007B68CF">
      <w:pPr>
        <w:ind w:right="23"/>
        <w:jc w:val="center"/>
        <w:rPr>
          <w:b/>
          <w:lang w:val="fr-CH"/>
        </w:rPr>
      </w:pPr>
    </w:p>
    <w:p w:rsidR="007B68CF" w:rsidRPr="00ED711A" w:rsidRDefault="00724A67" w:rsidP="007B68CF">
      <w:pPr>
        <w:widowControl w:val="0"/>
        <w:autoSpaceDE w:val="0"/>
        <w:autoSpaceDN w:val="0"/>
        <w:adjustRightInd w:val="0"/>
        <w:ind w:right="23"/>
        <w:jc w:val="center"/>
        <w:rPr>
          <w:b/>
          <w:lang w:val="fr-CH"/>
        </w:rPr>
      </w:pPr>
      <w:r w:rsidRPr="00ED711A">
        <w:rPr>
          <w:b/>
          <w:lang w:val="fr-CH"/>
        </w:rPr>
        <w:t>NOTIFICATIONS DE</w:t>
      </w:r>
      <w:r w:rsidR="00DE65F4" w:rsidRPr="00ED711A">
        <w:rPr>
          <w:b/>
          <w:lang w:val="fr-CH"/>
        </w:rPr>
        <w:t xml:space="preserve"> MESURE</w:t>
      </w:r>
      <w:r w:rsidR="00B71998" w:rsidRPr="00ED711A">
        <w:rPr>
          <w:b/>
          <w:lang w:val="fr-CH"/>
        </w:rPr>
        <w:t xml:space="preserve"> DE </w:t>
      </w:r>
      <w:r w:rsidR="001F3C16">
        <w:rPr>
          <w:b/>
          <w:lang w:val="fr-CH"/>
        </w:rPr>
        <w:t>RÉGLEMENTATION</w:t>
      </w:r>
      <w:r w:rsidR="00B71998" w:rsidRPr="00ED711A">
        <w:rPr>
          <w:b/>
          <w:lang w:val="fr-CH"/>
        </w:rPr>
        <w:t xml:space="preserve"> FINALE EN COURS DE VERIFICATION</w:t>
      </w:r>
    </w:p>
    <w:p w:rsidR="007B68CF" w:rsidRPr="00ED711A" w:rsidRDefault="007B68CF" w:rsidP="00985981">
      <w:pPr>
        <w:tabs>
          <w:tab w:val="left" w:pos="3686"/>
        </w:tabs>
        <w:ind w:right="23"/>
        <w:rPr>
          <w:sz w:val="22"/>
          <w:szCs w:val="22"/>
          <w:lang w:val="fr-CH"/>
        </w:rPr>
      </w:pPr>
    </w:p>
    <w:p w:rsidR="000C265B" w:rsidRPr="00ED711A" w:rsidRDefault="000C265B" w:rsidP="00985981">
      <w:pPr>
        <w:tabs>
          <w:tab w:val="left" w:pos="3686"/>
        </w:tabs>
        <w:ind w:right="23"/>
        <w:rPr>
          <w:sz w:val="22"/>
          <w:szCs w:val="22"/>
          <w:lang w:val="fr-CH"/>
        </w:rPr>
      </w:pPr>
    </w:p>
    <w:p w:rsidR="00A7090C" w:rsidRPr="00ED711A" w:rsidRDefault="00DE65F4" w:rsidP="00985981">
      <w:pPr>
        <w:tabs>
          <w:tab w:val="left" w:pos="3686"/>
        </w:tabs>
        <w:ind w:right="23"/>
        <w:rPr>
          <w:sz w:val="22"/>
          <w:szCs w:val="22"/>
          <w:lang w:val="fr-CH"/>
        </w:rPr>
      </w:pPr>
      <w:r w:rsidRPr="00ED711A">
        <w:rPr>
          <w:sz w:val="22"/>
          <w:szCs w:val="22"/>
          <w:lang w:val="fr-CH" w:eastAsia="fr-FR"/>
        </w:rPr>
        <w:t>Aucune notification de mesure de réglementation finale reçue par le Secrétariat n</w:t>
      </w:r>
      <w:r w:rsidR="000D310E" w:rsidRPr="00ED711A">
        <w:rPr>
          <w:sz w:val="22"/>
          <w:szCs w:val="22"/>
          <w:lang w:val="fr-CH" w:eastAsia="fr-FR"/>
        </w:rPr>
        <w:t>’</w:t>
      </w:r>
      <w:r w:rsidRPr="00ED711A">
        <w:rPr>
          <w:sz w:val="22"/>
          <w:szCs w:val="22"/>
          <w:lang w:val="fr-CH" w:eastAsia="fr-FR"/>
        </w:rPr>
        <w:t>est en cours de vérification.</w:t>
      </w:r>
    </w:p>
    <w:p w:rsidR="00A7090C" w:rsidRPr="00ED711A" w:rsidRDefault="00A7090C" w:rsidP="00985981">
      <w:pPr>
        <w:tabs>
          <w:tab w:val="left" w:pos="3686"/>
        </w:tabs>
        <w:ind w:right="23"/>
        <w:rPr>
          <w:sz w:val="22"/>
          <w:szCs w:val="22"/>
          <w:lang w:val="fr-CH"/>
        </w:rPr>
      </w:pPr>
    </w:p>
    <w:p w:rsidR="005068F2" w:rsidRPr="00ED711A" w:rsidRDefault="005068F2" w:rsidP="00A84B0B">
      <w:pPr>
        <w:keepNext/>
        <w:keepLines/>
        <w:spacing w:before="80"/>
        <w:rPr>
          <w:rFonts w:ascii="Arial" w:hAnsi="Arial" w:cs="Arial"/>
          <w:b/>
          <w:lang w:val="fr-CH"/>
        </w:rPr>
        <w:sectPr w:rsidR="005068F2" w:rsidRPr="00ED711A" w:rsidSect="008A1D9E">
          <w:headerReference w:type="even" r:id="rId48"/>
          <w:headerReference w:type="default" r:id="rId49"/>
          <w:pgSz w:w="11907" w:h="16839" w:code="9"/>
          <w:pgMar w:top="1134" w:right="1418" w:bottom="1134" w:left="1418" w:header="709" w:footer="277" w:gutter="0"/>
          <w:cols w:space="709"/>
          <w:docGrid w:linePitch="360"/>
        </w:sectPr>
      </w:pPr>
    </w:p>
    <w:p w:rsidR="00C178F3" w:rsidRPr="00ED711A" w:rsidRDefault="00BC73C4" w:rsidP="007B68CF">
      <w:pPr>
        <w:pStyle w:val="H1PIC"/>
        <w:jc w:val="center"/>
        <w:rPr>
          <w:color w:val="auto"/>
          <w:sz w:val="24"/>
          <w:szCs w:val="24"/>
          <w:lang w:val="fr-CH"/>
        </w:rPr>
      </w:pPr>
      <w:bookmarkStart w:id="140" w:name="_Toc232307882"/>
      <w:bookmarkStart w:id="141" w:name="_Toc248296438"/>
      <w:bookmarkStart w:id="142" w:name="_Toc248307674"/>
      <w:bookmarkStart w:id="143" w:name="_Toc263866401"/>
      <w:bookmarkStart w:id="144" w:name="_Toc264391972"/>
      <w:bookmarkStart w:id="145" w:name="_Toc264393119"/>
      <w:bookmarkStart w:id="146" w:name="_Toc468869214"/>
      <w:bookmarkStart w:id="147" w:name="_Toc468870498"/>
      <w:bookmarkStart w:id="148" w:name="_Toc468887025"/>
      <w:bookmarkStart w:id="149" w:name="_Toc469005604"/>
      <w:bookmarkStart w:id="150" w:name="_Toc327357866"/>
      <w:bookmarkStart w:id="151" w:name="_Toc405887615"/>
      <w:bookmarkStart w:id="152" w:name="_Toc421544488"/>
      <w:bookmarkStart w:id="153" w:name="_Toc105228789"/>
      <w:bookmarkStart w:id="154" w:name="_Toc158029016"/>
      <w:bookmarkStart w:id="155" w:name="_Toc168731349"/>
      <w:bookmarkStart w:id="156" w:name="_Toc184545131"/>
      <w:bookmarkStart w:id="157" w:name="_Toc184545466"/>
      <w:bookmarkStart w:id="158" w:name="_Toc187484347"/>
      <w:bookmarkStart w:id="159" w:name="_Toc199906474"/>
      <w:bookmarkStart w:id="160" w:name="_Toc201032662"/>
      <w:bookmarkStart w:id="161" w:name="_Toc215915387"/>
      <w:r w:rsidRPr="00ED711A">
        <w:rPr>
          <w:color w:val="auto"/>
          <w:sz w:val="24"/>
          <w:szCs w:val="24"/>
          <w:lang w:val="fr-CH"/>
        </w:rPr>
        <w:lastRenderedPageBreak/>
        <w:t>APPENDI</w:t>
      </w:r>
      <w:r w:rsidR="00B71998" w:rsidRPr="00ED711A">
        <w:rPr>
          <w:color w:val="auto"/>
          <w:sz w:val="24"/>
          <w:szCs w:val="24"/>
          <w:lang w:val="fr-CH"/>
        </w:rPr>
        <w:t>CE</w:t>
      </w:r>
      <w:r w:rsidRPr="00ED711A">
        <w:rPr>
          <w:color w:val="auto"/>
          <w:sz w:val="24"/>
          <w:szCs w:val="24"/>
          <w:lang w:val="fr-CH"/>
        </w:rPr>
        <w:t xml:space="preserve"> II</w:t>
      </w:r>
      <w:bookmarkEnd w:id="140"/>
      <w:bookmarkEnd w:id="141"/>
      <w:bookmarkEnd w:id="142"/>
      <w:bookmarkEnd w:id="143"/>
      <w:bookmarkEnd w:id="144"/>
      <w:bookmarkEnd w:id="145"/>
      <w:bookmarkEnd w:id="146"/>
      <w:bookmarkEnd w:id="147"/>
      <w:bookmarkEnd w:id="148"/>
      <w:bookmarkEnd w:id="149"/>
    </w:p>
    <w:p w:rsidR="00C178F3" w:rsidRPr="00ED711A" w:rsidRDefault="00C178F3" w:rsidP="007B68CF">
      <w:pPr>
        <w:pStyle w:val="H1PIC"/>
        <w:jc w:val="center"/>
        <w:rPr>
          <w:color w:val="auto"/>
          <w:sz w:val="24"/>
          <w:szCs w:val="24"/>
          <w:lang w:val="fr-CH"/>
        </w:rPr>
      </w:pPr>
    </w:p>
    <w:p w:rsidR="007B68CF" w:rsidRPr="00ED711A" w:rsidRDefault="00B71998" w:rsidP="007B68CF">
      <w:pPr>
        <w:pStyle w:val="H1PIC"/>
        <w:jc w:val="center"/>
        <w:rPr>
          <w:color w:val="auto"/>
          <w:sz w:val="24"/>
          <w:szCs w:val="24"/>
          <w:lang w:val="fr-CH"/>
        </w:rPr>
      </w:pPr>
      <w:bookmarkStart w:id="162" w:name="_Toc469005605"/>
      <w:bookmarkEnd w:id="150"/>
      <w:bookmarkEnd w:id="151"/>
      <w:bookmarkEnd w:id="152"/>
      <w:r w:rsidRPr="00EC1F67">
        <w:rPr>
          <w:color w:val="auto"/>
          <w:sz w:val="24"/>
          <w:szCs w:val="24"/>
          <w:lang w:val="fr-CH"/>
        </w:rPr>
        <w:t>PROPOSITIONS VISANT A INCLURE DES PREPARATIONS PESTICIDES EXTRÊMEMENT DANGEREUSES REÇUES DES PARTIES</w:t>
      </w:r>
      <w:bookmarkEnd w:id="162"/>
      <w:r w:rsidR="00482271" w:rsidRPr="00EC1F67">
        <w:rPr>
          <w:color w:val="auto"/>
          <w:sz w:val="24"/>
          <w:szCs w:val="24"/>
          <w:lang w:val="fr-CH"/>
        </w:rPr>
        <w:t xml:space="preserve"> DANS LA PROCEDURE PIC</w:t>
      </w:r>
    </w:p>
    <w:p w:rsidR="007B68CF" w:rsidRPr="00ED711A" w:rsidRDefault="007B68CF" w:rsidP="007B68CF">
      <w:pPr>
        <w:rPr>
          <w:sz w:val="22"/>
          <w:szCs w:val="22"/>
          <w:lang w:val="fr-CH"/>
        </w:rPr>
      </w:pPr>
    </w:p>
    <w:p w:rsidR="007B68CF" w:rsidRPr="00ED711A" w:rsidRDefault="007B68CF" w:rsidP="007B68CF">
      <w:pPr>
        <w:rPr>
          <w:sz w:val="22"/>
          <w:szCs w:val="22"/>
          <w:lang w:val="fr-CH"/>
        </w:rPr>
      </w:pPr>
    </w:p>
    <w:p w:rsidR="00340E2B" w:rsidRPr="00ED711A" w:rsidRDefault="00BC73C4" w:rsidP="00340E2B">
      <w:pPr>
        <w:ind w:left="839" w:hanging="839"/>
        <w:jc w:val="center"/>
        <w:outlineLvl w:val="1"/>
        <w:rPr>
          <w:b/>
          <w:lang w:val="fr-CH"/>
        </w:rPr>
      </w:pPr>
      <w:bookmarkStart w:id="163" w:name="_Toc421544489"/>
      <w:bookmarkStart w:id="164" w:name="_Toc468869216"/>
      <w:bookmarkStart w:id="165" w:name="_Toc468870500"/>
      <w:bookmarkStart w:id="166" w:name="_Toc468887027"/>
      <w:bookmarkStart w:id="167" w:name="_Toc469005606"/>
      <w:r w:rsidRPr="00ED711A">
        <w:rPr>
          <w:b/>
          <w:u w:val="single"/>
          <w:lang w:val="fr-CH"/>
        </w:rPr>
        <w:t>PART</w:t>
      </w:r>
      <w:r w:rsidR="00B71998" w:rsidRPr="00ED711A">
        <w:rPr>
          <w:b/>
          <w:u w:val="single"/>
          <w:lang w:val="fr-CH"/>
        </w:rPr>
        <w:t>IE</w:t>
      </w:r>
      <w:r w:rsidRPr="00ED711A">
        <w:rPr>
          <w:b/>
          <w:u w:val="single"/>
          <w:lang w:val="fr-CH"/>
        </w:rPr>
        <w:t xml:space="preserve"> A</w:t>
      </w:r>
      <w:bookmarkEnd w:id="163"/>
      <w:bookmarkEnd w:id="164"/>
      <w:bookmarkEnd w:id="165"/>
      <w:bookmarkEnd w:id="166"/>
      <w:bookmarkEnd w:id="167"/>
    </w:p>
    <w:p w:rsidR="007B68CF" w:rsidRPr="00ED711A" w:rsidRDefault="007B68CF" w:rsidP="007B68CF">
      <w:pPr>
        <w:jc w:val="center"/>
        <w:rPr>
          <w:b/>
          <w:lang w:val="fr-CH"/>
        </w:rPr>
      </w:pPr>
    </w:p>
    <w:p w:rsidR="007B68CF" w:rsidRPr="00ED711A" w:rsidRDefault="00B71998" w:rsidP="007B68CF">
      <w:pPr>
        <w:jc w:val="center"/>
        <w:rPr>
          <w:lang w:val="fr-CH"/>
        </w:rPr>
      </w:pPr>
      <w:r w:rsidRPr="00ED711A">
        <w:rPr>
          <w:b/>
          <w:lang w:val="fr-CH"/>
        </w:rPr>
        <w:t>RESUME DE CHAQUE PROPOSITION CONCERNANT UNE PREPARATION PESTICIDE EXTREMEMENT DANGEREUSE DONT LE SECRETARIAT A VERIFIE QU</w:t>
      </w:r>
      <w:r w:rsidR="000D310E" w:rsidRPr="00ED711A">
        <w:rPr>
          <w:b/>
          <w:lang w:val="fr-CH"/>
        </w:rPr>
        <w:t>’</w:t>
      </w:r>
      <w:r w:rsidRPr="00ED711A">
        <w:rPr>
          <w:b/>
          <w:lang w:val="fr-CH"/>
        </w:rPr>
        <w:t>ELLE CONTIENT LES INFORMATIONS DEMANDEES DANS LA PREMIERE PARTIE DE L</w:t>
      </w:r>
      <w:r w:rsidR="000D310E" w:rsidRPr="00ED711A">
        <w:rPr>
          <w:b/>
          <w:lang w:val="fr-CH"/>
        </w:rPr>
        <w:t>’</w:t>
      </w:r>
      <w:r w:rsidRPr="00ED711A">
        <w:rPr>
          <w:b/>
          <w:lang w:val="fr-CH"/>
        </w:rPr>
        <w:t>ARTICLE IV DE LA CONVENTION</w:t>
      </w:r>
    </w:p>
    <w:p w:rsidR="005378C4" w:rsidRPr="00ED711A" w:rsidRDefault="005378C4" w:rsidP="007B68CF">
      <w:pPr>
        <w:ind w:left="624" w:hanging="601"/>
        <w:jc w:val="both"/>
        <w:rPr>
          <w:sz w:val="22"/>
          <w:szCs w:val="22"/>
          <w:lang w:val="fr-CH"/>
        </w:rPr>
      </w:pPr>
    </w:p>
    <w:p w:rsidR="005378C4" w:rsidRPr="00ED711A" w:rsidRDefault="00B71998" w:rsidP="005378C4">
      <w:pPr>
        <w:jc w:val="both"/>
        <w:rPr>
          <w:sz w:val="22"/>
          <w:szCs w:val="22"/>
          <w:lang w:val="fr-CH"/>
        </w:rPr>
      </w:pPr>
      <w:r w:rsidRPr="00ED711A">
        <w:rPr>
          <w:sz w:val="22"/>
          <w:szCs w:val="22"/>
          <w:lang w:val="fr-CH"/>
        </w:rPr>
        <w:t xml:space="preserve">Aucune proposition visant à inclure une préparation pesticide extrêmement dangereuse dans la procédure PIC </w:t>
      </w:r>
      <w:r w:rsidR="00747640">
        <w:rPr>
          <w:sz w:val="22"/>
          <w:szCs w:val="22"/>
          <w:lang w:val="fr-CH"/>
        </w:rPr>
        <w:t>n’a été reçue</w:t>
      </w:r>
      <w:r w:rsidR="00747640" w:rsidRPr="00ED711A">
        <w:rPr>
          <w:sz w:val="22"/>
          <w:szCs w:val="22"/>
          <w:lang w:val="fr-CH"/>
        </w:rPr>
        <w:t xml:space="preserve"> </w:t>
      </w:r>
      <w:r w:rsidRPr="00ED711A">
        <w:rPr>
          <w:sz w:val="22"/>
          <w:szCs w:val="22"/>
          <w:lang w:val="fr-CH"/>
        </w:rPr>
        <w:t xml:space="preserve">dont le </w:t>
      </w:r>
      <w:r w:rsidR="00747640">
        <w:rPr>
          <w:sz w:val="22"/>
          <w:szCs w:val="22"/>
          <w:lang w:val="fr-CH"/>
        </w:rPr>
        <w:t>S</w:t>
      </w:r>
      <w:r w:rsidRPr="00ED711A">
        <w:rPr>
          <w:sz w:val="22"/>
          <w:szCs w:val="22"/>
          <w:lang w:val="fr-CH"/>
        </w:rPr>
        <w:t xml:space="preserve">ecretariat </w:t>
      </w:r>
      <w:proofErr w:type="gramStart"/>
      <w:r w:rsidR="00747640">
        <w:rPr>
          <w:sz w:val="22"/>
          <w:szCs w:val="22"/>
          <w:lang w:val="fr-CH"/>
        </w:rPr>
        <w:t>a</w:t>
      </w:r>
      <w:proofErr w:type="gramEnd"/>
      <w:r w:rsidRPr="00ED711A">
        <w:rPr>
          <w:sz w:val="22"/>
          <w:szCs w:val="22"/>
          <w:lang w:val="fr-CH"/>
        </w:rPr>
        <w:t xml:space="preserve"> verifié qu</w:t>
      </w:r>
      <w:r w:rsidR="000D310E" w:rsidRPr="00ED711A">
        <w:rPr>
          <w:sz w:val="22"/>
          <w:szCs w:val="22"/>
          <w:lang w:val="fr-CH"/>
        </w:rPr>
        <w:t>’</w:t>
      </w:r>
      <w:r w:rsidRPr="00ED711A">
        <w:rPr>
          <w:sz w:val="22"/>
          <w:szCs w:val="22"/>
          <w:lang w:val="fr-CH"/>
        </w:rPr>
        <w:t>elle contient les informations demandées dans la première partie de l</w:t>
      </w:r>
      <w:r w:rsidR="000D310E" w:rsidRPr="00ED711A">
        <w:rPr>
          <w:sz w:val="22"/>
          <w:szCs w:val="22"/>
          <w:lang w:val="fr-CH"/>
        </w:rPr>
        <w:t>’article</w:t>
      </w:r>
      <w:r w:rsidRPr="00ED711A">
        <w:rPr>
          <w:sz w:val="22"/>
          <w:szCs w:val="22"/>
          <w:lang w:val="fr-CH"/>
        </w:rPr>
        <w:t xml:space="preserve"> IV de la </w:t>
      </w:r>
      <w:r w:rsidR="00747640">
        <w:rPr>
          <w:sz w:val="22"/>
          <w:szCs w:val="22"/>
          <w:lang w:val="fr-CH"/>
        </w:rPr>
        <w:t>C</w:t>
      </w:r>
      <w:r w:rsidRPr="00ED711A">
        <w:rPr>
          <w:sz w:val="22"/>
          <w:szCs w:val="22"/>
          <w:lang w:val="fr-CH"/>
        </w:rPr>
        <w:t>onvention.</w:t>
      </w:r>
    </w:p>
    <w:p w:rsidR="007B68CF" w:rsidRPr="00ED711A" w:rsidRDefault="007B68CF" w:rsidP="00290F9F">
      <w:pPr>
        <w:ind w:left="619" w:hanging="605"/>
        <w:rPr>
          <w:sz w:val="22"/>
          <w:szCs w:val="22"/>
          <w:lang w:val="fr-CH"/>
        </w:rPr>
      </w:pPr>
    </w:p>
    <w:p w:rsidR="00290F9F" w:rsidRPr="00ED711A" w:rsidRDefault="00290F9F" w:rsidP="00290F9F">
      <w:pPr>
        <w:ind w:left="619" w:hanging="605"/>
        <w:outlineLvl w:val="1"/>
        <w:rPr>
          <w:sz w:val="22"/>
          <w:u w:val="single"/>
          <w:lang w:val="fr-CH"/>
        </w:rPr>
      </w:pPr>
      <w:bookmarkStart w:id="168" w:name="_Toc421544490"/>
    </w:p>
    <w:p w:rsidR="00340E2B" w:rsidRPr="00ED711A" w:rsidRDefault="001F46B4" w:rsidP="00290F9F">
      <w:pPr>
        <w:spacing w:before="80"/>
        <w:ind w:left="624" w:hanging="605"/>
        <w:jc w:val="center"/>
        <w:outlineLvl w:val="1"/>
        <w:rPr>
          <w:b/>
          <w:u w:val="single"/>
          <w:lang w:val="fr-CH"/>
        </w:rPr>
      </w:pPr>
      <w:bookmarkStart w:id="169" w:name="_Toc468869217"/>
      <w:bookmarkStart w:id="170" w:name="_Toc468870501"/>
      <w:bookmarkStart w:id="171" w:name="_Toc468887028"/>
      <w:bookmarkStart w:id="172" w:name="_Toc469005607"/>
      <w:r w:rsidRPr="00ED711A">
        <w:rPr>
          <w:b/>
          <w:u w:val="single"/>
          <w:lang w:val="fr-CH"/>
        </w:rPr>
        <w:t>PART</w:t>
      </w:r>
      <w:r w:rsidR="00B71998" w:rsidRPr="00ED711A">
        <w:rPr>
          <w:b/>
          <w:u w:val="single"/>
          <w:lang w:val="fr-CH"/>
        </w:rPr>
        <w:t>IE</w:t>
      </w:r>
      <w:r w:rsidRPr="00ED711A">
        <w:rPr>
          <w:b/>
          <w:u w:val="single"/>
          <w:lang w:val="fr-CH"/>
        </w:rPr>
        <w:t xml:space="preserve"> B</w:t>
      </w:r>
      <w:bookmarkEnd w:id="168"/>
      <w:bookmarkEnd w:id="169"/>
      <w:bookmarkEnd w:id="170"/>
      <w:bookmarkEnd w:id="171"/>
      <w:bookmarkEnd w:id="172"/>
    </w:p>
    <w:p w:rsidR="007B68CF" w:rsidRPr="00ED711A" w:rsidRDefault="007B68CF" w:rsidP="00290F9F">
      <w:pPr>
        <w:spacing w:before="80"/>
        <w:ind w:left="601" w:hanging="605"/>
        <w:jc w:val="center"/>
        <w:rPr>
          <w:b/>
          <w:lang w:val="fr-CH"/>
        </w:rPr>
      </w:pPr>
    </w:p>
    <w:p w:rsidR="007B68CF" w:rsidRPr="00ED711A" w:rsidRDefault="009358E1" w:rsidP="00290F9F">
      <w:pPr>
        <w:spacing w:before="80"/>
        <w:ind w:left="601" w:hanging="605"/>
        <w:jc w:val="center"/>
        <w:rPr>
          <w:lang w:val="fr-CH"/>
        </w:rPr>
      </w:pPr>
      <w:r w:rsidRPr="00ED711A">
        <w:rPr>
          <w:b/>
          <w:lang w:val="fr-CH"/>
        </w:rPr>
        <w:t>PROPOSITIONS CONCERNANT DES PREPARATIONS PESTICIDES EXTREMEMENT DANGEREUSES EN COURS DE VERIFICATION</w:t>
      </w:r>
    </w:p>
    <w:p w:rsidR="007B68CF" w:rsidRPr="00ED711A" w:rsidRDefault="007B68CF" w:rsidP="005378C4">
      <w:pPr>
        <w:ind w:left="624" w:hanging="601"/>
        <w:jc w:val="both"/>
        <w:rPr>
          <w:sz w:val="22"/>
          <w:szCs w:val="22"/>
          <w:lang w:val="fr-CH"/>
        </w:rPr>
      </w:pPr>
    </w:p>
    <w:p w:rsidR="00A84B0B" w:rsidRPr="00ED711A" w:rsidRDefault="009358E1" w:rsidP="007516BF">
      <w:pPr>
        <w:jc w:val="both"/>
        <w:rPr>
          <w:sz w:val="22"/>
          <w:szCs w:val="22"/>
          <w:lang w:val="fr-CH"/>
        </w:rPr>
      </w:pPr>
      <w:r w:rsidRPr="00ED711A">
        <w:rPr>
          <w:sz w:val="22"/>
          <w:szCs w:val="22"/>
          <w:lang w:val="fr-CH"/>
        </w:rPr>
        <w:t>Aucune proposition visant à inclure une préparation pesticide extrêmement dangereuse dans la procédure PIC n</w:t>
      </w:r>
      <w:r w:rsidR="000D310E" w:rsidRPr="00ED711A">
        <w:rPr>
          <w:sz w:val="22"/>
          <w:szCs w:val="22"/>
          <w:lang w:val="fr-CH"/>
        </w:rPr>
        <w:t>’</w:t>
      </w:r>
      <w:r w:rsidRPr="00ED711A">
        <w:rPr>
          <w:sz w:val="22"/>
          <w:szCs w:val="22"/>
          <w:lang w:val="fr-CH"/>
        </w:rPr>
        <w:t>est en cours de vérification par le Secrétariat.</w:t>
      </w:r>
    </w:p>
    <w:p w:rsidR="00A84B0B" w:rsidRPr="00ED711A" w:rsidRDefault="00A84B0B" w:rsidP="005378C4">
      <w:pPr>
        <w:ind w:left="624" w:hanging="601"/>
        <w:jc w:val="both"/>
        <w:rPr>
          <w:sz w:val="22"/>
          <w:szCs w:val="22"/>
          <w:lang w:val="fr-CH"/>
        </w:rPr>
      </w:pPr>
    </w:p>
    <w:p w:rsidR="00A84B0B" w:rsidRPr="00ED711A" w:rsidRDefault="00A84B0B" w:rsidP="007B68CF">
      <w:pPr>
        <w:jc w:val="both"/>
        <w:rPr>
          <w:rFonts w:ascii="Arial" w:hAnsi="Arial" w:cs="Arial"/>
          <w:sz w:val="22"/>
          <w:szCs w:val="22"/>
          <w:lang w:val="fr-CH"/>
        </w:rPr>
        <w:sectPr w:rsidR="00A84B0B" w:rsidRPr="00ED711A" w:rsidSect="008A1D9E">
          <w:headerReference w:type="default" r:id="rId50"/>
          <w:pgSz w:w="11907" w:h="16839" w:code="9"/>
          <w:pgMar w:top="1134" w:right="1418" w:bottom="1134" w:left="1418" w:header="709" w:footer="277" w:gutter="0"/>
          <w:cols w:space="709"/>
          <w:docGrid w:linePitch="360"/>
        </w:sectPr>
      </w:pPr>
    </w:p>
    <w:p w:rsidR="00C178F3" w:rsidRPr="00ED711A" w:rsidRDefault="009358E1" w:rsidP="007B68CF">
      <w:pPr>
        <w:pStyle w:val="H1PIC"/>
        <w:jc w:val="center"/>
        <w:rPr>
          <w:color w:val="auto"/>
          <w:sz w:val="24"/>
          <w:szCs w:val="24"/>
          <w:lang w:val="fr-CH"/>
        </w:rPr>
      </w:pPr>
      <w:bookmarkStart w:id="173" w:name="_Toc105228790"/>
      <w:bookmarkStart w:id="174" w:name="_Toc158029017"/>
      <w:bookmarkStart w:id="175" w:name="_Toc168731350"/>
      <w:bookmarkStart w:id="176" w:name="_Toc184545132"/>
      <w:bookmarkStart w:id="177" w:name="_Toc184545467"/>
      <w:bookmarkStart w:id="178" w:name="_Toc187484348"/>
      <w:bookmarkStart w:id="179" w:name="_Toc199906475"/>
      <w:bookmarkStart w:id="180" w:name="_Toc201032663"/>
      <w:bookmarkStart w:id="181" w:name="_Toc215915389"/>
      <w:bookmarkStart w:id="182" w:name="_Toc232307883"/>
      <w:bookmarkStart w:id="183" w:name="_Toc248296439"/>
      <w:bookmarkStart w:id="184" w:name="_Toc248307675"/>
      <w:bookmarkStart w:id="185" w:name="_Toc263866402"/>
      <w:bookmarkStart w:id="186" w:name="_Toc264391973"/>
      <w:bookmarkStart w:id="187" w:name="_Toc264393120"/>
      <w:bookmarkStart w:id="188" w:name="_Toc468869218"/>
      <w:bookmarkStart w:id="189" w:name="_Toc468870502"/>
      <w:bookmarkStart w:id="190" w:name="_Toc468887029"/>
      <w:bookmarkStart w:id="191" w:name="_Toc469005608"/>
      <w:bookmarkStart w:id="192" w:name="_Toc327357867"/>
      <w:bookmarkStart w:id="193" w:name="_Toc405887616"/>
      <w:bookmarkStart w:id="194" w:name="_Toc421544491"/>
      <w:bookmarkEnd w:id="153"/>
      <w:bookmarkEnd w:id="154"/>
      <w:bookmarkEnd w:id="155"/>
      <w:bookmarkEnd w:id="156"/>
      <w:bookmarkEnd w:id="157"/>
      <w:bookmarkEnd w:id="158"/>
      <w:bookmarkEnd w:id="159"/>
      <w:bookmarkEnd w:id="160"/>
      <w:bookmarkEnd w:id="161"/>
      <w:r w:rsidRPr="00ED711A">
        <w:rPr>
          <w:color w:val="auto"/>
          <w:sz w:val="24"/>
          <w:szCs w:val="24"/>
          <w:lang w:val="fr-CH"/>
        </w:rPr>
        <w:lastRenderedPageBreak/>
        <w:t>APPENDICE</w:t>
      </w:r>
      <w:r w:rsidR="00BC73C4" w:rsidRPr="00ED711A">
        <w:rPr>
          <w:color w:val="auto"/>
          <w:sz w:val="24"/>
          <w:szCs w:val="24"/>
          <w:lang w:val="fr-CH"/>
        </w:rPr>
        <w:t xml:space="preserve"> III</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C178F3" w:rsidRPr="00ED711A" w:rsidRDefault="00C178F3" w:rsidP="007B68CF">
      <w:pPr>
        <w:pStyle w:val="H1PIC"/>
        <w:jc w:val="center"/>
        <w:rPr>
          <w:color w:val="auto"/>
          <w:sz w:val="24"/>
          <w:szCs w:val="24"/>
          <w:lang w:val="fr-CH"/>
        </w:rPr>
      </w:pPr>
    </w:p>
    <w:p w:rsidR="007B68CF" w:rsidRPr="00ED711A" w:rsidRDefault="009358E1" w:rsidP="00DC1648">
      <w:pPr>
        <w:pStyle w:val="H1PIC"/>
        <w:tabs>
          <w:tab w:val="clear" w:pos="9240"/>
          <w:tab w:val="left" w:pos="9630"/>
        </w:tabs>
        <w:jc w:val="center"/>
        <w:rPr>
          <w:rFonts w:eastAsia="SimSun"/>
          <w:color w:val="auto"/>
          <w:sz w:val="24"/>
          <w:szCs w:val="24"/>
          <w:lang w:val="fr-CH" w:eastAsia="zh-CN"/>
        </w:rPr>
      </w:pPr>
      <w:bookmarkStart w:id="195" w:name="_Toc469005609"/>
      <w:bookmarkEnd w:id="192"/>
      <w:bookmarkEnd w:id="193"/>
      <w:bookmarkEnd w:id="194"/>
      <w:r w:rsidRPr="00ED711A">
        <w:rPr>
          <w:rFonts w:eastAsia="SimSun"/>
          <w:color w:val="auto"/>
          <w:sz w:val="24"/>
          <w:szCs w:val="24"/>
          <w:lang w:val="fr-CH" w:eastAsia="zh-CN"/>
        </w:rPr>
        <w:t xml:space="preserve">PRODUITS CHIMIQUES SOUMIS À LA PROCEDURE </w:t>
      </w:r>
      <w:bookmarkEnd w:id="195"/>
      <w:r w:rsidR="00EC1F67">
        <w:rPr>
          <w:rFonts w:eastAsia="SimSun"/>
          <w:color w:val="auto"/>
          <w:sz w:val="24"/>
          <w:szCs w:val="24"/>
          <w:lang w:val="fr-CH" w:eastAsia="zh-CN"/>
        </w:rPr>
        <w:t>PIC</w:t>
      </w:r>
    </w:p>
    <w:p w:rsidR="00D277F4" w:rsidRPr="00ED711A" w:rsidRDefault="00D277F4" w:rsidP="007B68CF">
      <w:pPr>
        <w:pStyle w:val="H1PIC"/>
        <w:jc w:val="center"/>
        <w:rPr>
          <w:rFonts w:eastAsia="SimSun"/>
          <w:color w:val="auto"/>
          <w:lang w:val="fr-CH" w:eastAsia="zh-CN"/>
        </w:rPr>
      </w:pPr>
    </w:p>
    <w:tbl>
      <w:tblPr>
        <w:tblStyle w:val="TableGrid"/>
        <w:tblW w:w="5000" w:type="pct"/>
        <w:tblCellMar>
          <w:left w:w="115" w:type="dxa"/>
          <w:right w:w="115" w:type="dxa"/>
        </w:tblCellMar>
        <w:tblLook w:val="05E0"/>
      </w:tblPr>
      <w:tblGrid>
        <w:gridCol w:w="2994"/>
        <w:gridCol w:w="2161"/>
        <w:gridCol w:w="1619"/>
        <w:gridCol w:w="3095"/>
      </w:tblGrid>
      <w:tr w:rsidR="009358E1" w:rsidRPr="00A97FB1" w:rsidTr="005E06A1">
        <w:trPr>
          <w:cantSplit/>
          <w:trHeight w:val="20"/>
          <w:tblHeader/>
        </w:trPr>
        <w:tc>
          <w:tcPr>
            <w:tcW w:w="1517" w:type="pct"/>
            <w:tcBorders>
              <w:top w:val="double" w:sz="4" w:space="0" w:color="auto"/>
              <w:left w:val="double" w:sz="4" w:space="0" w:color="auto"/>
              <w:bottom w:val="double" w:sz="4" w:space="0" w:color="auto"/>
              <w:right w:val="double" w:sz="4" w:space="0" w:color="auto"/>
            </w:tcBorders>
            <w:vAlign w:val="center"/>
            <w:hideMark/>
          </w:tcPr>
          <w:p w:rsidR="009358E1" w:rsidRPr="008C0F9A" w:rsidRDefault="009358E1" w:rsidP="00112021">
            <w:pPr>
              <w:snapToGrid w:val="0"/>
              <w:spacing w:before="40" w:after="40"/>
              <w:jc w:val="center"/>
              <w:rPr>
                <w:b/>
                <w:sz w:val="20"/>
                <w:szCs w:val="20"/>
                <w:lang w:val="fr-FR"/>
              </w:rPr>
            </w:pPr>
            <w:r w:rsidRPr="008C0F9A">
              <w:rPr>
                <w:b/>
                <w:sz w:val="20"/>
                <w:szCs w:val="20"/>
              </w:rPr>
              <w:t>Nom du produit chimique</w:t>
            </w:r>
          </w:p>
        </w:tc>
        <w:tc>
          <w:tcPr>
            <w:tcW w:w="1095" w:type="pct"/>
            <w:tcBorders>
              <w:top w:val="double" w:sz="4" w:space="0" w:color="auto"/>
              <w:left w:val="double" w:sz="4" w:space="0" w:color="auto"/>
              <w:bottom w:val="double" w:sz="4" w:space="0" w:color="auto"/>
              <w:right w:val="double" w:sz="4" w:space="0" w:color="auto"/>
            </w:tcBorders>
            <w:vAlign w:val="center"/>
            <w:hideMark/>
          </w:tcPr>
          <w:p w:rsidR="009358E1" w:rsidRPr="008C0F9A" w:rsidRDefault="009358E1" w:rsidP="00112021">
            <w:pPr>
              <w:snapToGrid w:val="0"/>
              <w:spacing w:before="40" w:after="40"/>
              <w:jc w:val="center"/>
              <w:rPr>
                <w:b/>
                <w:sz w:val="20"/>
                <w:szCs w:val="20"/>
                <w:lang w:val="fr-CH"/>
              </w:rPr>
            </w:pPr>
            <w:r w:rsidRPr="008C0F9A">
              <w:rPr>
                <w:b/>
                <w:sz w:val="20"/>
                <w:szCs w:val="20"/>
                <w:lang w:val="fr-CH"/>
              </w:rPr>
              <w:t>Numéro du Service des résumés analytiques de chimie</w:t>
            </w:r>
          </w:p>
        </w:tc>
        <w:tc>
          <w:tcPr>
            <w:tcW w:w="820" w:type="pct"/>
            <w:tcBorders>
              <w:top w:val="double" w:sz="4" w:space="0" w:color="auto"/>
              <w:left w:val="double" w:sz="4" w:space="0" w:color="auto"/>
              <w:bottom w:val="double" w:sz="4" w:space="0" w:color="auto"/>
              <w:right w:val="double" w:sz="4" w:space="0" w:color="auto"/>
            </w:tcBorders>
            <w:vAlign w:val="center"/>
            <w:hideMark/>
          </w:tcPr>
          <w:p w:rsidR="009358E1" w:rsidRPr="008C0F9A" w:rsidRDefault="009358E1" w:rsidP="00112021">
            <w:pPr>
              <w:snapToGrid w:val="0"/>
              <w:spacing w:before="40" w:after="40"/>
              <w:jc w:val="center"/>
              <w:rPr>
                <w:b/>
                <w:sz w:val="20"/>
                <w:szCs w:val="20"/>
                <w:lang w:val="fr-FR"/>
              </w:rPr>
            </w:pPr>
            <w:r w:rsidRPr="008C0F9A">
              <w:rPr>
                <w:b/>
                <w:sz w:val="20"/>
                <w:szCs w:val="20"/>
              </w:rPr>
              <w:t>Catégorie</w:t>
            </w:r>
          </w:p>
        </w:tc>
        <w:tc>
          <w:tcPr>
            <w:tcW w:w="1568" w:type="pct"/>
            <w:tcBorders>
              <w:top w:val="double" w:sz="4" w:space="0" w:color="auto"/>
              <w:left w:val="double" w:sz="4" w:space="0" w:color="auto"/>
              <w:bottom w:val="double" w:sz="4" w:space="0" w:color="auto"/>
              <w:right w:val="double" w:sz="4" w:space="0" w:color="auto"/>
            </w:tcBorders>
            <w:vAlign w:val="center"/>
            <w:hideMark/>
          </w:tcPr>
          <w:p w:rsidR="009358E1" w:rsidRPr="008C0F9A" w:rsidRDefault="009358E1" w:rsidP="00112021">
            <w:pPr>
              <w:snapToGrid w:val="0"/>
              <w:spacing w:before="40" w:after="40"/>
              <w:jc w:val="center"/>
              <w:rPr>
                <w:b/>
                <w:sz w:val="20"/>
                <w:szCs w:val="20"/>
                <w:lang w:val="fr-CH"/>
              </w:rPr>
            </w:pPr>
            <w:r w:rsidRPr="008C0F9A">
              <w:rPr>
                <w:b/>
                <w:sz w:val="20"/>
                <w:szCs w:val="20"/>
                <w:lang w:val="fr-CH"/>
              </w:rPr>
              <w:t>Date du premier envoi des documents d</w:t>
            </w:r>
            <w:r w:rsidR="000D310E" w:rsidRPr="008C0F9A">
              <w:rPr>
                <w:b/>
                <w:sz w:val="20"/>
                <w:szCs w:val="20"/>
                <w:lang w:val="fr-CH"/>
              </w:rPr>
              <w:t>’</w:t>
            </w:r>
            <w:r w:rsidRPr="008C0F9A">
              <w:rPr>
                <w:b/>
                <w:sz w:val="20"/>
                <w:szCs w:val="20"/>
                <w:lang w:val="fr-CH"/>
              </w:rPr>
              <w:t>orientation des décisions</w:t>
            </w:r>
          </w:p>
        </w:tc>
      </w:tr>
      <w:tr w:rsidR="009358E1" w:rsidRPr="00A97FB1" w:rsidTr="005E06A1">
        <w:trPr>
          <w:cantSplit/>
          <w:trHeight w:val="20"/>
        </w:trPr>
        <w:tc>
          <w:tcPr>
            <w:tcW w:w="1517" w:type="pct"/>
            <w:tcBorders>
              <w:top w:val="double" w:sz="4" w:space="0" w:color="auto"/>
            </w:tcBorders>
            <w:hideMark/>
          </w:tcPr>
          <w:p w:rsidR="009358E1" w:rsidRPr="008C0F9A" w:rsidRDefault="009358E1" w:rsidP="00112021">
            <w:pPr>
              <w:snapToGrid w:val="0"/>
              <w:spacing w:before="40" w:after="40"/>
              <w:rPr>
                <w:sz w:val="20"/>
                <w:szCs w:val="20"/>
                <w:lang w:val="fr-CH"/>
              </w:rPr>
            </w:pPr>
            <w:r w:rsidRPr="008C0F9A">
              <w:rPr>
                <w:sz w:val="20"/>
                <w:szCs w:val="20"/>
                <w:lang w:val="fr-CH"/>
              </w:rPr>
              <w:t>2</w:t>
            </w:r>
            <w:proofErr w:type="gramStart"/>
            <w:r w:rsidRPr="008C0F9A">
              <w:rPr>
                <w:sz w:val="20"/>
                <w:szCs w:val="20"/>
                <w:lang w:val="fr-CH"/>
              </w:rPr>
              <w:t>,4,5</w:t>
            </w:r>
            <w:proofErr w:type="gramEnd"/>
            <w:r w:rsidRPr="008C0F9A">
              <w:rPr>
                <w:sz w:val="20"/>
                <w:szCs w:val="20"/>
                <w:lang w:val="fr-CH"/>
              </w:rPr>
              <w:t>-T et ses sels et esters</w:t>
            </w:r>
          </w:p>
        </w:tc>
        <w:tc>
          <w:tcPr>
            <w:tcW w:w="1095" w:type="pct"/>
            <w:tcBorders>
              <w:top w:val="double" w:sz="4" w:space="0" w:color="auto"/>
            </w:tcBorders>
            <w:hideMark/>
          </w:tcPr>
          <w:p w:rsidR="009358E1" w:rsidRPr="008C0F9A" w:rsidRDefault="009358E1" w:rsidP="00112021">
            <w:pPr>
              <w:snapToGrid w:val="0"/>
              <w:spacing w:before="40" w:after="40"/>
              <w:rPr>
                <w:sz w:val="20"/>
                <w:szCs w:val="20"/>
                <w:lang w:val="fr-FR"/>
              </w:rPr>
            </w:pPr>
            <w:r w:rsidRPr="008C0F9A">
              <w:rPr>
                <w:sz w:val="20"/>
                <w:szCs w:val="20"/>
              </w:rPr>
              <w:t>93-76-5</w:t>
            </w:r>
            <w:r w:rsidR="00112021">
              <w:rPr>
                <w:sz w:val="20"/>
                <w:szCs w:val="20"/>
              </w:rPr>
              <w:t>*</w:t>
            </w:r>
          </w:p>
        </w:tc>
        <w:tc>
          <w:tcPr>
            <w:tcW w:w="820" w:type="pct"/>
            <w:tcBorders>
              <w:top w:val="double" w:sz="4" w:space="0" w:color="auto"/>
            </w:tcBorders>
            <w:hideMark/>
          </w:tcPr>
          <w:p w:rsidR="009358E1" w:rsidRPr="008C0F9A" w:rsidRDefault="009358E1" w:rsidP="00112021">
            <w:pPr>
              <w:snapToGrid w:val="0"/>
              <w:spacing w:before="40" w:after="40"/>
              <w:rPr>
                <w:sz w:val="20"/>
                <w:szCs w:val="20"/>
                <w:lang w:val="fr-FR"/>
              </w:rPr>
            </w:pPr>
            <w:r w:rsidRPr="008C0F9A">
              <w:rPr>
                <w:sz w:val="20"/>
                <w:szCs w:val="20"/>
              </w:rPr>
              <w:t>Pesticide</w:t>
            </w:r>
          </w:p>
        </w:tc>
        <w:tc>
          <w:tcPr>
            <w:tcW w:w="1568" w:type="pct"/>
            <w:tcBorders>
              <w:top w:val="double" w:sz="4" w:space="0" w:color="auto"/>
            </w:tcBorders>
            <w:hideMark/>
          </w:tcPr>
          <w:p w:rsidR="009358E1" w:rsidRPr="008C0F9A" w:rsidRDefault="009358E1" w:rsidP="00112021">
            <w:pPr>
              <w:snapToGrid w:val="0"/>
              <w:spacing w:before="40" w:after="40"/>
              <w:rPr>
                <w:sz w:val="20"/>
                <w:szCs w:val="20"/>
                <w:lang w:val="fr-CH"/>
              </w:rPr>
            </w:pPr>
            <w:r w:rsidRPr="008C0F9A">
              <w:rPr>
                <w:sz w:val="20"/>
                <w:szCs w:val="20"/>
                <w:lang w:val="fr-CH"/>
              </w:rPr>
              <w:t>Avant l</w:t>
            </w:r>
            <w:r w:rsidR="000D310E" w:rsidRPr="008C0F9A">
              <w:rPr>
                <w:sz w:val="20"/>
                <w:szCs w:val="20"/>
                <w:lang w:val="fr-CH"/>
              </w:rPr>
              <w:t>’</w:t>
            </w:r>
            <w:r w:rsidRPr="008C0F9A">
              <w:rPr>
                <w:sz w:val="20"/>
                <w:szCs w:val="20"/>
                <w:lang w:val="fr-CH"/>
              </w:rPr>
              <w:t>adoption de la Convention</w:t>
            </w:r>
          </w:p>
        </w:tc>
      </w:tr>
      <w:tr w:rsidR="009358E1" w:rsidRPr="00A97FB1" w:rsidTr="005E06A1">
        <w:trPr>
          <w:cantSplit/>
          <w:trHeight w:val="20"/>
        </w:trPr>
        <w:tc>
          <w:tcPr>
            <w:tcW w:w="1517" w:type="pct"/>
            <w:hideMark/>
          </w:tcPr>
          <w:p w:rsidR="009358E1" w:rsidRPr="008C0F9A" w:rsidRDefault="009358E1" w:rsidP="00112021">
            <w:pPr>
              <w:snapToGrid w:val="0"/>
              <w:spacing w:before="40" w:after="40"/>
              <w:rPr>
                <w:sz w:val="20"/>
                <w:szCs w:val="20"/>
                <w:lang w:val="fr-FR"/>
              </w:rPr>
            </w:pPr>
            <w:r w:rsidRPr="008C0F9A">
              <w:rPr>
                <w:sz w:val="20"/>
                <w:szCs w:val="20"/>
              </w:rPr>
              <w:t>Alachlore</w:t>
            </w:r>
          </w:p>
        </w:tc>
        <w:tc>
          <w:tcPr>
            <w:tcW w:w="1095" w:type="pct"/>
            <w:hideMark/>
          </w:tcPr>
          <w:p w:rsidR="009358E1" w:rsidRPr="008C0F9A" w:rsidRDefault="009358E1" w:rsidP="00112021">
            <w:pPr>
              <w:snapToGrid w:val="0"/>
              <w:spacing w:before="40" w:after="40"/>
              <w:rPr>
                <w:sz w:val="20"/>
                <w:szCs w:val="20"/>
                <w:lang w:val="fr-FR"/>
              </w:rPr>
            </w:pPr>
            <w:r w:rsidRPr="008C0F9A">
              <w:rPr>
                <w:sz w:val="20"/>
                <w:szCs w:val="20"/>
              </w:rPr>
              <w:t>15972-60-8</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Pesticide</w:t>
            </w:r>
          </w:p>
        </w:tc>
        <w:tc>
          <w:tcPr>
            <w:tcW w:w="1568" w:type="pct"/>
            <w:hideMark/>
          </w:tcPr>
          <w:p w:rsidR="009358E1" w:rsidRPr="008C0F9A" w:rsidRDefault="009358E1" w:rsidP="00112021">
            <w:pPr>
              <w:snapToGrid w:val="0"/>
              <w:spacing w:before="40" w:after="40"/>
              <w:rPr>
                <w:sz w:val="20"/>
                <w:szCs w:val="20"/>
                <w:lang w:val="fr-CH"/>
              </w:rPr>
            </w:pPr>
            <w:r w:rsidRPr="008C0F9A">
              <w:rPr>
                <w:sz w:val="20"/>
                <w:szCs w:val="20"/>
                <w:lang w:val="fr-CH"/>
              </w:rPr>
              <w:t>Avant l</w:t>
            </w:r>
            <w:r w:rsidR="000D310E" w:rsidRPr="008C0F9A">
              <w:rPr>
                <w:sz w:val="20"/>
                <w:szCs w:val="20"/>
                <w:lang w:val="fr-CH"/>
              </w:rPr>
              <w:t>’</w:t>
            </w:r>
            <w:r w:rsidRPr="008C0F9A">
              <w:rPr>
                <w:sz w:val="20"/>
                <w:szCs w:val="20"/>
                <w:lang w:val="fr-CH"/>
              </w:rPr>
              <w:t>adoption de la Convention</w:t>
            </w:r>
          </w:p>
        </w:tc>
      </w:tr>
      <w:tr w:rsidR="009358E1" w:rsidRPr="00A97FB1" w:rsidTr="005E06A1">
        <w:trPr>
          <w:cantSplit/>
          <w:trHeight w:val="20"/>
        </w:trPr>
        <w:tc>
          <w:tcPr>
            <w:tcW w:w="1517" w:type="pct"/>
            <w:hideMark/>
          </w:tcPr>
          <w:p w:rsidR="009358E1" w:rsidRPr="008C0F9A" w:rsidRDefault="009358E1" w:rsidP="00112021">
            <w:pPr>
              <w:snapToGrid w:val="0"/>
              <w:spacing w:before="40" w:after="40"/>
              <w:rPr>
                <w:sz w:val="20"/>
                <w:szCs w:val="20"/>
                <w:lang w:val="fr-FR"/>
              </w:rPr>
            </w:pPr>
            <w:r w:rsidRPr="008C0F9A">
              <w:rPr>
                <w:sz w:val="20"/>
                <w:szCs w:val="20"/>
              </w:rPr>
              <w:t>Aldicarbe</w:t>
            </w:r>
          </w:p>
        </w:tc>
        <w:tc>
          <w:tcPr>
            <w:tcW w:w="1095" w:type="pct"/>
            <w:hideMark/>
          </w:tcPr>
          <w:p w:rsidR="009358E1" w:rsidRPr="008C0F9A" w:rsidRDefault="009358E1" w:rsidP="00112021">
            <w:pPr>
              <w:snapToGrid w:val="0"/>
              <w:spacing w:before="40" w:after="40"/>
              <w:rPr>
                <w:sz w:val="20"/>
                <w:szCs w:val="20"/>
                <w:lang w:val="fr-FR"/>
              </w:rPr>
            </w:pPr>
            <w:r w:rsidRPr="008C0F9A">
              <w:rPr>
                <w:sz w:val="20"/>
                <w:szCs w:val="20"/>
              </w:rPr>
              <w:t>116-06-3</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Pesticide</w:t>
            </w:r>
          </w:p>
        </w:tc>
        <w:tc>
          <w:tcPr>
            <w:tcW w:w="1568" w:type="pct"/>
            <w:hideMark/>
          </w:tcPr>
          <w:p w:rsidR="009358E1" w:rsidRPr="008C0F9A" w:rsidRDefault="009358E1" w:rsidP="00112021">
            <w:pPr>
              <w:snapToGrid w:val="0"/>
              <w:spacing w:before="40" w:after="40"/>
              <w:rPr>
                <w:sz w:val="20"/>
                <w:szCs w:val="20"/>
                <w:lang w:val="fr-CH"/>
              </w:rPr>
            </w:pPr>
            <w:r w:rsidRPr="008C0F9A">
              <w:rPr>
                <w:sz w:val="20"/>
                <w:szCs w:val="20"/>
                <w:lang w:val="fr-CH"/>
              </w:rPr>
              <w:t>Avant l</w:t>
            </w:r>
            <w:r w:rsidR="000D310E" w:rsidRPr="008C0F9A">
              <w:rPr>
                <w:sz w:val="20"/>
                <w:szCs w:val="20"/>
                <w:lang w:val="fr-CH"/>
              </w:rPr>
              <w:t>’</w:t>
            </w:r>
            <w:r w:rsidRPr="008C0F9A">
              <w:rPr>
                <w:sz w:val="20"/>
                <w:szCs w:val="20"/>
                <w:lang w:val="fr-CH"/>
              </w:rPr>
              <w:t>adoption de la Convention</w:t>
            </w:r>
          </w:p>
        </w:tc>
      </w:tr>
      <w:tr w:rsidR="009358E1" w:rsidRPr="00A97FB1" w:rsidTr="005E06A1">
        <w:trPr>
          <w:cantSplit/>
          <w:trHeight w:val="20"/>
        </w:trPr>
        <w:tc>
          <w:tcPr>
            <w:tcW w:w="1517" w:type="pct"/>
            <w:hideMark/>
          </w:tcPr>
          <w:p w:rsidR="009358E1" w:rsidRPr="008C0F9A" w:rsidRDefault="009358E1" w:rsidP="00112021">
            <w:pPr>
              <w:snapToGrid w:val="0"/>
              <w:spacing w:before="40" w:after="40"/>
              <w:rPr>
                <w:sz w:val="20"/>
                <w:szCs w:val="20"/>
                <w:lang w:val="fr-FR"/>
              </w:rPr>
            </w:pPr>
            <w:r w:rsidRPr="008C0F9A">
              <w:rPr>
                <w:sz w:val="20"/>
                <w:szCs w:val="20"/>
              </w:rPr>
              <w:t>Aldrine</w:t>
            </w:r>
          </w:p>
        </w:tc>
        <w:tc>
          <w:tcPr>
            <w:tcW w:w="1095" w:type="pct"/>
            <w:hideMark/>
          </w:tcPr>
          <w:p w:rsidR="009358E1" w:rsidRPr="008C0F9A" w:rsidRDefault="009358E1" w:rsidP="00112021">
            <w:pPr>
              <w:snapToGrid w:val="0"/>
              <w:spacing w:before="40" w:after="40"/>
              <w:rPr>
                <w:sz w:val="20"/>
                <w:szCs w:val="20"/>
                <w:lang w:val="fr-FR"/>
              </w:rPr>
            </w:pPr>
            <w:r w:rsidRPr="008C0F9A">
              <w:rPr>
                <w:sz w:val="20"/>
                <w:szCs w:val="20"/>
              </w:rPr>
              <w:t>309-00-2</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Pesticide</w:t>
            </w:r>
          </w:p>
        </w:tc>
        <w:tc>
          <w:tcPr>
            <w:tcW w:w="1568" w:type="pct"/>
            <w:hideMark/>
          </w:tcPr>
          <w:p w:rsidR="009358E1" w:rsidRPr="008C0F9A" w:rsidRDefault="009358E1" w:rsidP="00112021">
            <w:pPr>
              <w:snapToGrid w:val="0"/>
              <w:spacing w:before="40" w:after="40"/>
              <w:rPr>
                <w:sz w:val="20"/>
                <w:szCs w:val="20"/>
                <w:lang w:val="fr-CH"/>
              </w:rPr>
            </w:pPr>
            <w:r w:rsidRPr="008C0F9A">
              <w:rPr>
                <w:sz w:val="20"/>
                <w:szCs w:val="20"/>
                <w:lang w:val="fr-CH"/>
              </w:rPr>
              <w:t>Avant l</w:t>
            </w:r>
            <w:r w:rsidR="000D310E" w:rsidRPr="008C0F9A">
              <w:rPr>
                <w:sz w:val="20"/>
                <w:szCs w:val="20"/>
                <w:lang w:val="fr-CH"/>
              </w:rPr>
              <w:t>’</w:t>
            </w:r>
            <w:r w:rsidRPr="008C0F9A">
              <w:rPr>
                <w:sz w:val="20"/>
                <w:szCs w:val="20"/>
                <w:lang w:val="fr-CH"/>
              </w:rPr>
              <w:t>adoption de la Convention</w:t>
            </w:r>
          </w:p>
        </w:tc>
      </w:tr>
      <w:tr w:rsidR="009358E1" w:rsidRPr="008C0F9A" w:rsidTr="005E06A1">
        <w:trPr>
          <w:cantSplit/>
          <w:trHeight w:val="20"/>
        </w:trPr>
        <w:tc>
          <w:tcPr>
            <w:tcW w:w="1517" w:type="pct"/>
            <w:hideMark/>
          </w:tcPr>
          <w:p w:rsidR="009358E1" w:rsidRPr="008C0F9A" w:rsidRDefault="009358E1" w:rsidP="00112021">
            <w:pPr>
              <w:snapToGrid w:val="0"/>
              <w:spacing w:before="40" w:after="40"/>
              <w:rPr>
                <w:sz w:val="20"/>
                <w:szCs w:val="20"/>
                <w:lang w:val="fr-FR"/>
              </w:rPr>
            </w:pPr>
            <w:r w:rsidRPr="008C0F9A">
              <w:rPr>
                <w:sz w:val="20"/>
                <w:szCs w:val="20"/>
              </w:rPr>
              <w:t>Azinphos-méthyl</w:t>
            </w:r>
          </w:p>
        </w:tc>
        <w:tc>
          <w:tcPr>
            <w:tcW w:w="1095" w:type="pct"/>
            <w:hideMark/>
          </w:tcPr>
          <w:p w:rsidR="009358E1" w:rsidRPr="008C0F9A" w:rsidRDefault="009358E1" w:rsidP="00112021">
            <w:pPr>
              <w:snapToGrid w:val="0"/>
              <w:spacing w:before="40" w:after="40"/>
              <w:rPr>
                <w:sz w:val="20"/>
                <w:szCs w:val="20"/>
                <w:lang w:val="fr-FR"/>
              </w:rPr>
            </w:pPr>
            <w:r w:rsidRPr="008C0F9A">
              <w:rPr>
                <w:sz w:val="20"/>
                <w:szCs w:val="20"/>
              </w:rPr>
              <w:t>86-50-0</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Pesticide</w:t>
            </w:r>
          </w:p>
        </w:tc>
        <w:tc>
          <w:tcPr>
            <w:tcW w:w="1568" w:type="pct"/>
            <w:hideMark/>
          </w:tcPr>
          <w:p w:rsidR="009358E1" w:rsidRPr="008C0F9A" w:rsidRDefault="009358E1" w:rsidP="00112021">
            <w:pPr>
              <w:snapToGrid w:val="0"/>
              <w:spacing w:before="40" w:after="40"/>
              <w:rPr>
                <w:sz w:val="20"/>
                <w:szCs w:val="20"/>
                <w:lang w:val="fr-FR"/>
              </w:rPr>
            </w:pPr>
            <w:r w:rsidRPr="008C0F9A">
              <w:rPr>
                <w:sz w:val="20"/>
                <w:szCs w:val="20"/>
              </w:rPr>
              <w:t>10/08/2013</w:t>
            </w:r>
          </w:p>
        </w:tc>
      </w:tr>
      <w:tr w:rsidR="009358E1" w:rsidRPr="008C0F9A" w:rsidTr="005E06A1">
        <w:trPr>
          <w:cantSplit/>
          <w:trHeight w:val="20"/>
        </w:trPr>
        <w:tc>
          <w:tcPr>
            <w:tcW w:w="1517" w:type="pct"/>
            <w:hideMark/>
          </w:tcPr>
          <w:p w:rsidR="009358E1" w:rsidRPr="008C0F9A" w:rsidRDefault="009358E1" w:rsidP="00112021">
            <w:pPr>
              <w:snapToGrid w:val="0"/>
              <w:spacing w:before="40" w:after="40"/>
              <w:rPr>
                <w:sz w:val="20"/>
                <w:szCs w:val="20"/>
                <w:lang w:val="fr-FR"/>
              </w:rPr>
            </w:pPr>
            <w:r w:rsidRPr="008C0F9A">
              <w:rPr>
                <w:sz w:val="20"/>
                <w:szCs w:val="20"/>
              </w:rPr>
              <w:t>Binapacryl</w:t>
            </w:r>
          </w:p>
        </w:tc>
        <w:tc>
          <w:tcPr>
            <w:tcW w:w="1095" w:type="pct"/>
            <w:hideMark/>
          </w:tcPr>
          <w:p w:rsidR="009358E1" w:rsidRPr="008C0F9A" w:rsidRDefault="009358E1" w:rsidP="00112021">
            <w:pPr>
              <w:snapToGrid w:val="0"/>
              <w:spacing w:before="40" w:after="40"/>
              <w:rPr>
                <w:sz w:val="20"/>
                <w:szCs w:val="20"/>
                <w:lang w:val="fr-FR"/>
              </w:rPr>
            </w:pPr>
            <w:r w:rsidRPr="008C0F9A">
              <w:rPr>
                <w:sz w:val="20"/>
                <w:szCs w:val="20"/>
              </w:rPr>
              <w:t>485-31-4</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Pesticide</w:t>
            </w:r>
          </w:p>
        </w:tc>
        <w:tc>
          <w:tcPr>
            <w:tcW w:w="1568" w:type="pct"/>
            <w:hideMark/>
          </w:tcPr>
          <w:p w:rsidR="009358E1" w:rsidRPr="008C0F9A" w:rsidRDefault="009358E1" w:rsidP="00112021">
            <w:pPr>
              <w:snapToGrid w:val="0"/>
              <w:spacing w:before="40" w:after="40"/>
              <w:rPr>
                <w:sz w:val="20"/>
                <w:szCs w:val="20"/>
                <w:lang w:val="fr-FR"/>
              </w:rPr>
            </w:pPr>
            <w:r w:rsidRPr="008C0F9A">
              <w:rPr>
                <w:sz w:val="20"/>
                <w:szCs w:val="20"/>
              </w:rPr>
              <w:t>01/02/2005</w:t>
            </w:r>
          </w:p>
        </w:tc>
      </w:tr>
      <w:tr w:rsidR="009358E1" w:rsidRPr="00A97FB1" w:rsidTr="005E06A1">
        <w:trPr>
          <w:cantSplit/>
          <w:trHeight w:val="20"/>
        </w:trPr>
        <w:tc>
          <w:tcPr>
            <w:tcW w:w="1517" w:type="pct"/>
            <w:hideMark/>
          </w:tcPr>
          <w:p w:rsidR="009358E1" w:rsidRPr="008C0F9A" w:rsidRDefault="009358E1" w:rsidP="00112021">
            <w:pPr>
              <w:snapToGrid w:val="0"/>
              <w:spacing w:before="40" w:after="40"/>
              <w:rPr>
                <w:sz w:val="20"/>
                <w:szCs w:val="20"/>
                <w:lang w:val="fr-FR"/>
              </w:rPr>
            </w:pPr>
            <w:r w:rsidRPr="008C0F9A">
              <w:rPr>
                <w:sz w:val="20"/>
                <w:szCs w:val="20"/>
              </w:rPr>
              <w:t>Captafol</w:t>
            </w:r>
          </w:p>
        </w:tc>
        <w:tc>
          <w:tcPr>
            <w:tcW w:w="1095" w:type="pct"/>
            <w:hideMark/>
          </w:tcPr>
          <w:p w:rsidR="009358E1" w:rsidRPr="008C0F9A" w:rsidRDefault="009358E1" w:rsidP="00112021">
            <w:pPr>
              <w:snapToGrid w:val="0"/>
              <w:spacing w:before="40" w:after="40"/>
              <w:rPr>
                <w:sz w:val="20"/>
                <w:szCs w:val="20"/>
                <w:lang w:val="fr-FR"/>
              </w:rPr>
            </w:pPr>
            <w:r w:rsidRPr="008C0F9A">
              <w:rPr>
                <w:sz w:val="20"/>
                <w:szCs w:val="20"/>
              </w:rPr>
              <w:t>2425-06-1</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Pesticide</w:t>
            </w:r>
          </w:p>
        </w:tc>
        <w:tc>
          <w:tcPr>
            <w:tcW w:w="1568" w:type="pct"/>
            <w:hideMark/>
          </w:tcPr>
          <w:p w:rsidR="009358E1" w:rsidRPr="008C0F9A" w:rsidRDefault="009358E1" w:rsidP="00112021">
            <w:pPr>
              <w:snapToGrid w:val="0"/>
              <w:spacing w:before="40" w:after="40"/>
              <w:rPr>
                <w:sz w:val="20"/>
                <w:szCs w:val="20"/>
                <w:lang w:val="fr-CH"/>
              </w:rPr>
            </w:pPr>
            <w:r w:rsidRPr="008C0F9A">
              <w:rPr>
                <w:sz w:val="20"/>
                <w:szCs w:val="20"/>
                <w:lang w:val="fr-CH"/>
              </w:rPr>
              <w:t>Avant l</w:t>
            </w:r>
            <w:r w:rsidR="000D310E" w:rsidRPr="008C0F9A">
              <w:rPr>
                <w:sz w:val="20"/>
                <w:szCs w:val="20"/>
                <w:lang w:val="fr-CH"/>
              </w:rPr>
              <w:t>’</w:t>
            </w:r>
            <w:r w:rsidRPr="008C0F9A">
              <w:rPr>
                <w:sz w:val="20"/>
                <w:szCs w:val="20"/>
                <w:lang w:val="fr-CH"/>
              </w:rPr>
              <w:t>adoption de la Convention</w:t>
            </w:r>
          </w:p>
        </w:tc>
      </w:tr>
      <w:tr w:rsidR="009358E1" w:rsidRPr="00A97FB1" w:rsidTr="005E06A1">
        <w:trPr>
          <w:cantSplit/>
          <w:trHeight w:val="20"/>
        </w:trPr>
        <w:tc>
          <w:tcPr>
            <w:tcW w:w="1517" w:type="pct"/>
            <w:hideMark/>
          </w:tcPr>
          <w:p w:rsidR="009358E1" w:rsidRPr="008C0F9A" w:rsidRDefault="009358E1" w:rsidP="00112021">
            <w:pPr>
              <w:snapToGrid w:val="0"/>
              <w:spacing w:before="40" w:after="40"/>
              <w:rPr>
                <w:sz w:val="20"/>
                <w:szCs w:val="20"/>
                <w:lang w:val="fr-FR"/>
              </w:rPr>
            </w:pPr>
            <w:r w:rsidRPr="008C0F9A">
              <w:rPr>
                <w:sz w:val="20"/>
                <w:szCs w:val="20"/>
              </w:rPr>
              <w:t>Chlordane</w:t>
            </w:r>
          </w:p>
        </w:tc>
        <w:tc>
          <w:tcPr>
            <w:tcW w:w="1095" w:type="pct"/>
            <w:hideMark/>
          </w:tcPr>
          <w:p w:rsidR="009358E1" w:rsidRPr="008C0F9A" w:rsidRDefault="009358E1" w:rsidP="00112021">
            <w:pPr>
              <w:snapToGrid w:val="0"/>
              <w:spacing w:before="40" w:after="40"/>
              <w:rPr>
                <w:sz w:val="20"/>
                <w:szCs w:val="20"/>
                <w:lang w:val="fr-FR"/>
              </w:rPr>
            </w:pPr>
            <w:r w:rsidRPr="008C0F9A">
              <w:rPr>
                <w:sz w:val="20"/>
                <w:szCs w:val="20"/>
              </w:rPr>
              <w:t>57-74-9</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Pesticide</w:t>
            </w:r>
          </w:p>
        </w:tc>
        <w:tc>
          <w:tcPr>
            <w:tcW w:w="1568" w:type="pct"/>
            <w:hideMark/>
          </w:tcPr>
          <w:p w:rsidR="009358E1" w:rsidRPr="008C0F9A" w:rsidRDefault="009358E1" w:rsidP="00112021">
            <w:pPr>
              <w:snapToGrid w:val="0"/>
              <w:spacing w:before="40" w:after="40"/>
              <w:rPr>
                <w:sz w:val="20"/>
                <w:szCs w:val="20"/>
                <w:lang w:val="fr-CH"/>
              </w:rPr>
            </w:pPr>
            <w:r w:rsidRPr="008C0F9A">
              <w:rPr>
                <w:sz w:val="20"/>
                <w:szCs w:val="20"/>
                <w:lang w:val="fr-CH"/>
              </w:rPr>
              <w:t>Avant l</w:t>
            </w:r>
            <w:r w:rsidR="000D310E" w:rsidRPr="008C0F9A">
              <w:rPr>
                <w:sz w:val="20"/>
                <w:szCs w:val="20"/>
                <w:lang w:val="fr-CH"/>
              </w:rPr>
              <w:t>’</w:t>
            </w:r>
            <w:r w:rsidRPr="008C0F9A">
              <w:rPr>
                <w:sz w:val="20"/>
                <w:szCs w:val="20"/>
                <w:lang w:val="fr-CH"/>
              </w:rPr>
              <w:t>adoption de la Convention</w:t>
            </w:r>
          </w:p>
        </w:tc>
      </w:tr>
      <w:tr w:rsidR="009358E1" w:rsidRPr="00A97FB1" w:rsidTr="005E06A1">
        <w:trPr>
          <w:cantSplit/>
          <w:trHeight w:val="20"/>
        </w:trPr>
        <w:tc>
          <w:tcPr>
            <w:tcW w:w="1517" w:type="pct"/>
            <w:hideMark/>
          </w:tcPr>
          <w:p w:rsidR="009358E1" w:rsidRPr="008C0F9A" w:rsidRDefault="009358E1" w:rsidP="00112021">
            <w:pPr>
              <w:snapToGrid w:val="0"/>
              <w:spacing w:before="40" w:after="40"/>
              <w:rPr>
                <w:sz w:val="20"/>
                <w:szCs w:val="20"/>
                <w:lang w:val="fr-FR"/>
              </w:rPr>
            </w:pPr>
            <w:r w:rsidRPr="008C0F9A">
              <w:rPr>
                <w:sz w:val="20"/>
                <w:szCs w:val="20"/>
              </w:rPr>
              <w:t>Chlordiméforme</w:t>
            </w:r>
          </w:p>
        </w:tc>
        <w:tc>
          <w:tcPr>
            <w:tcW w:w="1095" w:type="pct"/>
            <w:hideMark/>
          </w:tcPr>
          <w:p w:rsidR="009358E1" w:rsidRPr="008C0F9A" w:rsidRDefault="009358E1" w:rsidP="00112021">
            <w:pPr>
              <w:snapToGrid w:val="0"/>
              <w:spacing w:before="40" w:after="40"/>
              <w:rPr>
                <w:sz w:val="20"/>
                <w:szCs w:val="20"/>
                <w:lang w:val="fr-FR"/>
              </w:rPr>
            </w:pPr>
            <w:r w:rsidRPr="008C0F9A">
              <w:rPr>
                <w:sz w:val="20"/>
                <w:szCs w:val="20"/>
              </w:rPr>
              <w:t>6164-98-3</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Pesticide</w:t>
            </w:r>
          </w:p>
        </w:tc>
        <w:tc>
          <w:tcPr>
            <w:tcW w:w="1568" w:type="pct"/>
            <w:hideMark/>
          </w:tcPr>
          <w:p w:rsidR="009358E1" w:rsidRPr="008C0F9A" w:rsidRDefault="009358E1" w:rsidP="00112021">
            <w:pPr>
              <w:snapToGrid w:val="0"/>
              <w:spacing w:before="40" w:after="40"/>
              <w:rPr>
                <w:sz w:val="20"/>
                <w:szCs w:val="20"/>
                <w:lang w:val="fr-CH"/>
              </w:rPr>
            </w:pPr>
            <w:r w:rsidRPr="008C0F9A">
              <w:rPr>
                <w:sz w:val="20"/>
                <w:szCs w:val="20"/>
                <w:lang w:val="fr-CH"/>
              </w:rPr>
              <w:t>Avant l</w:t>
            </w:r>
            <w:r w:rsidR="000D310E" w:rsidRPr="008C0F9A">
              <w:rPr>
                <w:sz w:val="20"/>
                <w:szCs w:val="20"/>
                <w:lang w:val="fr-CH"/>
              </w:rPr>
              <w:t>’</w:t>
            </w:r>
            <w:r w:rsidRPr="008C0F9A">
              <w:rPr>
                <w:sz w:val="20"/>
                <w:szCs w:val="20"/>
                <w:lang w:val="fr-CH"/>
              </w:rPr>
              <w:t>adoption de la Convention</w:t>
            </w:r>
          </w:p>
        </w:tc>
      </w:tr>
      <w:tr w:rsidR="009358E1" w:rsidRPr="00A97FB1" w:rsidTr="005E06A1">
        <w:trPr>
          <w:cantSplit/>
          <w:trHeight w:val="20"/>
        </w:trPr>
        <w:tc>
          <w:tcPr>
            <w:tcW w:w="1517" w:type="pct"/>
            <w:hideMark/>
          </w:tcPr>
          <w:p w:rsidR="009358E1" w:rsidRPr="008C0F9A" w:rsidRDefault="009358E1" w:rsidP="00112021">
            <w:pPr>
              <w:snapToGrid w:val="0"/>
              <w:spacing w:before="40" w:after="40"/>
              <w:rPr>
                <w:sz w:val="20"/>
                <w:szCs w:val="20"/>
                <w:lang w:val="fr-FR"/>
              </w:rPr>
            </w:pPr>
            <w:r w:rsidRPr="008C0F9A">
              <w:rPr>
                <w:sz w:val="20"/>
                <w:szCs w:val="20"/>
              </w:rPr>
              <w:t>Chlorobenzilate</w:t>
            </w:r>
          </w:p>
        </w:tc>
        <w:tc>
          <w:tcPr>
            <w:tcW w:w="1095" w:type="pct"/>
            <w:hideMark/>
          </w:tcPr>
          <w:p w:rsidR="009358E1" w:rsidRPr="008C0F9A" w:rsidRDefault="009358E1" w:rsidP="00112021">
            <w:pPr>
              <w:snapToGrid w:val="0"/>
              <w:spacing w:before="40" w:after="40"/>
              <w:rPr>
                <w:sz w:val="20"/>
                <w:szCs w:val="20"/>
                <w:lang w:val="fr-FR"/>
              </w:rPr>
            </w:pPr>
            <w:r w:rsidRPr="008C0F9A">
              <w:rPr>
                <w:sz w:val="20"/>
                <w:szCs w:val="20"/>
              </w:rPr>
              <w:t>510-15-6</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Pesticide</w:t>
            </w:r>
          </w:p>
        </w:tc>
        <w:tc>
          <w:tcPr>
            <w:tcW w:w="1568" w:type="pct"/>
            <w:hideMark/>
          </w:tcPr>
          <w:p w:rsidR="009358E1" w:rsidRPr="008C0F9A" w:rsidRDefault="009358E1" w:rsidP="00112021">
            <w:pPr>
              <w:snapToGrid w:val="0"/>
              <w:spacing w:before="40" w:after="40"/>
              <w:rPr>
                <w:sz w:val="20"/>
                <w:szCs w:val="20"/>
                <w:lang w:val="fr-CH"/>
              </w:rPr>
            </w:pPr>
            <w:r w:rsidRPr="008C0F9A">
              <w:rPr>
                <w:sz w:val="20"/>
                <w:szCs w:val="20"/>
                <w:lang w:val="fr-CH"/>
              </w:rPr>
              <w:t>Avant l</w:t>
            </w:r>
            <w:r w:rsidR="000D310E" w:rsidRPr="008C0F9A">
              <w:rPr>
                <w:sz w:val="20"/>
                <w:szCs w:val="20"/>
                <w:lang w:val="fr-CH"/>
              </w:rPr>
              <w:t>’</w:t>
            </w:r>
            <w:r w:rsidRPr="008C0F9A">
              <w:rPr>
                <w:sz w:val="20"/>
                <w:szCs w:val="20"/>
                <w:lang w:val="fr-CH"/>
              </w:rPr>
              <w:t>adoption de la Convention</w:t>
            </w:r>
          </w:p>
        </w:tc>
      </w:tr>
      <w:tr w:rsidR="009358E1" w:rsidRPr="00A97FB1" w:rsidTr="005E06A1">
        <w:trPr>
          <w:cantSplit/>
          <w:trHeight w:val="20"/>
        </w:trPr>
        <w:tc>
          <w:tcPr>
            <w:tcW w:w="1517" w:type="pct"/>
            <w:hideMark/>
          </w:tcPr>
          <w:p w:rsidR="009358E1" w:rsidRPr="008C0F9A" w:rsidRDefault="009358E1" w:rsidP="00112021">
            <w:pPr>
              <w:snapToGrid w:val="0"/>
              <w:spacing w:before="40" w:after="40"/>
              <w:rPr>
                <w:sz w:val="20"/>
                <w:szCs w:val="20"/>
                <w:lang w:val="fr-CH"/>
              </w:rPr>
            </w:pPr>
            <w:r w:rsidRPr="008C0F9A">
              <w:rPr>
                <w:sz w:val="20"/>
                <w:szCs w:val="20"/>
                <w:lang w:val="fr-CH"/>
              </w:rPr>
              <w:t>Composés du mercure, y compris composés inorganiques et composés du type alkylmercure, alkyloxyalkyle et arylmercure</w:t>
            </w:r>
          </w:p>
        </w:tc>
        <w:tc>
          <w:tcPr>
            <w:tcW w:w="1095" w:type="pct"/>
          </w:tcPr>
          <w:p w:rsidR="009358E1" w:rsidRPr="008C0F9A" w:rsidRDefault="009358E1" w:rsidP="00112021">
            <w:pPr>
              <w:snapToGrid w:val="0"/>
              <w:spacing w:before="40" w:after="40"/>
              <w:rPr>
                <w:sz w:val="20"/>
                <w:szCs w:val="20"/>
                <w:lang w:val="fr-FR"/>
              </w:rPr>
            </w:pP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Pesticide</w:t>
            </w:r>
          </w:p>
        </w:tc>
        <w:tc>
          <w:tcPr>
            <w:tcW w:w="1568" w:type="pct"/>
            <w:hideMark/>
          </w:tcPr>
          <w:p w:rsidR="009358E1" w:rsidRPr="008C0F9A" w:rsidRDefault="009358E1" w:rsidP="00112021">
            <w:pPr>
              <w:snapToGrid w:val="0"/>
              <w:spacing w:before="40" w:after="40"/>
              <w:rPr>
                <w:sz w:val="20"/>
                <w:szCs w:val="20"/>
                <w:lang w:val="fr-CH"/>
              </w:rPr>
            </w:pPr>
            <w:r w:rsidRPr="008C0F9A">
              <w:rPr>
                <w:sz w:val="20"/>
                <w:szCs w:val="20"/>
                <w:lang w:val="fr-CH"/>
              </w:rPr>
              <w:t>Avant l</w:t>
            </w:r>
            <w:r w:rsidR="000D310E" w:rsidRPr="008C0F9A">
              <w:rPr>
                <w:sz w:val="20"/>
                <w:szCs w:val="20"/>
                <w:lang w:val="fr-CH"/>
              </w:rPr>
              <w:t>’</w:t>
            </w:r>
            <w:r w:rsidRPr="008C0F9A">
              <w:rPr>
                <w:sz w:val="20"/>
                <w:szCs w:val="20"/>
                <w:lang w:val="fr-CH"/>
              </w:rPr>
              <w:t>adoption de la Convention</w:t>
            </w:r>
          </w:p>
        </w:tc>
      </w:tr>
      <w:tr w:rsidR="009358E1" w:rsidRPr="008C0F9A" w:rsidTr="005E06A1">
        <w:trPr>
          <w:cantSplit/>
          <w:trHeight w:val="20"/>
        </w:trPr>
        <w:tc>
          <w:tcPr>
            <w:tcW w:w="1517" w:type="pct"/>
            <w:hideMark/>
          </w:tcPr>
          <w:p w:rsidR="009358E1" w:rsidRPr="008C0F9A" w:rsidRDefault="0069743A" w:rsidP="00112021">
            <w:pPr>
              <w:snapToGrid w:val="0"/>
              <w:spacing w:before="40" w:after="40"/>
              <w:rPr>
                <w:sz w:val="20"/>
                <w:szCs w:val="20"/>
                <w:lang w:val="fr-CH"/>
              </w:rPr>
            </w:pPr>
            <w:r w:rsidRPr="008C0F9A">
              <w:rPr>
                <w:sz w:val="20"/>
                <w:szCs w:val="20"/>
                <w:lang w:val="fr-CH"/>
              </w:rPr>
              <w:t>Tous les c</w:t>
            </w:r>
            <w:r w:rsidR="009358E1" w:rsidRPr="008C0F9A">
              <w:rPr>
                <w:sz w:val="20"/>
                <w:szCs w:val="20"/>
                <w:lang w:val="fr-CH"/>
              </w:rPr>
              <w:t>omposés du tributylétain</w:t>
            </w:r>
            <w:r w:rsidRPr="008C0F9A">
              <w:rPr>
                <w:sz w:val="20"/>
                <w:szCs w:val="20"/>
                <w:lang w:val="fr-CH"/>
              </w:rPr>
              <w:t>, en particulier :</w:t>
            </w:r>
          </w:p>
          <w:p w:rsidR="0069743A" w:rsidRPr="008C0F9A" w:rsidRDefault="0069743A" w:rsidP="00112021">
            <w:pPr>
              <w:pStyle w:val="ListParagraph"/>
              <w:numPr>
                <w:ilvl w:val="0"/>
                <w:numId w:val="16"/>
              </w:numPr>
              <w:snapToGrid w:val="0"/>
              <w:spacing w:before="40" w:after="40"/>
              <w:ind w:left="270" w:hanging="270"/>
              <w:contextualSpacing w:val="0"/>
              <w:rPr>
                <w:sz w:val="20"/>
                <w:szCs w:val="20"/>
                <w:lang w:val="fr-FR"/>
              </w:rPr>
            </w:pPr>
            <w:r w:rsidRPr="008C0F9A">
              <w:rPr>
                <w:sz w:val="20"/>
                <w:szCs w:val="20"/>
                <w:lang w:val="fr-FR"/>
              </w:rPr>
              <w:t>L’oxde de tributylétain</w:t>
            </w:r>
          </w:p>
          <w:p w:rsidR="0069743A" w:rsidRPr="008C0F9A" w:rsidRDefault="0069743A" w:rsidP="00112021">
            <w:pPr>
              <w:pStyle w:val="ListParagraph"/>
              <w:numPr>
                <w:ilvl w:val="0"/>
                <w:numId w:val="16"/>
              </w:numPr>
              <w:snapToGrid w:val="0"/>
              <w:spacing w:before="40" w:after="40"/>
              <w:ind w:left="270" w:hanging="270"/>
              <w:contextualSpacing w:val="0"/>
              <w:rPr>
                <w:sz w:val="20"/>
                <w:szCs w:val="20"/>
                <w:lang w:val="fr-FR"/>
              </w:rPr>
            </w:pPr>
            <w:r w:rsidRPr="008C0F9A">
              <w:rPr>
                <w:sz w:val="20"/>
                <w:szCs w:val="20"/>
                <w:lang w:val="fr-FR"/>
              </w:rPr>
              <w:t>Le fluorure de tributylétain</w:t>
            </w:r>
          </w:p>
          <w:p w:rsidR="0069743A" w:rsidRPr="008C0F9A" w:rsidRDefault="0069743A" w:rsidP="00112021">
            <w:pPr>
              <w:pStyle w:val="ListParagraph"/>
              <w:numPr>
                <w:ilvl w:val="0"/>
                <w:numId w:val="16"/>
              </w:numPr>
              <w:snapToGrid w:val="0"/>
              <w:spacing w:before="40" w:after="40"/>
              <w:ind w:left="270" w:hanging="270"/>
              <w:contextualSpacing w:val="0"/>
              <w:rPr>
                <w:sz w:val="20"/>
                <w:szCs w:val="20"/>
                <w:lang w:val="fr-FR"/>
              </w:rPr>
            </w:pPr>
            <w:r w:rsidRPr="008C0F9A">
              <w:rPr>
                <w:sz w:val="20"/>
                <w:szCs w:val="20"/>
                <w:lang w:val="fr-FR"/>
              </w:rPr>
              <w:t>Le méthacrylate de tributylétain</w:t>
            </w:r>
          </w:p>
          <w:p w:rsidR="0069743A" w:rsidRPr="008C0F9A" w:rsidRDefault="0069743A" w:rsidP="00112021">
            <w:pPr>
              <w:pStyle w:val="ListParagraph"/>
              <w:numPr>
                <w:ilvl w:val="0"/>
                <w:numId w:val="16"/>
              </w:numPr>
              <w:snapToGrid w:val="0"/>
              <w:spacing w:before="40" w:after="40"/>
              <w:ind w:left="270" w:hanging="270"/>
              <w:contextualSpacing w:val="0"/>
              <w:rPr>
                <w:sz w:val="20"/>
                <w:szCs w:val="20"/>
                <w:lang w:val="fr-FR"/>
              </w:rPr>
            </w:pPr>
            <w:r w:rsidRPr="008C0F9A">
              <w:rPr>
                <w:sz w:val="20"/>
                <w:szCs w:val="20"/>
                <w:lang w:val="fr-FR"/>
              </w:rPr>
              <w:t>Le benzoate de tributylétain</w:t>
            </w:r>
          </w:p>
          <w:p w:rsidR="0069743A" w:rsidRPr="008C0F9A" w:rsidRDefault="0069743A" w:rsidP="00112021">
            <w:pPr>
              <w:pStyle w:val="ListParagraph"/>
              <w:numPr>
                <w:ilvl w:val="0"/>
                <w:numId w:val="16"/>
              </w:numPr>
              <w:snapToGrid w:val="0"/>
              <w:spacing w:before="40" w:after="40"/>
              <w:ind w:left="270" w:hanging="270"/>
              <w:contextualSpacing w:val="0"/>
              <w:rPr>
                <w:sz w:val="20"/>
                <w:szCs w:val="20"/>
                <w:lang w:val="fr-FR"/>
              </w:rPr>
            </w:pPr>
            <w:r w:rsidRPr="008C0F9A">
              <w:rPr>
                <w:sz w:val="20"/>
                <w:szCs w:val="20"/>
                <w:lang w:val="fr-FR"/>
              </w:rPr>
              <w:t>Le chlorure de tributylétain</w:t>
            </w:r>
          </w:p>
          <w:p w:rsidR="0069743A" w:rsidRPr="008C0F9A" w:rsidRDefault="0069743A" w:rsidP="00112021">
            <w:pPr>
              <w:pStyle w:val="ListParagraph"/>
              <w:numPr>
                <w:ilvl w:val="0"/>
                <w:numId w:val="16"/>
              </w:numPr>
              <w:snapToGrid w:val="0"/>
              <w:spacing w:before="40" w:after="40"/>
              <w:ind w:left="270" w:hanging="270"/>
              <w:contextualSpacing w:val="0"/>
              <w:rPr>
                <w:sz w:val="20"/>
                <w:szCs w:val="20"/>
                <w:lang w:val="fr-FR"/>
              </w:rPr>
            </w:pPr>
            <w:r w:rsidRPr="008C0F9A">
              <w:rPr>
                <w:sz w:val="20"/>
                <w:szCs w:val="20"/>
                <w:lang w:val="fr-FR"/>
              </w:rPr>
              <w:t>Le linoléate de tributylétain</w:t>
            </w:r>
          </w:p>
          <w:p w:rsidR="0069743A" w:rsidRPr="008C0F9A" w:rsidRDefault="0069743A" w:rsidP="00112021">
            <w:pPr>
              <w:pStyle w:val="ListParagraph"/>
              <w:numPr>
                <w:ilvl w:val="0"/>
                <w:numId w:val="16"/>
              </w:numPr>
              <w:snapToGrid w:val="0"/>
              <w:spacing w:before="40" w:after="40"/>
              <w:ind w:left="270" w:hanging="270"/>
              <w:contextualSpacing w:val="0"/>
              <w:rPr>
                <w:sz w:val="20"/>
                <w:szCs w:val="20"/>
                <w:lang w:val="fr-FR"/>
              </w:rPr>
            </w:pPr>
            <w:r w:rsidRPr="008C0F9A">
              <w:rPr>
                <w:sz w:val="20"/>
                <w:szCs w:val="20"/>
                <w:lang w:val="fr-FR"/>
              </w:rPr>
              <w:t>Le naphténate de tributylétain</w:t>
            </w:r>
          </w:p>
        </w:tc>
        <w:tc>
          <w:tcPr>
            <w:tcW w:w="1095" w:type="pct"/>
            <w:hideMark/>
          </w:tcPr>
          <w:p w:rsidR="0069743A" w:rsidRPr="008C0F9A" w:rsidRDefault="0069743A" w:rsidP="00112021">
            <w:pPr>
              <w:snapToGrid w:val="0"/>
              <w:spacing w:before="40" w:after="40"/>
              <w:rPr>
                <w:sz w:val="20"/>
                <w:szCs w:val="20"/>
              </w:rPr>
            </w:pPr>
          </w:p>
          <w:p w:rsidR="0069743A" w:rsidRPr="008C0F9A" w:rsidRDefault="0069743A" w:rsidP="00112021">
            <w:pPr>
              <w:snapToGrid w:val="0"/>
              <w:spacing w:before="40" w:after="40"/>
              <w:rPr>
                <w:sz w:val="20"/>
                <w:szCs w:val="20"/>
              </w:rPr>
            </w:pPr>
          </w:p>
          <w:p w:rsidR="0069743A" w:rsidRPr="008C0F9A" w:rsidRDefault="0069743A" w:rsidP="00112021">
            <w:pPr>
              <w:snapToGrid w:val="0"/>
              <w:spacing w:before="40" w:after="40"/>
              <w:rPr>
                <w:sz w:val="20"/>
                <w:szCs w:val="20"/>
              </w:rPr>
            </w:pPr>
            <w:r w:rsidRPr="008C0F9A">
              <w:rPr>
                <w:sz w:val="20"/>
                <w:szCs w:val="20"/>
              </w:rPr>
              <w:t>56-35-9</w:t>
            </w:r>
          </w:p>
          <w:p w:rsidR="0069743A" w:rsidRPr="008C0F9A" w:rsidRDefault="0069743A" w:rsidP="00112021">
            <w:pPr>
              <w:snapToGrid w:val="0"/>
              <w:spacing w:before="40" w:after="40"/>
              <w:rPr>
                <w:sz w:val="20"/>
                <w:szCs w:val="20"/>
              </w:rPr>
            </w:pPr>
            <w:r w:rsidRPr="008C0F9A">
              <w:rPr>
                <w:sz w:val="20"/>
                <w:szCs w:val="20"/>
              </w:rPr>
              <w:t>4342-36-3</w:t>
            </w:r>
          </w:p>
          <w:p w:rsidR="0069743A" w:rsidRPr="008C0F9A" w:rsidRDefault="0069743A" w:rsidP="00112021">
            <w:pPr>
              <w:snapToGrid w:val="0"/>
              <w:spacing w:before="40" w:after="40"/>
              <w:rPr>
                <w:sz w:val="20"/>
                <w:szCs w:val="20"/>
              </w:rPr>
            </w:pPr>
            <w:r w:rsidRPr="008C0F9A">
              <w:rPr>
                <w:sz w:val="20"/>
                <w:szCs w:val="20"/>
              </w:rPr>
              <w:t>1461-22-9</w:t>
            </w:r>
          </w:p>
          <w:p w:rsidR="0069743A" w:rsidRPr="008C0F9A" w:rsidRDefault="0069743A" w:rsidP="001F5B82">
            <w:pPr>
              <w:snapToGrid w:val="0"/>
              <w:spacing w:before="240" w:after="40"/>
              <w:rPr>
                <w:sz w:val="20"/>
                <w:szCs w:val="20"/>
              </w:rPr>
            </w:pPr>
            <w:r w:rsidRPr="008C0F9A">
              <w:rPr>
                <w:sz w:val="20"/>
                <w:szCs w:val="20"/>
              </w:rPr>
              <w:t>1983-10-4</w:t>
            </w:r>
          </w:p>
          <w:p w:rsidR="0069743A" w:rsidRPr="008C0F9A" w:rsidRDefault="0069743A" w:rsidP="00112021">
            <w:pPr>
              <w:snapToGrid w:val="0"/>
              <w:spacing w:before="40" w:after="40"/>
              <w:rPr>
                <w:sz w:val="20"/>
                <w:szCs w:val="20"/>
              </w:rPr>
            </w:pPr>
            <w:r w:rsidRPr="008C0F9A">
              <w:rPr>
                <w:sz w:val="20"/>
                <w:szCs w:val="20"/>
              </w:rPr>
              <w:t>24124-25-2</w:t>
            </w:r>
          </w:p>
          <w:p w:rsidR="0069743A" w:rsidRPr="008C0F9A" w:rsidRDefault="0069743A" w:rsidP="00112021">
            <w:pPr>
              <w:snapToGrid w:val="0"/>
              <w:spacing w:before="40" w:after="40"/>
              <w:rPr>
                <w:sz w:val="20"/>
                <w:szCs w:val="20"/>
              </w:rPr>
            </w:pPr>
            <w:r w:rsidRPr="008C0F9A">
              <w:rPr>
                <w:sz w:val="20"/>
                <w:szCs w:val="20"/>
              </w:rPr>
              <w:t>2155-70-6</w:t>
            </w:r>
          </w:p>
          <w:p w:rsidR="009358E1" w:rsidRPr="008C0F9A" w:rsidRDefault="009358E1" w:rsidP="00112021">
            <w:pPr>
              <w:snapToGrid w:val="0"/>
              <w:spacing w:before="40" w:after="40"/>
              <w:rPr>
                <w:sz w:val="20"/>
                <w:szCs w:val="20"/>
                <w:lang w:val="fr-FR"/>
              </w:rPr>
            </w:pPr>
            <w:r w:rsidRPr="008C0F9A">
              <w:rPr>
                <w:sz w:val="20"/>
                <w:szCs w:val="20"/>
              </w:rPr>
              <w:t>85409-17-2</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Pesticide</w:t>
            </w:r>
          </w:p>
        </w:tc>
        <w:tc>
          <w:tcPr>
            <w:tcW w:w="1568" w:type="pct"/>
            <w:hideMark/>
          </w:tcPr>
          <w:p w:rsidR="009358E1" w:rsidRPr="008C0F9A" w:rsidRDefault="009358E1" w:rsidP="00112021">
            <w:pPr>
              <w:snapToGrid w:val="0"/>
              <w:spacing w:before="40" w:after="40"/>
              <w:rPr>
                <w:sz w:val="20"/>
                <w:szCs w:val="20"/>
                <w:lang w:val="fr-FR"/>
              </w:rPr>
            </w:pPr>
            <w:r w:rsidRPr="008C0F9A">
              <w:rPr>
                <w:sz w:val="20"/>
                <w:szCs w:val="20"/>
              </w:rPr>
              <w:t>01/02/2009</w:t>
            </w:r>
          </w:p>
        </w:tc>
      </w:tr>
      <w:tr w:rsidR="009358E1" w:rsidRPr="00A97FB1" w:rsidTr="005E06A1">
        <w:trPr>
          <w:cantSplit/>
          <w:trHeight w:val="20"/>
        </w:trPr>
        <w:tc>
          <w:tcPr>
            <w:tcW w:w="1517" w:type="pct"/>
            <w:hideMark/>
          </w:tcPr>
          <w:p w:rsidR="009358E1" w:rsidRPr="008C0F9A" w:rsidRDefault="009358E1" w:rsidP="00112021">
            <w:pPr>
              <w:snapToGrid w:val="0"/>
              <w:spacing w:before="40" w:after="40"/>
              <w:rPr>
                <w:sz w:val="20"/>
                <w:szCs w:val="20"/>
                <w:lang w:val="fr-FR"/>
              </w:rPr>
            </w:pPr>
            <w:r w:rsidRPr="008C0F9A">
              <w:rPr>
                <w:sz w:val="20"/>
                <w:szCs w:val="20"/>
              </w:rPr>
              <w:t>DDT</w:t>
            </w:r>
          </w:p>
        </w:tc>
        <w:tc>
          <w:tcPr>
            <w:tcW w:w="1095" w:type="pct"/>
            <w:hideMark/>
          </w:tcPr>
          <w:p w:rsidR="009358E1" w:rsidRPr="008C0F9A" w:rsidRDefault="009358E1" w:rsidP="00112021">
            <w:pPr>
              <w:snapToGrid w:val="0"/>
              <w:spacing w:before="40" w:after="40"/>
              <w:rPr>
                <w:sz w:val="20"/>
                <w:szCs w:val="20"/>
                <w:lang w:val="fr-FR"/>
              </w:rPr>
            </w:pPr>
            <w:r w:rsidRPr="008C0F9A">
              <w:rPr>
                <w:sz w:val="20"/>
                <w:szCs w:val="20"/>
              </w:rPr>
              <w:t>50-29-3</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Pesticide</w:t>
            </w:r>
          </w:p>
        </w:tc>
        <w:tc>
          <w:tcPr>
            <w:tcW w:w="1568" w:type="pct"/>
            <w:hideMark/>
          </w:tcPr>
          <w:p w:rsidR="009358E1" w:rsidRPr="008C0F9A" w:rsidRDefault="009358E1" w:rsidP="00112021">
            <w:pPr>
              <w:snapToGrid w:val="0"/>
              <w:spacing w:before="40" w:after="40"/>
              <w:rPr>
                <w:sz w:val="20"/>
                <w:szCs w:val="20"/>
                <w:lang w:val="fr-CH"/>
              </w:rPr>
            </w:pPr>
            <w:r w:rsidRPr="008C0F9A">
              <w:rPr>
                <w:sz w:val="20"/>
                <w:szCs w:val="20"/>
                <w:lang w:val="fr-CH"/>
              </w:rPr>
              <w:t>Avant l</w:t>
            </w:r>
            <w:r w:rsidR="000D310E" w:rsidRPr="008C0F9A">
              <w:rPr>
                <w:sz w:val="20"/>
                <w:szCs w:val="20"/>
                <w:lang w:val="fr-CH"/>
              </w:rPr>
              <w:t>’</w:t>
            </w:r>
            <w:r w:rsidRPr="008C0F9A">
              <w:rPr>
                <w:sz w:val="20"/>
                <w:szCs w:val="20"/>
                <w:lang w:val="fr-CH"/>
              </w:rPr>
              <w:t>adoption de la Convention</w:t>
            </w:r>
          </w:p>
        </w:tc>
      </w:tr>
      <w:tr w:rsidR="009358E1" w:rsidRPr="008C0F9A" w:rsidTr="005E06A1">
        <w:trPr>
          <w:cantSplit/>
          <w:trHeight w:val="20"/>
        </w:trPr>
        <w:tc>
          <w:tcPr>
            <w:tcW w:w="1517" w:type="pct"/>
            <w:hideMark/>
          </w:tcPr>
          <w:p w:rsidR="009358E1" w:rsidRPr="008C0F9A" w:rsidRDefault="009358E1" w:rsidP="00112021">
            <w:pPr>
              <w:snapToGrid w:val="0"/>
              <w:spacing w:before="40" w:after="40"/>
              <w:rPr>
                <w:sz w:val="20"/>
                <w:szCs w:val="20"/>
                <w:lang w:val="fr-FR"/>
              </w:rPr>
            </w:pPr>
            <w:r w:rsidRPr="008C0F9A">
              <w:rPr>
                <w:sz w:val="20"/>
                <w:szCs w:val="20"/>
              </w:rPr>
              <w:t>Dichlorure d</w:t>
            </w:r>
            <w:r w:rsidR="000D310E" w:rsidRPr="008C0F9A">
              <w:rPr>
                <w:sz w:val="20"/>
                <w:szCs w:val="20"/>
              </w:rPr>
              <w:t>’</w:t>
            </w:r>
            <w:r w:rsidRPr="008C0F9A">
              <w:rPr>
                <w:sz w:val="20"/>
                <w:szCs w:val="20"/>
              </w:rPr>
              <w:t>éthylène</w:t>
            </w:r>
          </w:p>
        </w:tc>
        <w:tc>
          <w:tcPr>
            <w:tcW w:w="1095" w:type="pct"/>
            <w:hideMark/>
          </w:tcPr>
          <w:p w:rsidR="009358E1" w:rsidRPr="008C0F9A" w:rsidRDefault="009358E1" w:rsidP="00112021">
            <w:pPr>
              <w:snapToGrid w:val="0"/>
              <w:spacing w:before="40" w:after="40"/>
              <w:rPr>
                <w:sz w:val="20"/>
                <w:szCs w:val="20"/>
                <w:lang w:val="fr-FR"/>
              </w:rPr>
            </w:pPr>
            <w:r w:rsidRPr="008C0F9A">
              <w:rPr>
                <w:sz w:val="20"/>
                <w:szCs w:val="20"/>
              </w:rPr>
              <w:t>107-06-2</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Pesticide</w:t>
            </w:r>
          </w:p>
        </w:tc>
        <w:tc>
          <w:tcPr>
            <w:tcW w:w="1568" w:type="pct"/>
            <w:hideMark/>
          </w:tcPr>
          <w:p w:rsidR="009358E1" w:rsidRPr="008C0F9A" w:rsidRDefault="009358E1" w:rsidP="00112021">
            <w:pPr>
              <w:snapToGrid w:val="0"/>
              <w:spacing w:before="40" w:after="40"/>
              <w:rPr>
                <w:sz w:val="20"/>
                <w:szCs w:val="20"/>
                <w:lang w:val="fr-FR"/>
              </w:rPr>
            </w:pPr>
            <w:r w:rsidRPr="008C0F9A">
              <w:rPr>
                <w:sz w:val="20"/>
                <w:szCs w:val="20"/>
              </w:rPr>
              <w:t>01/02/2005</w:t>
            </w:r>
          </w:p>
        </w:tc>
      </w:tr>
      <w:tr w:rsidR="009358E1" w:rsidRPr="00A97FB1" w:rsidTr="005E06A1">
        <w:trPr>
          <w:cantSplit/>
          <w:trHeight w:val="20"/>
        </w:trPr>
        <w:tc>
          <w:tcPr>
            <w:tcW w:w="1517" w:type="pct"/>
            <w:hideMark/>
          </w:tcPr>
          <w:p w:rsidR="009358E1" w:rsidRPr="008C0F9A" w:rsidRDefault="009358E1" w:rsidP="00112021">
            <w:pPr>
              <w:snapToGrid w:val="0"/>
              <w:spacing w:before="40" w:after="40"/>
              <w:rPr>
                <w:sz w:val="20"/>
                <w:szCs w:val="20"/>
                <w:lang w:val="fr-FR"/>
              </w:rPr>
            </w:pPr>
            <w:r w:rsidRPr="008C0F9A">
              <w:rPr>
                <w:sz w:val="20"/>
                <w:szCs w:val="20"/>
              </w:rPr>
              <w:t>Dieldrine</w:t>
            </w:r>
          </w:p>
        </w:tc>
        <w:tc>
          <w:tcPr>
            <w:tcW w:w="1095" w:type="pct"/>
            <w:hideMark/>
          </w:tcPr>
          <w:p w:rsidR="009358E1" w:rsidRPr="008C0F9A" w:rsidRDefault="009358E1" w:rsidP="00112021">
            <w:pPr>
              <w:snapToGrid w:val="0"/>
              <w:spacing w:before="40" w:after="40"/>
              <w:rPr>
                <w:sz w:val="20"/>
                <w:szCs w:val="20"/>
                <w:lang w:val="fr-FR"/>
              </w:rPr>
            </w:pPr>
            <w:r w:rsidRPr="008C0F9A">
              <w:rPr>
                <w:sz w:val="20"/>
                <w:szCs w:val="20"/>
              </w:rPr>
              <w:t>60-57-1</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Pesticide</w:t>
            </w:r>
          </w:p>
        </w:tc>
        <w:tc>
          <w:tcPr>
            <w:tcW w:w="1568" w:type="pct"/>
            <w:hideMark/>
          </w:tcPr>
          <w:p w:rsidR="009358E1" w:rsidRPr="008C0F9A" w:rsidRDefault="009358E1" w:rsidP="00112021">
            <w:pPr>
              <w:snapToGrid w:val="0"/>
              <w:spacing w:before="40" w:after="40"/>
              <w:rPr>
                <w:sz w:val="20"/>
                <w:szCs w:val="20"/>
                <w:lang w:val="fr-CH"/>
              </w:rPr>
            </w:pPr>
            <w:r w:rsidRPr="008C0F9A">
              <w:rPr>
                <w:sz w:val="20"/>
                <w:szCs w:val="20"/>
                <w:lang w:val="fr-CH"/>
              </w:rPr>
              <w:t>Avant l</w:t>
            </w:r>
            <w:r w:rsidR="000D310E" w:rsidRPr="008C0F9A">
              <w:rPr>
                <w:sz w:val="20"/>
                <w:szCs w:val="20"/>
                <w:lang w:val="fr-CH"/>
              </w:rPr>
              <w:t>’</w:t>
            </w:r>
            <w:r w:rsidRPr="008C0F9A">
              <w:rPr>
                <w:sz w:val="20"/>
                <w:szCs w:val="20"/>
                <w:lang w:val="fr-CH"/>
              </w:rPr>
              <w:t>adoption de la Convention</w:t>
            </w:r>
          </w:p>
        </w:tc>
      </w:tr>
      <w:tr w:rsidR="009358E1" w:rsidRPr="008C0F9A" w:rsidTr="005E06A1">
        <w:trPr>
          <w:cantSplit/>
          <w:trHeight w:val="20"/>
        </w:trPr>
        <w:tc>
          <w:tcPr>
            <w:tcW w:w="1517" w:type="pct"/>
            <w:hideMark/>
          </w:tcPr>
          <w:p w:rsidR="009358E1" w:rsidRPr="008C0F9A" w:rsidRDefault="009358E1" w:rsidP="00112021">
            <w:pPr>
              <w:snapToGrid w:val="0"/>
              <w:spacing w:before="40" w:after="40"/>
              <w:rPr>
                <w:sz w:val="20"/>
                <w:szCs w:val="20"/>
                <w:lang w:val="fr-CH"/>
              </w:rPr>
            </w:pPr>
            <w:r w:rsidRPr="008C0F9A">
              <w:rPr>
                <w:sz w:val="20"/>
                <w:szCs w:val="20"/>
                <w:lang w:val="fr-CH"/>
              </w:rPr>
              <w:t>Dinitro-</w:t>
            </w:r>
            <w:r w:rsidRPr="00112021">
              <w:rPr>
                <w:i/>
                <w:sz w:val="20"/>
                <w:szCs w:val="20"/>
                <w:lang w:val="fr-CH"/>
              </w:rPr>
              <w:t>ortho</w:t>
            </w:r>
            <w:r w:rsidRPr="008C0F9A">
              <w:rPr>
                <w:sz w:val="20"/>
                <w:szCs w:val="20"/>
                <w:lang w:val="fr-CH"/>
              </w:rPr>
              <w:t>-crésol (DNOC) et ses sels (tels que le sel d</w:t>
            </w:r>
            <w:r w:rsidR="000D310E" w:rsidRPr="008C0F9A">
              <w:rPr>
                <w:sz w:val="20"/>
                <w:szCs w:val="20"/>
                <w:lang w:val="fr-CH"/>
              </w:rPr>
              <w:t>’</w:t>
            </w:r>
            <w:r w:rsidRPr="008C0F9A">
              <w:rPr>
                <w:sz w:val="20"/>
                <w:szCs w:val="20"/>
                <w:lang w:val="fr-CH"/>
              </w:rPr>
              <w:t>ammonium, le sel de potassium et le sel de sodium)</w:t>
            </w:r>
          </w:p>
        </w:tc>
        <w:tc>
          <w:tcPr>
            <w:tcW w:w="1095" w:type="pct"/>
            <w:hideMark/>
          </w:tcPr>
          <w:p w:rsidR="009358E1" w:rsidRDefault="009358E1" w:rsidP="00112021">
            <w:pPr>
              <w:snapToGrid w:val="0"/>
              <w:spacing w:before="40" w:after="40"/>
              <w:rPr>
                <w:sz w:val="20"/>
                <w:szCs w:val="20"/>
              </w:rPr>
            </w:pPr>
            <w:r w:rsidRPr="008C0F9A">
              <w:rPr>
                <w:sz w:val="20"/>
                <w:szCs w:val="20"/>
              </w:rPr>
              <w:t>534-52-1</w:t>
            </w:r>
          </w:p>
          <w:p w:rsidR="00112021" w:rsidRPr="009908E3" w:rsidRDefault="00112021" w:rsidP="00112021">
            <w:pPr>
              <w:snapToGrid w:val="0"/>
              <w:spacing w:before="40" w:after="40"/>
              <w:rPr>
                <w:rFonts w:eastAsia="SimSun"/>
                <w:sz w:val="20"/>
                <w:szCs w:val="20"/>
                <w:lang w:val="en-GB"/>
              </w:rPr>
            </w:pPr>
            <w:r w:rsidRPr="009908E3">
              <w:rPr>
                <w:rFonts w:eastAsia="SimSun"/>
                <w:sz w:val="20"/>
                <w:szCs w:val="20"/>
                <w:lang w:val="en-GB"/>
              </w:rPr>
              <w:t>2980-64-5</w:t>
            </w:r>
          </w:p>
          <w:p w:rsidR="00112021" w:rsidRPr="009908E3" w:rsidRDefault="00112021" w:rsidP="00112021">
            <w:pPr>
              <w:snapToGrid w:val="0"/>
              <w:spacing w:before="40" w:after="40"/>
              <w:rPr>
                <w:rFonts w:eastAsia="SimSun"/>
                <w:sz w:val="20"/>
                <w:szCs w:val="20"/>
                <w:lang w:val="en-GB"/>
              </w:rPr>
            </w:pPr>
            <w:r w:rsidRPr="009908E3">
              <w:rPr>
                <w:rFonts w:eastAsia="SimSun"/>
                <w:sz w:val="20"/>
                <w:szCs w:val="20"/>
                <w:lang w:val="en-GB"/>
              </w:rPr>
              <w:t>5787-96-2</w:t>
            </w:r>
          </w:p>
          <w:p w:rsidR="00112021" w:rsidRPr="008C0F9A" w:rsidRDefault="00112021" w:rsidP="00112021">
            <w:pPr>
              <w:snapToGrid w:val="0"/>
              <w:spacing w:before="40" w:after="40"/>
              <w:rPr>
                <w:sz w:val="20"/>
                <w:szCs w:val="20"/>
                <w:lang w:val="fr-FR"/>
              </w:rPr>
            </w:pPr>
            <w:r w:rsidRPr="009908E3">
              <w:rPr>
                <w:rFonts w:eastAsia="SimSun"/>
                <w:sz w:val="20"/>
                <w:szCs w:val="20"/>
                <w:lang w:val="en-GB"/>
              </w:rPr>
              <w:t>2312-76-7</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Pesticide</w:t>
            </w:r>
          </w:p>
        </w:tc>
        <w:tc>
          <w:tcPr>
            <w:tcW w:w="1568" w:type="pct"/>
            <w:hideMark/>
          </w:tcPr>
          <w:p w:rsidR="009358E1" w:rsidRPr="008C0F9A" w:rsidRDefault="009358E1" w:rsidP="00112021">
            <w:pPr>
              <w:snapToGrid w:val="0"/>
              <w:spacing w:before="40" w:after="40"/>
              <w:rPr>
                <w:sz w:val="20"/>
                <w:szCs w:val="20"/>
                <w:lang w:val="fr-FR"/>
              </w:rPr>
            </w:pPr>
            <w:r w:rsidRPr="008C0F9A">
              <w:rPr>
                <w:sz w:val="20"/>
                <w:szCs w:val="20"/>
              </w:rPr>
              <w:t>01/02/2005</w:t>
            </w:r>
          </w:p>
        </w:tc>
      </w:tr>
      <w:tr w:rsidR="009358E1" w:rsidRPr="00A97FB1" w:rsidTr="005E06A1">
        <w:trPr>
          <w:cantSplit/>
          <w:trHeight w:val="20"/>
        </w:trPr>
        <w:tc>
          <w:tcPr>
            <w:tcW w:w="1517" w:type="pct"/>
            <w:hideMark/>
          </w:tcPr>
          <w:p w:rsidR="009358E1" w:rsidRPr="008C0F9A" w:rsidRDefault="009358E1" w:rsidP="00112021">
            <w:pPr>
              <w:snapToGrid w:val="0"/>
              <w:spacing w:before="40" w:after="40"/>
              <w:rPr>
                <w:sz w:val="20"/>
                <w:szCs w:val="20"/>
                <w:lang w:val="fr-CH"/>
              </w:rPr>
            </w:pPr>
            <w:r w:rsidRPr="008C0F9A">
              <w:rPr>
                <w:sz w:val="20"/>
                <w:szCs w:val="20"/>
                <w:lang w:val="fr-CH"/>
              </w:rPr>
              <w:t>Dinosèbe et ses sels et esters</w:t>
            </w:r>
          </w:p>
        </w:tc>
        <w:tc>
          <w:tcPr>
            <w:tcW w:w="1095" w:type="pct"/>
            <w:hideMark/>
          </w:tcPr>
          <w:p w:rsidR="009358E1" w:rsidRPr="008C0F9A" w:rsidRDefault="009358E1" w:rsidP="00112021">
            <w:pPr>
              <w:snapToGrid w:val="0"/>
              <w:spacing w:before="40" w:after="40"/>
              <w:rPr>
                <w:sz w:val="20"/>
                <w:szCs w:val="20"/>
                <w:lang w:val="fr-FR"/>
              </w:rPr>
            </w:pPr>
            <w:r w:rsidRPr="008C0F9A">
              <w:rPr>
                <w:sz w:val="20"/>
                <w:szCs w:val="20"/>
              </w:rPr>
              <w:t>88-85-7</w:t>
            </w:r>
            <w:r w:rsidR="00112021">
              <w:rPr>
                <w:sz w:val="20"/>
                <w:szCs w:val="20"/>
              </w:rPr>
              <w:t>*</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Pesticide</w:t>
            </w:r>
          </w:p>
        </w:tc>
        <w:tc>
          <w:tcPr>
            <w:tcW w:w="1568" w:type="pct"/>
            <w:hideMark/>
          </w:tcPr>
          <w:p w:rsidR="009358E1" w:rsidRPr="008C0F9A" w:rsidRDefault="009358E1" w:rsidP="00112021">
            <w:pPr>
              <w:snapToGrid w:val="0"/>
              <w:spacing w:before="40" w:after="40"/>
              <w:rPr>
                <w:sz w:val="20"/>
                <w:szCs w:val="20"/>
                <w:lang w:val="fr-CH"/>
              </w:rPr>
            </w:pPr>
            <w:r w:rsidRPr="008C0F9A">
              <w:rPr>
                <w:sz w:val="20"/>
                <w:szCs w:val="20"/>
                <w:lang w:val="fr-CH"/>
              </w:rPr>
              <w:t>Avant l</w:t>
            </w:r>
            <w:r w:rsidR="000D310E" w:rsidRPr="008C0F9A">
              <w:rPr>
                <w:sz w:val="20"/>
                <w:szCs w:val="20"/>
                <w:lang w:val="fr-CH"/>
              </w:rPr>
              <w:t>’</w:t>
            </w:r>
            <w:r w:rsidRPr="008C0F9A">
              <w:rPr>
                <w:sz w:val="20"/>
                <w:szCs w:val="20"/>
                <w:lang w:val="fr-CH"/>
              </w:rPr>
              <w:t>adoption de la Convention</w:t>
            </w:r>
          </w:p>
        </w:tc>
      </w:tr>
      <w:tr w:rsidR="009358E1" w:rsidRPr="00A97FB1" w:rsidTr="005E06A1">
        <w:trPr>
          <w:cantSplit/>
          <w:trHeight w:val="20"/>
        </w:trPr>
        <w:tc>
          <w:tcPr>
            <w:tcW w:w="1517" w:type="pct"/>
            <w:hideMark/>
          </w:tcPr>
          <w:p w:rsidR="009358E1" w:rsidRPr="008C0F9A" w:rsidRDefault="00112021" w:rsidP="00112021">
            <w:pPr>
              <w:snapToGrid w:val="0"/>
              <w:spacing w:before="40" w:after="40"/>
              <w:rPr>
                <w:sz w:val="20"/>
                <w:szCs w:val="20"/>
                <w:lang w:val="fr-FR"/>
              </w:rPr>
            </w:pPr>
            <w:r>
              <w:rPr>
                <w:sz w:val="20"/>
                <w:szCs w:val="20"/>
              </w:rPr>
              <w:t>Dibromo-</w:t>
            </w:r>
            <w:r w:rsidR="009358E1" w:rsidRPr="008C0F9A">
              <w:rPr>
                <w:sz w:val="20"/>
                <w:szCs w:val="20"/>
              </w:rPr>
              <w:t>1,2</w:t>
            </w:r>
            <w:r>
              <w:rPr>
                <w:sz w:val="20"/>
                <w:szCs w:val="20"/>
              </w:rPr>
              <w:t xml:space="preserve"> </w:t>
            </w:r>
            <w:r w:rsidR="009358E1" w:rsidRPr="008C0F9A">
              <w:rPr>
                <w:sz w:val="20"/>
                <w:szCs w:val="20"/>
              </w:rPr>
              <w:t>éthane</w:t>
            </w:r>
            <w:r>
              <w:rPr>
                <w:sz w:val="20"/>
                <w:szCs w:val="20"/>
              </w:rPr>
              <w:t xml:space="preserve"> (EDB</w:t>
            </w:r>
            <w:r w:rsidR="009358E1" w:rsidRPr="008C0F9A">
              <w:rPr>
                <w:sz w:val="20"/>
                <w:szCs w:val="20"/>
              </w:rPr>
              <w:t>)</w:t>
            </w:r>
          </w:p>
        </w:tc>
        <w:tc>
          <w:tcPr>
            <w:tcW w:w="1095" w:type="pct"/>
            <w:hideMark/>
          </w:tcPr>
          <w:p w:rsidR="009358E1" w:rsidRPr="008C0F9A" w:rsidRDefault="009358E1" w:rsidP="00112021">
            <w:pPr>
              <w:snapToGrid w:val="0"/>
              <w:spacing w:before="40" w:after="40"/>
              <w:rPr>
                <w:sz w:val="20"/>
                <w:szCs w:val="20"/>
                <w:lang w:val="fr-FR"/>
              </w:rPr>
            </w:pPr>
            <w:r w:rsidRPr="008C0F9A">
              <w:rPr>
                <w:sz w:val="20"/>
                <w:szCs w:val="20"/>
              </w:rPr>
              <w:t>106-93-4</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Pesticide</w:t>
            </w:r>
          </w:p>
        </w:tc>
        <w:tc>
          <w:tcPr>
            <w:tcW w:w="1568" w:type="pct"/>
            <w:hideMark/>
          </w:tcPr>
          <w:p w:rsidR="009358E1" w:rsidRPr="008C0F9A" w:rsidRDefault="009358E1" w:rsidP="00112021">
            <w:pPr>
              <w:snapToGrid w:val="0"/>
              <w:spacing w:before="40" w:after="40"/>
              <w:rPr>
                <w:sz w:val="20"/>
                <w:szCs w:val="20"/>
                <w:lang w:val="fr-CH"/>
              </w:rPr>
            </w:pPr>
            <w:r w:rsidRPr="008C0F9A">
              <w:rPr>
                <w:sz w:val="20"/>
                <w:szCs w:val="20"/>
                <w:lang w:val="fr-CH"/>
              </w:rPr>
              <w:t>Avant l</w:t>
            </w:r>
            <w:r w:rsidR="000D310E" w:rsidRPr="008C0F9A">
              <w:rPr>
                <w:sz w:val="20"/>
                <w:szCs w:val="20"/>
                <w:lang w:val="fr-CH"/>
              </w:rPr>
              <w:t>’</w:t>
            </w:r>
            <w:r w:rsidRPr="008C0F9A">
              <w:rPr>
                <w:sz w:val="20"/>
                <w:szCs w:val="20"/>
                <w:lang w:val="fr-CH"/>
              </w:rPr>
              <w:t>adoption de la Convention</w:t>
            </w:r>
          </w:p>
        </w:tc>
      </w:tr>
      <w:tr w:rsidR="009358E1" w:rsidRPr="00A97FB1" w:rsidTr="005E06A1">
        <w:trPr>
          <w:cantSplit/>
          <w:trHeight w:val="20"/>
        </w:trPr>
        <w:tc>
          <w:tcPr>
            <w:tcW w:w="1517" w:type="pct"/>
            <w:hideMark/>
          </w:tcPr>
          <w:p w:rsidR="009358E1" w:rsidRPr="008C0F9A" w:rsidRDefault="009358E1" w:rsidP="00112021">
            <w:pPr>
              <w:snapToGrid w:val="0"/>
              <w:spacing w:before="40" w:after="40"/>
              <w:rPr>
                <w:sz w:val="20"/>
                <w:szCs w:val="20"/>
                <w:lang w:val="fr-FR"/>
              </w:rPr>
            </w:pPr>
            <w:r w:rsidRPr="008C0F9A">
              <w:rPr>
                <w:sz w:val="20"/>
                <w:szCs w:val="20"/>
              </w:rPr>
              <w:t>Endosulfan</w:t>
            </w:r>
          </w:p>
        </w:tc>
        <w:tc>
          <w:tcPr>
            <w:tcW w:w="1095" w:type="pct"/>
            <w:hideMark/>
          </w:tcPr>
          <w:p w:rsidR="009358E1" w:rsidRPr="008C0F9A" w:rsidRDefault="009358E1" w:rsidP="00112021">
            <w:pPr>
              <w:snapToGrid w:val="0"/>
              <w:spacing w:before="40" w:after="40"/>
              <w:rPr>
                <w:sz w:val="20"/>
                <w:szCs w:val="20"/>
                <w:lang w:val="fr-FR"/>
              </w:rPr>
            </w:pPr>
            <w:r w:rsidRPr="008C0F9A">
              <w:rPr>
                <w:sz w:val="20"/>
                <w:szCs w:val="20"/>
              </w:rPr>
              <w:t>115-29-7</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Pesticide</w:t>
            </w:r>
          </w:p>
        </w:tc>
        <w:tc>
          <w:tcPr>
            <w:tcW w:w="1568" w:type="pct"/>
            <w:hideMark/>
          </w:tcPr>
          <w:p w:rsidR="009358E1" w:rsidRPr="008C0F9A" w:rsidRDefault="009358E1" w:rsidP="00112021">
            <w:pPr>
              <w:snapToGrid w:val="0"/>
              <w:spacing w:before="40" w:after="40"/>
              <w:rPr>
                <w:sz w:val="20"/>
                <w:szCs w:val="20"/>
                <w:lang w:val="fr-CH"/>
              </w:rPr>
            </w:pPr>
            <w:r w:rsidRPr="008C0F9A">
              <w:rPr>
                <w:sz w:val="20"/>
                <w:szCs w:val="20"/>
                <w:lang w:val="fr-CH"/>
              </w:rPr>
              <w:t>Avant l</w:t>
            </w:r>
            <w:r w:rsidR="000D310E" w:rsidRPr="008C0F9A">
              <w:rPr>
                <w:sz w:val="20"/>
                <w:szCs w:val="20"/>
                <w:lang w:val="fr-CH"/>
              </w:rPr>
              <w:t>’</w:t>
            </w:r>
            <w:r w:rsidRPr="008C0F9A">
              <w:rPr>
                <w:sz w:val="20"/>
                <w:szCs w:val="20"/>
                <w:lang w:val="fr-CH"/>
              </w:rPr>
              <w:t>adoption de la Convention</w:t>
            </w:r>
          </w:p>
        </w:tc>
      </w:tr>
      <w:tr w:rsidR="009358E1" w:rsidRPr="00A97FB1" w:rsidTr="005E06A1">
        <w:trPr>
          <w:cantSplit/>
          <w:trHeight w:val="20"/>
        </w:trPr>
        <w:tc>
          <w:tcPr>
            <w:tcW w:w="1517" w:type="pct"/>
            <w:hideMark/>
          </w:tcPr>
          <w:p w:rsidR="009358E1" w:rsidRPr="008C0F9A" w:rsidRDefault="009358E1" w:rsidP="00112021">
            <w:pPr>
              <w:snapToGrid w:val="0"/>
              <w:spacing w:before="40" w:after="40"/>
              <w:rPr>
                <w:sz w:val="20"/>
                <w:szCs w:val="20"/>
                <w:lang w:val="fr-FR"/>
              </w:rPr>
            </w:pPr>
            <w:r w:rsidRPr="008C0F9A">
              <w:rPr>
                <w:sz w:val="20"/>
                <w:szCs w:val="20"/>
              </w:rPr>
              <w:t>Fluoroacétamide</w:t>
            </w:r>
          </w:p>
        </w:tc>
        <w:tc>
          <w:tcPr>
            <w:tcW w:w="1095" w:type="pct"/>
            <w:hideMark/>
          </w:tcPr>
          <w:p w:rsidR="009358E1" w:rsidRPr="008C0F9A" w:rsidRDefault="009358E1" w:rsidP="00112021">
            <w:pPr>
              <w:snapToGrid w:val="0"/>
              <w:spacing w:before="40" w:after="40"/>
              <w:rPr>
                <w:sz w:val="20"/>
                <w:szCs w:val="20"/>
                <w:lang w:val="fr-FR"/>
              </w:rPr>
            </w:pPr>
            <w:r w:rsidRPr="008C0F9A">
              <w:rPr>
                <w:sz w:val="20"/>
                <w:szCs w:val="20"/>
              </w:rPr>
              <w:t>640-19-7</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Pesticide</w:t>
            </w:r>
          </w:p>
        </w:tc>
        <w:tc>
          <w:tcPr>
            <w:tcW w:w="1568" w:type="pct"/>
            <w:hideMark/>
          </w:tcPr>
          <w:p w:rsidR="009358E1" w:rsidRPr="008C0F9A" w:rsidRDefault="009358E1" w:rsidP="00112021">
            <w:pPr>
              <w:snapToGrid w:val="0"/>
              <w:spacing w:before="40" w:after="40"/>
              <w:rPr>
                <w:sz w:val="20"/>
                <w:szCs w:val="20"/>
                <w:lang w:val="fr-CH"/>
              </w:rPr>
            </w:pPr>
            <w:r w:rsidRPr="008C0F9A">
              <w:rPr>
                <w:sz w:val="20"/>
                <w:szCs w:val="20"/>
                <w:lang w:val="fr-CH"/>
              </w:rPr>
              <w:t>Avant l</w:t>
            </w:r>
            <w:r w:rsidR="000D310E" w:rsidRPr="008C0F9A">
              <w:rPr>
                <w:sz w:val="20"/>
                <w:szCs w:val="20"/>
                <w:lang w:val="fr-CH"/>
              </w:rPr>
              <w:t>’</w:t>
            </w:r>
            <w:r w:rsidRPr="008C0F9A">
              <w:rPr>
                <w:sz w:val="20"/>
                <w:szCs w:val="20"/>
                <w:lang w:val="fr-CH"/>
              </w:rPr>
              <w:t>adoption de la Convention</w:t>
            </w:r>
          </w:p>
        </w:tc>
      </w:tr>
      <w:tr w:rsidR="009358E1" w:rsidRPr="00A97FB1" w:rsidTr="005E06A1">
        <w:trPr>
          <w:cantSplit/>
          <w:trHeight w:val="20"/>
        </w:trPr>
        <w:tc>
          <w:tcPr>
            <w:tcW w:w="1517" w:type="pct"/>
            <w:hideMark/>
          </w:tcPr>
          <w:p w:rsidR="009358E1" w:rsidRPr="008C0F9A" w:rsidRDefault="009358E1" w:rsidP="008F293E">
            <w:pPr>
              <w:snapToGrid w:val="0"/>
              <w:spacing w:before="40" w:after="40"/>
              <w:rPr>
                <w:sz w:val="20"/>
                <w:szCs w:val="20"/>
                <w:lang w:val="fr-CH"/>
              </w:rPr>
            </w:pPr>
            <w:r w:rsidRPr="008C0F9A">
              <w:rPr>
                <w:sz w:val="20"/>
                <w:szCs w:val="20"/>
                <w:lang w:val="fr-CH"/>
              </w:rPr>
              <w:t>HCH (</w:t>
            </w:r>
            <w:r w:rsidR="008F293E">
              <w:rPr>
                <w:sz w:val="20"/>
                <w:szCs w:val="20"/>
                <w:lang w:val="fr-CH"/>
              </w:rPr>
              <w:t>mélanges d’</w:t>
            </w:r>
            <w:r w:rsidRPr="008C0F9A">
              <w:rPr>
                <w:sz w:val="20"/>
                <w:szCs w:val="20"/>
                <w:lang w:val="fr-CH"/>
              </w:rPr>
              <w:t>isomères)</w:t>
            </w:r>
          </w:p>
        </w:tc>
        <w:tc>
          <w:tcPr>
            <w:tcW w:w="1095" w:type="pct"/>
            <w:hideMark/>
          </w:tcPr>
          <w:p w:rsidR="009358E1" w:rsidRPr="008C0F9A" w:rsidRDefault="009358E1" w:rsidP="00112021">
            <w:pPr>
              <w:snapToGrid w:val="0"/>
              <w:spacing w:before="40" w:after="40"/>
              <w:rPr>
                <w:sz w:val="20"/>
                <w:szCs w:val="20"/>
                <w:lang w:val="fr-FR"/>
              </w:rPr>
            </w:pPr>
            <w:r w:rsidRPr="008C0F9A">
              <w:rPr>
                <w:sz w:val="20"/>
                <w:szCs w:val="20"/>
              </w:rPr>
              <w:t>608-73-1</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Pesticide</w:t>
            </w:r>
          </w:p>
        </w:tc>
        <w:tc>
          <w:tcPr>
            <w:tcW w:w="1568" w:type="pct"/>
            <w:hideMark/>
          </w:tcPr>
          <w:p w:rsidR="009358E1" w:rsidRPr="008C0F9A" w:rsidRDefault="009358E1" w:rsidP="00112021">
            <w:pPr>
              <w:snapToGrid w:val="0"/>
              <w:spacing w:before="40" w:after="40"/>
              <w:rPr>
                <w:sz w:val="20"/>
                <w:szCs w:val="20"/>
                <w:lang w:val="fr-CH"/>
              </w:rPr>
            </w:pPr>
            <w:r w:rsidRPr="008C0F9A">
              <w:rPr>
                <w:sz w:val="20"/>
                <w:szCs w:val="20"/>
                <w:lang w:val="fr-CH"/>
              </w:rPr>
              <w:t>Avant l</w:t>
            </w:r>
            <w:r w:rsidR="000D310E" w:rsidRPr="008C0F9A">
              <w:rPr>
                <w:sz w:val="20"/>
                <w:szCs w:val="20"/>
                <w:lang w:val="fr-CH"/>
              </w:rPr>
              <w:t>’</w:t>
            </w:r>
            <w:r w:rsidRPr="008C0F9A">
              <w:rPr>
                <w:sz w:val="20"/>
                <w:szCs w:val="20"/>
                <w:lang w:val="fr-CH"/>
              </w:rPr>
              <w:t>adoption de la Convention</w:t>
            </w:r>
          </w:p>
        </w:tc>
      </w:tr>
      <w:tr w:rsidR="009358E1" w:rsidRPr="00A97FB1" w:rsidTr="005E06A1">
        <w:trPr>
          <w:cantSplit/>
          <w:trHeight w:val="20"/>
        </w:trPr>
        <w:tc>
          <w:tcPr>
            <w:tcW w:w="1517" w:type="pct"/>
            <w:hideMark/>
          </w:tcPr>
          <w:p w:rsidR="009358E1" w:rsidRPr="008C0F9A" w:rsidRDefault="009358E1" w:rsidP="00112021">
            <w:pPr>
              <w:snapToGrid w:val="0"/>
              <w:spacing w:before="40" w:after="40"/>
              <w:rPr>
                <w:sz w:val="20"/>
                <w:szCs w:val="20"/>
                <w:lang w:val="fr-FR"/>
              </w:rPr>
            </w:pPr>
            <w:r w:rsidRPr="008C0F9A">
              <w:rPr>
                <w:sz w:val="20"/>
                <w:szCs w:val="20"/>
              </w:rPr>
              <w:t>Heptachlore</w:t>
            </w:r>
          </w:p>
        </w:tc>
        <w:tc>
          <w:tcPr>
            <w:tcW w:w="1095" w:type="pct"/>
            <w:hideMark/>
          </w:tcPr>
          <w:p w:rsidR="009358E1" w:rsidRPr="008C0F9A" w:rsidRDefault="009358E1" w:rsidP="00112021">
            <w:pPr>
              <w:snapToGrid w:val="0"/>
              <w:spacing w:before="40" w:after="40"/>
              <w:rPr>
                <w:sz w:val="20"/>
                <w:szCs w:val="20"/>
                <w:lang w:val="fr-FR"/>
              </w:rPr>
            </w:pPr>
            <w:r w:rsidRPr="008C0F9A">
              <w:rPr>
                <w:sz w:val="20"/>
                <w:szCs w:val="20"/>
              </w:rPr>
              <w:t>76-44-8</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Pesticide</w:t>
            </w:r>
          </w:p>
        </w:tc>
        <w:tc>
          <w:tcPr>
            <w:tcW w:w="1568" w:type="pct"/>
            <w:hideMark/>
          </w:tcPr>
          <w:p w:rsidR="009358E1" w:rsidRPr="008C0F9A" w:rsidRDefault="009358E1" w:rsidP="00112021">
            <w:pPr>
              <w:snapToGrid w:val="0"/>
              <w:spacing w:before="40" w:after="40"/>
              <w:rPr>
                <w:sz w:val="20"/>
                <w:szCs w:val="20"/>
                <w:lang w:val="fr-CH"/>
              </w:rPr>
            </w:pPr>
            <w:r w:rsidRPr="008C0F9A">
              <w:rPr>
                <w:sz w:val="20"/>
                <w:szCs w:val="20"/>
                <w:lang w:val="fr-CH"/>
              </w:rPr>
              <w:t>Avant l</w:t>
            </w:r>
            <w:r w:rsidR="000D310E" w:rsidRPr="008C0F9A">
              <w:rPr>
                <w:sz w:val="20"/>
                <w:szCs w:val="20"/>
                <w:lang w:val="fr-CH"/>
              </w:rPr>
              <w:t>’</w:t>
            </w:r>
            <w:r w:rsidRPr="008C0F9A">
              <w:rPr>
                <w:sz w:val="20"/>
                <w:szCs w:val="20"/>
                <w:lang w:val="fr-CH"/>
              </w:rPr>
              <w:t>adoption de la Convention</w:t>
            </w:r>
          </w:p>
        </w:tc>
      </w:tr>
      <w:tr w:rsidR="009358E1" w:rsidRPr="00A97FB1" w:rsidTr="005E06A1">
        <w:trPr>
          <w:cantSplit/>
          <w:trHeight w:val="20"/>
        </w:trPr>
        <w:tc>
          <w:tcPr>
            <w:tcW w:w="1517" w:type="pct"/>
            <w:hideMark/>
          </w:tcPr>
          <w:p w:rsidR="009358E1" w:rsidRPr="008C0F9A" w:rsidRDefault="009358E1" w:rsidP="00112021">
            <w:pPr>
              <w:snapToGrid w:val="0"/>
              <w:spacing w:before="40" w:after="40"/>
              <w:rPr>
                <w:sz w:val="20"/>
                <w:szCs w:val="20"/>
                <w:lang w:val="fr-FR"/>
              </w:rPr>
            </w:pPr>
            <w:r w:rsidRPr="008C0F9A">
              <w:rPr>
                <w:sz w:val="20"/>
                <w:szCs w:val="20"/>
              </w:rPr>
              <w:t>Hexachlorobenzène</w:t>
            </w:r>
          </w:p>
        </w:tc>
        <w:tc>
          <w:tcPr>
            <w:tcW w:w="1095" w:type="pct"/>
            <w:hideMark/>
          </w:tcPr>
          <w:p w:rsidR="009358E1" w:rsidRPr="008C0F9A" w:rsidRDefault="009358E1" w:rsidP="00112021">
            <w:pPr>
              <w:snapToGrid w:val="0"/>
              <w:spacing w:before="40" w:after="40"/>
              <w:rPr>
                <w:sz w:val="20"/>
                <w:szCs w:val="20"/>
                <w:lang w:val="fr-FR"/>
              </w:rPr>
            </w:pPr>
            <w:r w:rsidRPr="008C0F9A">
              <w:rPr>
                <w:sz w:val="20"/>
                <w:szCs w:val="20"/>
              </w:rPr>
              <w:t>118-74-1</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Pesticide</w:t>
            </w:r>
          </w:p>
        </w:tc>
        <w:tc>
          <w:tcPr>
            <w:tcW w:w="1568" w:type="pct"/>
            <w:hideMark/>
          </w:tcPr>
          <w:p w:rsidR="009358E1" w:rsidRPr="008C0F9A" w:rsidRDefault="009358E1" w:rsidP="00112021">
            <w:pPr>
              <w:snapToGrid w:val="0"/>
              <w:spacing w:before="40" w:after="40"/>
              <w:rPr>
                <w:sz w:val="20"/>
                <w:szCs w:val="20"/>
                <w:lang w:val="fr-CH"/>
              </w:rPr>
            </w:pPr>
            <w:r w:rsidRPr="008C0F9A">
              <w:rPr>
                <w:sz w:val="20"/>
                <w:szCs w:val="20"/>
                <w:lang w:val="fr-CH"/>
              </w:rPr>
              <w:t>Avant l</w:t>
            </w:r>
            <w:r w:rsidR="000D310E" w:rsidRPr="008C0F9A">
              <w:rPr>
                <w:sz w:val="20"/>
                <w:szCs w:val="20"/>
                <w:lang w:val="fr-CH"/>
              </w:rPr>
              <w:t>’</w:t>
            </w:r>
            <w:r w:rsidRPr="008C0F9A">
              <w:rPr>
                <w:sz w:val="20"/>
                <w:szCs w:val="20"/>
                <w:lang w:val="fr-CH"/>
              </w:rPr>
              <w:t>adoption de la Convention</w:t>
            </w:r>
          </w:p>
        </w:tc>
      </w:tr>
      <w:tr w:rsidR="009358E1" w:rsidRPr="00A97FB1" w:rsidTr="005E06A1">
        <w:trPr>
          <w:cantSplit/>
          <w:trHeight w:val="20"/>
        </w:trPr>
        <w:tc>
          <w:tcPr>
            <w:tcW w:w="1517" w:type="pct"/>
            <w:hideMark/>
          </w:tcPr>
          <w:p w:rsidR="009358E1" w:rsidRPr="008C0F9A" w:rsidRDefault="009358E1" w:rsidP="00112021">
            <w:pPr>
              <w:snapToGrid w:val="0"/>
              <w:spacing w:before="40" w:after="40"/>
              <w:rPr>
                <w:sz w:val="20"/>
                <w:szCs w:val="20"/>
                <w:lang w:val="fr-FR"/>
              </w:rPr>
            </w:pPr>
            <w:r w:rsidRPr="008C0F9A">
              <w:rPr>
                <w:sz w:val="20"/>
                <w:szCs w:val="20"/>
              </w:rPr>
              <w:t>Lindane</w:t>
            </w:r>
          </w:p>
        </w:tc>
        <w:tc>
          <w:tcPr>
            <w:tcW w:w="1095" w:type="pct"/>
            <w:hideMark/>
          </w:tcPr>
          <w:p w:rsidR="009358E1" w:rsidRPr="008C0F9A" w:rsidRDefault="009358E1" w:rsidP="00112021">
            <w:pPr>
              <w:snapToGrid w:val="0"/>
              <w:spacing w:before="40" w:after="40"/>
              <w:rPr>
                <w:sz w:val="20"/>
                <w:szCs w:val="20"/>
                <w:lang w:val="fr-FR"/>
              </w:rPr>
            </w:pPr>
            <w:r w:rsidRPr="008C0F9A">
              <w:rPr>
                <w:sz w:val="20"/>
                <w:szCs w:val="20"/>
              </w:rPr>
              <w:t>58-89-9</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Pesticide</w:t>
            </w:r>
          </w:p>
        </w:tc>
        <w:tc>
          <w:tcPr>
            <w:tcW w:w="1568" w:type="pct"/>
            <w:hideMark/>
          </w:tcPr>
          <w:p w:rsidR="009358E1" w:rsidRPr="008C0F9A" w:rsidRDefault="009358E1" w:rsidP="00112021">
            <w:pPr>
              <w:snapToGrid w:val="0"/>
              <w:spacing w:before="40" w:after="40"/>
              <w:rPr>
                <w:sz w:val="20"/>
                <w:szCs w:val="20"/>
                <w:lang w:val="fr-CH"/>
              </w:rPr>
            </w:pPr>
            <w:r w:rsidRPr="008C0F9A">
              <w:rPr>
                <w:sz w:val="20"/>
                <w:szCs w:val="20"/>
                <w:lang w:val="fr-CH"/>
              </w:rPr>
              <w:t>Avant l</w:t>
            </w:r>
            <w:r w:rsidR="000D310E" w:rsidRPr="008C0F9A">
              <w:rPr>
                <w:sz w:val="20"/>
                <w:szCs w:val="20"/>
                <w:lang w:val="fr-CH"/>
              </w:rPr>
              <w:t>’</w:t>
            </w:r>
            <w:r w:rsidRPr="008C0F9A">
              <w:rPr>
                <w:sz w:val="20"/>
                <w:szCs w:val="20"/>
                <w:lang w:val="fr-CH"/>
              </w:rPr>
              <w:t>adoption de la Convention</w:t>
            </w:r>
          </w:p>
        </w:tc>
      </w:tr>
      <w:tr w:rsidR="009358E1" w:rsidRPr="008C0F9A" w:rsidTr="005E06A1">
        <w:trPr>
          <w:cantSplit/>
          <w:trHeight w:val="20"/>
        </w:trPr>
        <w:tc>
          <w:tcPr>
            <w:tcW w:w="1517" w:type="pct"/>
            <w:hideMark/>
          </w:tcPr>
          <w:p w:rsidR="009358E1" w:rsidRPr="008C0F9A" w:rsidRDefault="009358E1" w:rsidP="00112021">
            <w:pPr>
              <w:snapToGrid w:val="0"/>
              <w:spacing w:before="40" w:after="40"/>
              <w:rPr>
                <w:sz w:val="20"/>
                <w:szCs w:val="20"/>
                <w:lang w:val="fr-CH"/>
              </w:rPr>
            </w:pPr>
            <w:r w:rsidRPr="008C0F9A">
              <w:rPr>
                <w:sz w:val="20"/>
                <w:szCs w:val="20"/>
                <w:lang w:val="fr-CH"/>
              </w:rPr>
              <w:t>Methamidophos</w:t>
            </w:r>
          </w:p>
        </w:tc>
        <w:tc>
          <w:tcPr>
            <w:tcW w:w="1095" w:type="pct"/>
            <w:hideMark/>
          </w:tcPr>
          <w:p w:rsidR="009358E1" w:rsidRPr="008C0F9A" w:rsidRDefault="009358E1" w:rsidP="00112021">
            <w:pPr>
              <w:snapToGrid w:val="0"/>
              <w:spacing w:before="40" w:after="40"/>
              <w:rPr>
                <w:sz w:val="20"/>
                <w:szCs w:val="20"/>
                <w:lang w:val="fr-FR"/>
              </w:rPr>
            </w:pPr>
            <w:r w:rsidRPr="008C0F9A">
              <w:rPr>
                <w:sz w:val="20"/>
                <w:szCs w:val="20"/>
              </w:rPr>
              <w:t>10265-92-6</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Pesticide</w:t>
            </w:r>
          </w:p>
        </w:tc>
        <w:tc>
          <w:tcPr>
            <w:tcW w:w="1568" w:type="pct"/>
            <w:hideMark/>
          </w:tcPr>
          <w:p w:rsidR="009358E1" w:rsidRPr="008C0F9A" w:rsidRDefault="009358E1" w:rsidP="00112021">
            <w:pPr>
              <w:snapToGrid w:val="0"/>
              <w:spacing w:before="40" w:after="40"/>
              <w:rPr>
                <w:sz w:val="20"/>
                <w:szCs w:val="20"/>
                <w:lang w:val="fr-CH"/>
              </w:rPr>
            </w:pPr>
            <w:r w:rsidRPr="008C0F9A">
              <w:rPr>
                <w:sz w:val="20"/>
                <w:szCs w:val="20"/>
                <w:lang w:val="fr-CH"/>
              </w:rPr>
              <w:t>15/09/2015</w:t>
            </w:r>
          </w:p>
        </w:tc>
      </w:tr>
      <w:tr w:rsidR="009358E1" w:rsidRPr="008C0F9A" w:rsidTr="005E06A1">
        <w:trPr>
          <w:cantSplit/>
          <w:trHeight w:val="20"/>
        </w:trPr>
        <w:tc>
          <w:tcPr>
            <w:tcW w:w="1517" w:type="pct"/>
            <w:hideMark/>
          </w:tcPr>
          <w:p w:rsidR="009358E1" w:rsidRPr="008C0F9A" w:rsidRDefault="009358E1" w:rsidP="00112021">
            <w:pPr>
              <w:snapToGrid w:val="0"/>
              <w:spacing w:before="40" w:after="40"/>
              <w:rPr>
                <w:sz w:val="20"/>
                <w:szCs w:val="20"/>
                <w:lang w:val="fr-FR"/>
              </w:rPr>
            </w:pPr>
            <w:r w:rsidRPr="008C0F9A">
              <w:rPr>
                <w:sz w:val="20"/>
                <w:szCs w:val="20"/>
              </w:rPr>
              <w:t>Monocrotophos</w:t>
            </w:r>
          </w:p>
        </w:tc>
        <w:tc>
          <w:tcPr>
            <w:tcW w:w="1095" w:type="pct"/>
            <w:hideMark/>
          </w:tcPr>
          <w:p w:rsidR="009358E1" w:rsidRPr="008C0F9A" w:rsidRDefault="009358E1" w:rsidP="00112021">
            <w:pPr>
              <w:snapToGrid w:val="0"/>
              <w:spacing w:before="40" w:after="40"/>
              <w:rPr>
                <w:sz w:val="20"/>
                <w:szCs w:val="20"/>
                <w:lang w:val="fr-FR"/>
              </w:rPr>
            </w:pPr>
            <w:r w:rsidRPr="008C0F9A">
              <w:rPr>
                <w:sz w:val="20"/>
                <w:szCs w:val="20"/>
              </w:rPr>
              <w:t>6923-22-4</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Pesticide</w:t>
            </w:r>
          </w:p>
        </w:tc>
        <w:tc>
          <w:tcPr>
            <w:tcW w:w="1568" w:type="pct"/>
            <w:hideMark/>
          </w:tcPr>
          <w:p w:rsidR="009358E1" w:rsidRPr="008C0F9A" w:rsidRDefault="009358E1" w:rsidP="00112021">
            <w:pPr>
              <w:snapToGrid w:val="0"/>
              <w:spacing w:before="40" w:after="40"/>
              <w:rPr>
                <w:sz w:val="20"/>
                <w:szCs w:val="20"/>
                <w:lang w:val="fr-FR"/>
              </w:rPr>
            </w:pPr>
            <w:r w:rsidRPr="008C0F9A">
              <w:rPr>
                <w:sz w:val="20"/>
                <w:szCs w:val="20"/>
              </w:rPr>
              <w:t>01/02/2005</w:t>
            </w:r>
          </w:p>
        </w:tc>
      </w:tr>
      <w:tr w:rsidR="009358E1" w:rsidRPr="008C0F9A" w:rsidTr="005E06A1">
        <w:trPr>
          <w:cantSplit/>
          <w:trHeight w:val="20"/>
        </w:trPr>
        <w:tc>
          <w:tcPr>
            <w:tcW w:w="1517" w:type="pct"/>
            <w:hideMark/>
          </w:tcPr>
          <w:p w:rsidR="009358E1" w:rsidRPr="008C0F9A" w:rsidRDefault="009358E1" w:rsidP="00112021">
            <w:pPr>
              <w:snapToGrid w:val="0"/>
              <w:spacing w:before="40" w:after="40"/>
              <w:rPr>
                <w:sz w:val="20"/>
                <w:szCs w:val="20"/>
                <w:lang w:val="fr-FR"/>
              </w:rPr>
            </w:pPr>
            <w:r w:rsidRPr="008C0F9A">
              <w:rPr>
                <w:sz w:val="20"/>
                <w:szCs w:val="20"/>
              </w:rPr>
              <w:t>Oxide d</w:t>
            </w:r>
            <w:r w:rsidR="000D310E" w:rsidRPr="008C0F9A">
              <w:rPr>
                <w:sz w:val="20"/>
                <w:szCs w:val="20"/>
              </w:rPr>
              <w:t>’</w:t>
            </w:r>
            <w:r w:rsidRPr="008C0F9A">
              <w:rPr>
                <w:sz w:val="20"/>
                <w:szCs w:val="20"/>
              </w:rPr>
              <w:t>éthylène</w:t>
            </w:r>
          </w:p>
        </w:tc>
        <w:tc>
          <w:tcPr>
            <w:tcW w:w="1095" w:type="pct"/>
            <w:hideMark/>
          </w:tcPr>
          <w:p w:rsidR="009358E1" w:rsidRPr="008C0F9A" w:rsidRDefault="009358E1" w:rsidP="00112021">
            <w:pPr>
              <w:snapToGrid w:val="0"/>
              <w:spacing w:before="40" w:after="40"/>
              <w:rPr>
                <w:sz w:val="20"/>
                <w:szCs w:val="20"/>
                <w:lang w:val="fr-FR"/>
              </w:rPr>
            </w:pPr>
            <w:r w:rsidRPr="008C0F9A">
              <w:rPr>
                <w:sz w:val="20"/>
                <w:szCs w:val="20"/>
              </w:rPr>
              <w:t>75-21-8</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Pesticide</w:t>
            </w:r>
          </w:p>
        </w:tc>
        <w:tc>
          <w:tcPr>
            <w:tcW w:w="1568" w:type="pct"/>
            <w:hideMark/>
          </w:tcPr>
          <w:p w:rsidR="009358E1" w:rsidRPr="008C0F9A" w:rsidRDefault="009358E1" w:rsidP="00112021">
            <w:pPr>
              <w:snapToGrid w:val="0"/>
              <w:spacing w:before="40" w:after="40"/>
              <w:rPr>
                <w:sz w:val="20"/>
                <w:szCs w:val="20"/>
                <w:lang w:val="fr-FR"/>
              </w:rPr>
            </w:pPr>
            <w:r w:rsidRPr="008C0F9A">
              <w:rPr>
                <w:sz w:val="20"/>
                <w:szCs w:val="20"/>
              </w:rPr>
              <w:t>01/02/2005</w:t>
            </w:r>
          </w:p>
        </w:tc>
      </w:tr>
      <w:tr w:rsidR="009358E1" w:rsidRPr="008C0F9A" w:rsidTr="005E06A1">
        <w:trPr>
          <w:cantSplit/>
          <w:trHeight w:val="20"/>
        </w:trPr>
        <w:tc>
          <w:tcPr>
            <w:tcW w:w="1517" w:type="pct"/>
            <w:hideMark/>
          </w:tcPr>
          <w:p w:rsidR="009358E1" w:rsidRPr="008C0F9A" w:rsidRDefault="009358E1" w:rsidP="00112021">
            <w:pPr>
              <w:snapToGrid w:val="0"/>
              <w:spacing w:before="40" w:after="40"/>
              <w:rPr>
                <w:sz w:val="20"/>
                <w:szCs w:val="20"/>
                <w:lang w:val="fr-FR"/>
              </w:rPr>
            </w:pPr>
            <w:r w:rsidRPr="008C0F9A">
              <w:rPr>
                <w:sz w:val="20"/>
                <w:szCs w:val="20"/>
              </w:rPr>
              <w:lastRenderedPageBreak/>
              <w:t>Parathion</w:t>
            </w:r>
          </w:p>
        </w:tc>
        <w:tc>
          <w:tcPr>
            <w:tcW w:w="1095" w:type="pct"/>
            <w:hideMark/>
          </w:tcPr>
          <w:p w:rsidR="009358E1" w:rsidRPr="008C0F9A" w:rsidRDefault="009358E1" w:rsidP="00112021">
            <w:pPr>
              <w:snapToGrid w:val="0"/>
              <w:spacing w:before="40" w:after="40"/>
              <w:rPr>
                <w:sz w:val="20"/>
                <w:szCs w:val="20"/>
                <w:lang w:val="fr-FR"/>
              </w:rPr>
            </w:pPr>
            <w:r w:rsidRPr="008C0F9A">
              <w:rPr>
                <w:sz w:val="20"/>
                <w:szCs w:val="20"/>
              </w:rPr>
              <w:t>56-38-2</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Pesticide</w:t>
            </w:r>
          </w:p>
        </w:tc>
        <w:tc>
          <w:tcPr>
            <w:tcW w:w="1568" w:type="pct"/>
            <w:hideMark/>
          </w:tcPr>
          <w:p w:rsidR="009358E1" w:rsidRPr="008C0F9A" w:rsidRDefault="009358E1" w:rsidP="00112021">
            <w:pPr>
              <w:snapToGrid w:val="0"/>
              <w:spacing w:before="40" w:after="40"/>
              <w:rPr>
                <w:sz w:val="20"/>
                <w:szCs w:val="20"/>
                <w:lang w:val="fr-FR"/>
              </w:rPr>
            </w:pPr>
            <w:r w:rsidRPr="008C0F9A">
              <w:rPr>
                <w:sz w:val="20"/>
                <w:szCs w:val="20"/>
              </w:rPr>
              <w:t>01/02/2005</w:t>
            </w:r>
          </w:p>
        </w:tc>
      </w:tr>
      <w:tr w:rsidR="009358E1" w:rsidRPr="00A97FB1" w:rsidTr="005E06A1">
        <w:trPr>
          <w:cantSplit/>
          <w:trHeight w:val="20"/>
        </w:trPr>
        <w:tc>
          <w:tcPr>
            <w:tcW w:w="1517" w:type="pct"/>
            <w:hideMark/>
          </w:tcPr>
          <w:p w:rsidR="009358E1" w:rsidRPr="008C0F9A" w:rsidRDefault="009358E1" w:rsidP="00112021">
            <w:pPr>
              <w:snapToGrid w:val="0"/>
              <w:spacing w:before="40" w:after="40"/>
              <w:rPr>
                <w:sz w:val="20"/>
                <w:szCs w:val="20"/>
                <w:lang w:val="fr-CH"/>
              </w:rPr>
            </w:pPr>
            <w:r w:rsidRPr="008C0F9A">
              <w:rPr>
                <w:sz w:val="20"/>
                <w:szCs w:val="20"/>
                <w:lang w:val="fr-CH"/>
              </w:rPr>
              <w:t>Pentachlorophénol et ses sels et esters</w:t>
            </w:r>
          </w:p>
        </w:tc>
        <w:tc>
          <w:tcPr>
            <w:tcW w:w="1095" w:type="pct"/>
            <w:hideMark/>
          </w:tcPr>
          <w:p w:rsidR="009358E1" w:rsidRPr="008C0F9A" w:rsidRDefault="009358E1" w:rsidP="00112021">
            <w:pPr>
              <w:snapToGrid w:val="0"/>
              <w:spacing w:before="40" w:after="40"/>
              <w:rPr>
                <w:sz w:val="20"/>
                <w:szCs w:val="20"/>
                <w:lang w:val="fr-FR"/>
              </w:rPr>
            </w:pPr>
            <w:r w:rsidRPr="008C0F9A">
              <w:rPr>
                <w:sz w:val="20"/>
                <w:szCs w:val="20"/>
              </w:rPr>
              <w:t>87-86-5</w:t>
            </w:r>
            <w:r w:rsidR="008F293E">
              <w:rPr>
                <w:sz w:val="20"/>
                <w:szCs w:val="20"/>
              </w:rPr>
              <w:t>*</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Pesticide</w:t>
            </w:r>
          </w:p>
        </w:tc>
        <w:tc>
          <w:tcPr>
            <w:tcW w:w="1568" w:type="pct"/>
            <w:hideMark/>
          </w:tcPr>
          <w:p w:rsidR="009358E1" w:rsidRPr="008C0F9A" w:rsidRDefault="009358E1" w:rsidP="00112021">
            <w:pPr>
              <w:snapToGrid w:val="0"/>
              <w:spacing w:before="40" w:after="40"/>
              <w:rPr>
                <w:sz w:val="20"/>
                <w:szCs w:val="20"/>
                <w:lang w:val="fr-CH"/>
              </w:rPr>
            </w:pPr>
            <w:r w:rsidRPr="008C0F9A">
              <w:rPr>
                <w:sz w:val="20"/>
                <w:szCs w:val="20"/>
                <w:lang w:val="fr-CH"/>
              </w:rPr>
              <w:t>Avant l</w:t>
            </w:r>
            <w:r w:rsidR="000D310E" w:rsidRPr="008C0F9A">
              <w:rPr>
                <w:sz w:val="20"/>
                <w:szCs w:val="20"/>
                <w:lang w:val="fr-CH"/>
              </w:rPr>
              <w:t>’</w:t>
            </w:r>
            <w:r w:rsidRPr="008C0F9A">
              <w:rPr>
                <w:sz w:val="20"/>
                <w:szCs w:val="20"/>
                <w:lang w:val="fr-CH"/>
              </w:rPr>
              <w:t>adoption de la Convention</w:t>
            </w:r>
          </w:p>
        </w:tc>
      </w:tr>
      <w:tr w:rsidR="009358E1" w:rsidRPr="008C0F9A" w:rsidTr="005E06A1">
        <w:trPr>
          <w:cantSplit/>
          <w:trHeight w:val="20"/>
        </w:trPr>
        <w:tc>
          <w:tcPr>
            <w:tcW w:w="1517" w:type="pct"/>
            <w:hideMark/>
          </w:tcPr>
          <w:p w:rsidR="009358E1" w:rsidRPr="008C0F9A" w:rsidRDefault="009358E1" w:rsidP="00112021">
            <w:pPr>
              <w:snapToGrid w:val="0"/>
              <w:spacing w:before="40" w:after="40"/>
              <w:rPr>
                <w:sz w:val="20"/>
                <w:szCs w:val="20"/>
                <w:lang w:val="fr-FR"/>
              </w:rPr>
            </w:pPr>
            <w:r w:rsidRPr="008C0F9A">
              <w:rPr>
                <w:sz w:val="20"/>
                <w:szCs w:val="20"/>
              </w:rPr>
              <w:t>Toxaphène</w:t>
            </w:r>
          </w:p>
        </w:tc>
        <w:tc>
          <w:tcPr>
            <w:tcW w:w="1095" w:type="pct"/>
            <w:hideMark/>
          </w:tcPr>
          <w:p w:rsidR="009358E1" w:rsidRPr="008C0F9A" w:rsidRDefault="009358E1" w:rsidP="00112021">
            <w:pPr>
              <w:snapToGrid w:val="0"/>
              <w:spacing w:before="40" w:after="40"/>
              <w:rPr>
                <w:sz w:val="20"/>
                <w:szCs w:val="20"/>
                <w:lang w:val="fr-FR"/>
              </w:rPr>
            </w:pPr>
            <w:r w:rsidRPr="008C0F9A">
              <w:rPr>
                <w:sz w:val="20"/>
                <w:szCs w:val="20"/>
              </w:rPr>
              <w:t>8001-35-2</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Pesticide</w:t>
            </w:r>
          </w:p>
        </w:tc>
        <w:tc>
          <w:tcPr>
            <w:tcW w:w="1568" w:type="pct"/>
            <w:hideMark/>
          </w:tcPr>
          <w:p w:rsidR="009358E1" w:rsidRPr="008C0F9A" w:rsidRDefault="009358E1" w:rsidP="00112021">
            <w:pPr>
              <w:snapToGrid w:val="0"/>
              <w:spacing w:before="40" w:after="40"/>
              <w:rPr>
                <w:sz w:val="20"/>
                <w:szCs w:val="20"/>
                <w:lang w:val="fr-FR"/>
              </w:rPr>
            </w:pPr>
            <w:r w:rsidRPr="008C0F9A">
              <w:rPr>
                <w:sz w:val="20"/>
                <w:szCs w:val="20"/>
              </w:rPr>
              <w:t>01/02/2005</w:t>
            </w:r>
          </w:p>
        </w:tc>
      </w:tr>
      <w:tr w:rsidR="009358E1" w:rsidRPr="00A97FB1" w:rsidTr="005E06A1">
        <w:trPr>
          <w:cantSplit/>
          <w:trHeight w:val="20"/>
        </w:trPr>
        <w:tc>
          <w:tcPr>
            <w:tcW w:w="1517" w:type="pct"/>
            <w:hideMark/>
          </w:tcPr>
          <w:p w:rsidR="009358E1" w:rsidRPr="008C0F9A" w:rsidRDefault="009358E1" w:rsidP="001F5B82">
            <w:pPr>
              <w:snapToGrid w:val="0"/>
              <w:spacing w:before="40" w:after="40"/>
              <w:rPr>
                <w:sz w:val="20"/>
                <w:szCs w:val="20"/>
                <w:lang w:val="fr-CH"/>
              </w:rPr>
            </w:pPr>
            <w:r w:rsidRPr="008C0F9A">
              <w:rPr>
                <w:sz w:val="20"/>
                <w:szCs w:val="20"/>
                <w:lang w:val="fr-CH"/>
              </w:rPr>
              <w:t>Méthyle parathion (</w:t>
            </w:r>
            <w:r w:rsidR="001F5B82">
              <w:rPr>
                <w:sz w:val="20"/>
                <w:szCs w:val="20"/>
                <w:lang w:val="fr-CH"/>
              </w:rPr>
              <w:t>c</w:t>
            </w:r>
            <w:r w:rsidRPr="008C0F9A">
              <w:rPr>
                <w:sz w:val="20"/>
                <w:szCs w:val="20"/>
                <w:lang w:val="fr-CH"/>
              </w:rPr>
              <w:t>oncentrés émulsifiables (CE) comprenant 19,5 % ou plus de principe actif et poudres contenant 1,5 % ou plus de principe actif)</w:t>
            </w:r>
          </w:p>
        </w:tc>
        <w:tc>
          <w:tcPr>
            <w:tcW w:w="1095" w:type="pct"/>
            <w:hideMark/>
          </w:tcPr>
          <w:p w:rsidR="009358E1" w:rsidRPr="008C0F9A" w:rsidRDefault="009358E1" w:rsidP="00112021">
            <w:pPr>
              <w:snapToGrid w:val="0"/>
              <w:spacing w:before="40" w:after="40"/>
              <w:rPr>
                <w:sz w:val="20"/>
                <w:szCs w:val="20"/>
                <w:lang w:val="fr-FR"/>
              </w:rPr>
            </w:pPr>
            <w:r w:rsidRPr="008C0F9A">
              <w:rPr>
                <w:sz w:val="20"/>
                <w:szCs w:val="20"/>
              </w:rPr>
              <w:t>298-00-0</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Préparation pesticide extrêmement dangereuse</w:t>
            </w:r>
          </w:p>
        </w:tc>
        <w:tc>
          <w:tcPr>
            <w:tcW w:w="1568" w:type="pct"/>
            <w:hideMark/>
          </w:tcPr>
          <w:p w:rsidR="009358E1" w:rsidRPr="008C0F9A" w:rsidRDefault="009358E1" w:rsidP="00112021">
            <w:pPr>
              <w:snapToGrid w:val="0"/>
              <w:spacing w:before="40" w:after="40"/>
              <w:rPr>
                <w:sz w:val="20"/>
                <w:szCs w:val="20"/>
                <w:lang w:val="fr-CH"/>
              </w:rPr>
            </w:pPr>
            <w:r w:rsidRPr="008C0F9A">
              <w:rPr>
                <w:sz w:val="20"/>
                <w:szCs w:val="20"/>
                <w:lang w:val="fr-CH"/>
              </w:rPr>
              <w:t>Avant l</w:t>
            </w:r>
            <w:r w:rsidR="000D310E" w:rsidRPr="008C0F9A">
              <w:rPr>
                <w:sz w:val="20"/>
                <w:szCs w:val="20"/>
                <w:lang w:val="fr-CH"/>
              </w:rPr>
              <w:t>’</w:t>
            </w:r>
            <w:r w:rsidRPr="008C0F9A">
              <w:rPr>
                <w:sz w:val="20"/>
                <w:szCs w:val="20"/>
                <w:lang w:val="fr-CH"/>
              </w:rPr>
              <w:t>adoption de la Convention</w:t>
            </w:r>
          </w:p>
        </w:tc>
      </w:tr>
      <w:tr w:rsidR="009358E1" w:rsidRPr="00A97FB1" w:rsidTr="005E06A1">
        <w:trPr>
          <w:cantSplit/>
          <w:trHeight w:val="20"/>
        </w:trPr>
        <w:tc>
          <w:tcPr>
            <w:tcW w:w="1517" w:type="pct"/>
            <w:hideMark/>
          </w:tcPr>
          <w:p w:rsidR="009358E1" w:rsidRPr="008C0F9A" w:rsidRDefault="009358E1" w:rsidP="001F5B82">
            <w:pPr>
              <w:snapToGrid w:val="0"/>
              <w:spacing w:before="40" w:after="40"/>
              <w:rPr>
                <w:sz w:val="20"/>
                <w:szCs w:val="20"/>
                <w:lang w:val="fr-CH"/>
              </w:rPr>
            </w:pPr>
            <w:r w:rsidRPr="008C0F9A">
              <w:rPr>
                <w:sz w:val="20"/>
                <w:szCs w:val="20"/>
                <w:lang w:val="fr-CH"/>
              </w:rPr>
              <w:t>Phosphamidon (</w:t>
            </w:r>
            <w:r w:rsidR="001F5B82">
              <w:rPr>
                <w:sz w:val="20"/>
                <w:szCs w:val="20"/>
                <w:lang w:val="fr-CH"/>
              </w:rPr>
              <w:t>f</w:t>
            </w:r>
            <w:r w:rsidRPr="008C0F9A">
              <w:rPr>
                <w:sz w:val="20"/>
                <w:szCs w:val="20"/>
                <w:lang w:val="fr-CH"/>
              </w:rPr>
              <w:t>ormulations liquides solubles de la substance qui contiennent plus de 1000 g de principe actif par litre)</w:t>
            </w:r>
          </w:p>
        </w:tc>
        <w:tc>
          <w:tcPr>
            <w:tcW w:w="1095" w:type="pct"/>
            <w:hideMark/>
          </w:tcPr>
          <w:p w:rsidR="009358E1" w:rsidRPr="008F293E" w:rsidRDefault="009358E1" w:rsidP="00112021">
            <w:pPr>
              <w:snapToGrid w:val="0"/>
              <w:spacing w:before="40" w:after="40"/>
              <w:rPr>
                <w:sz w:val="20"/>
                <w:szCs w:val="20"/>
                <w:lang w:val="fr-CH"/>
              </w:rPr>
            </w:pPr>
            <w:r w:rsidRPr="008F293E">
              <w:rPr>
                <w:sz w:val="20"/>
                <w:szCs w:val="20"/>
                <w:lang w:val="fr-CH"/>
              </w:rPr>
              <w:t>13171-21-6</w:t>
            </w:r>
            <w:r w:rsidR="008F293E" w:rsidRPr="008F293E">
              <w:rPr>
                <w:sz w:val="20"/>
                <w:szCs w:val="20"/>
                <w:lang w:val="fr-CH"/>
              </w:rPr>
              <w:t xml:space="preserve"> (Mélange, isomers (E) et (Z))</w:t>
            </w:r>
          </w:p>
          <w:p w:rsidR="008F293E" w:rsidRDefault="008F293E" w:rsidP="00112021">
            <w:pPr>
              <w:snapToGrid w:val="0"/>
              <w:spacing w:before="40" w:after="40"/>
              <w:rPr>
                <w:sz w:val="20"/>
                <w:szCs w:val="20"/>
                <w:lang w:val="fr-CH"/>
              </w:rPr>
            </w:pPr>
            <w:r>
              <w:rPr>
                <w:sz w:val="20"/>
                <w:szCs w:val="20"/>
                <w:lang w:val="fr-CH"/>
              </w:rPr>
              <w:t>23783-98-4 (isomère (Z))</w:t>
            </w:r>
          </w:p>
          <w:p w:rsidR="008F293E" w:rsidRPr="008F293E" w:rsidRDefault="008F293E" w:rsidP="00112021">
            <w:pPr>
              <w:snapToGrid w:val="0"/>
              <w:spacing w:before="40" w:after="40"/>
              <w:rPr>
                <w:sz w:val="20"/>
                <w:szCs w:val="20"/>
                <w:lang w:val="fr-CH"/>
              </w:rPr>
            </w:pPr>
            <w:r>
              <w:rPr>
                <w:sz w:val="20"/>
                <w:szCs w:val="20"/>
                <w:lang w:val="fr-CH"/>
              </w:rPr>
              <w:t>297-99-4 (isomère E)</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Préparation pesticide extrêmement dangereuse</w:t>
            </w:r>
          </w:p>
        </w:tc>
        <w:tc>
          <w:tcPr>
            <w:tcW w:w="1568" w:type="pct"/>
            <w:hideMark/>
          </w:tcPr>
          <w:p w:rsidR="009358E1" w:rsidRPr="008C0F9A" w:rsidRDefault="009358E1" w:rsidP="00112021">
            <w:pPr>
              <w:snapToGrid w:val="0"/>
              <w:spacing w:before="40" w:after="40"/>
              <w:rPr>
                <w:sz w:val="20"/>
                <w:szCs w:val="20"/>
                <w:lang w:val="fr-CH"/>
              </w:rPr>
            </w:pPr>
            <w:r w:rsidRPr="008C0F9A">
              <w:rPr>
                <w:sz w:val="20"/>
                <w:szCs w:val="20"/>
                <w:lang w:val="fr-CH"/>
              </w:rPr>
              <w:t>Avant l</w:t>
            </w:r>
            <w:r w:rsidR="000D310E" w:rsidRPr="008C0F9A">
              <w:rPr>
                <w:sz w:val="20"/>
                <w:szCs w:val="20"/>
                <w:lang w:val="fr-CH"/>
              </w:rPr>
              <w:t>’</w:t>
            </w:r>
            <w:r w:rsidRPr="008C0F9A">
              <w:rPr>
                <w:sz w:val="20"/>
                <w:szCs w:val="20"/>
                <w:lang w:val="fr-CH"/>
              </w:rPr>
              <w:t>adoption de la Convention</w:t>
            </w:r>
          </w:p>
        </w:tc>
      </w:tr>
      <w:tr w:rsidR="009358E1" w:rsidRPr="008C0F9A" w:rsidTr="005E06A1">
        <w:trPr>
          <w:cantSplit/>
          <w:trHeight w:val="20"/>
        </w:trPr>
        <w:tc>
          <w:tcPr>
            <w:tcW w:w="1517" w:type="pct"/>
            <w:hideMark/>
          </w:tcPr>
          <w:p w:rsidR="001F5B82" w:rsidRDefault="001F5B82" w:rsidP="001F5B82">
            <w:pPr>
              <w:snapToGrid w:val="0"/>
              <w:spacing w:before="40" w:after="40"/>
              <w:rPr>
                <w:sz w:val="20"/>
                <w:szCs w:val="20"/>
                <w:lang w:val="fr-CH"/>
              </w:rPr>
            </w:pPr>
            <w:r>
              <w:rPr>
                <w:sz w:val="20"/>
                <w:szCs w:val="20"/>
                <w:lang w:val="fr-CH"/>
              </w:rPr>
              <w:t xml:space="preserve">Formulations de </w:t>
            </w:r>
            <w:r w:rsidR="009358E1" w:rsidRPr="008C0F9A">
              <w:rPr>
                <w:sz w:val="20"/>
                <w:szCs w:val="20"/>
                <w:lang w:val="fr-CH"/>
              </w:rPr>
              <w:t xml:space="preserve">poudre </w:t>
            </w:r>
            <w:r>
              <w:rPr>
                <w:sz w:val="20"/>
                <w:szCs w:val="20"/>
                <w:lang w:val="fr-CH"/>
              </w:rPr>
              <w:t xml:space="preserve">pour poudrage contenant </w:t>
            </w:r>
            <w:r w:rsidR="009358E1" w:rsidRPr="008C0F9A">
              <w:rPr>
                <w:sz w:val="20"/>
                <w:szCs w:val="20"/>
                <w:lang w:val="fr-CH"/>
              </w:rPr>
              <w:t>mélange</w:t>
            </w:r>
            <w:r>
              <w:rPr>
                <w:sz w:val="20"/>
                <w:szCs w:val="20"/>
                <w:lang w:val="fr-CH"/>
              </w:rPr>
              <w:t> :</w:t>
            </w:r>
          </w:p>
          <w:p w:rsidR="001F5B82" w:rsidRDefault="001F5B82" w:rsidP="001F5B82">
            <w:pPr>
              <w:pStyle w:val="ListParagraph"/>
              <w:numPr>
                <w:ilvl w:val="0"/>
                <w:numId w:val="19"/>
              </w:numPr>
              <w:snapToGrid w:val="0"/>
              <w:spacing w:before="40" w:after="40"/>
              <w:ind w:left="270" w:hanging="270"/>
              <w:rPr>
                <w:sz w:val="20"/>
                <w:szCs w:val="20"/>
                <w:lang w:val="fr-CH"/>
              </w:rPr>
            </w:pPr>
            <w:r>
              <w:rPr>
                <w:sz w:val="20"/>
                <w:szCs w:val="20"/>
                <w:lang w:val="fr-CH"/>
              </w:rPr>
              <w:t xml:space="preserve">de </w:t>
            </w:r>
            <w:r w:rsidR="009358E1" w:rsidRPr="001F5B82">
              <w:rPr>
                <w:sz w:val="20"/>
                <w:szCs w:val="20"/>
                <w:lang w:val="fr-CH"/>
              </w:rPr>
              <w:t>bénomyl à une concentr</w:t>
            </w:r>
            <w:r>
              <w:rPr>
                <w:sz w:val="20"/>
                <w:szCs w:val="20"/>
                <w:lang w:val="fr-CH"/>
              </w:rPr>
              <w:t>ation supérieure ou égale à 7%</w:t>
            </w:r>
          </w:p>
          <w:p w:rsidR="001F5B82" w:rsidRDefault="009358E1" w:rsidP="001F5B82">
            <w:pPr>
              <w:pStyle w:val="ListParagraph"/>
              <w:numPr>
                <w:ilvl w:val="0"/>
                <w:numId w:val="19"/>
              </w:numPr>
              <w:snapToGrid w:val="0"/>
              <w:spacing w:before="40" w:after="40"/>
              <w:ind w:left="270" w:hanging="270"/>
              <w:rPr>
                <w:sz w:val="20"/>
                <w:szCs w:val="20"/>
                <w:lang w:val="fr-CH"/>
              </w:rPr>
            </w:pPr>
            <w:r w:rsidRPr="001F5B82">
              <w:rPr>
                <w:sz w:val="20"/>
                <w:szCs w:val="20"/>
                <w:lang w:val="fr-CH"/>
              </w:rPr>
              <w:t>de carbofuran à une concentr</w:t>
            </w:r>
            <w:r w:rsidR="001F5B82">
              <w:rPr>
                <w:sz w:val="20"/>
                <w:szCs w:val="20"/>
                <w:lang w:val="fr-CH"/>
              </w:rPr>
              <w:t>ation supérieure ou égale à 10%</w:t>
            </w:r>
          </w:p>
          <w:p w:rsidR="009358E1" w:rsidRPr="001F5B82" w:rsidRDefault="009358E1" w:rsidP="001F5B82">
            <w:pPr>
              <w:pStyle w:val="ListParagraph"/>
              <w:numPr>
                <w:ilvl w:val="0"/>
                <w:numId w:val="19"/>
              </w:numPr>
              <w:snapToGrid w:val="0"/>
              <w:spacing w:before="40" w:after="40"/>
              <w:ind w:left="270" w:hanging="270"/>
              <w:rPr>
                <w:sz w:val="20"/>
                <w:szCs w:val="20"/>
                <w:lang w:val="fr-CH"/>
              </w:rPr>
            </w:pPr>
            <w:r w:rsidRPr="001F5B82">
              <w:rPr>
                <w:sz w:val="20"/>
                <w:szCs w:val="20"/>
                <w:lang w:val="fr-CH"/>
              </w:rPr>
              <w:t>de thirame à une concentration supérieure ou égale à 15%</w:t>
            </w:r>
          </w:p>
        </w:tc>
        <w:tc>
          <w:tcPr>
            <w:tcW w:w="1095" w:type="pct"/>
            <w:hideMark/>
          </w:tcPr>
          <w:p w:rsidR="001F5B82" w:rsidRPr="00A26BAA" w:rsidRDefault="001F5B82" w:rsidP="00112021">
            <w:pPr>
              <w:snapToGrid w:val="0"/>
              <w:spacing w:before="40" w:after="40"/>
              <w:rPr>
                <w:sz w:val="20"/>
                <w:szCs w:val="20"/>
                <w:lang w:val="fr-CH"/>
              </w:rPr>
            </w:pPr>
          </w:p>
          <w:p w:rsidR="001F5B82" w:rsidRPr="00A26BAA" w:rsidRDefault="001F5B82" w:rsidP="00112021">
            <w:pPr>
              <w:snapToGrid w:val="0"/>
              <w:spacing w:before="40" w:after="40"/>
              <w:rPr>
                <w:sz w:val="20"/>
                <w:szCs w:val="20"/>
                <w:lang w:val="fr-CH"/>
              </w:rPr>
            </w:pPr>
          </w:p>
          <w:p w:rsidR="0069743A" w:rsidRPr="008C0F9A" w:rsidRDefault="0069743A" w:rsidP="00112021">
            <w:pPr>
              <w:snapToGrid w:val="0"/>
              <w:spacing w:before="40" w:after="40"/>
              <w:rPr>
                <w:sz w:val="20"/>
                <w:szCs w:val="20"/>
              </w:rPr>
            </w:pPr>
            <w:r w:rsidRPr="008C0F9A">
              <w:rPr>
                <w:sz w:val="20"/>
                <w:szCs w:val="20"/>
              </w:rPr>
              <w:t>17804-35-2</w:t>
            </w:r>
          </w:p>
          <w:p w:rsidR="001F5B82" w:rsidRDefault="001F5B82" w:rsidP="001F5B82">
            <w:pPr>
              <w:snapToGrid w:val="0"/>
              <w:spacing w:before="40" w:after="120"/>
              <w:rPr>
                <w:sz w:val="20"/>
                <w:szCs w:val="20"/>
              </w:rPr>
            </w:pPr>
          </w:p>
          <w:p w:rsidR="0069743A" w:rsidRPr="008C0F9A" w:rsidRDefault="0069743A" w:rsidP="00112021">
            <w:pPr>
              <w:snapToGrid w:val="0"/>
              <w:spacing w:before="40" w:after="40"/>
              <w:rPr>
                <w:sz w:val="20"/>
                <w:szCs w:val="20"/>
              </w:rPr>
            </w:pPr>
            <w:r w:rsidRPr="008C0F9A">
              <w:rPr>
                <w:sz w:val="20"/>
                <w:szCs w:val="20"/>
              </w:rPr>
              <w:t>1563-66-2</w:t>
            </w:r>
          </w:p>
          <w:p w:rsidR="001F5B82" w:rsidRDefault="001F5B82" w:rsidP="001F5B82">
            <w:pPr>
              <w:snapToGrid w:val="0"/>
              <w:spacing w:before="40" w:after="240"/>
              <w:rPr>
                <w:sz w:val="20"/>
                <w:szCs w:val="20"/>
              </w:rPr>
            </w:pPr>
          </w:p>
          <w:p w:rsidR="009358E1" w:rsidRPr="008C0F9A" w:rsidRDefault="009358E1" w:rsidP="00112021">
            <w:pPr>
              <w:snapToGrid w:val="0"/>
              <w:spacing w:before="40" w:after="40"/>
              <w:rPr>
                <w:sz w:val="20"/>
                <w:szCs w:val="20"/>
                <w:lang w:val="fr-FR"/>
              </w:rPr>
            </w:pPr>
            <w:r w:rsidRPr="008C0F9A">
              <w:rPr>
                <w:sz w:val="20"/>
                <w:szCs w:val="20"/>
              </w:rPr>
              <w:t>137-26-8</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Préparation pesticide extrêmement dangereuse</w:t>
            </w:r>
          </w:p>
        </w:tc>
        <w:tc>
          <w:tcPr>
            <w:tcW w:w="1568" w:type="pct"/>
            <w:hideMark/>
          </w:tcPr>
          <w:p w:rsidR="009358E1" w:rsidRPr="008C0F9A" w:rsidRDefault="009358E1" w:rsidP="00112021">
            <w:pPr>
              <w:snapToGrid w:val="0"/>
              <w:spacing w:before="40" w:after="40"/>
              <w:rPr>
                <w:sz w:val="20"/>
                <w:szCs w:val="20"/>
                <w:lang w:val="fr-FR"/>
              </w:rPr>
            </w:pPr>
            <w:r w:rsidRPr="008C0F9A">
              <w:rPr>
                <w:sz w:val="20"/>
                <w:szCs w:val="20"/>
              </w:rPr>
              <w:t>01/02/2005</w:t>
            </w:r>
          </w:p>
        </w:tc>
      </w:tr>
      <w:tr w:rsidR="001F5B82" w:rsidRPr="001F5B82" w:rsidTr="005E06A1">
        <w:trPr>
          <w:cantSplit/>
          <w:trHeight w:val="20"/>
        </w:trPr>
        <w:tc>
          <w:tcPr>
            <w:tcW w:w="1517" w:type="pct"/>
            <w:hideMark/>
          </w:tcPr>
          <w:p w:rsidR="001F5B82" w:rsidRDefault="001F5B82" w:rsidP="00112021">
            <w:pPr>
              <w:snapToGrid w:val="0"/>
              <w:spacing w:before="40" w:after="40"/>
              <w:rPr>
                <w:sz w:val="20"/>
                <w:szCs w:val="20"/>
              </w:rPr>
            </w:pPr>
            <w:r>
              <w:rPr>
                <w:sz w:val="20"/>
                <w:szCs w:val="20"/>
              </w:rPr>
              <w:t>Amiante :</w:t>
            </w:r>
          </w:p>
          <w:p w:rsidR="001F5B82" w:rsidRPr="001F5B82" w:rsidRDefault="00E70CA7" w:rsidP="001F5B82">
            <w:pPr>
              <w:pStyle w:val="ListParagraph"/>
              <w:numPr>
                <w:ilvl w:val="0"/>
                <w:numId w:val="20"/>
              </w:numPr>
              <w:snapToGrid w:val="0"/>
              <w:spacing w:before="40" w:after="40"/>
              <w:ind w:left="270" w:hanging="270"/>
              <w:rPr>
                <w:sz w:val="20"/>
                <w:szCs w:val="20"/>
                <w:lang w:val="fr-CH"/>
              </w:rPr>
            </w:pPr>
            <w:r>
              <w:rPr>
                <w:sz w:val="20"/>
                <w:szCs w:val="20"/>
                <w:lang w:val="fr-CH"/>
              </w:rPr>
              <w:t>Actinolite</w:t>
            </w:r>
          </w:p>
          <w:p w:rsidR="001F5B82" w:rsidRPr="001F5B82" w:rsidRDefault="001F5B82" w:rsidP="001F5B82">
            <w:pPr>
              <w:pStyle w:val="ListParagraph"/>
              <w:numPr>
                <w:ilvl w:val="0"/>
                <w:numId w:val="20"/>
              </w:numPr>
              <w:snapToGrid w:val="0"/>
              <w:spacing w:before="40" w:after="40"/>
              <w:ind w:left="270" w:hanging="270"/>
              <w:rPr>
                <w:sz w:val="20"/>
                <w:szCs w:val="20"/>
                <w:lang w:val="fr-CH"/>
              </w:rPr>
            </w:pPr>
            <w:r w:rsidRPr="001F5B82">
              <w:rPr>
                <w:sz w:val="20"/>
                <w:szCs w:val="20"/>
                <w:lang w:val="fr-CH"/>
              </w:rPr>
              <w:t>Anthophyllite</w:t>
            </w:r>
          </w:p>
          <w:p w:rsidR="001F5B82" w:rsidRPr="001F5B82" w:rsidRDefault="00E70CA7" w:rsidP="001F5B82">
            <w:pPr>
              <w:pStyle w:val="ListParagraph"/>
              <w:numPr>
                <w:ilvl w:val="0"/>
                <w:numId w:val="20"/>
              </w:numPr>
              <w:snapToGrid w:val="0"/>
              <w:spacing w:before="40" w:after="40"/>
              <w:ind w:left="270" w:hanging="270"/>
              <w:rPr>
                <w:sz w:val="20"/>
                <w:szCs w:val="20"/>
                <w:lang w:val="fr-CH"/>
              </w:rPr>
            </w:pPr>
            <w:r>
              <w:rPr>
                <w:sz w:val="20"/>
                <w:szCs w:val="20"/>
                <w:lang w:val="fr-CH"/>
              </w:rPr>
              <w:t>Amosite</w:t>
            </w:r>
          </w:p>
          <w:p w:rsidR="001F5B82" w:rsidRPr="001F5B82" w:rsidRDefault="001F5B82" w:rsidP="001F5B82">
            <w:pPr>
              <w:pStyle w:val="ListParagraph"/>
              <w:numPr>
                <w:ilvl w:val="0"/>
                <w:numId w:val="20"/>
              </w:numPr>
              <w:snapToGrid w:val="0"/>
              <w:spacing w:before="40" w:after="40"/>
              <w:ind w:left="270" w:hanging="270"/>
              <w:rPr>
                <w:sz w:val="20"/>
                <w:szCs w:val="20"/>
                <w:lang w:val="fr-CH"/>
              </w:rPr>
            </w:pPr>
            <w:r w:rsidRPr="001F5B82">
              <w:rPr>
                <w:sz w:val="20"/>
                <w:szCs w:val="20"/>
                <w:lang w:val="fr-CH"/>
              </w:rPr>
              <w:t>Crocidolite</w:t>
            </w:r>
          </w:p>
          <w:p w:rsidR="001F5B82" w:rsidRPr="001F5B82" w:rsidRDefault="001F5B82" w:rsidP="00112021">
            <w:pPr>
              <w:pStyle w:val="ListParagraph"/>
              <w:numPr>
                <w:ilvl w:val="0"/>
                <w:numId w:val="20"/>
              </w:numPr>
              <w:snapToGrid w:val="0"/>
              <w:spacing w:before="40" w:after="40"/>
              <w:ind w:left="270" w:hanging="270"/>
              <w:rPr>
                <w:sz w:val="20"/>
                <w:szCs w:val="20"/>
              </w:rPr>
            </w:pPr>
            <w:r w:rsidRPr="001F5B82">
              <w:rPr>
                <w:sz w:val="20"/>
                <w:szCs w:val="20"/>
              </w:rPr>
              <w:t>Trémolite</w:t>
            </w:r>
          </w:p>
        </w:tc>
        <w:tc>
          <w:tcPr>
            <w:tcW w:w="1095" w:type="pct"/>
            <w:hideMark/>
          </w:tcPr>
          <w:p w:rsidR="001F5B82" w:rsidRDefault="001F5B82" w:rsidP="001F5B82">
            <w:pPr>
              <w:snapToGrid w:val="0"/>
              <w:spacing w:before="40" w:after="40"/>
              <w:rPr>
                <w:sz w:val="20"/>
                <w:szCs w:val="20"/>
              </w:rPr>
            </w:pPr>
          </w:p>
          <w:p w:rsidR="001F5B82" w:rsidRPr="001F5B82" w:rsidRDefault="001F5B82" w:rsidP="001F5B82">
            <w:pPr>
              <w:snapToGrid w:val="0"/>
              <w:spacing w:before="40" w:after="40"/>
              <w:rPr>
                <w:sz w:val="20"/>
                <w:szCs w:val="20"/>
              </w:rPr>
            </w:pPr>
            <w:r w:rsidRPr="001F5B82">
              <w:rPr>
                <w:sz w:val="20"/>
                <w:szCs w:val="20"/>
              </w:rPr>
              <w:t>77536-66-4</w:t>
            </w:r>
          </w:p>
          <w:p w:rsidR="001F5B82" w:rsidRPr="001F5B82" w:rsidRDefault="001F5B82" w:rsidP="001F5B82">
            <w:pPr>
              <w:snapToGrid w:val="0"/>
              <w:spacing w:before="40" w:after="40"/>
              <w:rPr>
                <w:sz w:val="20"/>
                <w:szCs w:val="20"/>
              </w:rPr>
            </w:pPr>
            <w:r w:rsidRPr="001F5B82">
              <w:rPr>
                <w:sz w:val="20"/>
                <w:szCs w:val="20"/>
              </w:rPr>
              <w:t>77536-67-5</w:t>
            </w:r>
          </w:p>
          <w:p w:rsidR="001F5B82" w:rsidRPr="001F5B82" w:rsidRDefault="001F5B82" w:rsidP="001F5B82">
            <w:pPr>
              <w:snapToGrid w:val="0"/>
              <w:spacing w:before="40" w:after="40"/>
              <w:rPr>
                <w:sz w:val="20"/>
                <w:szCs w:val="20"/>
              </w:rPr>
            </w:pPr>
            <w:r w:rsidRPr="001F5B82">
              <w:rPr>
                <w:sz w:val="20"/>
                <w:szCs w:val="20"/>
              </w:rPr>
              <w:t>12172-73-5</w:t>
            </w:r>
          </w:p>
          <w:p w:rsidR="001F5B82" w:rsidRPr="001F5B82" w:rsidRDefault="001F5B82" w:rsidP="001F5B82">
            <w:pPr>
              <w:snapToGrid w:val="0"/>
              <w:spacing w:before="40" w:after="40"/>
              <w:rPr>
                <w:sz w:val="20"/>
                <w:szCs w:val="20"/>
              </w:rPr>
            </w:pPr>
            <w:r w:rsidRPr="001F5B82">
              <w:rPr>
                <w:sz w:val="20"/>
                <w:szCs w:val="20"/>
              </w:rPr>
              <w:t>12001-28-4</w:t>
            </w:r>
          </w:p>
          <w:p w:rsidR="001F5B82" w:rsidRPr="001F5B82" w:rsidRDefault="001F5B82" w:rsidP="001F5B82">
            <w:pPr>
              <w:snapToGrid w:val="0"/>
              <w:spacing w:before="40" w:after="40"/>
              <w:rPr>
                <w:sz w:val="20"/>
                <w:szCs w:val="20"/>
              </w:rPr>
            </w:pPr>
            <w:r w:rsidRPr="001F5B82">
              <w:rPr>
                <w:sz w:val="20"/>
                <w:szCs w:val="20"/>
              </w:rPr>
              <w:t>77536-68-6</w:t>
            </w:r>
          </w:p>
        </w:tc>
        <w:tc>
          <w:tcPr>
            <w:tcW w:w="820" w:type="pct"/>
            <w:hideMark/>
          </w:tcPr>
          <w:p w:rsidR="001F5B82" w:rsidRPr="008C0F9A" w:rsidRDefault="001F5B82" w:rsidP="00112021">
            <w:pPr>
              <w:snapToGrid w:val="0"/>
              <w:spacing w:before="40" w:after="40"/>
              <w:rPr>
                <w:sz w:val="20"/>
                <w:szCs w:val="20"/>
              </w:rPr>
            </w:pPr>
            <w:r w:rsidRPr="008C0F9A">
              <w:rPr>
                <w:sz w:val="20"/>
                <w:szCs w:val="20"/>
              </w:rPr>
              <w:t>Produit à usage industriel</w:t>
            </w:r>
          </w:p>
        </w:tc>
        <w:tc>
          <w:tcPr>
            <w:tcW w:w="1568" w:type="pct"/>
            <w:hideMark/>
          </w:tcPr>
          <w:p w:rsidR="001F5B82" w:rsidRDefault="001F5B82" w:rsidP="00112021">
            <w:pPr>
              <w:snapToGrid w:val="0"/>
              <w:spacing w:before="40" w:after="40"/>
              <w:rPr>
                <w:sz w:val="20"/>
                <w:szCs w:val="20"/>
              </w:rPr>
            </w:pPr>
          </w:p>
          <w:p w:rsidR="001F5B82" w:rsidRDefault="001F5B82" w:rsidP="001F5B82">
            <w:pPr>
              <w:snapToGrid w:val="0"/>
              <w:spacing w:before="40" w:after="40"/>
              <w:rPr>
                <w:sz w:val="20"/>
                <w:szCs w:val="20"/>
              </w:rPr>
            </w:pPr>
            <w:r w:rsidRPr="008C0F9A">
              <w:rPr>
                <w:sz w:val="20"/>
                <w:szCs w:val="20"/>
              </w:rPr>
              <w:t>01/02/2005</w:t>
            </w:r>
          </w:p>
          <w:p w:rsidR="001F5B82" w:rsidRDefault="001F5B82" w:rsidP="001F5B82">
            <w:pPr>
              <w:snapToGrid w:val="0"/>
              <w:spacing w:before="40" w:after="40"/>
              <w:rPr>
                <w:sz w:val="20"/>
                <w:szCs w:val="20"/>
              </w:rPr>
            </w:pPr>
            <w:r w:rsidRPr="008C0F9A">
              <w:rPr>
                <w:sz w:val="20"/>
                <w:szCs w:val="20"/>
              </w:rPr>
              <w:t>01/02/2005</w:t>
            </w:r>
          </w:p>
          <w:p w:rsidR="001F5B82" w:rsidRDefault="001F5B82" w:rsidP="001F5B82">
            <w:pPr>
              <w:snapToGrid w:val="0"/>
              <w:spacing w:before="40" w:after="40"/>
              <w:rPr>
                <w:sz w:val="20"/>
                <w:szCs w:val="20"/>
              </w:rPr>
            </w:pPr>
            <w:r w:rsidRPr="008C0F9A">
              <w:rPr>
                <w:sz w:val="20"/>
                <w:szCs w:val="20"/>
              </w:rPr>
              <w:t>01/02/2005</w:t>
            </w:r>
          </w:p>
          <w:p w:rsidR="001F5B82" w:rsidRDefault="001F5B82" w:rsidP="001F5B82">
            <w:pPr>
              <w:snapToGrid w:val="0"/>
              <w:spacing w:before="40" w:after="40"/>
              <w:rPr>
                <w:sz w:val="20"/>
                <w:szCs w:val="20"/>
                <w:lang w:val="fr-CH"/>
              </w:rPr>
            </w:pPr>
            <w:r w:rsidRPr="008C0F9A">
              <w:rPr>
                <w:sz w:val="20"/>
                <w:szCs w:val="20"/>
                <w:lang w:val="fr-CH"/>
              </w:rPr>
              <w:t>Avant l’adoption de la Convention</w:t>
            </w:r>
          </w:p>
          <w:p w:rsidR="001F5B82" w:rsidRPr="001F5B82" w:rsidRDefault="001F5B82" w:rsidP="001F5B82">
            <w:pPr>
              <w:snapToGrid w:val="0"/>
              <w:spacing w:before="40" w:after="40"/>
              <w:rPr>
                <w:sz w:val="20"/>
                <w:szCs w:val="20"/>
                <w:lang w:val="fr-CH"/>
              </w:rPr>
            </w:pPr>
            <w:r w:rsidRPr="001F5B82">
              <w:rPr>
                <w:sz w:val="20"/>
                <w:szCs w:val="20"/>
                <w:lang w:val="fr-CH"/>
              </w:rPr>
              <w:t>01/02/2005</w:t>
            </w:r>
          </w:p>
        </w:tc>
      </w:tr>
      <w:tr w:rsidR="009358E1" w:rsidRPr="008C0F9A" w:rsidTr="005E06A1">
        <w:trPr>
          <w:cantSplit/>
          <w:trHeight w:val="20"/>
        </w:trPr>
        <w:tc>
          <w:tcPr>
            <w:tcW w:w="1517" w:type="pct"/>
            <w:hideMark/>
          </w:tcPr>
          <w:p w:rsidR="00B047DB" w:rsidRPr="00B047DB" w:rsidRDefault="009358E1" w:rsidP="00112021">
            <w:pPr>
              <w:snapToGrid w:val="0"/>
              <w:spacing w:before="40" w:after="40"/>
              <w:rPr>
                <w:sz w:val="20"/>
                <w:szCs w:val="20"/>
                <w:lang w:val="fr-FR"/>
              </w:rPr>
            </w:pPr>
            <w:r w:rsidRPr="008C0F9A">
              <w:rPr>
                <w:sz w:val="20"/>
                <w:szCs w:val="20"/>
                <w:lang w:val="fr-CH"/>
              </w:rPr>
              <w:lastRenderedPageBreak/>
              <w:t>Acide perfluorooctane sulfonique, des perfluorooctane sulfonates, des perfluorooctane sulfonamides et des perfluorooctane sulfonyles</w:t>
            </w:r>
            <w:r w:rsidR="00B047DB" w:rsidRPr="007E72B1">
              <w:rPr>
                <w:sz w:val="20"/>
                <w:lang w:val="fr-FR"/>
              </w:rPr>
              <w:t>, y compris les substances suivantes :</w:t>
            </w:r>
          </w:p>
          <w:p w:rsidR="00B047DB" w:rsidRPr="00B047DB" w:rsidRDefault="00B047DB" w:rsidP="00B047DB">
            <w:pPr>
              <w:pStyle w:val="ListParagraph"/>
              <w:numPr>
                <w:ilvl w:val="0"/>
                <w:numId w:val="22"/>
              </w:numPr>
              <w:snapToGrid w:val="0"/>
              <w:spacing w:before="40" w:after="40"/>
              <w:ind w:left="270" w:hanging="270"/>
              <w:rPr>
                <w:sz w:val="20"/>
                <w:szCs w:val="20"/>
                <w:lang w:val="fr-CH"/>
              </w:rPr>
            </w:pPr>
            <w:r w:rsidRPr="00B047DB">
              <w:rPr>
                <w:sz w:val="20"/>
                <w:szCs w:val="20"/>
                <w:lang w:val="fr-CH"/>
              </w:rPr>
              <w:t>Acide perfluorooctane sulfonique</w:t>
            </w:r>
          </w:p>
          <w:p w:rsidR="00B047DB" w:rsidRPr="00B047DB" w:rsidRDefault="00B047DB" w:rsidP="00B047DB">
            <w:pPr>
              <w:pStyle w:val="ListParagraph"/>
              <w:numPr>
                <w:ilvl w:val="0"/>
                <w:numId w:val="22"/>
              </w:numPr>
              <w:snapToGrid w:val="0"/>
              <w:spacing w:before="40" w:after="40"/>
              <w:ind w:left="270" w:hanging="270"/>
              <w:rPr>
                <w:sz w:val="20"/>
                <w:szCs w:val="20"/>
                <w:lang w:val="fr-CH"/>
              </w:rPr>
            </w:pPr>
            <w:r w:rsidRPr="00B047DB">
              <w:rPr>
                <w:sz w:val="20"/>
                <w:szCs w:val="20"/>
                <w:lang w:val="fr-CH"/>
              </w:rPr>
              <w:t>Perfluorooctane sulfonate de potassium</w:t>
            </w:r>
          </w:p>
          <w:p w:rsidR="00B047DB" w:rsidRPr="00B047DB" w:rsidRDefault="00B047DB" w:rsidP="00B047DB">
            <w:pPr>
              <w:pStyle w:val="ListParagraph"/>
              <w:numPr>
                <w:ilvl w:val="0"/>
                <w:numId w:val="22"/>
              </w:numPr>
              <w:snapToGrid w:val="0"/>
              <w:spacing w:before="40" w:after="40"/>
              <w:ind w:left="270" w:hanging="270"/>
              <w:rPr>
                <w:sz w:val="20"/>
                <w:szCs w:val="20"/>
                <w:lang w:val="fr-CH"/>
              </w:rPr>
            </w:pPr>
            <w:r w:rsidRPr="00B047DB">
              <w:rPr>
                <w:sz w:val="20"/>
                <w:szCs w:val="20"/>
                <w:lang w:val="fr-CH"/>
              </w:rPr>
              <w:t>Perfluorooctane sulfonate de lithium</w:t>
            </w:r>
          </w:p>
          <w:p w:rsidR="00B047DB" w:rsidRPr="00B047DB" w:rsidRDefault="00B047DB" w:rsidP="00B047DB">
            <w:pPr>
              <w:pStyle w:val="ListParagraph"/>
              <w:numPr>
                <w:ilvl w:val="0"/>
                <w:numId w:val="22"/>
              </w:numPr>
              <w:snapToGrid w:val="0"/>
              <w:spacing w:before="40" w:after="40"/>
              <w:ind w:left="270" w:hanging="270"/>
              <w:rPr>
                <w:sz w:val="20"/>
                <w:szCs w:val="20"/>
                <w:lang w:val="fr-CH"/>
              </w:rPr>
            </w:pPr>
            <w:r w:rsidRPr="00B047DB">
              <w:rPr>
                <w:sz w:val="20"/>
                <w:szCs w:val="20"/>
                <w:lang w:val="fr-CH"/>
              </w:rPr>
              <w:t>Perfluorooctane sulfonate d’ammonium</w:t>
            </w:r>
          </w:p>
          <w:p w:rsidR="00B047DB" w:rsidRPr="00B047DB" w:rsidRDefault="00B047DB" w:rsidP="00B047DB">
            <w:pPr>
              <w:pStyle w:val="ListParagraph"/>
              <w:numPr>
                <w:ilvl w:val="0"/>
                <w:numId w:val="22"/>
              </w:numPr>
              <w:snapToGrid w:val="0"/>
              <w:spacing w:before="40" w:after="40"/>
              <w:ind w:left="270" w:hanging="270"/>
              <w:rPr>
                <w:sz w:val="20"/>
                <w:szCs w:val="20"/>
                <w:lang w:val="fr-CH"/>
              </w:rPr>
            </w:pPr>
            <w:r w:rsidRPr="00B047DB">
              <w:rPr>
                <w:sz w:val="20"/>
                <w:szCs w:val="20"/>
                <w:lang w:val="fr-CH"/>
              </w:rPr>
              <w:t>Perfluorooctane sulfonate de diéthanolammonium</w:t>
            </w:r>
          </w:p>
          <w:p w:rsidR="00B047DB" w:rsidRPr="00B047DB" w:rsidRDefault="00B047DB" w:rsidP="00B047DB">
            <w:pPr>
              <w:pStyle w:val="ListParagraph"/>
              <w:numPr>
                <w:ilvl w:val="0"/>
                <w:numId w:val="22"/>
              </w:numPr>
              <w:snapToGrid w:val="0"/>
              <w:spacing w:before="40" w:after="40"/>
              <w:ind w:left="270" w:hanging="270"/>
              <w:rPr>
                <w:sz w:val="20"/>
                <w:szCs w:val="20"/>
                <w:lang w:val="fr-CH"/>
              </w:rPr>
            </w:pPr>
            <w:r w:rsidRPr="00B047DB">
              <w:rPr>
                <w:sz w:val="20"/>
                <w:szCs w:val="20"/>
                <w:lang w:val="fr-CH"/>
              </w:rPr>
              <w:t>Perfluorooctane sulfonate de tétraéthylammonium</w:t>
            </w:r>
          </w:p>
          <w:p w:rsidR="00B047DB" w:rsidRPr="00B047DB" w:rsidRDefault="00B047DB" w:rsidP="00B047DB">
            <w:pPr>
              <w:pStyle w:val="ListParagraph"/>
              <w:numPr>
                <w:ilvl w:val="0"/>
                <w:numId w:val="22"/>
              </w:numPr>
              <w:snapToGrid w:val="0"/>
              <w:spacing w:before="40" w:after="40"/>
              <w:ind w:left="270" w:hanging="270"/>
              <w:rPr>
                <w:sz w:val="20"/>
                <w:szCs w:val="20"/>
                <w:lang w:val="fr-CH"/>
              </w:rPr>
            </w:pPr>
            <w:r w:rsidRPr="00B047DB">
              <w:rPr>
                <w:sz w:val="20"/>
                <w:szCs w:val="20"/>
                <w:lang w:val="fr-CH"/>
              </w:rPr>
              <w:t>Perfluorooctane sulfonate de didécyldiméthylammonium</w:t>
            </w:r>
          </w:p>
          <w:p w:rsidR="00B047DB" w:rsidRPr="00B047DB" w:rsidRDefault="00B047DB" w:rsidP="00B047DB">
            <w:pPr>
              <w:pStyle w:val="ListParagraph"/>
              <w:numPr>
                <w:ilvl w:val="0"/>
                <w:numId w:val="22"/>
              </w:numPr>
              <w:snapToGrid w:val="0"/>
              <w:spacing w:before="40" w:after="40"/>
              <w:ind w:left="270" w:hanging="270"/>
              <w:rPr>
                <w:sz w:val="20"/>
                <w:szCs w:val="20"/>
                <w:lang w:val="fr-CH"/>
              </w:rPr>
            </w:pPr>
            <w:r w:rsidRPr="00B047DB">
              <w:rPr>
                <w:sz w:val="20"/>
                <w:szCs w:val="20"/>
                <w:lang w:val="fr-CH"/>
              </w:rPr>
              <w:t>N-éthylperfluorooctane sulfonamide</w:t>
            </w:r>
          </w:p>
          <w:p w:rsidR="00B047DB" w:rsidRPr="00B047DB" w:rsidRDefault="00B047DB" w:rsidP="00B047DB">
            <w:pPr>
              <w:pStyle w:val="ListParagraph"/>
              <w:numPr>
                <w:ilvl w:val="0"/>
                <w:numId w:val="22"/>
              </w:numPr>
              <w:snapToGrid w:val="0"/>
              <w:spacing w:before="40" w:after="40"/>
              <w:ind w:left="270" w:hanging="270"/>
              <w:rPr>
                <w:sz w:val="20"/>
                <w:szCs w:val="20"/>
                <w:lang w:val="fr-CH"/>
              </w:rPr>
            </w:pPr>
            <w:r w:rsidRPr="00B047DB">
              <w:rPr>
                <w:sz w:val="20"/>
                <w:szCs w:val="20"/>
                <w:lang w:val="fr-CH"/>
              </w:rPr>
              <w:t>N-méthylperfluorooctane sulfonamide</w:t>
            </w:r>
          </w:p>
          <w:p w:rsidR="00B047DB" w:rsidRPr="00B047DB" w:rsidRDefault="00B047DB" w:rsidP="00B047DB">
            <w:pPr>
              <w:pStyle w:val="ListParagraph"/>
              <w:numPr>
                <w:ilvl w:val="0"/>
                <w:numId w:val="22"/>
              </w:numPr>
              <w:snapToGrid w:val="0"/>
              <w:spacing w:before="40" w:after="40"/>
              <w:ind w:left="270" w:hanging="270"/>
              <w:rPr>
                <w:sz w:val="20"/>
                <w:szCs w:val="20"/>
                <w:lang w:val="fr-CH"/>
              </w:rPr>
            </w:pPr>
            <w:r w:rsidRPr="00B047DB">
              <w:rPr>
                <w:sz w:val="20"/>
                <w:szCs w:val="20"/>
                <w:lang w:val="fr-CH"/>
              </w:rPr>
              <w:t>N-éthyl-N-(2-hydroxyéthyl) perfluorooctane sulfonamide</w:t>
            </w:r>
          </w:p>
          <w:p w:rsidR="00B047DB" w:rsidRPr="00B047DB" w:rsidRDefault="00B047DB" w:rsidP="00B047DB">
            <w:pPr>
              <w:pStyle w:val="ListParagraph"/>
              <w:numPr>
                <w:ilvl w:val="0"/>
                <w:numId w:val="22"/>
              </w:numPr>
              <w:snapToGrid w:val="0"/>
              <w:spacing w:before="40" w:after="40"/>
              <w:ind w:left="270" w:hanging="270"/>
              <w:rPr>
                <w:sz w:val="20"/>
                <w:szCs w:val="20"/>
                <w:lang w:val="fr-CH"/>
              </w:rPr>
            </w:pPr>
            <w:r w:rsidRPr="00B047DB">
              <w:rPr>
                <w:sz w:val="20"/>
                <w:szCs w:val="20"/>
                <w:lang w:val="fr-CH"/>
              </w:rPr>
              <w:t>N-(2-hydroxyéthyl)-N-méthylperfluorooctane sulfonamide</w:t>
            </w:r>
          </w:p>
          <w:p w:rsidR="00B047DB" w:rsidRPr="00B047DB" w:rsidRDefault="00B047DB" w:rsidP="00B047DB">
            <w:pPr>
              <w:pStyle w:val="ListParagraph"/>
              <w:numPr>
                <w:ilvl w:val="0"/>
                <w:numId w:val="22"/>
              </w:numPr>
              <w:snapToGrid w:val="0"/>
              <w:spacing w:before="40" w:after="40"/>
              <w:ind w:left="270" w:hanging="270"/>
              <w:rPr>
                <w:sz w:val="20"/>
                <w:szCs w:val="20"/>
                <w:lang w:val="fr-CH"/>
              </w:rPr>
            </w:pPr>
            <w:r w:rsidRPr="00B047DB">
              <w:rPr>
                <w:sz w:val="20"/>
                <w:szCs w:val="20"/>
                <w:lang w:val="fr-CH"/>
              </w:rPr>
              <w:t>Fluorure de perfluorooctane sulfonyle</w:t>
            </w:r>
          </w:p>
        </w:tc>
        <w:tc>
          <w:tcPr>
            <w:tcW w:w="1095" w:type="pct"/>
            <w:hideMark/>
          </w:tcPr>
          <w:p w:rsidR="00B047DB" w:rsidRPr="00B047DB" w:rsidRDefault="00B047DB" w:rsidP="00112021">
            <w:pPr>
              <w:snapToGrid w:val="0"/>
              <w:spacing w:before="40" w:after="40"/>
              <w:rPr>
                <w:sz w:val="20"/>
                <w:szCs w:val="20"/>
                <w:lang w:val="fr-CH"/>
              </w:rPr>
            </w:pPr>
          </w:p>
          <w:p w:rsidR="00B047DB" w:rsidRPr="00B047DB" w:rsidRDefault="00B047DB" w:rsidP="00112021">
            <w:pPr>
              <w:snapToGrid w:val="0"/>
              <w:spacing w:before="40" w:after="40"/>
              <w:rPr>
                <w:sz w:val="20"/>
                <w:szCs w:val="20"/>
                <w:lang w:val="fr-CH"/>
              </w:rPr>
            </w:pPr>
          </w:p>
          <w:p w:rsidR="00B047DB" w:rsidRPr="00B047DB" w:rsidRDefault="00B047DB" w:rsidP="00112021">
            <w:pPr>
              <w:snapToGrid w:val="0"/>
              <w:spacing w:before="40" w:after="40"/>
              <w:rPr>
                <w:sz w:val="20"/>
                <w:szCs w:val="20"/>
                <w:lang w:val="fr-CH"/>
              </w:rPr>
            </w:pPr>
          </w:p>
          <w:p w:rsidR="00B047DB" w:rsidRPr="00B047DB" w:rsidRDefault="00B047DB" w:rsidP="00112021">
            <w:pPr>
              <w:snapToGrid w:val="0"/>
              <w:spacing w:before="40" w:after="40"/>
              <w:rPr>
                <w:sz w:val="20"/>
                <w:szCs w:val="20"/>
                <w:lang w:val="fr-CH"/>
              </w:rPr>
            </w:pPr>
          </w:p>
          <w:p w:rsidR="00B047DB" w:rsidRPr="00B047DB" w:rsidRDefault="00B047DB" w:rsidP="00112021">
            <w:pPr>
              <w:snapToGrid w:val="0"/>
              <w:spacing w:before="40" w:after="40"/>
              <w:rPr>
                <w:sz w:val="20"/>
                <w:szCs w:val="20"/>
                <w:lang w:val="fr-CH"/>
              </w:rPr>
            </w:pPr>
          </w:p>
          <w:p w:rsidR="0069743A" w:rsidRDefault="0069743A" w:rsidP="00112021">
            <w:pPr>
              <w:snapToGrid w:val="0"/>
              <w:spacing w:before="40" w:after="40"/>
              <w:rPr>
                <w:sz w:val="20"/>
                <w:szCs w:val="20"/>
              </w:rPr>
            </w:pPr>
            <w:r w:rsidRPr="008C0F9A">
              <w:rPr>
                <w:sz w:val="20"/>
                <w:szCs w:val="20"/>
              </w:rPr>
              <w:t>1763-23-1</w:t>
            </w:r>
          </w:p>
          <w:p w:rsidR="00B047DB" w:rsidRPr="008C0F9A" w:rsidRDefault="00B047DB" w:rsidP="00112021">
            <w:pPr>
              <w:snapToGrid w:val="0"/>
              <w:spacing w:before="40" w:after="40"/>
              <w:rPr>
                <w:sz w:val="20"/>
                <w:szCs w:val="20"/>
              </w:rPr>
            </w:pPr>
          </w:p>
          <w:p w:rsidR="0069743A" w:rsidRDefault="0069743A" w:rsidP="00112021">
            <w:pPr>
              <w:snapToGrid w:val="0"/>
              <w:spacing w:before="40" w:after="40"/>
              <w:rPr>
                <w:sz w:val="20"/>
                <w:szCs w:val="20"/>
              </w:rPr>
            </w:pPr>
            <w:r w:rsidRPr="008C0F9A">
              <w:rPr>
                <w:sz w:val="20"/>
                <w:szCs w:val="20"/>
              </w:rPr>
              <w:t>2795-39-3</w:t>
            </w:r>
          </w:p>
          <w:p w:rsidR="00B047DB" w:rsidRPr="008C0F9A" w:rsidRDefault="00B047DB" w:rsidP="00112021">
            <w:pPr>
              <w:snapToGrid w:val="0"/>
              <w:spacing w:before="40" w:after="40"/>
              <w:rPr>
                <w:sz w:val="20"/>
                <w:szCs w:val="20"/>
              </w:rPr>
            </w:pPr>
          </w:p>
          <w:p w:rsidR="0069743A" w:rsidRDefault="0069743A" w:rsidP="00112021">
            <w:pPr>
              <w:snapToGrid w:val="0"/>
              <w:spacing w:before="40" w:after="40"/>
              <w:rPr>
                <w:sz w:val="20"/>
                <w:szCs w:val="20"/>
              </w:rPr>
            </w:pPr>
            <w:r w:rsidRPr="008C0F9A">
              <w:rPr>
                <w:sz w:val="20"/>
                <w:szCs w:val="20"/>
              </w:rPr>
              <w:t>29457-72-5</w:t>
            </w:r>
          </w:p>
          <w:p w:rsidR="00B047DB" w:rsidRPr="008C0F9A" w:rsidRDefault="00B047DB" w:rsidP="00112021">
            <w:pPr>
              <w:snapToGrid w:val="0"/>
              <w:spacing w:before="40" w:after="40"/>
              <w:rPr>
                <w:sz w:val="20"/>
                <w:szCs w:val="20"/>
              </w:rPr>
            </w:pPr>
          </w:p>
          <w:p w:rsidR="0069743A" w:rsidRDefault="0069743A" w:rsidP="00112021">
            <w:pPr>
              <w:snapToGrid w:val="0"/>
              <w:spacing w:before="40" w:after="40"/>
              <w:rPr>
                <w:sz w:val="20"/>
                <w:szCs w:val="20"/>
              </w:rPr>
            </w:pPr>
            <w:r w:rsidRPr="008C0F9A">
              <w:rPr>
                <w:sz w:val="20"/>
                <w:szCs w:val="20"/>
              </w:rPr>
              <w:t>29081-56-9</w:t>
            </w:r>
          </w:p>
          <w:p w:rsidR="00B047DB" w:rsidRPr="008C0F9A" w:rsidRDefault="00B047DB" w:rsidP="00B047DB">
            <w:pPr>
              <w:snapToGrid w:val="0"/>
              <w:rPr>
                <w:sz w:val="20"/>
                <w:szCs w:val="20"/>
              </w:rPr>
            </w:pPr>
          </w:p>
          <w:p w:rsidR="0069743A" w:rsidRDefault="0069743A" w:rsidP="00B047DB">
            <w:pPr>
              <w:snapToGrid w:val="0"/>
              <w:rPr>
                <w:sz w:val="20"/>
                <w:szCs w:val="20"/>
              </w:rPr>
            </w:pPr>
            <w:r w:rsidRPr="008C0F9A">
              <w:rPr>
                <w:sz w:val="20"/>
                <w:szCs w:val="20"/>
              </w:rPr>
              <w:t>70225-14-8</w:t>
            </w:r>
          </w:p>
          <w:p w:rsidR="00B047DB" w:rsidRPr="008C0F9A" w:rsidRDefault="00B047DB" w:rsidP="00B047DB">
            <w:pPr>
              <w:snapToGrid w:val="0"/>
              <w:rPr>
                <w:sz w:val="20"/>
                <w:szCs w:val="20"/>
              </w:rPr>
            </w:pPr>
          </w:p>
          <w:p w:rsidR="0069743A" w:rsidRDefault="0069743A" w:rsidP="00B047DB">
            <w:pPr>
              <w:snapToGrid w:val="0"/>
              <w:rPr>
                <w:sz w:val="20"/>
                <w:szCs w:val="20"/>
              </w:rPr>
            </w:pPr>
            <w:r w:rsidRPr="008C0F9A">
              <w:rPr>
                <w:sz w:val="20"/>
                <w:szCs w:val="20"/>
              </w:rPr>
              <w:t>56773-42-3</w:t>
            </w:r>
          </w:p>
          <w:p w:rsidR="00B047DB" w:rsidRPr="008C0F9A" w:rsidRDefault="00B047DB" w:rsidP="00B047DB">
            <w:pPr>
              <w:snapToGrid w:val="0"/>
              <w:rPr>
                <w:sz w:val="20"/>
                <w:szCs w:val="20"/>
              </w:rPr>
            </w:pPr>
          </w:p>
          <w:p w:rsidR="0069743A" w:rsidRDefault="0069743A" w:rsidP="00112021">
            <w:pPr>
              <w:snapToGrid w:val="0"/>
              <w:spacing w:before="40" w:after="40"/>
              <w:rPr>
                <w:sz w:val="20"/>
                <w:szCs w:val="20"/>
              </w:rPr>
            </w:pPr>
            <w:r w:rsidRPr="008C0F9A">
              <w:rPr>
                <w:sz w:val="20"/>
                <w:szCs w:val="20"/>
              </w:rPr>
              <w:t>251099-16-8</w:t>
            </w:r>
          </w:p>
          <w:p w:rsidR="00B047DB" w:rsidRPr="008C0F9A" w:rsidRDefault="00B047DB" w:rsidP="00112021">
            <w:pPr>
              <w:snapToGrid w:val="0"/>
              <w:spacing w:before="40" w:after="40"/>
              <w:rPr>
                <w:sz w:val="20"/>
                <w:szCs w:val="20"/>
              </w:rPr>
            </w:pPr>
          </w:p>
          <w:p w:rsidR="0069743A" w:rsidRDefault="0069743A" w:rsidP="00112021">
            <w:pPr>
              <w:snapToGrid w:val="0"/>
              <w:spacing w:before="40" w:after="40"/>
              <w:rPr>
                <w:sz w:val="20"/>
                <w:szCs w:val="20"/>
              </w:rPr>
            </w:pPr>
            <w:r w:rsidRPr="008C0F9A">
              <w:rPr>
                <w:sz w:val="20"/>
                <w:szCs w:val="20"/>
              </w:rPr>
              <w:t>4151-50-2</w:t>
            </w:r>
          </w:p>
          <w:p w:rsidR="00B047DB" w:rsidRPr="008C0F9A" w:rsidRDefault="00B047DB" w:rsidP="00112021">
            <w:pPr>
              <w:snapToGrid w:val="0"/>
              <w:spacing w:before="40" w:after="40"/>
              <w:rPr>
                <w:sz w:val="20"/>
                <w:szCs w:val="20"/>
              </w:rPr>
            </w:pPr>
          </w:p>
          <w:p w:rsidR="0069743A" w:rsidRDefault="0069743A" w:rsidP="00112021">
            <w:pPr>
              <w:snapToGrid w:val="0"/>
              <w:spacing w:before="40" w:after="40"/>
              <w:rPr>
                <w:sz w:val="20"/>
                <w:szCs w:val="20"/>
              </w:rPr>
            </w:pPr>
            <w:r w:rsidRPr="008C0F9A">
              <w:rPr>
                <w:sz w:val="20"/>
                <w:szCs w:val="20"/>
              </w:rPr>
              <w:t>31506-32-8</w:t>
            </w:r>
          </w:p>
          <w:p w:rsidR="00B047DB" w:rsidRPr="008C0F9A" w:rsidRDefault="00B047DB" w:rsidP="00B047DB">
            <w:pPr>
              <w:snapToGrid w:val="0"/>
              <w:rPr>
                <w:sz w:val="20"/>
                <w:szCs w:val="20"/>
              </w:rPr>
            </w:pPr>
          </w:p>
          <w:p w:rsidR="0069743A" w:rsidRDefault="0069743A" w:rsidP="00B047DB">
            <w:pPr>
              <w:snapToGrid w:val="0"/>
              <w:rPr>
                <w:sz w:val="20"/>
                <w:szCs w:val="20"/>
              </w:rPr>
            </w:pPr>
            <w:r w:rsidRPr="008C0F9A">
              <w:rPr>
                <w:sz w:val="20"/>
                <w:szCs w:val="20"/>
              </w:rPr>
              <w:t>1691-99-2</w:t>
            </w:r>
          </w:p>
          <w:p w:rsidR="00B047DB" w:rsidRPr="008C0F9A" w:rsidRDefault="00B047DB" w:rsidP="00B047DB">
            <w:pPr>
              <w:snapToGrid w:val="0"/>
              <w:rPr>
                <w:sz w:val="20"/>
                <w:szCs w:val="20"/>
              </w:rPr>
            </w:pPr>
          </w:p>
          <w:p w:rsidR="0069743A" w:rsidRDefault="0069743A" w:rsidP="00B047DB">
            <w:pPr>
              <w:snapToGrid w:val="0"/>
              <w:rPr>
                <w:sz w:val="20"/>
                <w:szCs w:val="20"/>
              </w:rPr>
            </w:pPr>
            <w:r w:rsidRPr="008C0F9A">
              <w:rPr>
                <w:sz w:val="20"/>
                <w:szCs w:val="20"/>
              </w:rPr>
              <w:t>24448-09-7</w:t>
            </w:r>
          </w:p>
          <w:p w:rsidR="00B047DB" w:rsidRDefault="00B047DB" w:rsidP="00B047DB">
            <w:pPr>
              <w:snapToGrid w:val="0"/>
              <w:rPr>
                <w:sz w:val="20"/>
                <w:szCs w:val="20"/>
              </w:rPr>
            </w:pPr>
          </w:p>
          <w:p w:rsidR="00B047DB" w:rsidRPr="008C0F9A" w:rsidRDefault="00B047DB" w:rsidP="00B047DB">
            <w:pPr>
              <w:snapToGrid w:val="0"/>
              <w:rPr>
                <w:sz w:val="20"/>
                <w:szCs w:val="20"/>
              </w:rPr>
            </w:pPr>
          </w:p>
          <w:p w:rsidR="009358E1" w:rsidRPr="008C0F9A" w:rsidRDefault="009358E1" w:rsidP="00B047DB">
            <w:pPr>
              <w:snapToGrid w:val="0"/>
              <w:rPr>
                <w:sz w:val="20"/>
                <w:szCs w:val="20"/>
                <w:lang w:val="fr-FR"/>
              </w:rPr>
            </w:pPr>
            <w:r w:rsidRPr="008C0F9A">
              <w:rPr>
                <w:sz w:val="20"/>
                <w:szCs w:val="20"/>
              </w:rPr>
              <w:t>307-35-7</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Produit à usage industriel</w:t>
            </w:r>
          </w:p>
        </w:tc>
        <w:tc>
          <w:tcPr>
            <w:tcW w:w="1568" w:type="pct"/>
            <w:hideMark/>
          </w:tcPr>
          <w:p w:rsidR="009358E1" w:rsidRPr="008C0F9A" w:rsidRDefault="009358E1" w:rsidP="00112021">
            <w:pPr>
              <w:snapToGrid w:val="0"/>
              <w:spacing w:before="40" w:after="40"/>
              <w:rPr>
                <w:sz w:val="20"/>
                <w:szCs w:val="20"/>
                <w:lang w:val="fr-FR"/>
              </w:rPr>
            </w:pPr>
            <w:r w:rsidRPr="008C0F9A">
              <w:rPr>
                <w:sz w:val="20"/>
                <w:szCs w:val="20"/>
              </w:rPr>
              <w:t>10/08/2013</w:t>
            </w:r>
          </w:p>
        </w:tc>
      </w:tr>
      <w:tr w:rsidR="009358E1" w:rsidRPr="008C0F9A" w:rsidTr="005E06A1">
        <w:trPr>
          <w:cantSplit/>
          <w:trHeight w:val="20"/>
        </w:trPr>
        <w:tc>
          <w:tcPr>
            <w:tcW w:w="1517" w:type="pct"/>
            <w:hideMark/>
          </w:tcPr>
          <w:p w:rsidR="00A26BAA" w:rsidRDefault="009358E1" w:rsidP="00A26BAA">
            <w:pPr>
              <w:snapToGrid w:val="0"/>
              <w:spacing w:before="40" w:after="40"/>
              <w:rPr>
                <w:sz w:val="20"/>
                <w:szCs w:val="20"/>
                <w:lang w:val="fr-CH"/>
              </w:rPr>
            </w:pPr>
            <w:r w:rsidRPr="008C0F9A">
              <w:rPr>
                <w:sz w:val="20"/>
                <w:szCs w:val="20"/>
                <w:lang w:val="fr-CH"/>
              </w:rPr>
              <w:t>Octabromodiphényléther commercial</w:t>
            </w:r>
            <w:r w:rsidR="00A26BAA">
              <w:rPr>
                <w:sz w:val="20"/>
                <w:szCs w:val="20"/>
                <w:lang w:val="fr-CH"/>
              </w:rPr>
              <w:t xml:space="preserve">, </w:t>
            </w:r>
            <w:r w:rsidRPr="008C0F9A">
              <w:rPr>
                <w:sz w:val="20"/>
                <w:szCs w:val="20"/>
                <w:lang w:val="fr-CH"/>
              </w:rPr>
              <w:t xml:space="preserve">y compris les substances suivantes : </w:t>
            </w:r>
          </w:p>
          <w:p w:rsidR="00A26BAA" w:rsidRPr="00A26BAA" w:rsidRDefault="00A26BAA" w:rsidP="00A26BAA">
            <w:pPr>
              <w:pStyle w:val="ListParagraph"/>
              <w:numPr>
                <w:ilvl w:val="0"/>
                <w:numId w:val="23"/>
              </w:numPr>
              <w:snapToGrid w:val="0"/>
              <w:spacing w:before="40" w:after="40"/>
              <w:ind w:left="270" w:hanging="270"/>
              <w:rPr>
                <w:sz w:val="20"/>
                <w:szCs w:val="20"/>
                <w:lang w:val="fr-CH"/>
              </w:rPr>
            </w:pPr>
            <w:r w:rsidRPr="00A26BAA">
              <w:rPr>
                <w:sz w:val="20"/>
                <w:szCs w:val="20"/>
                <w:lang w:val="fr-CH"/>
              </w:rPr>
              <w:t>Hexabromodiphényléther</w:t>
            </w:r>
          </w:p>
          <w:p w:rsidR="009358E1" w:rsidRPr="00A26BAA" w:rsidRDefault="00A26BAA" w:rsidP="00A26BAA">
            <w:pPr>
              <w:pStyle w:val="ListParagraph"/>
              <w:numPr>
                <w:ilvl w:val="0"/>
                <w:numId w:val="23"/>
              </w:numPr>
              <w:snapToGrid w:val="0"/>
              <w:spacing w:before="40" w:after="40"/>
              <w:ind w:left="270" w:hanging="270"/>
              <w:rPr>
                <w:sz w:val="20"/>
                <w:szCs w:val="20"/>
                <w:lang w:val="fr-CH"/>
              </w:rPr>
            </w:pPr>
            <w:r w:rsidRPr="00A26BAA">
              <w:rPr>
                <w:sz w:val="20"/>
                <w:szCs w:val="20"/>
                <w:lang w:val="fr-CH"/>
              </w:rPr>
              <w:t>Heptabromodiphényléther)</w:t>
            </w:r>
          </w:p>
        </w:tc>
        <w:tc>
          <w:tcPr>
            <w:tcW w:w="1095" w:type="pct"/>
            <w:hideMark/>
          </w:tcPr>
          <w:p w:rsidR="005E06A1" w:rsidRDefault="005E06A1" w:rsidP="005E06A1">
            <w:pPr>
              <w:snapToGrid w:val="0"/>
              <w:rPr>
                <w:sz w:val="20"/>
                <w:szCs w:val="20"/>
              </w:rPr>
            </w:pPr>
          </w:p>
          <w:p w:rsidR="005E06A1" w:rsidRDefault="005E06A1" w:rsidP="005E06A1">
            <w:pPr>
              <w:snapToGrid w:val="0"/>
              <w:rPr>
                <w:sz w:val="20"/>
                <w:szCs w:val="20"/>
              </w:rPr>
            </w:pPr>
          </w:p>
          <w:p w:rsidR="005E06A1" w:rsidRDefault="005E06A1" w:rsidP="00112021">
            <w:pPr>
              <w:snapToGrid w:val="0"/>
              <w:spacing w:before="40" w:after="40"/>
              <w:rPr>
                <w:sz w:val="20"/>
                <w:szCs w:val="20"/>
              </w:rPr>
            </w:pPr>
          </w:p>
          <w:p w:rsidR="005E06A1" w:rsidRDefault="005E06A1" w:rsidP="00112021">
            <w:pPr>
              <w:snapToGrid w:val="0"/>
              <w:spacing w:before="40" w:after="40"/>
              <w:rPr>
                <w:sz w:val="20"/>
                <w:szCs w:val="20"/>
              </w:rPr>
            </w:pPr>
            <w:r>
              <w:rPr>
                <w:sz w:val="20"/>
                <w:szCs w:val="20"/>
              </w:rPr>
              <w:t>36483-60-0</w:t>
            </w:r>
          </w:p>
          <w:p w:rsidR="009358E1" w:rsidRPr="008C0F9A" w:rsidRDefault="009358E1" w:rsidP="00112021">
            <w:pPr>
              <w:snapToGrid w:val="0"/>
              <w:spacing w:before="40" w:after="40"/>
              <w:rPr>
                <w:sz w:val="20"/>
                <w:szCs w:val="20"/>
                <w:lang w:val="fr-FR"/>
              </w:rPr>
            </w:pPr>
            <w:r w:rsidRPr="008C0F9A">
              <w:rPr>
                <w:sz w:val="20"/>
                <w:szCs w:val="20"/>
              </w:rPr>
              <w:t>68928-80-3</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Produit à usage industriel</w:t>
            </w:r>
          </w:p>
        </w:tc>
        <w:tc>
          <w:tcPr>
            <w:tcW w:w="1568" w:type="pct"/>
            <w:hideMark/>
          </w:tcPr>
          <w:p w:rsidR="009358E1" w:rsidRPr="008C0F9A" w:rsidRDefault="009358E1" w:rsidP="00112021">
            <w:pPr>
              <w:snapToGrid w:val="0"/>
              <w:spacing w:before="40" w:after="40"/>
              <w:rPr>
                <w:sz w:val="20"/>
                <w:szCs w:val="20"/>
                <w:lang w:val="fr-FR"/>
              </w:rPr>
            </w:pPr>
            <w:r w:rsidRPr="008C0F9A">
              <w:rPr>
                <w:sz w:val="20"/>
                <w:szCs w:val="20"/>
              </w:rPr>
              <w:t>10/08/2013</w:t>
            </w:r>
          </w:p>
        </w:tc>
      </w:tr>
      <w:tr w:rsidR="009358E1" w:rsidRPr="008C0F9A" w:rsidTr="005E06A1">
        <w:trPr>
          <w:cantSplit/>
          <w:trHeight w:val="20"/>
        </w:trPr>
        <w:tc>
          <w:tcPr>
            <w:tcW w:w="1517" w:type="pct"/>
            <w:hideMark/>
          </w:tcPr>
          <w:p w:rsidR="00A26BAA" w:rsidRDefault="009358E1" w:rsidP="00112021">
            <w:pPr>
              <w:snapToGrid w:val="0"/>
              <w:spacing w:before="40" w:after="40"/>
              <w:rPr>
                <w:sz w:val="20"/>
                <w:szCs w:val="20"/>
                <w:lang w:val="fr-CH"/>
              </w:rPr>
            </w:pPr>
            <w:r w:rsidRPr="008C0F9A">
              <w:rPr>
                <w:sz w:val="20"/>
                <w:szCs w:val="20"/>
                <w:lang w:val="fr-CH"/>
              </w:rPr>
              <w:t>Pentabromodiphényléther commercial</w:t>
            </w:r>
            <w:r w:rsidR="00A26BAA">
              <w:rPr>
                <w:sz w:val="20"/>
                <w:szCs w:val="20"/>
                <w:lang w:val="fr-CH"/>
              </w:rPr>
              <w:t xml:space="preserve">, </w:t>
            </w:r>
            <w:r w:rsidRPr="008C0F9A">
              <w:rPr>
                <w:sz w:val="20"/>
                <w:szCs w:val="20"/>
                <w:lang w:val="fr-CH"/>
              </w:rPr>
              <w:t>y com</w:t>
            </w:r>
            <w:r w:rsidR="00A26BAA">
              <w:rPr>
                <w:sz w:val="20"/>
                <w:szCs w:val="20"/>
                <w:lang w:val="fr-CH"/>
              </w:rPr>
              <w:t>pris les substances suivantes :</w:t>
            </w:r>
          </w:p>
          <w:p w:rsidR="00A26BAA" w:rsidRPr="00A26BAA" w:rsidRDefault="00A26BAA" w:rsidP="00A26BAA">
            <w:pPr>
              <w:pStyle w:val="ListParagraph"/>
              <w:numPr>
                <w:ilvl w:val="0"/>
                <w:numId w:val="24"/>
              </w:numPr>
              <w:snapToGrid w:val="0"/>
              <w:spacing w:before="40" w:after="40"/>
              <w:ind w:left="270" w:hanging="270"/>
              <w:rPr>
                <w:sz w:val="20"/>
                <w:szCs w:val="20"/>
                <w:lang w:val="fr-CH"/>
              </w:rPr>
            </w:pPr>
            <w:r w:rsidRPr="00A26BAA">
              <w:rPr>
                <w:sz w:val="20"/>
                <w:szCs w:val="20"/>
                <w:lang w:val="fr-CH"/>
              </w:rPr>
              <w:t>Tetrabromodiphényléther</w:t>
            </w:r>
          </w:p>
          <w:p w:rsidR="009358E1" w:rsidRPr="00A26BAA" w:rsidRDefault="00A26BAA" w:rsidP="00A26BAA">
            <w:pPr>
              <w:pStyle w:val="ListParagraph"/>
              <w:numPr>
                <w:ilvl w:val="0"/>
                <w:numId w:val="24"/>
              </w:numPr>
              <w:snapToGrid w:val="0"/>
              <w:spacing w:before="40" w:after="40"/>
              <w:ind w:left="270" w:hanging="270"/>
              <w:rPr>
                <w:sz w:val="20"/>
                <w:szCs w:val="20"/>
                <w:lang w:val="fr-CH"/>
              </w:rPr>
            </w:pPr>
            <w:r w:rsidRPr="00A26BAA">
              <w:rPr>
                <w:sz w:val="20"/>
                <w:szCs w:val="20"/>
                <w:lang w:val="fr-CH"/>
              </w:rPr>
              <w:t>Pentabromodiphényléther</w:t>
            </w:r>
          </w:p>
        </w:tc>
        <w:tc>
          <w:tcPr>
            <w:tcW w:w="1095" w:type="pct"/>
            <w:hideMark/>
          </w:tcPr>
          <w:p w:rsidR="005E06A1" w:rsidRDefault="005E06A1" w:rsidP="005E06A1">
            <w:pPr>
              <w:snapToGrid w:val="0"/>
              <w:rPr>
                <w:sz w:val="20"/>
                <w:szCs w:val="20"/>
              </w:rPr>
            </w:pPr>
          </w:p>
          <w:p w:rsidR="005E06A1" w:rsidRDefault="005E06A1" w:rsidP="005E06A1">
            <w:pPr>
              <w:snapToGrid w:val="0"/>
              <w:rPr>
                <w:sz w:val="20"/>
                <w:szCs w:val="20"/>
              </w:rPr>
            </w:pPr>
          </w:p>
          <w:p w:rsidR="005E06A1" w:rsidRDefault="005E06A1" w:rsidP="005E06A1">
            <w:pPr>
              <w:snapToGrid w:val="0"/>
              <w:rPr>
                <w:sz w:val="20"/>
                <w:szCs w:val="20"/>
              </w:rPr>
            </w:pPr>
          </w:p>
          <w:p w:rsidR="005E06A1" w:rsidRDefault="005E06A1" w:rsidP="00112021">
            <w:pPr>
              <w:snapToGrid w:val="0"/>
              <w:spacing w:before="40" w:after="40"/>
              <w:rPr>
                <w:sz w:val="20"/>
                <w:szCs w:val="20"/>
              </w:rPr>
            </w:pPr>
            <w:r>
              <w:rPr>
                <w:sz w:val="20"/>
                <w:szCs w:val="20"/>
              </w:rPr>
              <w:t>32534-81-9</w:t>
            </w:r>
          </w:p>
          <w:p w:rsidR="009358E1" w:rsidRPr="008C0F9A" w:rsidRDefault="009358E1" w:rsidP="00112021">
            <w:pPr>
              <w:snapToGrid w:val="0"/>
              <w:spacing w:before="40" w:after="40"/>
              <w:rPr>
                <w:sz w:val="20"/>
                <w:szCs w:val="20"/>
                <w:lang w:val="fr-FR"/>
              </w:rPr>
            </w:pPr>
            <w:r w:rsidRPr="008C0F9A">
              <w:rPr>
                <w:sz w:val="20"/>
                <w:szCs w:val="20"/>
              </w:rPr>
              <w:t>40088-47-9</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Produit à usage industriel</w:t>
            </w:r>
          </w:p>
        </w:tc>
        <w:tc>
          <w:tcPr>
            <w:tcW w:w="1568" w:type="pct"/>
            <w:hideMark/>
          </w:tcPr>
          <w:p w:rsidR="009358E1" w:rsidRPr="008C0F9A" w:rsidRDefault="009358E1" w:rsidP="00112021">
            <w:pPr>
              <w:snapToGrid w:val="0"/>
              <w:spacing w:before="40" w:after="40"/>
              <w:rPr>
                <w:sz w:val="20"/>
                <w:szCs w:val="20"/>
                <w:lang w:val="fr-FR"/>
              </w:rPr>
            </w:pPr>
            <w:r w:rsidRPr="008C0F9A">
              <w:rPr>
                <w:sz w:val="20"/>
                <w:szCs w:val="20"/>
              </w:rPr>
              <w:t>10/08/2013</w:t>
            </w:r>
          </w:p>
        </w:tc>
      </w:tr>
      <w:tr w:rsidR="009358E1" w:rsidRPr="00A97FB1" w:rsidTr="005E06A1">
        <w:trPr>
          <w:cantSplit/>
          <w:trHeight w:val="20"/>
        </w:trPr>
        <w:tc>
          <w:tcPr>
            <w:tcW w:w="1517" w:type="pct"/>
            <w:hideMark/>
          </w:tcPr>
          <w:p w:rsidR="009358E1" w:rsidRPr="008C0F9A" w:rsidRDefault="005E06A1" w:rsidP="00FC5980">
            <w:pPr>
              <w:snapToGrid w:val="0"/>
              <w:spacing w:before="40" w:after="40"/>
              <w:rPr>
                <w:sz w:val="20"/>
                <w:szCs w:val="20"/>
                <w:lang w:val="fr-CH"/>
              </w:rPr>
            </w:pPr>
            <w:r>
              <w:rPr>
                <w:sz w:val="20"/>
                <w:szCs w:val="20"/>
                <w:lang w:val="fr-CH"/>
              </w:rPr>
              <w:t>Phosphate de tri</w:t>
            </w:r>
            <w:r w:rsidR="00FC5980">
              <w:rPr>
                <w:sz w:val="20"/>
                <w:szCs w:val="20"/>
                <w:lang w:val="fr-CH"/>
              </w:rPr>
              <w:t>s(2,3-</w:t>
            </w:r>
            <w:r w:rsidR="009358E1" w:rsidRPr="008C0F9A">
              <w:rPr>
                <w:sz w:val="20"/>
                <w:szCs w:val="20"/>
                <w:lang w:val="fr-CH"/>
              </w:rPr>
              <w:t>dibromopropyle</w:t>
            </w:r>
            <w:r w:rsidR="00FC5980">
              <w:rPr>
                <w:sz w:val="20"/>
                <w:szCs w:val="20"/>
                <w:lang w:val="fr-CH"/>
              </w:rPr>
              <w:t>)</w:t>
            </w:r>
          </w:p>
        </w:tc>
        <w:tc>
          <w:tcPr>
            <w:tcW w:w="1095" w:type="pct"/>
            <w:hideMark/>
          </w:tcPr>
          <w:p w:rsidR="009358E1" w:rsidRPr="008C0F9A" w:rsidRDefault="009358E1" w:rsidP="00112021">
            <w:pPr>
              <w:snapToGrid w:val="0"/>
              <w:spacing w:before="40" w:after="40"/>
              <w:rPr>
                <w:sz w:val="20"/>
                <w:szCs w:val="20"/>
                <w:lang w:val="fr-FR"/>
              </w:rPr>
            </w:pPr>
            <w:r w:rsidRPr="008C0F9A">
              <w:rPr>
                <w:sz w:val="20"/>
                <w:szCs w:val="20"/>
              </w:rPr>
              <w:t>126-72-7</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Produit à usage industriel</w:t>
            </w:r>
          </w:p>
        </w:tc>
        <w:tc>
          <w:tcPr>
            <w:tcW w:w="1568" w:type="pct"/>
            <w:hideMark/>
          </w:tcPr>
          <w:p w:rsidR="009358E1" w:rsidRPr="008C0F9A" w:rsidRDefault="009358E1" w:rsidP="00112021">
            <w:pPr>
              <w:snapToGrid w:val="0"/>
              <w:spacing w:before="40" w:after="40"/>
              <w:rPr>
                <w:sz w:val="20"/>
                <w:szCs w:val="20"/>
                <w:lang w:val="fr-CH"/>
              </w:rPr>
            </w:pPr>
            <w:r w:rsidRPr="008C0F9A">
              <w:rPr>
                <w:sz w:val="20"/>
                <w:szCs w:val="20"/>
                <w:lang w:val="fr-CH"/>
              </w:rPr>
              <w:t>Avant l</w:t>
            </w:r>
            <w:r w:rsidR="000D310E" w:rsidRPr="008C0F9A">
              <w:rPr>
                <w:sz w:val="20"/>
                <w:szCs w:val="20"/>
                <w:lang w:val="fr-CH"/>
              </w:rPr>
              <w:t>’</w:t>
            </w:r>
            <w:r w:rsidRPr="008C0F9A">
              <w:rPr>
                <w:sz w:val="20"/>
                <w:szCs w:val="20"/>
                <w:lang w:val="fr-CH"/>
              </w:rPr>
              <w:t>adoption de la Convention</w:t>
            </w:r>
          </w:p>
        </w:tc>
      </w:tr>
      <w:tr w:rsidR="009358E1" w:rsidRPr="008C0F9A" w:rsidTr="005E06A1">
        <w:trPr>
          <w:cantSplit/>
          <w:trHeight w:val="20"/>
        </w:trPr>
        <w:tc>
          <w:tcPr>
            <w:tcW w:w="1517" w:type="pct"/>
            <w:hideMark/>
          </w:tcPr>
          <w:p w:rsidR="009358E1" w:rsidRPr="008C0F9A" w:rsidRDefault="009358E1" w:rsidP="00112021">
            <w:pPr>
              <w:snapToGrid w:val="0"/>
              <w:spacing w:before="40" w:after="40"/>
              <w:rPr>
                <w:sz w:val="20"/>
                <w:szCs w:val="20"/>
                <w:lang w:val="fr-FR"/>
              </w:rPr>
            </w:pPr>
            <w:r w:rsidRPr="008C0F9A">
              <w:rPr>
                <w:sz w:val="20"/>
                <w:szCs w:val="20"/>
              </w:rPr>
              <w:t>Plomb tétraéthyle</w:t>
            </w:r>
          </w:p>
        </w:tc>
        <w:tc>
          <w:tcPr>
            <w:tcW w:w="1095" w:type="pct"/>
            <w:hideMark/>
          </w:tcPr>
          <w:p w:rsidR="009358E1" w:rsidRPr="008C0F9A" w:rsidRDefault="009358E1" w:rsidP="00112021">
            <w:pPr>
              <w:snapToGrid w:val="0"/>
              <w:spacing w:before="40" w:after="40"/>
              <w:rPr>
                <w:sz w:val="20"/>
                <w:szCs w:val="20"/>
                <w:lang w:val="fr-FR"/>
              </w:rPr>
            </w:pPr>
            <w:r w:rsidRPr="008C0F9A">
              <w:rPr>
                <w:sz w:val="20"/>
                <w:szCs w:val="20"/>
              </w:rPr>
              <w:t>78-00-2</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Produit à usage industriel</w:t>
            </w:r>
          </w:p>
        </w:tc>
        <w:tc>
          <w:tcPr>
            <w:tcW w:w="1568" w:type="pct"/>
            <w:hideMark/>
          </w:tcPr>
          <w:p w:rsidR="009358E1" w:rsidRPr="008C0F9A" w:rsidRDefault="009358E1" w:rsidP="00112021">
            <w:pPr>
              <w:snapToGrid w:val="0"/>
              <w:spacing w:before="40" w:after="40"/>
              <w:rPr>
                <w:sz w:val="20"/>
                <w:szCs w:val="20"/>
                <w:lang w:val="fr-FR"/>
              </w:rPr>
            </w:pPr>
            <w:r w:rsidRPr="008C0F9A">
              <w:rPr>
                <w:sz w:val="20"/>
                <w:szCs w:val="20"/>
              </w:rPr>
              <w:t>01/02/2005</w:t>
            </w:r>
          </w:p>
        </w:tc>
      </w:tr>
      <w:tr w:rsidR="009358E1" w:rsidRPr="008C0F9A" w:rsidTr="005E06A1">
        <w:trPr>
          <w:cantSplit/>
          <w:trHeight w:val="20"/>
        </w:trPr>
        <w:tc>
          <w:tcPr>
            <w:tcW w:w="1517" w:type="pct"/>
            <w:hideMark/>
          </w:tcPr>
          <w:p w:rsidR="009358E1" w:rsidRPr="008C0F9A" w:rsidRDefault="009358E1" w:rsidP="00112021">
            <w:pPr>
              <w:snapToGrid w:val="0"/>
              <w:spacing w:before="40" w:after="40"/>
              <w:rPr>
                <w:sz w:val="20"/>
                <w:szCs w:val="20"/>
                <w:lang w:val="fr-FR"/>
              </w:rPr>
            </w:pPr>
            <w:r w:rsidRPr="008C0F9A">
              <w:rPr>
                <w:sz w:val="20"/>
                <w:szCs w:val="20"/>
              </w:rPr>
              <w:t>Plomb tétraméthyle</w:t>
            </w:r>
          </w:p>
        </w:tc>
        <w:tc>
          <w:tcPr>
            <w:tcW w:w="1095" w:type="pct"/>
            <w:hideMark/>
          </w:tcPr>
          <w:p w:rsidR="009358E1" w:rsidRPr="008C0F9A" w:rsidRDefault="009358E1" w:rsidP="00112021">
            <w:pPr>
              <w:snapToGrid w:val="0"/>
              <w:spacing w:before="40" w:after="40"/>
              <w:rPr>
                <w:sz w:val="20"/>
                <w:szCs w:val="20"/>
                <w:lang w:val="fr-FR"/>
              </w:rPr>
            </w:pPr>
            <w:r w:rsidRPr="008C0F9A">
              <w:rPr>
                <w:sz w:val="20"/>
                <w:szCs w:val="20"/>
              </w:rPr>
              <w:t>75-74-1</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Produit à usage industriel</w:t>
            </w:r>
          </w:p>
        </w:tc>
        <w:tc>
          <w:tcPr>
            <w:tcW w:w="1568" w:type="pct"/>
            <w:hideMark/>
          </w:tcPr>
          <w:p w:rsidR="009358E1" w:rsidRPr="008C0F9A" w:rsidRDefault="009358E1" w:rsidP="00112021">
            <w:pPr>
              <w:snapToGrid w:val="0"/>
              <w:spacing w:before="40" w:after="40"/>
              <w:rPr>
                <w:sz w:val="20"/>
                <w:szCs w:val="20"/>
                <w:lang w:val="fr-FR"/>
              </w:rPr>
            </w:pPr>
            <w:r w:rsidRPr="008C0F9A">
              <w:rPr>
                <w:sz w:val="20"/>
                <w:szCs w:val="20"/>
              </w:rPr>
              <w:t>01/02/2005</w:t>
            </w:r>
          </w:p>
        </w:tc>
      </w:tr>
      <w:tr w:rsidR="009358E1" w:rsidRPr="00A97FB1" w:rsidTr="005E06A1">
        <w:trPr>
          <w:cantSplit/>
          <w:trHeight w:val="20"/>
        </w:trPr>
        <w:tc>
          <w:tcPr>
            <w:tcW w:w="1517" w:type="pct"/>
            <w:hideMark/>
          </w:tcPr>
          <w:p w:rsidR="009358E1" w:rsidRPr="008C0F9A" w:rsidRDefault="009358E1" w:rsidP="00112021">
            <w:pPr>
              <w:snapToGrid w:val="0"/>
              <w:spacing w:before="40" w:after="40"/>
              <w:rPr>
                <w:sz w:val="20"/>
                <w:szCs w:val="20"/>
                <w:lang w:val="fr-FR"/>
              </w:rPr>
            </w:pPr>
            <w:r w:rsidRPr="008C0F9A">
              <w:rPr>
                <w:sz w:val="20"/>
                <w:szCs w:val="20"/>
              </w:rPr>
              <w:t>Polybromobiphényles (PBB)</w:t>
            </w:r>
          </w:p>
        </w:tc>
        <w:tc>
          <w:tcPr>
            <w:tcW w:w="1095" w:type="pct"/>
            <w:hideMark/>
          </w:tcPr>
          <w:p w:rsidR="00F144C1" w:rsidRDefault="00F144C1" w:rsidP="00112021">
            <w:pPr>
              <w:snapToGrid w:val="0"/>
              <w:spacing w:before="40" w:after="40"/>
              <w:rPr>
                <w:sz w:val="20"/>
              </w:rPr>
            </w:pPr>
            <w:r>
              <w:rPr>
                <w:sz w:val="20"/>
              </w:rPr>
              <w:t>13654-09-6 (hexa-)</w:t>
            </w:r>
          </w:p>
          <w:p w:rsidR="00F144C1" w:rsidRDefault="00F144C1" w:rsidP="00112021">
            <w:pPr>
              <w:snapToGrid w:val="0"/>
              <w:spacing w:before="40" w:after="40"/>
              <w:rPr>
                <w:sz w:val="20"/>
              </w:rPr>
            </w:pPr>
            <w:r>
              <w:rPr>
                <w:sz w:val="20"/>
              </w:rPr>
              <w:t>36355-01-8 (octa-)</w:t>
            </w:r>
          </w:p>
          <w:p w:rsidR="009358E1" w:rsidRPr="008C0F9A" w:rsidRDefault="00F144C1" w:rsidP="00112021">
            <w:pPr>
              <w:snapToGrid w:val="0"/>
              <w:spacing w:before="40" w:after="40"/>
              <w:rPr>
                <w:sz w:val="20"/>
                <w:szCs w:val="20"/>
                <w:lang w:val="fr-FR"/>
              </w:rPr>
            </w:pPr>
            <w:r>
              <w:rPr>
                <w:sz w:val="20"/>
              </w:rPr>
              <w:t>27858-07-7 (deca-)</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Produit à usage industriel</w:t>
            </w:r>
          </w:p>
        </w:tc>
        <w:tc>
          <w:tcPr>
            <w:tcW w:w="1568" w:type="pct"/>
            <w:hideMark/>
          </w:tcPr>
          <w:p w:rsidR="009358E1" w:rsidRPr="008C0F9A" w:rsidRDefault="009358E1" w:rsidP="00112021">
            <w:pPr>
              <w:snapToGrid w:val="0"/>
              <w:spacing w:before="40" w:after="40"/>
              <w:rPr>
                <w:sz w:val="20"/>
                <w:szCs w:val="20"/>
                <w:lang w:val="fr-CH"/>
              </w:rPr>
            </w:pPr>
            <w:r w:rsidRPr="008C0F9A">
              <w:rPr>
                <w:sz w:val="20"/>
                <w:szCs w:val="20"/>
                <w:lang w:val="fr-CH"/>
              </w:rPr>
              <w:t>Avant l</w:t>
            </w:r>
            <w:r w:rsidR="000D310E" w:rsidRPr="008C0F9A">
              <w:rPr>
                <w:sz w:val="20"/>
                <w:szCs w:val="20"/>
                <w:lang w:val="fr-CH"/>
              </w:rPr>
              <w:t>’</w:t>
            </w:r>
            <w:r w:rsidRPr="008C0F9A">
              <w:rPr>
                <w:sz w:val="20"/>
                <w:szCs w:val="20"/>
                <w:lang w:val="fr-CH"/>
              </w:rPr>
              <w:t>adoption de la Convention</w:t>
            </w:r>
          </w:p>
        </w:tc>
      </w:tr>
      <w:tr w:rsidR="009358E1" w:rsidRPr="00A97FB1" w:rsidTr="005E06A1">
        <w:trPr>
          <w:cantSplit/>
          <w:trHeight w:val="20"/>
        </w:trPr>
        <w:tc>
          <w:tcPr>
            <w:tcW w:w="1517" w:type="pct"/>
            <w:hideMark/>
          </w:tcPr>
          <w:p w:rsidR="009358E1" w:rsidRPr="008C0F9A" w:rsidRDefault="009358E1" w:rsidP="00112021">
            <w:pPr>
              <w:snapToGrid w:val="0"/>
              <w:spacing w:before="40" w:after="40"/>
              <w:rPr>
                <w:sz w:val="20"/>
                <w:szCs w:val="20"/>
                <w:lang w:val="fr-FR"/>
              </w:rPr>
            </w:pPr>
            <w:r w:rsidRPr="008C0F9A">
              <w:rPr>
                <w:sz w:val="20"/>
                <w:szCs w:val="20"/>
              </w:rPr>
              <w:t>Polychlorobiphényles (PCB)</w:t>
            </w:r>
          </w:p>
        </w:tc>
        <w:tc>
          <w:tcPr>
            <w:tcW w:w="1095" w:type="pct"/>
            <w:hideMark/>
          </w:tcPr>
          <w:p w:rsidR="009358E1" w:rsidRPr="008C0F9A" w:rsidRDefault="009358E1" w:rsidP="00112021">
            <w:pPr>
              <w:snapToGrid w:val="0"/>
              <w:spacing w:before="40" w:after="40"/>
              <w:rPr>
                <w:sz w:val="20"/>
                <w:szCs w:val="20"/>
                <w:lang w:val="fr-FR"/>
              </w:rPr>
            </w:pPr>
            <w:r w:rsidRPr="008C0F9A">
              <w:rPr>
                <w:sz w:val="20"/>
                <w:szCs w:val="20"/>
              </w:rPr>
              <w:t>1336-36-3</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Produit à usage industriel</w:t>
            </w:r>
          </w:p>
        </w:tc>
        <w:tc>
          <w:tcPr>
            <w:tcW w:w="1568" w:type="pct"/>
            <w:hideMark/>
          </w:tcPr>
          <w:p w:rsidR="009358E1" w:rsidRPr="008C0F9A" w:rsidRDefault="009358E1" w:rsidP="00112021">
            <w:pPr>
              <w:snapToGrid w:val="0"/>
              <w:spacing w:before="40" w:after="40"/>
              <w:rPr>
                <w:sz w:val="20"/>
                <w:szCs w:val="20"/>
                <w:lang w:val="fr-CH"/>
              </w:rPr>
            </w:pPr>
            <w:r w:rsidRPr="008C0F9A">
              <w:rPr>
                <w:sz w:val="20"/>
                <w:szCs w:val="20"/>
                <w:lang w:val="fr-CH"/>
              </w:rPr>
              <w:t>Avant l</w:t>
            </w:r>
            <w:r w:rsidR="000D310E" w:rsidRPr="008C0F9A">
              <w:rPr>
                <w:sz w:val="20"/>
                <w:szCs w:val="20"/>
                <w:lang w:val="fr-CH"/>
              </w:rPr>
              <w:t>’</w:t>
            </w:r>
            <w:r w:rsidRPr="008C0F9A">
              <w:rPr>
                <w:sz w:val="20"/>
                <w:szCs w:val="20"/>
                <w:lang w:val="fr-CH"/>
              </w:rPr>
              <w:t>adoption de la Convention</w:t>
            </w:r>
          </w:p>
        </w:tc>
      </w:tr>
      <w:tr w:rsidR="009358E1" w:rsidRPr="00A97FB1" w:rsidTr="005E06A1">
        <w:trPr>
          <w:cantSplit/>
          <w:trHeight w:val="20"/>
        </w:trPr>
        <w:tc>
          <w:tcPr>
            <w:tcW w:w="1517" w:type="pct"/>
            <w:hideMark/>
          </w:tcPr>
          <w:p w:rsidR="009358E1" w:rsidRPr="008C0F9A" w:rsidRDefault="009358E1" w:rsidP="00112021">
            <w:pPr>
              <w:snapToGrid w:val="0"/>
              <w:spacing w:before="40" w:after="40"/>
              <w:rPr>
                <w:sz w:val="20"/>
                <w:szCs w:val="20"/>
                <w:lang w:val="fr-FR"/>
              </w:rPr>
            </w:pPr>
            <w:r w:rsidRPr="008C0F9A">
              <w:rPr>
                <w:sz w:val="20"/>
                <w:szCs w:val="20"/>
              </w:rPr>
              <w:lastRenderedPageBreak/>
              <w:t>Polychloroterphényles (PCT)</w:t>
            </w:r>
          </w:p>
        </w:tc>
        <w:tc>
          <w:tcPr>
            <w:tcW w:w="1095" w:type="pct"/>
            <w:hideMark/>
          </w:tcPr>
          <w:p w:rsidR="009358E1" w:rsidRPr="008C0F9A" w:rsidRDefault="009358E1" w:rsidP="00112021">
            <w:pPr>
              <w:snapToGrid w:val="0"/>
              <w:spacing w:before="40" w:after="40"/>
              <w:rPr>
                <w:sz w:val="20"/>
                <w:szCs w:val="20"/>
                <w:lang w:val="fr-FR"/>
              </w:rPr>
            </w:pPr>
            <w:r w:rsidRPr="008C0F9A">
              <w:rPr>
                <w:sz w:val="20"/>
                <w:szCs w:val="20"/>
              </w:rPr>
              <w:t>61788-33-8</w:t>
            </w:r>
          </w:p>
        </w:tc>
        <w:tc>
          <w:tcPr>
            <w:tcW w:w="820" w:type="pct"/>
            <w:hideMark/>
          </w:tcPr>
          <w:p w:rsidR="009358E1" w:rsidRPr="008C0F9A" w:rsidRDefault="009358E1" w:rsidP="00112021">
            <w:pPr>
              <w:snapToGrid w:val="0"/>
              <w:spacing w:before="40" w:after="40"/>
              <w:rPr>
                <w:sz w:val="20"/>
                <w:szCs w:val="20"/>
                <w:lang w:val="fr-FR"/>
              </w:rPr>
            </w:pPr>
            <w:r w:rsidRPr="008C0F9A">
              <w:rPr>
                <w:sz w:val="20"/>
                <w:szCs w:val="20"/>
              </w:rPr>
              <w:t>Produit à usage industriel</w:t>
            </w:r>
          </w:p>
        </w:tc>
        <w:tc>
          <w:tcPr>
            <w:tcW w:w="1568" w:type="pct"/>
            <w:hideMark/>
          </w:tcPr>
          <w:p w:rsidR="009358E1" w:rsidRPr="008C0F9A" w:rsidRDefault="009358E1" w:rsidP="00112021">
            <w:pPr>
              <w:snapToGrid w:val="0"/>
              <w:spacing w:before="40" w:after="40"/>
              <w:rPr>
                <w:sz w:val="20"/>
                <w:szCs w:val="20"/>
                <w:lang w:val="fr-CH"/>
              </w:rPr>
            </w:pPr>
            <w:r w:rsidRPr="008C0F9A">
              <w:rPr>
                <w:sz w:val="20"/>
                <w:szCs w:val="20"/>
                <w:lang w:val="fr-CH"/>
              </w:rPr>
              <w:t>Avant l</w:t>
            </w:r>
            <w:r w:rsidR="000D310E" w:rsidRPr="008C0F9A">
              <w:rPr>
                <w:sz w:val="20"/>
                <w:szCs w:val="20"/>
                <w:lang w:val="fr-CH"/>
              </w:rPr>
              <w:t>’</w:t>
            </w:r>
            <w:r w:rsidRPr="008C0F9A">
              <w:rPr>
                <w:sz w:val="20"/>
                <w:szCs w:val="20"/>
                <w:lang w:val="fr-CH"/>
              </w:rPr>
              <w:t>adoption de la Convention</w:t>
            </w:r>
          </w:p>
        </w:tc>
      </w:tr>
    </w:tbl>
    <w:p w:rsidR="007B68CF" w:rsidRPr="00ED711A" w:rsidRDefault="0015567E" w:rsidP="008A31A8">
      <w:pPr>
        <w:pStyle w:val="H1PIC"/>
        <w:tabs>
          <w:tab w:val="clear" w:pos="9240"/>
          <w:tab w:val="left" w:pos="900"/>
        </w:tabs>
        <w:spacing w:before="120"/>
        <w:outlineLvl w:val="9"/>
        <w:rPr>
          <w:b w:val="0"/>
          <w:color w:val="auto"/>
          <w:sz w:val="20"/>
          <w:szCs w:val="20"/>
          <w:lang w:val="fr-CH"/>
        </w:rPr>
      </w:pPr>
      <w:bookmarkStart w:id="196" w:name="_Toc405798985"/>
      <w:bookmarkStart w:id="197" w:name="_Toc405800754"/>
      <w:bookmarkStart w:id="198" w:name="_Toc405887617"/>
      <w:bookmarkStart w:id="199" w:name="_Toc421544492"/>
      <w:bookmarkStart w:id="200" w:name="_Toc158029018"/>
      <w:bookmarkStart w:id="201" w:name="_Toc168731351"/>
      <w:bookmarkStart w:id="202" w:name="_Toc184545133"/>
      <w:bookmarkStart w:id="203" w:name="_Toc184545468"/>
      <w:r w:rsidRPr="00ED711A">
        <w:rPr>
          <w:b w:val="0"/>
          <w:color w:val="auto"/>
          <w:sz w:val="20"/>
          <w:szCs w:val="20"/>
          <w:lang w:val="fr-CH"/>
        </w:rPr>
        <w:t>*</w:t>
      </w:r>
      <w:r w:rsidR="009358E1" w:rsidRPr="00ED711A">
        <w:rPr>
          <w:b w:val="0"/>
          <w:color w:val="auto"/>
          <w:sz w:val="20"/>
          <w:szCs w:val="20"/>
          <w:lang w:val="fr-CH"/>
        </w:rPr>
        <w:t>Seuls les numéros du Service des résumés analytiques de chimie des composés parents sont indiqués. Pour avoi</w:t>
      </w:r>
      <w:r w:rsidR="00747640">
        <w:rPr>
          <w:b w:val="0"/>
          <w:color w:val="auto"/>
          <w:sz w:val="20"/>
          <w:szCs w:val="20"/>
          <w:lang w:val="fr-CH"/>
        </w:rPr>
        <w:t>r</w:t>
      </w:r>
      <w:r w:rsidR="009358E1" w:rsidRPr="00ED711A">
        <w:rPr>
          <w:b w:val="0"/>
          <w:color w:val="auto"/>
          <w:sz w:val="20"/>
          <w:szCs w:val="20"/>
          <w:lang w:val="fr-CH"/>
        </w:rPr>
        <w:t xml:space="preserve"> une liste des autres numéros appropriés du Service des résumés analytiques de chimie on pourra se référer au document d</w:t>
      </w:r>
      <w:r w:rsidR="000D310E" w:rsidRPr="00ED711A">
        <w:rPr>
          <w:b w:val="0"/>
          <w:color w:val="auto"/>
          <w:sz w:val="20"/>
          <w:szCs w:val="20"/>
          <w:lang w:val="fr-CH"/>
        </w:rPr>
        <w:t>’</w:t>
      </w:r>
      <w:r w:rsidR="009358E1" w:rsidRPr="00ED711A">
        <w:rPr>
          <w:b w:val="0"/>
          <w:color w:val="auto"/>
          <w:sz w:val="20"/>
          <w:szCs w:val="20"/>
          <w:lang w:val="fr-CH"/>
        </w:rPr>
        <w:t>orientation de décision pertinent</w:t>
      </w:r>
      <w:r w:rsidR="00BC73C4" w:rsidRPr="00ED711A">
        <w:rPr>
          <w:b w:val="0"/>
          <w:color w:val="auto"/>
          <w:sz w:val="20"/>
          <w:szCs w:val="20"/>
          <w:lang w:val="fr-CH"/>
        </w:rPr>
        <w:t>.</w:t>
      </w:r>
      <w:bookmarkEnd w:id="196"/>
      <w:bookmarkEnd w:id="197"/>
      <w:bookmarkEnd w:id="198"/>
      <w:bookmarkEnd w:id="199"/>
    </w:p>
    <w:p w:rsidR="00340E2B" w:rsidRPr="00ED711A" w:rsidRDefault="00340E2B" w:rsidP="00340E2B">
      <w:pPr>
        <w:tabs>
          <w:tab w:val="left" w:pos="9240"/>
        </w:tabs>
        <w:outlineLvl w:val="0"/>
        <w:rPr>
          <w:b/>
          <w:snapToGrid w:val="0"/>
          <w:sz w:val="22"/>
          <w:szCs w:val="22"/>
          <w:lang w:val="fr-CH"/>
        </w:rPr>
      </w:pPr>
      <w:bookmarkStart w:id="204" w:name="_Toc187484349"/>
      <w:bookmarkStart w:id="205" w:name="_Toc199906476"/>
      <w:bookmarkStart w:id="206" w:name="_Toc201032664"/>
      <w:bookmarkStart w:id="207" w:name="_Toc215915391"/>
      <w:bookmarkStart w:id="208" w:name="_Toc232307885"/>
      <w:bookmarkStart w:id="209" w:name="_Toc201032705"/>
      <w:bookmarkStart w:id="210" w:name="_Toc215915433"/>
      <w:bookmarkEnd w:id="200"/>
      <w:bookmarkEnd w:id="201"/>
      <w:bookmarkEnd w:id="202"/>
      <w:bookmarkEnd w:id="203"/>
    </w:p>
    <w:p w:rsidR="008A1D9E" w:rsidRPr="00ED711A" w:rsidRDefault="008A1D9E">
      <w:pPr>
        <w:rPr>
          <w:b/>
          <w:snapToGrid w:val="0"/>
          <w:sz w:val="22"/>
          <w:szCs w:val="22"/>
          <w:lang w:val="fr-CH"/>
        </w:rPr>
        <w:sectPr w:rsidR="008A1D9E" w:rsidRPr="00ED711A" w:rsidSect="008A1D9E">
          <w:headerReference w:type="even" r:id="rId51"/>
          <w:headerReference w:type="default" r:id="rId52"/>
          <w:footerReference w:type="even" r:id="rId53"/>
          <w:pgSz w:w="11907" w:h="16839" w:code="9"/>
          <w:pgMar w:top="1134" w:right="1134" w:bottom="1134" w:left="1134" w:header="709" w:footer="277" w:gutter="0"/>
          <w:cols w:space="709"/>
          <w:docGrid w:linePitch="360"/>
        </w:sectPr>
      </w:pPr>
      <w:bookmarkStart w:id="211" w:name="_Toc248296441"/>
      <w:bookmarkStart w:id="212" w:name="_Toc248307677"/>
      <w:bookmarkStart w:id="213" w:name="_Toc263866404"/>
      <w:bookmarkStart w:id="214" w:name="_Toc264391975"/>
      <w:bookmarkStart w:id="215" w:name="_Toc264393122"/>
      <w:bookmarkStart w:id="216" w:name="_Toc327357868"/>
      <w:bookmarkStart w:id="217" w:name="_Toc405887618"/>
      <w:bookmarkStart w:id="218" w:name="_Toc421544493"/>
    </w:p>
    <w:p w:rsidR="00C042B0" w:rsidRPr="00ED711A" w:rsidRDefault="001F46B4" w:rsidP="007B68CF">
      <w:pPr>
        <w:tabs>
          <w:tab w:val="left" w:pos="9240"/>
        </w:tabs>
        <w:jc w:val="center"/>
        <w:outlineLvl w:val="0"/>
        <w:rPr>
          <w:b/>
          <w:snapToGrid w:val="0"/>
          <w:lang w:val="fr-CH"/>
        </w:rPr>
      </w:pPr>
      <w:bookmarkStart w:id="219" w:name="_Toc468869220"/>
      <w:bookmarkStart w:id="220" w:name="_Toc468870504"/>
      <w:bookmarkStart w:id="221" w:name="_Toc468887031"/>
      <w:bookmarkStart w:id="222" w:name="_Toc469005610"/>
      <w:r w:rsidRPr="00ED711A">
        <w:rPr>
          <w:b/>
          <w:snapToGrid w:val="0"/>
          <w:lang w:val="fr-CH"/>
        </w:rPr>
        <w:lastRenderedPageBreak/>
        <w:t>APPENDI</w:t>
      </w:r>
      <w:r w:rsidR="00E67006" w:rsidRPr="00ED711A">
        <w:rPr>
          <w:b/>
          <w:snapToGrid w:val="0"/>
          <w:lang w:val="fr-CH"/>
        </w:rPr>
        <w:t>CE</w:t>
      </w:r>
      <w:r w:rsidRPr="00ED711A">
        <w:rPr>
          <w:b/>
          <w:snapToGrid w:val="0"/>
          <w:lang w:val="fr-CH"/>
        </w:rPr>
        <w:t xml:space="preserve"> IV</w:t>
      </w:r>
      <w:bookmarkEnd w:id="204"/>
      <w:bookmarkEnd w:id="205"/>
      <w:bookmarkEnd w:id="206"/>
      <w:bookmarkEnd w:id="207"/>
      <w:bookmarkEnd w:id="208"/>
      <w:bookmarkEnd w:id="211"/>
      <w:bookmarkEnd w:id="212"/>
      <w:bookmarkEnd w:id="213"/>
      <w:bookmarkEnd w:id="214"/>
      <w:bookmarkEnd w:id="215"/>
      <w:bookmarkEnd w:id="219"/>
      <w:bookmarkEnd w:id="220"/>
      <w:bookmarkEnd w:id="221"/>
      <w:bookmarkEnd w:id="222"/>
    </w:p>
    <w:p w:rsidR="00C042B0" w:rsidRPr="00ED711A" w:rsidRDefault="00C042B0" w:rsidP="007B68CF">
      <w:pPr>
        <w:tabs>
          <w:tab w:val="left" w:pos="9240"/>
        </w:tabs>
        <w:jc w:val="center"/>
        <w:outlineLvl w:val="0"/>
        <w:rPr>
          <w:b/>
          <w:snapToGrid w:val="0"/>
          <w:lang w:val="fr-CH"/>
        </w:rPr>
      </w:pPr>
    </w:p>
    <w:p w:rsidR="007B68CF" w:rsidRPr="00ED711A" w:rsidRDefault="00E67006" w:rsidP="007B68CF">
      <w:pPr>
        <w:tabs>
          <w:tab w:val="left" w:pos="9240"/>
        </w:tabs>
        <w:jc w:val="center"/>
        <w:outlineLvl w:val="0"/>
        <w:rPr>
          <w:b/>
          <w:lang w:val="fr-CH"/>
        </w:rPr>
      </w:pPr>
      <w:bookmarkStart w:id="223" w:name="_Toc469005611"/>
      <w:bookmarkEnd w:id="216"/>
      <w:bookmarkEnd w:id="217"/>
      <w:bookmarkEnd w:id="218"/>
      <w:r w:rsidRPr="003C616B">
        <w:rPr>
          <w:b/>
          <w:lang w:val="fr-CH"/>
        </w:rPr>
        <w:t>RÉCAPITULATION DE TOUTES LES DECISIONS CONCERNANT L</w:t>
      </w:r>
      <w:r w:rsidR="000D310E" w:rsidRPr="003C616B">
        <w:rPr>
          <w:b/>
          <w:lang w:val="fr-CH"/>
        </w:rPr>
        <w:t>’</w:t>
      </w:r>
      <w:r w:rsidRPr="003C616B">
        <w:rPr>
          <w:b/>
          <w:lang w:val="fr-CH"/>
        </w:rPr>
        <w:t>IMPORTATION</w:t>
      </w:r>
      <w:bookmarkEnd w:id="223"/>
      <w:r w:rsidR="00482271" w:rsidRPr="003C616B">
        <w:rPr>
          <w:b/>
          <w:lang w:val="fr-CH"/>
        </w:rPr>
        <w:t xml:space="preserve"> REÇUES DES PARTIES ET </w:t>
      </w:r>
      <w:r w:rsidR="00650D8E" w:rsidRPr="003C616B">
        <w:rPr>
          <w:b/>
          <w:lang w:val="fr-CH"/>
        </w:rPr>
        <w:t xml:space="preserve">LES </w:t>
      </w:r>
      <w:r w:rsidR="00482271" w:rsidRPr="003C616B">
        <w:rPr>
          <w:b/>
          <w:lang w:val="fr-CH"/>
        </w:rPr>
        <w:t xml:space="preserve">CAS OÙ </w:t>
      </w:r>
      <w:r w:rsidR="00650D8E" w:rsidRPr="003C616B">
        <w:rPr>
          <w:b/>
          <w:lang w:val="fr-CH"/>
        </w:rPr>
        <w:t>DES</w:t>
      </w:r>
      <w:r w:rsidR="00482271" w:rsidRPr="003C616B">
        <w:rPr>
          <w:b/>
          <w:lang w:val="fr-CH"/>
        </w:rPr>
        <w:t xml:space="preserve"> RÉPONSE</w:t>
      </w:r>
      <w:r w:rsidR="00650D8E" w:rsidRPr="003C616B">
        <w:rPr>
          <w:b/>
          <w:lang w:val="fr-CH"/>
        </w:rPr>
        <w:t>S</w:t>
      </w:r>
      <w:r w:rsidR="00482271" w:rsidRPr="003C616B">
        <w:rPr>
          <w:b/>
          <w:lang w:val="fr-CH"/>
        </w:rPr>
        <w:t xml:space="preserve"> N’</w:t>
      </w:r>
      <w:r w:rsidR="00650D8E" w:rsidRPr="003C616B">
        <w:rPr>
          <w:b/>
          <w:lang w:val="fr-CH"/>
        </w:rPr>
        <w:t>ONT</w:t>
      </w:r>
      <w:r w:rsidR="00482271" w:rsidRPr="003C616B">
        <w:rPr>
          <w:b/>
          <w:lang w:val="fr-CH"/>
        </w:rPr>
        <w:t xml:space="preserve"> PAS ÉTÉ </w:t>
      </w:r>
      <w:r w:rsidR="00650D8E" w:rsidRPr="003C616B">
        <w:rPr>
          <w:b/>
          <w:lang w:val="fr-CH"/>
        </w:rPr>
        <w:t>SOUMISES</w:t>
      </w:r>
    </w:p>
    <w:p w:rsidR="007B68CF" w:rsidRPr="00ED711A" w:rsidRDefault="007B68CF" w:rsidP="007B68CF">
      <w:pPr>
        <w:rPr>
          <w:sz w:val="22"/>
          <w:szCs w:val="22"/>
          <w:lang w:val="fr-CH"/>
        </w:rPr>
      </w:pPr>
    </w:p>
    <w:p w:rsidR="00C042B0" w:rsidRPr="00ED711A" w:rsidRDefault="00C042B0" w:rsidP="007B68CF">
      <w:pPr>
        <w:jc w:val="both"/>
        <w:rPr>
          <w:sz w:val="22"/>
          <w:szCs w:val="22"/>
          <w:lang w:val="fr-CH"/>
        </w:rPr>
      </w:pPr>
      <w:bookmarkStart w:id="224" w:name="OLE_LINK15"/>
    </w:p>
    <w:p w:rsidR="00E67006" w:rsidRPr="00ED711A" w:rsidRDefault="00E67006" w:rsidP="00E67006">
      <w:pPr>
        <w:autoSpaceDE w:val="0"/>
        <w:autoSpaceDN w:val="0"/>
        <w:adjustRightInd w:val="0"/>
        <w:jc w:val="both"/>
        <w:rPr>
          <w:sz w:val="22"/>
          <w:szCs w:val="22"/>
          <w:lang w:val="fr-CH"/>
        </w:rPr>
      </w:pPr>
      <w:r w:rsidRPr="00ED711A">
        <w:rPr>
          <w:sz w:val="22"/>
          <w:szCs w:val="22"/>
          <w:lang w:val="fr-CH"/>
        </w:rPr>
        <w:t>Une liste de toutes les réponses concernant l</w:t>
      </w:r>
      <w:r w:rsidR="000D310E" w:rsidRPr="00ED711A">
        <w:rPr>
          <w:sz w:val="22"/>
          <w:szCs w:val="22"/>
          <w:lang w:val="fr-CH"/>
        </w:rPr>
        <w:t>’</w:t>
      </w:r>
      <w:r w:rsidRPr="00ED711A">
        <w:rPr>
          <w:sz w:val="22"/>
          <w:szCs w:val="22"/>
          <w:lang w:val="fr-CH"/>
        </w:rPr>
        <w:t xml:space="preserve">importation émanant des Parties et les cas où </w:t>
      </w:r>
      <w:r w:rsidR="003C616B">
        <w:rPr>
          <w:sz w:val="22"/>
          <w:szCs w:val="22"/>
          <w:lang w:val="fr-CH"/>
        </w:rPr>
        <w:t>des</w:t>
      </w:r>
      <w:r w:rsidRPr="00ED711A">
        <w:rPr>
          <w:sz w:val="22"/>
          <w:szCs w:val="22"/>
          <w:lang w:val="fr-CH"/>
        </w:rPr>
        <w:t xml:space="preserve"> réponse</w:t>
      </w:r>
      <w:r w:rsidR="003C616B">
        <w:rPr>
          <w:sz w:val="22"/>
          <w:szCs w:val="22"/>
          <w:lang w:val="fr-CH"/>
        </w:rPr>
        <w:t>s</w:t>
      </w:r>
      <w:r w:rsidRPr="00ED711A">
        <w:rPr>
          <w:sz w:val="22"/>
          <w:szCs w:val="22"/>
          <w:lang w:val="fr-CH"/>
        </w:rPr>
        <w:t xml:space="preserve"> n</w:t>
      </w:r>
      <w:r w:rsidR="000D310E" w:rsidRPr="00ED711A">
        <w:rPr>
          <w:sz w:val="22"/>
          <w:szCs w:val="22"/>
          <w:lang w:val="fr-CH"/>
        </w:rPr>
        <w:t>’</w:t>
      </w:r>
      <w:r w:rsidR="003C616B">
        <w:rPr>
          <w:sz w:val="22"/>
          <w:szCs w:val="22"/>
          <w:lang w:val="fr-CH"/>
        </w:rPr>
        <w:t>ont</w:t>
      </w:r>
      <w:r w:rsidRPr="00ED711A">
        <w:rPr>
          <w:sz w:val="22"/>
          <w:szCs w:val="22"/>
          <w:lang w:val="fr-CH"/>
        </w:rPr>
        <w:t xml:space="preserve"> pas été </w:t>
      </w:r>
      <w:r w:rsidR="003C616B">
        <w:rPr>
          <w:sz w:val="22"/>
          <w:szCs w:val="22"/>
          <w:lang w:val="fr-CH"/>
        </w:rPr>
        <w:t>soumises</w:t>
      </w:r>
      <w:r w:rsidRPr="00ED711A">
        <w:rPr>
          <w:sz w:val="22"/>
          <w:szCs w:val="22"/>
          <w:lang w:val="fr-CH"/>
        </w:rPr>
        <w:t xml:space="preserve"> sont disponibles comme base de données en ligne sur le site web de la Convention:</w:t>
      </w:r>
    </w:p>
    <w:p w:rsidR="00E67006" w:rsidRDefault="00E526E5" w:rsidP="00E67006">
      <w:pPr>
        <w:autoSpaceDE w:val="0"/>
        <w:autoSpaceDN w:val="0"/>
        <w:adjustRightInd w:val="0"/>
        <w:jc w:val="both"/>
        <w:rPr>
          <w:sz w:val="22"/>
          <w:szCs w:val="22"/>
          <w:lang w:val="fr-CH"/>
        </w:rPr>
      </w:pPr>
      <w:hyperlink r:id="rId54" w:history="1">
        <w:r w:rsidR="00967A29" w:rsidRPr="00CA1D2A">
          <w:rPr>
            <w:rStyle w:val="Hyperlink"/>
            <w:sz w:val="22"/>
            <w:szCs w:val="22"/>
            <w:lang w:val="fr-CH"/>
          </w:rPr>
          <w:t>http://www.pic.int/tabid/1817/language/fr-CH/Default.aspx</w:t>
        </w:r>
      </w:hyperlink>
      <w:r w:rsidR="00967A29">
        <w:rPr>
          <w:sz w:val="22"/>
          <w:szCs w:val="22"/>
          <w:lang w:val="fr-CH"/>
        </w:rPr>
        <w:t>.</w:t>
      </w:r>
    </w:p>
    <w:p w:rsidR="00E67006" w:rsidRPr="00ED711A" w:rsidRDefault="00E67006" w:rsidP="00E67006">
      <w:pPr>
        <w:autoSpaceDE w:val="0"/>
        <w:autoSpaceDN w:val="0"/>
        <w:adjustRightInd w:val="0"/>
        <w:jc w:val="both"/>
        <w:rPr>
          <w:sz w:val="22"/>
          <w:szCs w:val="22"/>
          <w:lang w:val="fr-CH"/>
        </w:rPr>
      </w:pPr>
    </w:p>
    <w:p w:rsidR="00E67006" w:rsidRPr="00ED711A" w:rsidRDefault="00E67006" w:rsidP="00E67006">
      <w:pPr>
        <w:autoSpaceDE w:val="0"/>
        <w:autoSpaceDN w:val="0"/>
        <w:adjustRightInd w:val="0"/>
        <w:jc w:val="both"/>
        <w:rPr>
          <w:sz w:val="22"/>
          <w:szCs w:val="22"/>
          <w:lang w:val="fr-CH"/>
        </w:rPr>
      </w:pPr>
      <w:r w:rsidRPr="00ED711A">
        <w:rPr>
          <w:sz w:val="22"/>
          <w:szCs w:val="22"/>
          <w:lang w:val="fr-CH"/>
        </w:rPr>
        <w:t xml:space="preserve">La base de données </w:t>
      </w:r>
      <w:r w:rsidR="00747640" w:rsidRPr="00747640">
        <w:rPr>
          <w:sz w:val="22"/>
          <w:szCs w:val="22"/>
          <w:lang w:val="fr-CH"/>
        </w:rPr>
        <w:t>en ligne est présentée sous</w:t>
      </w:r>
      <w:r w:rsidR="00747640">
        <w:rPr>
          <w:sz w:val="22"/>
          <w:szCs w:val="22"/>
          <w:lang w:val="fr-CH"/>
        </w:rPr>
        <w:t xml:space="preserve"> </w:t>
      </w:r>
      <w:r w:rsidRPr="00ED711A">
        <w:rPr>
          <w:sz w:val="22"/>
          <w:szCs w:val="22"/>
          <w:lang w:val="fr-CH"/>
        </w:rPr>
        <w:t xml:space="preserve">quatre onglets: </w:t>
      </w:r>
    </w:p>
    <w:p w:rsidR="00E67006" w:rsidRPr="00ED711A" w:rsidRDefault="00E67006" w:rsidP="00D56D2C">
      <w:pPr>
        <w:pStyle w:val="ListParagraph"/>
        <w:numPr>
          <w:ilvl w:val="0"/>
          <w:numId w:val="10"/>
        </w:numPr>
        <w:autoSpaceDE w:val="0"/>
        <w:autoSpaceDN w:val="0"/>
        <w:adjustRightInd w:val="0"/>
        <w:jc w:val="both"/>
        <w:rPr>
          <w:sz w:val="22"/>
          <w:szCs w:val="22"/>
          <w:lang w:val="fr-CH"/>
        </w:rPr>
      </w:pPr>
      <w:r w:rsidRPr="00ED711A">
        <w:rPr>
          <w:sz w:val="22"/>
          <w:szCs w:val="22"/>
          <w:lang w:val="fr-CH"/>
        </w:rPr>
        <w:t>Réponses concernant l</w:t>
      </w:r>
      <w:r w:rsidR="000D310E" w:rsidRPr="00ED711A">
        <w:rPr>
          <w:sz w:val="22"/>
          <w:szCs w:val="22"/>
          <w:lang w:val="fr-CH"/>
        </w:rPr>
        <w:t>’</w:t>
      </w:r>
      <w:r w:rsidRPr="00ED711A">
        <w:rPr>
          <w:sz w:val="22"/>
          <w:szCs w:val="22"/>
          <w:lang w:val="fr-CH"/>
        </w:rPr>
        <w:t xml:space="preserve">importation récemment </w:t>
      </w:r>
      <w:r w:rsidR="001C5D83">
        <w:rPr>
          <w:sz w:val="22"/>
          <w:szCs w:val="22"/>
          <w:lang w:val="fr-CH"/>
        </w:rPr>
        <w:t>diffusées</w:t>
      </w:r>
      <w:r w:rsidRPr="00ED711A">
        <w:rPr>
          <w:sz w:val="22"/>
          <w:szCs w:val="22"/>
          <w:lang w:val="fr-CH"/>
        </w:rPr>
        <w:t>;</w:t>
      </w:r>
    </w:p>
    <w:p w:rsidR="00E67006" w:rsidRPr="00ED711A" w:rsidRDefault="00E67006" w:rsidP="00D56D2C">
      <w:pPr>
        <w:pStyle w:val="ListParagraph"/>
        <w:numPr>
          <w:ilvl w:val="0"/>
          <w:numId w:val="10"/>
        </w:numPr>
        <w:autoSpaceDE w:val="0"/>
        <w:autoSpaceDN w:val="0"/>
        <w:adjustRightInd w:val="0"/>
        <w:jc w:val="both"/>
        <w:rPr>
          <w:sz w:val="22"/>
          <w:szCs w:val="22"/>
          <w:lang w:val="fr-CH"/>
        </w:rPr>
      </w:pPr>
      <w:r w:rsidRPr="00ED711A">
        <w:rPr>
          <w:sz w:val="22"/>
          <w:szCs w:val="22"/>
          <w:lang w:val="fr-CH"/>
        </w:rPr>
        <w:t>Réponses concernant l</w:t>
      </w:r>
      <w:r w:rsidR="000D310E" w:rsidRPr="00ED711A">
        <w:rPr>
          <w:sz w:val="22"/>
          <w:szCs w:val="22"/>
          <w:lang w:val="fr-CH"/>
        </w:rPr>
        <w:t>’</w:t>
      </w:r>
      <w:r w:rsidRPr="00ED711A">
        <w:rPr>
          <w:sz w:val="22"/>
          <w:szCs w:val="22"/>
          <w:lang w:val="fr-CH"/>
        </w:rPr>
        <w:t>importation par Partie;</w:t>
      </w:r>
    </w:p>
    <w:p w:rsidR="00E67006" w:rsidRPr="00ED711A" w:rsidRDefault="00E67006" w:rsidP="00D56D2C">
      <w:pPr>
        <w:pStyle w:val="ListParagraph"/>
        <w:numPr>
          <w:ilvl w:val="0"/>
          <w:numId w:val="10"/>
        </w:numPr>
        <w:autoSpaceDE w:val="0"/>
        <w:autoSpaceDN w:val="0"/>
        <w:adjustRightInd w:val="0"/>
        <w:jc w:val="both"/>
        <w:rPr>
          <w:sz w:val="22"/>
          <w:szCs w:val="22"/>
          <w:lang w:val="fr-CH"/>
        </w:rPr>
      </w:pPr>
      <w:r w:rsidRPr="00ED711A">
        <w:rPr>
          <w:sz w:val="22"/>
          <w:szCs w:val="22"/>
          <w:lang w:val="fr-CH"/>
        </w:rPr>
        <w:t>Réponses concernant l</w:t>
      </w:r>
      <w:r w:rsidR="000D310E" w:rsidRPr="00ED711A">
        <w:rPr>
          <w:sz w:val="22"/>
          <w:szCs w:val="22"/>
          <w:lang w:val="fr-CH"/>
        </w:rPr>
        <w:t>’</w:t>
      </w:r>
      <w:r w:rsidRPr="00ED711A">
        <w:rPr>
          <w:sz w:val="22"/>
          <w:szCs w:val="22"/>
          <w:lang w:val="fr-CH"/>
        </w:rPr>
        <w:t>importation par produit chimique;</w:t>
      </w:r>
    </w:p>
    <w:p w:rsidR="00E67006" w:rsidRPr="00ED711A" w:rsidRDefault="00650D8E" w:rsidP="00D56D2C">
      <w:pPr>
        <w:pStyle w:val="ListParagraph"/>
        <w:numPr>
          <w:ilvl w:val="0"/>
          <w:numId w:val="10"/>
        </w:numPr>
        <w:autoSpaceDE w:val="0"/>
        <w:autoSpaceDN w:val="0"/>
        <w:adjustRightInd w:val="0"/>
        <w:jc w:val="both"/>
        <w:rPr>
          <w:sz w:val="22"/>
          <w:szCs w:val="22"/>
          <w:lang w:val="fr-CH"/>
        </w:rPr>
      </w:pPr>
      <w:r>
        <w:rPr>
          <w:sz w:val="22"/>
          <w:szCs w:val="22"/>
          <w:lang w:val="fr-CH"/>
        </w:rPr>
        <w:t>Cas où des</w:t>
      </w:r>
      <w:r w:rsidR="00E67006" w:rsidRPr="00ED711A">
        <w:rPr>
          <w:sz w:val="22"/>
          <w:szCs w:val="22"/>
          <w:lang w:val="fr-CH"/>
        </w:rPr>
        <w:t xml:space="preserve"> réponse</w:t>
      </w:r>
      <w:r>
        <w:rPr>
          <w:sz w:val="22"/>
          <w:szCs w:val="22"/>
          <w:lang w:val="fr-CH"/>
        </w:rPr>
        <w:t>s</w:t>
      </w:r>
      <w:r w:rsidR="00E67006" w:rsidRPr="00ED711A">
        <w:rPr>
          <w:sz w:val="22"/>
          <w:szCs w:val="22"/>
          <w:lang w:val="fr-CH"/>
        </w:rPr>
        <w:t xml:space="preserve"> n</w:t>
      </w:r>
      <w:r w:rsidR="000D310E" w:rsidRPr="00ED711A">
        <w:rPr>
          <w:sz w:val="22"/>
          <w:szCs w:val="22"/>
          <w:lang w:val="fr-CH"/>
        </w:rPr>
        <w:t>’</w:t>
      </w:r>
      <w:r>
        <w:rPr>
          <w:sz w:val="22"/>
          <w:szCs w:val="22"/>
          <w:lang w:val="fr-CH"/>
        </w:rPr>
        <w:t>ont</w:t>
      </w:r>
      <w:r w:rsidR="00E67006" w:rsidRPr="00ED711A">
        <w:rPr>
          <w:sz w:val="22"/>
          <w:szCs w:val="22"/>
          <w:lang w:val="fr-CH"/>
        </w:rPr>
        <w:t xml:space="preserve"> pas été </w:t>
      </w:r>
      <w:r>
        <w:rPr>
          <w:sz w:val="22"/>
          <w:szCs w:val="22"/>
          <w:lang w:val="fr-CH"/>
        </w:rPr>
        <w:t>soumises</w:t>
      </w:r>
      <w:r w:rsidR="00E67006" w:rsidRPr="00ED711A">
        <w:rPr>
          <w:sz w:val="22"/>
          <w:szCs w:val="22"/>
          <w:lang w:val="fr-CH"/>
        </w:rPr>
        <w:t>.</w:t>
      </w:r>
    </w:p>
    <w:p w:rsidR="00E67006" w:rsidRPr="00ED711A" w:rsidRDefault="00E67006" w:rsidP="00E67006">
      <w:pPr>
        <w:autoSpaceDE w:val="0"/>
        <w:autoSpaceDN w:val="0"/>
        <w:adjustRightInd w:val="0"/>
        <w:jc w:val="both"/>
        <w:rPr>
          <w:sz w:val="22"/>
          <w:szCs w:val="22"/>
          <w:lang w:val="fr-CH"/>
        </w:rPr>
      </w:pPr>
    </w:p>
    <w:p w:rsidR="00E67006" w:rsidRPr="00ED711A" w:rsidRDefault="00E67006" w:rsidP="00E67006">
      <w:pPr>
        <w:autoSpaceDE w:val="0"/>
        <w:autoSpaceDN w:val="0"/>
        <w:adjustRightInd w:val="0"/>
        <w:jc w:val="both"/>
        <w:rPr>
          <w:sz w:val="22"/>
          <w:szCs w:val="22"/>
          <w:lang w:val="fr-CH"/>
        </w:rPr>
      </w:pPr>
      <w:r w:rsidRPr="00ED711A">
        <w:rPr>
          <w:sz w:val="22"/>
          <w:szCs w:val="22"/>
          <w:lang w:val="fr-CH"/>
        </w:rPr>
        <w:t>Les nouvelles réponses concernant l</w:t>
      </w:r>
      <w:r w:rsidR="000D310E" w:rsidRPr="00ED711A">
        <w:rPr>
          <w:sz w:val="22"/>
          <w:szCs w:val="22"/>
          <w:lang w:val="fr-CH"/>
        </w:rPr>
        <w:t>’</w:t>
      </w:r>
      <w:r w:rsidRPr="00ED711A">
        <w:rPr>
          <w:sz w:val="22"/>
          <w:szCs w:val="22"/>
          <w:lang w:val="fr-CH"/>
        </w:rPr>
        <w:t>importation depuis la dernière Circulaire PIC (entre le 1</w:t>
      </w:r>
      <w:r w:rsidRPr="00ED711A">
        <w:rPr>
          <w:sz w:val="22"/>
          <w:szCs w:val="22"/>
          <w:vertAlign w:val="superscript"/>
          <w:lang w:val="fr-CH"/>
        </w:rPr>
        <w:t>er</w:t>
      </w:r>
      <w:r w:rsidRPr="00ED711A">
        <w:rPr>
          <w:sz w:val="22"/>
          <w:szCs w:val="22"/>
          <w:lang w:val="fr-CH"/>
        </w:rPr>
        <w:t xml:space="preserve"> mai 2016 et le 31 octobre 2016) peuvent être consultées sous le premier onglet </w:t>
      </w:r>
      <w:r w:rsidR="007F747C">
        <w:rPr>
          <w:sz w:val="22"/>
          <w:szCs w:val="22"/>
          <w:lang w:val="fr-FR"/>
        </w:rPr>
        <w:t xml:space="preserve">« </w:t>
      </w:r>
      <w:r w:rsidRPr="00ED711A">
        <w:rPr>
          <w:sz w:val="22"/>
          <w:szCs w:val="22"/>
          <w:lang w:val="fr-CH"/>
        </w:rPr>
        <w:t>Réponses concernant l</w:t>
      </w:r>
      <w:r w:rsidR="000D310E" w:rsidRPr="00ED711A">
        <w:rPr>
          <w:sz w:val="22"/>
          <w:szCs w:val="22"/>
          <w:lang w:val="fr-CH"/>
        </w:rPr>
        <w:t>’</w:t>
      </w:r>
      <w:r w:rsidRPr="00ED711A">
        <w:rPr>
          <w:sz w:val="22"/>
          <w:szCs w:val="22"/>
          <w:lang w:val="fr-CH"/>
        </w:rPr>
        <w:t xml:space="preserve">importation récemment </w:t>
      </w:r>
      <w:r w:rsidR="001C5D83">
        <w:rPr>
          <w:sz w:val="22"/>
          <w:szCs w:val="22"/>
          <w:lang w:val="fr-CH"/>
        </w:rPr>
        <w:t>diffusées</w:t>
      </w:r>
      <w:r w:rsidR="007F747C">
        <w:rPr>
          <w:sz w:val="22"/>
          <w:szCs w:val="22"/>
          <w:lang w:val="fr-CH"/>
        </w:rPr>
        <w:t xml:space="preserve"> </w:t>
      </w:r>
      <w:r w:rsidR="007F747C" w:rsidRPr="00ED711A">
        <w:rPr>
          <w:sz w:val="22"/>
          <w:szCs w:val="22"/>
          <w:lang w:val="fr-FR"/>
        </w:rPr>
        <w:t>»</w:t>
      </w:r>
      <w:r w:rsidRPr="00ED711A">
        <w:rPr>
          <w:sz w:val="22"/>
          <w:szCs w:val="22"/>
          <w:lang w:val="fr-CH"/>
        </w:rPr>
        <w:t>. Un aperçu de ces nouvelles réponses concernant l</w:t>
      </w:r>
      <w:r w:rsidR="000D310E" w:rsidRPr="00ED711A">
        <w:rPr>
          <w:sz w:val="22"/>
          <w:szCs w:val="22"/>
          <w:lang w:val="fr-CH"/>
        </w:rPr>
        <w:t>’</w:t>
      </w:r>
      <w:r w:rsidRPr="00ED711A">
        <w:rPr>
          <w:sz w:val="22"/>
          <w:szCs w:val="22"/>
          <w:lang w:val="fr-CH"/>
        </w:rPr>
        <w:t xml:space="preserve">importation est disponible dans cet appendice. </w:t>
      </w:r>
    </w:p>
    <w:p w:rsidR="00E67006" w:rsidRPr="00ED711A" w:rsidRDefault="00E67006" w:rsidP="00E67006">
      <w:pPr>
        <w:autoSpaceDE w:val="0"/>
        <w:autoSpaceDN w:val="0"/>
        <w:adjustRightInd w:val="0"/>
        <w:jc w:val="both"/>
        <w:rPr>
          <w:sz w:val="22"/>
          <w:szCs w:val="22"/>
          <w:lang w:val="fr-CH"/>
        </w:rPr>
      </w:pPr>
    </w:p>
    <w:p w:rsidR="00E67006" w:rsidRPr="00ED711A" w:rsidRDefault="00E67006" w:rsidP="00E67006">
      <w:pPr>
        <w:autoSpaceDE w:val="0"/>
        <w:autoSpaceDN w:val="0"/>
        <w:adjustRightInd w:val="0"/>
        <w:jc w:val="both"/>
        <w:rPr>
          <w:sz w:val="22"/>
          <w:szCs w:val="22"/>
          <w:lang w:val="fr-CH"/>
        </w:rPr>
      </w:pPr>
      <w:r w:rsidRPr="00ED711A">
        <w:rPr>
          <w:sz w:val="22"/>
          <w:szCs w:val="22"/>
          <w:lang w:val="fr-CH"/>
        </w:rPr>
        <w:t>Toutes les réponses concernant l</w:t>
      </w:r>
      <w:r w:rsidR="000D310E" w:rsidRPr="00ED711A">
        <w:rPr>
          <w:sz w:val="22"/>
          <w:szCs w:val="22"/>
          <w:lang w:val="fr-CH"/>
        </w:rPr>
        <w:t>’</w:t>
      </w:r>
      <w:r w:rsidRPr="00ED711A">
        <w:rPr>
          <w:sz w:val="22"/>
          <w:szCs w:val="22"/>
          <w:lang w:val="fr-CH"/>
        </w:rPr>
        <w:t xml:space="preserve">importation peuvent être consultées sous le deuxième onglet </w:t>
      </w:r>
      <w:r w:rsidR="007F747C">
        <w:rPr>
          <w:sz w:val="22"/>
          <w:szCs w:val="22"/>
          <w:lang w:val="fr-FR"/>
        </w:rPr>
        <w:t xml:space="preserve">« </w:t>
      </w:r>
      <w:r w:rsidRPr="00ED711A">
        <w:rPr>
          <w:sz w:val="22"/>
          <w:szCs w:val="22"/>
          <w:lang w:val="fr-CH"/>
        </w:rPr>
        <w:t>Réponses concernant l</w:t>
      </w:r>
      <w:r w:rsidR="000D310E" w:rsidRPr="00ED711A">
        <w:rPr>
          <w:sz w:val="22"/>
          <w:szCs w:val="22"/>
          <w:lang w:val="fr-CH"/>
        </w:rPr>
        <w:t>’</w:t>
      </w:r>
      <w:r w:rsidRPr="00ED711A">
        <w:rPr>
          <w:sz w:val="22"/>
          <w:szCs w:val="22"/>
          <w:lang w:val="fr-CH"/>
        </w:rPr>
        <w:t>importation par Partie</w:t>
      </w:r>
      <w:r w:rsidR="007F747C">
        <w:rPr>
          <w:sz w:val="22"/>
          <w:szCs w:val="22"/>
          <w:lang w:val="fr-CH"/>
        </w:rPr>
        <w:t xml:space="preserve"> </w:t>
      </w:r>
      <w:r w:rsidR="007F747C" w:rsidRPr="00ED711A">
        <w:rPr>
          <w:sz w:val="22"/>
          <w:szCs w:val="22"/>
          <w:lang w:val="fr-FR"/>
        </w:rPr>
        <w:t>»</w:t>
      </w:r>
      <w:r w:rsidRPr="00ED711A">
        <w:rPr>
          <w:sz w:val="22"/>
          <w:szCs w:val="22"/>
          <w:lang w:val="fr-CH"/>
        </w:rPr>
        <w:t xml:space="preserve"> ou le troisième onglet </w:t>
      </w:r>
      <w:r w:rsidR="007F747C">
        <w:rPr>
          <w:sz w:val="22"/>
          <w:szCs w:val="22"/>
          <w:lang w:val="fr-FR"/>
        </w:rPr>
        <w:t xml:space="preserve">« </w:t>
      </w:r>
      <w:r w:rsidRPr="00ED711A">
        <w:rPr>
          <w:sz w:val="22"/>
          <w:szCs w:val="22"/>
          <w:lang w:val="fr-CH"/>
        </w:rPr>
        <w:t>Réponses concernant l</w:t>
      </w:r>
      <w:r w:rsidR="000D310E" w:rsidRPr="00ED711A">
        <w:rPr>
          <w:sz w:val="22"/>
          <w:szCs w:val="22"/>
          <w:lang w:val="fr-CH"/>
        </w:rPr>
        <w:t>’</w:t>
      </w:r>
      <w:r w:rsidRPr="00ED711A">
        <w:rPr>
          <w:sz w:val="22"/>
          <w:szCs w:val="22"/>
          <w:lang w:val="fr-CH"/>
        </w:rPr>
        <w:t>importation par produit chimique</w:t>
      </w:r>
      <w:r w:rsidR="007F747C">
        <w:rPr>
          <w:sz w:val="22"/>
          <w:szCs w:val="22"/>
          <w:lang w:val="fr-CH"/>
        </w:rPr>
        <w:t xml:space="preserve"> </w:t>
      </w:r>
      <w:r w:rsidR="007F747C" w:rsidRPr="00ED711A">
        <w:rPr>
          <w:sz w:val="22"/>
          <w:szCs w:val="22"/>
          <w:lang w:val="fr-FR"/>
        </w:rPr>
        <w:t>»</w:t>
      </w:r>
      <w:r w:rsidRPr="00ED711A">
        <w:rPr>
          <w:sz w:val="22"/>
          <w:szCs w:val="22"/>
          <w:lang w:val="fr-CH"/>
        </w:rPr>
        <w:t>.</w:t>
      </w:r>
    </w:p>
    <w:p w:rsidR="00E67006" w:rsidRPr="00ED711A" w:rsidRDefault="00E67006" w:rsidP="00E67006">
      <w:pPr>
        <w:autoSpaceDE w:val="0"/>
        <w:autoSpaceDN w:val="0"/>
        <w:adjustRightInd w:val="0"/>
        <w:jc w:val="both"/>
        <w:rPr>
          <w:sz w:val="22"/>
          <w:szCs w:val="22"/>
          <w:lang w:val="fr-CH"/>
        </w:rPr>
      </w:pPr>
    </w:p>
    <w:p w:rsidR="00841110" w:rsidRPr="00ED711A" w:rsidRDefault="00E67006" w:rsidP="00E67006">
      <w:pPr>
        <w:autoSpaceDE w:val="0"/>
        <w:autoSpaceDN w:val="0"/>
        <w:adjustRightInd w:val="0"/>
        <w:jc w:val="both"/>
        <w:rPr>
          <w:sz w:val="22"/>
          <w:szCs w:val="22"/>
          <w:lang w:val="fr-CH"/>
        </w:rPr>
      </w:pPr>
      <w:r w:rsidRPr="00ED711A">
        <w:rPr>
          <w:sz w:val="22"/>
          <w:szCs w:val="22"/>
          <w:lang w:val="fr-CH"/>
        </w:rPr>
        <w:t>Une liste des Parties qui n</w:t>
      </w:r>
      <w:r w:rsidR="000D310E" w:rsidRPr="00ED711A">
        <w:rPr>
          <w:sz w:val="22"/>
          <w:szCs w:val="22"/>
          <w:lang w:val="fr-CH"/>
        </w:rPr>
        <w:t>’</w:t>
      </w:r>
      <w:r w:rsidRPr="00ED711A">
        <w:rPr>
          <w:sz w:val="22"/>
          <w:szCs w:val="22"/>
          <w:lang w:val="fr-CH"/>
        </w:rPr>
        <w:t>ont pas</w:t>
      </w:r>
      <w:r w:rsidR="003C616B">
        <w:rPr>
          <w:sz w:val="22"/>
          <w:szCs w:val="22"/>
          <w:lang w:val="fr-CH"/>
        </w:rPr>
        <w:t xml:space="preserve"> présenté de réponse concernant</w:t>
      </w:r>
      <w:r w:rsidRPr="00ED711A">
        <w:rPr>
          <w:sz w:val="22"/>
          <w:szCs w:val="22"/>
          <w:lang w:val="fr-CH"/>
        </w:rPr>
        <w:t xml:space="preserve"> l</w:t>
      </w:r>
      <w:r w:rsidR="000D310E" w:rsidRPr="00ED711A">
        <w:rPr>
          <w:sz w:val="22"/>
          <w:szCs w:val="22"/>
          <w:lang w:val="fr-CH"/>
        </w:rPr>
        <w:t>’</w:t>
      </w:r>
      <w:r w:rsidRPr="00ED711A">
        <w:rPr>
          <w:sz w:val="22"/>
          <w:szCs w:val="22"/>
          <w:lang w:val="fr-CH"/>
        </w:rPr>
        <w:t>importation future d</w:t>
      </w:r>
      <w:r w:rsidR="000D310E" w:rsidRPr="00ED711A">
        <w:rPr>
          <w:sz w:val="22"/>
          <w:szCs w:val="22"/>
          <w:lang w:val="fr-CH"/>
        </w:rPr>
        <w:t>’</w:t>
      </w:r>
      <w:r w:rsidRPr="00ED711A">
        <w:rPr>
          <w:sz w:val="22"/>
          <w:szCs w:val="22"/>
          <w:lang w:val="fr-CH"/>
        </w:rPr>
        <w:t>un produit chimique dans les 9 mois à partir de la date d</w:t>
      </w:r>
      <w:r w:rsidR="000D310E" w:rsidRPr="00ED711A">
        <w:rPr>
          <w:sz w:val="22"/>
          <w:szCs w:val="22"/>
          <w:lang w:val="fr-CH"/>
        </w:rPr>
        <w:t>’</w:t>
      </w:r>
      <w:r w:rsidRPr="00ED711A">
        <w:rPr>
          <w:sz w:val="22"/>
          <w:szCs w:val="22"/>
          <w:lang w:val="fr-CH"/>
        </w:rPr>
        <w:t xml:space="preserve">envoi du </w:t>
      </w:r>
      <w:r w:rsidR="003C616B">
        <w:rPr>
          <w:sz w:val="22"/>
          <w:szCs w:val="22"/>
          <w:lang w:val="fr-CH"/>
        </w:rPr>
        <w:t>d</w:t>
      </w:r>
      <w:r w:rsidRPr="00ED711A">
        <w:rPr>
          <w:sz w:val="22"/>
          <w:szCs w:val="22"/>
          <w:lang w:val="fr-CH"/>
        </w:rPr>
        <w:t>ocument d</w:t>
      </w:r>
      <w:r w:rsidR="000D310E" w:rsidRPr="00ED711A">
        <w:rPr>
          <w:sz w:val="22"/>
          <w:szCs w:val="22"/>
          <w:lang w:val="fr-CH"/>
        </w:rPr>
        <w:t>’</w:t>
      </w:r>
      <w:r w:rsidRPr="00ED711A">
        <w:rPr>
          <w:sz w:val="22"/>
          <w:szCs w:val="22"/>
          <w:lang w:val="fr-CH"/>
        </w:rPr>
        <w:t xml:space="preserve">orientation des décisions peut être consultée sous le quatrième onglet </w:t>
      </w:r>
      <w:r w:rsidR="007F747C">
        <w:rPr>
          <w:sz w:val="22"/>
          <w:szCs w:val="22"/>
          <w:lang w:val="fr-FR"/>
        </w:rPr>
        <w:t xml:space="preserve">« </w:t>
      </w:r>
      <w:r w:rsidR="007F747C">
        <w:rPr>
          <w:sz w:val="22"/>
          <w:szCs w:val="22"/>
          <w:lang w:val="fr-CH"/>
        </w:rPr>
        <w:t>C</w:t>
      </w:r>
      <w:r w:rsidRPr="00ED711A">
        <w:rPr>
          <w:sz w:val="22"/>
          <w:szCs w:val="22"/>
          <w:lang w:val="fr-CH"/>
        </w:rPr>
        <w:t xml:space="preserve">as où </w:t>
      </w:r>
      <w:r w:rsidR="003C616B">
        <w:rPr>
          <w:sz w:val="22"/>
          <w:szCs w:val="22"/>
          <w:lang w:val="fr-CH"/>
        </w:rPr>
        <w:t>des</w:t>
      </w:r>
      <w:r w:rsidRPr="00ED711A">
        <w:rPr>
          <w:sz w:val="22"/>
          <w:szCs w:val="22"/>
          <w:lang w:val="fr-CH"/>
        </w:rPr>
        <w:t xml:space="preserve"> réponse</w:t>
      </w:r>
      <w:r w:rsidR="003C616B">
        <w:rPr>
          <w:sz w:val="22"/>
          <w:szCs w:val="22"/>
          <w:lang w:val="fr-CH"/>
        </w:rPr>
        <w:t>s</w:t>
      </w:r>
      <w:r w:rsidRPr="00ED711A">
        <w:rPr>
          <w:sz w:val="22"/>
          <w:szCs w:val="22"/>
          <w:lang w:val="fr-CH"/>
        </w:rPr>
        <w:t xml:space="preserve"> n</w:t>
      </w:r>
      <w:r w:rsidR="000D310E" w:rsidRPr="00ED711A">
        <w:rPr>
          <w:sz w:val="22"/>
          <w:szCs w:val="22"/>
          <w:lang w:val="fr-CH"/>
        </w:rPr>
        <w:t>’</w:t>
      </w:r>
      <w:r w:rsidR="003C616B">
        <w:rPr>
          <w:sz w:val="22"/>
          <w:szCs w:val="22"/>
          <w:lang w:val="fr-CH"/>
        </w:rPr>
        <w:t>ont</w:t>
      </w:r>
      <w:r w:rsidRPr="00ED711A">
        <w:rPr>
          <w:sz w:val="22"/>
          <w:szCs w:val="22"/>
          <w:lang w:val="fr-CH"/>
        </w:rPr>
        <w:t xml:space="preserve"> pas été </w:t>
      </w:r>
      <w:r w:rsidR="003C616B">
        <w:rPr>
          <w:sz w:val="22"/>
          <w:szCs w:val="22"/>
          <w:lang w:val="fr-CH"/>
        </w:rPr>
        <w:t>soumises</w:t>
      </w:r>
      <w:r w:rsidR="007F747C">
        <w:rPr>
          <w:sz w:val="22"/>
          <w:szCs w:val="22"/>
          <w:lang w:val="fr-CH"/>
        </w:rPr>
        <w:t xml:space="preserve"> </w:t>
      </w:r>
      <w:r w:rsidR="007F747C" w:rsidRPr="00ED711A">
        <w:rPr>
          <w:sz w:val="22"/>
          <w:szCs w:val="22"/>
          <w:lang w:val="fr-FR"/>
        </w:rPr>
        <w:t>»</w:t>
      </w:r>
      <w:r w:rsidRPr="00ED711A">
        <w:rPr>
          <w:sz w:val="22"/>
          <w:szCs w:val="22"/>
          <w:lang w:val="fr-CH"/>
        </w:rPr>
        <w:t xml:space="preserve">. Il comprend aussi la date à laquelle le Secrétariat, a informé pour la première fois, par la publication dans la Circulaire PIC, toutes les Parties des cas où </w:t>
      </w:r>
      <w:r w:rsidR="003C616B">
        <w:rPr>
          <w:sz w:val="22"/>
          <w:szCs w:val="22"/>
          <w:lang w:val="fr-CH"/>
        </w:rPr>
        <w:t xml:space="preserve">des </w:t>
      </w:r>
      <w:r w:rsidRPr="00ED711A">
        <w:rPr>
          <w:sz w:val="22"/>
          <w:szCs w:val="22"/>
          <w:lang w:val="fr-CH"/>
        </w:rPr>
        <w:t>réponse</w:t>
      </w:r>
      <w:r w:rsidR="003C616B">
        <w:rPr>
          <w:sz w:val="22"/>
          <w:szCs w:val="22"/>
          <w:lang w:val="fr-CH"/>
        </w:rPr>
        <w:t>s</w:t>
      </w:r>
      <w:r w:rsidRPr="00ED711A">
        <w:rPr>
          <w:sz w:val="22"/>
          <w:szCs w:val="22"/>
          <w:lang w:val="fr-CH"/>
        </w:rPr>
        <w:t xml:space="preserve"> n</w:t>
      </w:r>
      <w:r w:rsidR="000D310E" w:rsidRPr="00ED711A">
        <w:rPr>
          <w:sz w:val="22"/>
          <w:szCs w:val="22"/>
          <w:lang w:val="fr-CH"/>
        </w:rPr>
        <w:t>’</w:t>
      </w:r>
      <w:r w:rsidR="003C616B">
        <w:rPr>
          <w:sz w:val="22"/>
          <w:szCs w:val="22"/>
          <w:lang w:val="fr-CH"/>
        </w:rPr>
        <w:t>ont</w:t>
      </w:r>
      <w:r w:rsidRPr="00ED711A">
        <w:rPr>
          <w:sz w:val="22"/>
          <w:szCs w:val="22"/>
          <w:lang w:val="fr-CH"/>
        </w:rPr>
        <w:t xml:space="preserve"> pas été </w:t>
      </w:r>
      <w:r w:rsidR="003C616B">
        <w:rPr>
          <w:sz w:val="22"/>
          <w:szCs w:val="22"/>
          <w:lang w:val="fr-CH"/>
        </w:rPr>
        <w:t>soumises</w:t>
      </w:r>
      <w:r w:rsidRPr="00ED711A">
        <w:rPr>
          <w:sz w:val="22"/>
          <w:szCs w:val="22"/>
          <w:lang w:val="fr-CH"/>
        </w:rPr>
        <w:t>.</w:t>
      </w:r>
    </w:p>
    <w:p w:rsidR="00841110" w:rsidRPr="00ED711A" w:rsidRDefault="00841110" w:rsidP="007B68CF">
      <w:pPr>
        <w:autoSpaceDE w:val="0"/>
        <w:autoSpaceDN w:val="0"/>
        <w:adjustRightInd w:val="0"/>
        <w:jc w:val="both"/>
        <w:rPr>
          <w:sz w:val="22"/>
          <w:szCs w:val="22"/>
          <w:lang w:val="fr-CH"/>
        </w:rPr>
      </w:pPr>
    </w:p>
    <w:p w:rsidR="0048365F" w:rsidRPr="00ED711A" w:rsidRDefault="0048365F">
      <w:pPr>
        <w:rPr>
          <w:sz w:val="22"/>
          <w:szCs w:val="22"/>
          <w:lang w:val="fr-CH"/>
        </w:rPr>
      </w:pPr>
      <w:r w:rsidRPr="00ED711A">
        <w:rPr>
          <w:sz w:val="22"/>
          <w:szCs w:val="22"/>
          <w:lang w:val="fr-CH"/>
        </w:rPr>
        <w:br w:type="page"/>
      </w:r>
    </w:p>
    <w:p w:rsidR="007B68CF" w:rsidRPr="00ED711A" w:rsidRDefault="005D18AF" w:rsidP="00841110">
      <w:pPr>
        <w:jc w:val="center"/>
        <w:outlineLvl w:val="1"/>
        <w:rPr>
          <w:b/>
          <w:lang w:val="fr-CH" w:eastAsia="en-US"/>
        </w:rPr>
      </w:pPr>
      <w:bookmarkStart w:id="225" w:name="_Toc468887033"/>
      <w:bookmarkStart w:id="226" w:name="_Toc469005612"/>
      <w:bookmarkEnd w:id="224"/>
      <w:r w:rsidRPr="00ED711A">
        <w:rPr>
          <w:b/>
          <w:lang w:val="fr-CH" w:eastAsia="en-US"/>
        </w:rPr>
        <w:lastRenderedPageBreak/>
        <w:t>VUE D</w:t>
      </w:r>
      <w:r w:rsidR="000D310E" w:rsidRPr="00ED711A">
        <w:rPr>
          <w:b/>
          <w:lang w:val="fr-CH" w:eastAsia="en-US"/>
        </w:rPr>
        <w:t>’</w:t>
      </w:r>
      <w:r w:rsidRPr="00ED711A">
        <w:rPr>
          <w:b/>
          <w:lang w:val="fr-CH" w:eastAsia="en-US"/>
        </w:rPr>
        <w:t>ENSEMBLE DE TOUTES LES NOUVELLES DECISIONS CONCERNANT L</w:t>
      </w:r>
      <w:r w:rsidR="000D310E" w:rsidRPr="00ED711A">
        <w:rPr>
          <w:b/>
          <w:lang w:val="fr-CH" w:eastAsia="en-US"/>
        </w:rPr>
        <w:t>’</w:t>
      </w:r>
      <w:r w:rsidRPr="00ED711A">
        <w:rPr>
          <w:b/>
          <w:lang w:val="fr-CH" w:eastAsia="en-US"/>
        </w:rPr>
        <w:t>IMPORTATION REÇUES DEPUIS LA DERNIERE CIRCULAIRE PIC</w:t>
      </w:r>
      <w:bookmarkEnd w:id="225"/>
      <w:bookmarkEnd w:id="226"/>
    </w:p>
    <w:p w:rsidR="00B652B8" w:rsidRPr="00ED711A" w:rsidRDefault="00B652B8" w:rsidP="00B652B8">
      <w:pPr>
        <w:rPr>
          <w:lang w:val="fr-CH"/>
        </w:rPr>
      </w:pPr>
    </w:p>
    <w:p w:rsidR="00B652B8" w:rsidRPr="00ED711A" w:rsidRDefault="00B652B8" w:rsidP="00B652B8">
      <w:pPr>
        <w:rPr>
          <w:lang w:val="fr-CH"/>
        </w:rPr>
      </w:pPr>
    </w:p>
    <w:p w:rsidR="00B652B8" w:rsidRPr="00ED711A" w:rsidRDefault="00B652B8" w:rsidP="00B652B8">
      <w:pPr>
        <w:rPr>
          <w:lang w:val="fr-CH"/>
        </w:rPr>
        <w:sectPr w:rsidR="00B652B8" w:rsidRPr="00ED711A" w:rsidSect="008A1D9E">
          <w:headerReference w:type="default" r:id="rId55"/>
          <w:pgSz w:w="11907" w:h="16839" w:code="9"/>
          <w:pgMar w:top="1134" w:right="1134" w:bottom="1134" w:left="1134" w:header="709" w:footer="277" w:gutter="0"/>
          <w:cols w:space="709"/>
          <w:docGrid w:linePitch="360"/>
        </w:sectPr>
      </w:pPr>
    </w:p>
    <w:tbl>
      <w:tblPr>
        <w:tblW w:w="0" w:type="auto"/>
        <w:tblInd w:w="92" w:type="dxa"/>
        <w:tblLayout w:type="fixed"/>
        <w:tblLook w:val="04A0"/>
      </w:tblPr>
      <w:tblGrid>
        <w:gridCol w:w="4060"/>
        <w:gridCol w:w="20"/>
      </w:tblGrid>
      <w:tr w:rsidR="001264A6" w:rsidRPr="00ED711A" w:rsidTr="008756AE">
        <w:trPr>
          <w:trHeight w:val="247"/>
        </w:trPr>
        <w:tc>
          <w:tcPr>
            <w:tcW w:w="4080" w:type="dxa"/>
            <w:gridSpan w:val="2"/>
            <w:tcBorders>
              <w:top w:val="nil"/>
              <w:left w:val="nil"/>
              <w:bottom w:val="nil"/>
              <w:right w:val="nil"/>
            </w:tcBorders>
            <w:shd w:val="clear" w:color="auto" w:fill="auto"/>
            <w:vAlign w:val="bottom"/>
            <w:hideMark/>
          </w:tcPr>
          <w:p w:rsidR="001264A6" w:rsidRPr="00ED711A" w:rsidRDefault="001264A6" w:rsidP="008756AE">
            <w:pPr>
              <w:rPr>
                <w:b/>
                <w:bCs/>
                <w:sz w:val="28"/>
              </w:rPr>
            </w:pPr>
            <w:r w:rsidRPr="00ED711A">
              <w:rPr>
                <w:b/>
                <w:bCs/>
                <w:sz w:val="28"/>
                <w:szCs w:val="22"/>
              </w:rPr>
              <w:lastRenderedPageBreak/>
              <w:t>Pesticides</w:t>
            </w:r>
          </w:p>
          <w:p w:rsidR="001264A6" w:rsidRPr="00ED711A" w:rsidRDefault="001264A6" w:rsidP="008756AE">
            <w:pPr>
              <w:rPr>
                <w:b/>
                <w:bCs/>
              </w:rPr>
            </w:pPr>
          </w:p>
        </w:tc>
      </w:tr>
      <w:tr w:rsidR="001264A6" w:rsidRPr="0070218D"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2</w:t>
            </w:r>
            <w:proofErr w:type="gramStart"/>
            <w:r w:rsidRPr="00ED711A">
              <w:rPr>
                <w:b/>
                <w:bCs/>
                <w:sz w:val="22"/>
                <w:szCs w:val="22"/>
                <w:lang w:val="fr-CH" w:eastAsia="fr-CH"/>
              </w:rPr>
              <w:t>,4,5</w:t>
            </w:r>
            <w:proofErr w:type="gramEnd"/>
            <w:r w:rsidRPr="00ED711A">
              <w:rPr>
                <w:b/>
                <w:bCs/>
                <w:sz w:val="22"/>
                <w:szCs w:val="22"/>
                <w:lang w:val="fr-CH" w:eastAsia="fr-CH"/>
              </w:rPr>
              <w:t>-T et ses sels et esters</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Arménie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Alachlore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Gabon</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Maurice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Samoa</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Viet Nam</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Aldicarbe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Burundi</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Maurice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Samoa</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Viet Nam</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Aldrine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Arménie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Gabon</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Azinphos-méthyl</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Maurice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Panama</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Samoa</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Viet Nam</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Binapacryl</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Gabon</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Captafol</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Arménie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Gabon</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Chlordane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Arménie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Chlordiméforme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Arménie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Gabon</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Chlorobenzilate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Arménie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Gabon</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DDT</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Arménie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Gabon</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Dieldrine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sz w:val="22"/>
                <w:szCs w:val="22"/>
                <w:lang w:val="fr-CH" w:eastAsia="fr-CH"/>
              </w:rPr>
            </w:pPr>
            <w:r w:rsidRPr="00ED711A">
              <w:rPr>
                <w:sz w:val="22"/>
                <w:szCs w:val="22"/>
                <w:lang w:val="fr-CH" w:eastAsia="fr-CH"/>
              </w:rPr>
              <w:t>Arménie</w:t>
            </w:r>
          </w:p>
          <w:p w:rsidR="001264A6" w:rsidRPr="00ED711A" w:rsidRDefault="001264A6" w:rsidP="008756AE">
            <w:pPr>
              <w:rPr>
                <w:sz w:val="22"/>
                <w:szCs w:val="22"/>
                <w:lang w:val="fr-CH" w:eastAsia="fr-CH"/>
              </w:rPr>
            </w:pPr>
          </w:p>
          <w:p w:rsidR="001264A6" w:rsidRPr="00ED711A" w:rsidRDefault="001264A6" w:rsidP="008756AE">
            <w:pPr>
              <w:rPr>
                <w:sz w:val="22"/>
                <w:szCs w:val="22"/>
                <w:lang w:val="fr-CH" w:eastAsia="fr-CH"/>
              </w:rPr>
            </w:pPr>
          </w:p>
          <w:p w:rsidR="001264A6" w:rsidRPr="00ED711A" w:rsidRDefault="001264A6" w:rsidP="008756AE">
            <w:pPr>
              <w:rPr>
                <w:lang w:val="fr-CH" w:eastAsia="fr-CH"/>
              </w:rPr>
            </w:pPr>
          </w:p>
          <w:p w:rsidR="001264A6" w:rsidRPr="00ED711A" w:rsidRDefault="001264A6" w:rsidP="008756AE">
            <w:pPr>
              <w:rPr>
                <w:lang w:val="fr-CH" w:eastAsia="fr-CH"/>
              </w:rPr>
            </w:pPr>
          </w:p>
          <w:p w:rsidR="001264A6" w:rsidRPr="00ED711A" w:rsidRDefault="001264A6" w:rsidP="008756AE">
            <w:pPr>
              <w:rPr>
                <w:lang w:val="fr-CH" w:eastAsia="fr-CH"/>
              </w:rPr>
            </w:pPr>
          </w:p>
        </w:tc>
      </w:tr>
      <w:tr w:rsidR="001264A6" w:rsidRPr="00A97FB1" w:rsidTr="00070064">
        <w:tblPrEx>
          <w:tblCellMar>
            <w:left w:w="70" w:type="dxa"/>
            <w:right w:w="70" w:type="dxa"/>
          </w:tblCellMar>
        </w:tblPrEx>
        <w:trPr>
          <w:gridAfter w:val="1"/>
          <w:wAfter w:w="20" w:type="dxa"/>
          <w:trHeight w:val="711"/>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lastRenderedPageBreak/>
              <w:t>Dinitro-</w:t>
            </w:r>
            <w:r w:rsidRPr="00ED711A">
              <w:rPr>
                <w:b/>
                <w:bCs/>
                <w:i/>
                <w:iCs/>
                <w:sz w:val="22"/>
                <w:szCs w:val="22"/>
                <w:lang w:val="fr-CH" w:eastAsia="fr-CH"/>
              </w:rPr>
              <w:t>ortho</w:t>
            </w:r>
            <w:r w:rsidRPr="00ED711A">
              <w:rPr>
                <w:b/>
                <w:bCs/>
                <w:sz w:val="22"/>
                <w:szCs w:val="22"/>
                <w:lang w:val="fr-CH" w:eastAsia="fr-CH"/>
              </w:rPr>
              <w:t>-crésol (DNOC) et ses sels (tels que le sel d</w:t>
            </w:r>
            <w:r w:rsidR="000D310E" w:rsidRPr="00ED711A">
              <w:rPr>
                <w:b/>
                <w:bCs/>
                <w:sz w:val="22"/>
                <w:szCs w:val="22"/>
                <w:lang w:val="fr-CH" w:eastAsia="fr-CH"/>
              </w:rPr>
              <w:t>’</w:t>
            </w:r>
            <w:r w:rsidRPr="00ED711A">
              <w:rPr>
                <w:b/>
                <w:bCs/>
                <w:sz w:val="22"/>
                <w:szCs w:val="22"/>
                <w:lang w:val="fr-CH" w:eastAsia="fr-CH"/>
              </w:rPr>
              <w:t>ammonium, le sel de potassium et le sel de sodium)</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Gabon</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Samoa</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Viet Nam</w:t>
            </w:r>
          </w:p>
        </w:tc>
      </w:tr>
      <w:tr w:rsidR="001264A6" w:rsidRPr="00A97FB1"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Dinosèbe et ses sels et esters</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Arménie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Gabon</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EDB (1,2-dibromoéthane)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Arménie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Endosulfan</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Gabon</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Maurice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Samoa</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Dichlorure d</w:t>
            </w:r>
            <w:r w:rsidR="000D310E" w:rsidRPr="00ED711A">
              <w:rPr>
                <w:b/>
                <w:bCs/>
                <w:sz w:val="22"/>
                <w:szCs w:val="22"/>
                <w:lang w:val="fr-CH" w:eastAsia="fr-CH"/>
              </w:rPr>
              <w:t>’</w:t>
            </w:r>
            <w:r w:rsidRPr="00ED711A">
              <w:rPr>
                <w:b/>
                <w:bCs/>
                <w:sz w:val="22"/>
                <w:szCs w:val="22"/>
                <w:lang w:val="fr-CH" w:eastAsia="fr-CH"/>
              </w:rPr>
              <w:t>éthylène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Gabon</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Maroc</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Oxide d</w:t>
            </w:r>
            <w:r w:rsidR="000D310E" w:rsidRPr="00ED711A">
              <w:rPr>
                <w:b/>
                <w:bCs/>
                <w:sz w:val="22"/>
                <w:szCs w:val="22"/>
                <w:lang w:val="fr-CH" w:eastAsia="fr-CH"/>
              </w:rPr>
              <w:t>’</w:t>
            </w:r>
            <w:r w:rsidRPr="00ED711A">
              <w:rPr>
                <w:b/>
                <w:bCs/>
                <w:sz w:val="22"/>
                <w:szCs w:val="22"/>
                <w:lang w:val="fr-CH" w:eastAsia="fr-CH"/>
              </w:rPr>
              <w:t>éthylène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Gabon</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Sri Lanka</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Fluoroacétamide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Arménie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Gabon</w:t>
            </w:r>
          </w:p>
        </w:tc>
      </w:tr>
      <w:tr w:rsidR="001264A6" w:rsidRPr="00A97FB1"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HCH (ensemble de stéréo-isomères)</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Arménie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Gabon</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Heptachlore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Arménie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Hexachlorobenzène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Arménie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Gabon</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Lindane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Arménie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Gabon</w:t>
            </w:r>
          </w:p>
        </w:tc>
      </w:tr>
      <w:tr w:rsidR="001264A6" w:rsidRPr="00A97FB1" w:rsidTr="008756AE">
        <w:tblPrEx>
          <w:tblCellMar>
            <w:left w:w="70" w:type="dxa"/>
            <w:right w:w="70" w:type="dxa"/>
          </w:tblCellMar>
        </w:tblPrEx>
        <w:trPr>
          <w:gridAfter w:val="1"/>
          <w:wAfter w:w="20" w:type="dxa"/>
          <w:trHeight w:val="12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Composés du mercure, y compris composés inorganiques et composés du type alkylmercure, alkyloxyalkyle et arylmercure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967A29">
            <w:pPr>
              <w:rPr>
                <w:lang w:val="fr-CH" w:eastAsia="fr-CH"/>
              </w:rPr>
            </w:pPr>
            <w:r w:rsidRPr="00ED711A">
              <w:rPr>
                <w:sz w:val="22"/>
                <w:szCs w:val="22"/>
                <w:lang w:val="fr-CH" w:eastAsia="fr-CH"/>
              </w:rPr>
              <w:t>Arménie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BFBFBF" w:themeFill="background1" w:themeFillShade="BF"/>
            <w:vAlign w:val="bottom"/>
            <w:hideMark/>
          </w:tcPr>
          <w:p w:rsidR="001264A6" w:rsidRPr="00ED711A" w:rsidRDefault="001264A6" w:rsidP="008756AE">
            <w:pPr>
              <w:rPr>
                <w:b/>
                <w:bCs/>
                <w:lang w:val="fr-CH" w:eastAsia="fr-CH"/>
              </w:rPr>
            </w:pPr>
            <w:r w:rsidRPr="00ED711A">
              <w:rPr>
                <w:b/>
                <w:bCs/>
                <w:sz w:val="22"/>
                <w:szCs w:val="22"/>
                <w:lang w:val="fr-CH" w:eastAsia="fr-CH"/>
              </w:rPr>
              <w:t>Méthamidophos</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Arménie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Chine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Fédération de Russie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Iles Cook</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lastRenderedPageBreak/>
              <w:t>Maurice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République-Unie de Tanzanie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Sri Lanka</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Tchad</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 xml:space="preserve">Monocrotophos </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Gabon</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Samoa</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Parathion</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Gabon</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Samoa</w:t>
            </w:r>
          </w:p>
        </w:tc>
      </w:tr>
      <w:tr w:rsidR="001264A6" w:rsidRPr="00A97FB1"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Pentachlorophénol et ses sels et esters</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Arménie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Gabon</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Toxaphène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Gabon</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 xml:space="preserve">Composés du tributylétain </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Maurice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Viet Nam</w:t>
            </w:r>
          </w:p>
        </w:tc>
      </w:tr>
    </w:tbl>
    <w:p w:rsidR="001264A6" w:rsidRPr="00ED711A" w:rsidRDefault="001264A6" w:rsidP="001264A6"/>
    <w:tbl>
      <w:tblPr>
        <w:tblW w:w="0" w:type="auto"/>
        <w:tblInd w:w="92" w:type="dxa"/>
        <w:tblLayout w:type="fixed"/>
        <w:tblLook w:val="04A0"/>
      </w:tblPr>
      <w:tblGrid>
        <w:gridCol w:w="4060"/>
        <w:gridCol w:w="20"/>
      </w:tblGrid>
      <w:tr w:rsidR="001264A6" w:rsidRPr="00ED711A" w:rsidTr="008756AE">
        <w:trPr>
          <w:trHeight w:val="494"/>
        </w:trPr>
        <w:tc>
          <w:tcPr>
            <w:tcW w:w="4080" w:type="dxa"/>
            <w:gridSpan w:val="2"/>
            <w:tcBorders>
              <w:top w:val="nil"/>
              <w:left w:val="nil"/>
              <w:bottom w:val="nil"/>
              <w:right w:val="nil"/>
            </w:tcBorders>
            <w:shd w:val="clear" w:color="auto" w:fill="auto"/>
            <w:vAlign w:val="bottom"/>
            <w:hideMark/>
          </w:tcPr>
          <w:p w:rsidR="001264A6" w:rsidRPr="00ED711A" w:rsidRDefault="001264A6" w:rsidP="008756AE">
            <w:pPr>
              <w:rPr>
                <w:b/>
                <w:bCs/>
                <w:sz w:val="28"/>
                <w:szCs w:val="28"/>
              </w:rPr>
            </w:pPr>
            <w:r w:rsidRPr="00ED711A">
              <w:br w:type="column"/>
            </w:r>
            <w:r w:rsidRPr="00ED711A">
              <w:rPr>
                <w:b/>
                <w:bCs/>
                <w:sz w:val="28"/>
                <w:szCs w:val="28"/>
              </w:rPr>
              <w:t>Préparations pesticides extrêmement dangereuses</w:t>
            </w:r>
          </w:p>
          <w:p w:rsidR="001264A6" w:rsidRPr="00ED711A" w:rsidRDefault="001264A6" w:rsidP="008756AE">
            <w:pPr>
              <w:rPr>
                <w:b/>
                <w:bCs/>
              </w:rPr>
            </w:pPr>
          </w:p>
        </w:tc>
      </w:tr>
      <w:tr w:rsidR="001264A6" w:rsidRPr="00A97FB1" w:rsidTr="008756AE">
        <w:tblPrEx>
          <w:tblCellMar>
            <w:left w:w="70" w:type="dxa"/>
            <w:right w:w="70" w:type="dxa"/>
          </w:tblCellMar>
        </w:tblPrEx>
        <w:trPr>
          <w:gridAfter w:val="1"/>
          <w:wAfter w:w="20" w:type="dxa"/>
          <w:trHeight w:val="1889"/>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Type de préparations en poudre pulvérisable contenant un mélange de bénomyl à une concentration supérieure ou égale à 7%, de carbofuran à une concentration supérieure ou égale à 10% et de thirame à une concentration supérieure ou égale à 15%</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Gabon</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Samoa</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Viet Nam</w:t>
            </w:r>
          </w:p>
        </w:tc>
      </w:tr>
      <w:tr w:rsidR="001264A6" w:rsidRPr="00A97FB1" w:rsidTr="008756AE">
        <w:tblPrEx>
          <w:tblCellMar>
            <w:left w:w="70" w:type="dxa"/>
            <w:right w:w="70" w:type="dxa"/>
          </w:tblCellMar>
        </w:tblPrEx>
        <w:trPr>
          <w:gridAfter w:val="1"/>
          <w:wAfter w:w="20" w:type="dxa"/>
          <w:trHeight w:val="1362"/>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Méthyle parathion (Concentrés émulsifiables (CE) comprenant 19,5 % ou plus de principe actif et poudres contenant 1,5 % ou plus de principe actif)</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Arménie</w:t>
            </w:r>
          </w:p>
        </w:tc>
      </w:tr>
      <w:tr w:rsidR="001264A6" w:rsidRPr="00A97FB1" w:rsidTr="008756AE">
        <w:tblPrEx>
          <w:tblCellMar>
            <w:left w:w="70" w:type="dxa"/>
            <w:right w:w="70" w:type="dxa"/>
          </w:tblCellMar>
        </w:tblPrEx>
        <w:trPr>
          <w:gridAfter w:val="1"/>
          <w:wAfter w:w="20" w:type="dxa"/>
          <w:trHeight w:val="9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Phosphamidon (Formulations liquides solubles de la substance qui contiennent plus de 1000 g de principe actif par litre)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Arménie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bookmarkStart w:id="227" w:name="_GoBack"/>
            <w:bookmarkEnd w:id="227"/>
          </w:p>
        </w:tc>
      </w:tr>
    </w:tbl>
    <w:p w:rsidR="001264A6" w:rsidRPr="00ED711A" w:rsidRDefault="001264A6" w:rsidP="001264A6">
      <w:pPr>
        <w:rPr>
          <w:b/>
          <w:bCs/>
          <w:sz w:val="22"/>
          <w:szCs w:val="22"/>
        </w:rPr>
      </w:pPr>
    </w:p>
    <w:tbl>
      <w:tblPr>
        <w:tblW w:w="0" w:type="auto"/>
        <w:tblInd w:w="92" w:type="dxa"/>
        <w:tblLayout w:type="fixed"/>
        <w:tblLook w:val="04A0"/>
      </w:tblPr>
      <w:tblGrid>
        <w:gridCol w:w="4060"/>
        <w:gridCol w:w="20"/>
      </w:tblGrid>
      <w:tr w:rsidR="001264A6" w:rsidRPr="00ED711A" w:rsidTr="008756AE">
        <w:trPr>
          <w:trHeight w:val="247"/>
        </w:trPr>
        <w:tc>
          <w:tcPr>
            <w:tcW w:w="4080" w:type="dxa"/>
            <w:gridSpan w:val="2"/>
            <w:tcBorders>
              <w:top w:val="nil"/>
              <w:left w:val="nil"/>
              <w:bottom w:val="nil"/>
              <w:right w:val="nil"/>
            </w:tcBorders>
            <w:shd w:val="clear" w:color="auto" w:fill="auto"/>
            <w:vAlign w:val="bottom"/>
            <w:hideMark/>
          </w:tcPr>
          <w:p w:rsidR="001264A6" w:rsidRPr="00ED711A" w:rsidRDefault="001264A6" w:rsidP="008756AE">
            <w:pPr>
              <w:rPr>
                <w:b/>
                <w:bCs/>
                <w:sz w:val="28"/>
                <w:szCs w:val="28"/>
              </w:rPr>
            </w:pPr>
            <w:r w:rsidRPr="00ED711A">
              <w:rPr>
                <w:b/>
                <w:bCs/>
                <w:sz w:val="28"/>
                <w:szCs w:val="28"/>
              </w:rPr>
              <w:t>Produits à usage industriel</w:t>
            </w:r>
          </w:p>
          <w:p w:rsidR="001264A6" w:rsidRPr="00ED711A" w:rsidRDefault="001264A6" w:rsidP="008756AE">
            <w:pPr>
              <w:rPr>
                <w:b/>
                <w:bCs/>
              </w:rPr>
            </w:pP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Actinolite amiante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Gabon</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République de Moldova</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lastRenderedPageBreak/>
              <w:t>Amosite amiante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Gabon</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République de Moldova</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Anthophyllite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Gabon</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République de Moldova</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Crocidolite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Gabon</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République de Moldova</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Trémolite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Gabon</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République de Moldova</w:t>
            </w:r>
          </w:p>
        </w:tc>
      </w:tr>
      <w:tr w:rsidR="001264A6" w:rsidRPr="00A97FB1" w:rsidTr="00967A29">
        <w:tblPrEx>
          <w:tblCellMar>
            <w:left w:w="70" w:type="dxa"/>
            <w:right w:w="70" w:type="dxa"/>
          </w:tblCellMar>
        </w:tblPrEx>
        <w:trPr>
          <w:gridAfter w:val="1"/>
          <w:wAfter w:w="20" w:type="dxa"/>
          <w:trHeight w:val="981"/>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Octabromodiphényléther commercial (y compris les substances suivantes : Hexabromodiphényléther et Heptabromodiphényléther)</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Gabon</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Maurice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Norvège</w:t>
            </w:r>
          </w:p>
        </w:tc>
      </w:tr>
      <w:tr w:rsidR="001264A6" w:rsidRPr="00A97FB1" w:rsidTr="008756AE">
        <w:tblPrEx>
          <w:tblCellMar>
            <w:left w:w="70" w:type="dxa"/>
            <w:right w:w="70" w:type="dxa"/>
          </w:tblCellMar>
        </w:tblPrEx>
        <w:trPr>
          <w:gridAfter w:val="1"/>
          <w:wAfter w:w="20" w:type="dxa"/>
          <w:trHeight w:val="1081"/>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Pentabromodiphényléther commercial (y compris les substances suivantes : Tetrabromodiphényléther et Pentabromodiphényléther)</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Gabon</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Maurice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Norvège</w:t>
            </w:r>
          </w:p>
        </w:tc>
      </w:tr>
      <w:tr w:rsidR="001264A6" w:rsidRPr="00A97FB1" w:rsidTr="00070064">
        <w:tblPrEx>
          <w:tblCellMar>
            <w:left w:w="70" w:type="dxa"/>
            <w:right w:w="70" w:type="dxa"/>
          </w:tblCellMar>
        </w:tblPrEx>
        <w:trPr>
          <w:gridAfter w:val="1"/>
          <w:wAfter w:w="20" w:type="dxa"/>
          <w:trHeight w:val="891"/>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Acide perfluorooctane sulfonique, des perfluorooctane sulfonates, des perfluorooctane sulfonamides et des perfluorooctane sulfonyles</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Gabon</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Maurice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Biphényles polybromés (PBB)</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Pakistan</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Biphényles polychlorés (PCB)</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Pakistan</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Terphényles polychlorés (PCT)</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Pakistan</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Plomb tétraéthyle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Gabon</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Pakistan</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République de Moldova</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Plomb tétraméthyle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Gabon</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Pakistan</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République de Moldova</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000000" w:fill="C0C0C0"/>
            <w:vAlign w:val="bottom"/>
            <w:hideMark/>
          </w:tcPr>
          <w:p w:rsidR="001264A6" w:rsidRPr="00ED711A" w:rsidRDefault="001264A6" w:rsidP="008756AE">
            <w:pPr>
              <w:rPr>
                <w:b/>
                <w:bCs/>
                <w:lang w:val="fr-CH" w:eastAsia="fr-CH"/>
              </w:rPr>
            </w:pPr>
            <w:r w:rsidRPr="00ED711A">
              <w:rPr>
                <w:b/>
                <w:bCs/>
                <w:sz w:val="22"/>
                <w:szCs w:val="22"/>
                <w:lang w:val="fr-CH" w:eastAsia="fr-CH"/>
              </w:rPr>
              <w:t xml:space="preserve">Phosphate de </w:t>
            </w:r>
            <w:proofErr w:type="gramStart"/>
            <w:r w:rsidRPr="00ED711A">
              <w:rPr>
                <w:b/>
                <w:bCs/>
                <w:sz w:val="22"/>
                <w:szCs w:val="22"/>
                <w:lang w:val="fr-CH" w:eastAsia="fr-CH"/>
              </w:rPr>
              <w:t>tris(</w:t>
            </w:r>
            <w:proofErr w:type="gramEnd"/>
            <w:r w:rsidRPr="00ED711A">
              <w:rPr>
                <w:b/>
                <w:bCs/>
                <w:sz w:val="22"/>
                <w:szCs w:val="22"/>
                <w:lang w:val="fr-CH" w:eastAsia="fr-CH"/>
              </w:rPr>
              <w:t>2,3-dibromopropyle)</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Gabon</w:t>
            </w:r>
          </w:p>
        </w:tc>
      </w:tr>
      <w:tr w:rsidR="001264A6" w:rsidRPr="00ED711A" w:rsidTr="008756AE">
        <w:tblPrEx>
          <w:tblCellMar>
            <w:left w:w="70" w:type="dxa"/>
            <w:right w:w="70" w:type="dxa"/>
          </w:tblCellMar>
        </w:tblPrEx>
        <w:trPr>
          <w:gridAfter w:val="1"/>
          <w:wAfter w:w="20" w:type="dxa"/>
          <w:trHeight w:val="300"/>
        </w:trPr>
        <w:tc>
          <w:tcPr>
            <w:tcW w:w="4060" w:type="dxa"/>
            <w:tcBorders>
              <w:top w:val="nil"/>
              <w:left w:val="nil"/>
              <w:bottom w:val="nil"/>
              <w:right w:val="nil"/>
            </w:tcBorders>
            <w:shd w:val="clear" w:color="auto" w:fill="auto"/>
            <w:vAlign w:val="bottom"/>
            <w:hideMark/>
          </w:tcPr>
          <w:p w:rsidR="001264A6" w:rsidRPr="00ED711A" w:rsidRDefault="001264A6" w:rsidP="008756AE">
            <w:pPr>
              <w:rPr>
                <w:lang w:val="fr-CH" w:eastAsia="fr-CH"/>
              </w:rPr>
            </w:pPr>
            <w:r w:rsidRPr="00ED711A">
              <w:rPr>
                <w:sz w:val="22"/>
                <w:szCs w:val="22"/>
                <w:lang w:val="fr-CH" w:eastAsia="fr-CH"/>
              </w:rPr>
              <w:t>Pakistan</w:t>
            </w:r>
          </w:p>
        </w:tc>
      </w:tr>
    </w:tbl>
    <w:p w:rsidR="00243D1D" w:rsidRPr="00ED711A" w:rsidRDefault="00243D1D" w:rsidP="00243D1D">
      <w:pPr>
        <w:rPr>
          <w:b/>
          <w:bCs/>
          <w:sz w:val="22"/>
          <w:szCs w:val="22"/>
          <w:lang w:val="en-GB" w:eastAsia="fr-CH"/>
        </w:rPr>
      </w:pPr>
    </w:p>
    <w:p w:rsidR="00B652B8" w:rsidRPr="00ED711A" w:rsidRDefault="00B652B8" w:rsidP="00B652B8">
      <w:pPr>
        <w:rPr>
          <w:rFonts w:ascii="Arial" w:hAnsi="Arial" w:cs="Arial"/>
          <w:b/>
          <w:bCs/>
          <w:lang w:val="en-GB" w:eastAsia="fr-CH"/>
        </w:rPr>
        <w:sectPr w:rsidR="00B652B8" w:rsidRPr="00ED711A" w:rsidSect="008A1D9E">
          <w:type w:val="continuous"/>
          <w:pgSz w:w="11907" w:h="16839" w:code="9"/>
          <w:pgMar w:top="1134" w:right="1134" w:bottom="1134" w:left="1134" w:header="709" w:footer="277" w:gutter="0"/>
          <w:cols w:num="2" w:space="709" w:equalWidth="0">
            <w:col w:w="4459" w:space="720"/>
            <w:col w:w="4459"/>
          </w:cols>
          <w:docGrid w:linePitch="360"/>
        </w:sectPr>
      </w:pPr>
    </w:p>
    <w:p w:rsidR="00243D1D" w:rsidRPr="00ED711A" w:rsidRDefault="00BC73C4" w:rsidP="007B68CF">
      <w:pPr>
        <w:jc w:val="center"/>
        <w:outlineLvl w:val="0"/>
        <w:rPr>
          <w:b/>
          <w:lang w:val="fr-CH"/>
        </w:rPr>
      </w:pPr>
      <w:bookmarkStart w:id="228" w:name="_Toc232307926"/>
      <w:bookmarkStart w:id="229" w:name="_Toc231189262"/>
      <w:bookmarkStart w:id="230" w:name="_Toc248296483"/>
      <w:bookmarkStart w:id="231" w:name="_Toc248307719"/>
      <w:bookmarkStart w:id="232" w:name="_Toc264393163"/>
      <w:bookmarkStart w:id="233" w:name="_Toc468869223"/>
      <w:bookmarkStart w:id="234" w:name="_Toc468870507"/>
      <w:bookmarkStart w:id="235" w:name="_Toc468887034"/>
      <w:bookmarkStart w:id="236" w:name="_Toc469005613"/>
      <w:bookmarkStart w:id="237" w:name="_Toc327357913"/>
      <w:bookmarkStart w:id="238" w:name="_Toc405887667"/>
      <w:bookmarkStart w:id="239" w:name="_Toc421544543"/>
      <w:r w:rsidRPr="00ED711A">
        <w:rPr>
          <w:b/>
          <w:lang w:val="fr-CH"/>
        </w:rPr>
        <w:lastRenderedPageBreak/>
        <w:t>APPENDI</w:t>
      </w:r>
      <w:r w:rsidR="001264A6" w:rsidRPr="00ED711A">
        <w:rPr>
          <w:b/>
          <w:lang w:val="fr-CH"/>
        </w:rPr>
        <w:t>CE</w:t>
      </w:r>
      <w:r w:rsidRPr="00ED711A">
        <w:rPr>
          <w:b/>
          <w:lang w:val="fr-CH"/>
        </w:rPr>
        <w:t xml:space="preserve"> V</w:t>
      </w:r>
      <w:bookmarkEnd w:id="228"/>
      <w:bookmarkEnd w:id="229"/>
      <w:bookmarkEnd w:id="230"/>
      <w:bookmarkEnd w:id="231"/>
      <w:bookmarkEnd w:id="232"/>
      <w:bookmarkEnd w:id="233"/>
      <w:bookmarkEnd w:id="234"/>
      <w:bookmarkEnd w:id="235"/>
      <w:bookmarkEnd w:id="236"/>
    </w:p>
    <w:p w:rsidR="00243D1D" w:rsidRPr="00ED711A" w:rsidRDefault="00243D1D" w:rsidP="007B68CF">
      <w:pPr>
        <w:jc w:val="center"/>
        <w:outlineLvl w:val="0"/>
        <w:rPr>
          <w:b/>
          <w:lang w:val="fr-CH"/>
        </w:rPr>
      </w:pPr>
    </w:p>
    <w:p w:rsidR="007B68CF" w:rsidRPr="00ED711A" w:rsidRDefault="001264A6" w:rsidP="007B68CF">
      <w:pPr>
        <w:jc w:val="center"/>
        <w:outlineLvl w:val="0"/>
        <w:rPr>
          <w:b/>
          <w:bCs/>
          <w:lang w:val="fr-CH" w:eastAsia="en-US"/>
        </w:rPr>
      </w:pPr>
      <w:bookmarkStart w:id="240" w:name="_Toc469005614"/>
      <w:bookmarkEnd w:id="237"/>
      <w:bookmarkEnd w:id="238"/>
      <w:bookmarkEnd w:id="239"/>
      <w:r w:rsidRPr="00ED711A">
        <w:rPr>
          <w:b/>
          <w:bCs/>
          <w:lang w:val="fr-CH" w:eastAsia="en-US"/>
        </w:rPr>
        <w:t xml:space="preserve">NOTIFICATIONS DE MESURE DE </w:t>
      </w:r>
      <w:r w:rsidR="001F3C16">
        <w:rPr>
          <w:b/>
          <w:bCs/>
          <w:lang w:val="fr-CH" w:eastAsia="en-US"/>
        </w:rPr>
        <w:t>RÉGLEMENTATION</w:t>
      </w:r>
      <w:r w:rsidRPr="00ED711A">
        <w:rPr>
          <w:b/>
          <w:bCs/>
          <w:lang w:val="fr-CH" w:eastAsia="en-US"/>
        </w:rPr>
        <w:t xml:space="preserve"> FINALE POUR LES PRODUITS CHIMIQUE</w:t>
      </w:r>
      <w:r w:rsidR="00747640">
        <w:rPr>
          <w:b/>
          <w:bCs/>
          <w:lang w:val="fr-CH" w:eastAsia="en-US"/>
        </w:rPr>
        <w:t>S</w:t>
      </w:r>
      <w:r w:rsidRPr="00ED711A">
        <w:rPr>
          <w:b/>
          <w:bCs/>
          <w:lang w:val="fr-CH" w:eastAsia="en-US"/>
        </w:rPr>
        <w:t xml:space="preserve"> QUI NE SONT PAS INSCRITS A L</w:t>
      </w:r>
      <w:r w:rsidR="000D310E" w:rsidRPr="00ED711A">
        <w:rPr>
          <w:b/>
          <w:bCs/>
          <w:lang w:val="fr-CH" w:eastAsia="en-US"/>
        </w:rPr>
        <w:t>’</w:t>
      </w:r>
      <w:r w:rsidRPr="00ED711A">
        <w:rPr>
          <w:b/>
          <w:bCs/>
          <w:lang w:val="fr-CH" w:eastAsia="en-US"/>
        </w:rPr>
        <w:t>ANNEXE III</w:t>
      </w:r>
      <w:bookmarkEnd w:id="240"/>
    </w:p>
    <w:p w:rsidR="007B68CF" w:rsidRPr="00ED711A" w:rsidRDefault="007B68CF" w:rsidP="007B68CF">
      <w:pPr>
        <w:autoSpaceDE w:val="0"/>
        <w:autoSpaceDN w:val="0"/>
        <w:adjustRightInd w:val="0"/>
        <w:rPr>
          <w:bCs/>
          <w:sz w:val="22"/>
          <w:szCs w:val="22"/>
          <w:lang w:val="fr-CH" w:eastAsia="en-US"/>
        </w:rPr>
      </w:pPr>
    </w:p>
    <w:p w:rsidR="007B68CF" w:rsidRPr="00ED711A" w:rsidRDefault="007B68CF" w:rsidP="007B68CF">
      <w:pPr>
        <w:autoSpaceDE w:val="0"/>
        <w:autoSpaceDN w:val="0"/>
        <w:adjustRightInd w:val="0"/>
        <w:rPr>
          <w:bCs/>
          <w:sz w:val="22"/>
          <w:szCs w:val="22"/>
          <w:lang w:val="fr-CH" w:eastAsia="en-US"/>
        </w:rPr>
      </w:pPr>
    </w:p>
    <w:p w:rsidR="001264A6" w:rsidRPr="00ED711A" w:rsidRDefault="001264A6" w:rsidP="001264A6">
      <w:pPr>
        <w:rPr>
          <w:sz w:val="22"/>
          <w:szCs w:val="22"/>
          <w:lang w:val="fr-CH"/>
        </w:rPr>
      </w:pPr>
      <w:r w:rsidRPr="00ED711A">
        <w:rPr>
          <w:sz w:val="22"/>
          <w:szCs w:val="22"/>
          <w:lang w:val="fr-CH"/>
        </w:rPr>
        <w:t>Cet appendice est composé de deux parties :</w:t>
      </w:r>
    </w:p>
    <w:p w:rsidR="001264A6" w:rsidRPr="00ED711A" w:rsidRDefault="001264A6" w:rsidP="001264A6">
      <w:pPr>
        <w:rPr>
          <w:sz w:val="22"/>
          <w:szCs w:val="22"/>
          <w:lang w:val="fr-CH"/>
        </w:rPr>
      </w:pPr>
    </w:p>
    <w:p w:rsidR="001264A6" w:rsidRPr="00ED711A" w:rsidRDefault="001264A6" w:rsidP="001264A6">
      <w:pPr>
        <w:tabs>
          <w:tab w:val="left" w:pos="1080"/>
        </w:tabs>
        <w:autoSpaceDE w:val="0"/>
        <w:autoSpaceDN w:val="0"/>
        <w:adjustRightInd w:val="0"/>
        <w:ind w:left="1080" w:hanging="1080"/>
        <w:jc w:val="both"/>
        <w:outlineLvl w:val="1"/>
        <w:rPr>
          <w:b/>
          <w:bCs/>
          <w:sz w:val="22"/>
          <w:szCs w:val="22"/>
          <w:lang w:val="fr-CH" w:eastAsia="en-US"/>
        </w:rPr>
      </w:pPr>
      <w:bookmarkStart w:id="241" w:name="_Toc421540833"/>
      <w:bookmarkStart w:id="242" w:name="_Toc421539305"/>
      <w:bookmarkStart w:id="243" w:name="_Toc468887036"/>
      <w:bookmarkStart w:id="244" w:name="_Toc469005615"/>
      <w:r w:rsidRPr="00ED711A">
        <w:rPr>
          <w:b/>
          <w:bCs/>
          <w:sz w:val="22"/>
          <w:szCs w:val="22"/>
          <w:lang w:val="fr-CH" w:eastAsia="en-US"/>
        </w:rPr>
        <w:t>Partie A:</w:t>
      </w:r>
      <w:r w:rsidRPr="00ED711A">
        <w:rPr>
          <w:b/>
          <w:bCs/>
          <w:sz w:val="22"/>
          <w:szCs w:val="22"/>
          <w:lang w:val="fr-CH" w:eastAsia="en-US"/>
        </w:rPr>
        <w:tab/>
        <w:t>Résumé tabulaire des notifications de mesure de réglementation finale pour les produits chimiques interdits ou strictement réglementés qui ne sont pas inclus à l</w:t>
      </w:r>
      <w:r w:rsidR="000D310E" w:rsidRPr="00ED711A">
        <w:rPr>
          <w:b/>
          <w:bCs/>
          <w:sz w:val="22"/>
          <w:szCs w:val="22"/>
          <w:lang w:val="fr-CH" w:eastAsia="en-US"/>
        </w:rPr>
        <w:t>’</w:t>
      </w:r>
      <w:r w:rsidR="00DE65F4" w:rsidRPr="00ED711A">
        <w:rPr>
          <w:b/>
          <w:bCs/>
          <w:sz w:val="22"/>
          <w:szCs w:val="22"/>
          <w:lang w:val="fr-CH" w:eastAsia="en-US"/>
        </w:rPr>
        <w:t>annexe III</w:t>
      </w:r>
      <w:r w:rsidRPr="00ED711A">
        <w:rPr>
          <w:b/>
          <w:bCs/>
          <w:sz w:val="22"/>
          <w:szCs w:val="22"/>
          <w:lang w:val="fr-CH" w:eastAsia="en-US"/>
        </w:rPr>
        <w:t xml:space="preserve"> et dont il a été vérifié qu</w:t>
      </w:r>
      <w:r w:rsidR="000D310E" w:rsidRPr="00ED711A">
        <w:rPr>
          <w:b/>
          <w:bCs/>
          <w:sz w:val="22"/>
          <w:szCs w:val="22"/>
          <w:lang w:val="fr-CH" w:eastAsia="en-US"/>
        </w:rPr>
        <w:t>’</w:t>
      </w:r>
      <w:r w:rsidRPr="00ED711A">
        <w:rPr>
          <w:b/>
          <w:bCs/>
          <w:sz w:val="22"/>
          <w:szCs w:val="22"/>
          <w:lang w:val="fr-CH" w:eastAsia="en-US"/>
        </w:rPr>
        <w:t xml:space="preserve">elles contiennent tous les renseignements </w:t>
      </w:r>
      <w:r w:rsidR="00E95423" w:rsidRPr="00ED711A">
        <w:rPr>
          <w:b/>
          <w:bCs/>
          <w:sz w:val="22"/>
          <w:szCs w:val="22"/>
          <w:lang w:val="fr-CH" w:eastAsia="en-US"/>
        </w:rPr>
        <w:t>stipulés dans</w:t>
      </w:r>
      <w:r w:rsidRPr="00ED711A">
        <w:rPr>
          <w:b/>
          <w:bCs/>
          <w:sz w:val="22"/>
          <w:szCs w:val="22"/>
          <w:lang w:val="fr-CH" w:eastAsia="en-US"/>
        </w:rPr>
        <w:t xml:space="preserve"> l</w:t>
      </w:r>
      <w:r w:rsidR="000D310E" w:rsidRPr="00ED711A">
        <w:rPr>
          <w:b/>
          <w:bCs/>
          <w:sz w:val="22"/>
          <w:szCs w:val="22"/>
          <w:lang w:val="fr-CH" w:eastAsia="en-US"/>
        </w:rPr>
        <w:t>’</w:t>
      </w:r>
      <w:r w:rsidR="00DE65F4" w:rsidRPr="00ED711A">
        <w:rPr>
          <w:b/>
          <w:bCs/>
          <w:sz w:val="22"/>
          <w:szCs w:val="22"/>
          <w:lang w:val="fr-CH" w:eastAsia="en-US"/>
        </w:rPr>
        <w:t>annexe I</w:t>
      </w:r>
      <w:r w:rsidRPr="00ED711A">
        <w:rPr>
          <w:b/>
          <w:bCs/>
          <w:sz w:val="22"/>
          <w:szCs w:val="22"/>
          <w:lang w:val="fr-CH" w:eastAsia="en-US"/>
        </w:rPr>
        <w:t xml:space="preserve"> de la Convention</w:t>
      </w:r>
      <w:bookmarkEnd w:id="241"/>
      <w:bookmarkEnd w:id="242"/>
      <w:bookmarkEnd w:id="243"/>
      <w:bookmarkEnd w:id="244"/>
    </w:p>
    <w:p w:rsidR="001264A6" w:rsidRPr="00ED711A" w:rsidRDefault="001264A6" w:rsidP="001264A6">
      <w:pPr>
        <w:jc w:val="both"/>
        <w:rPr>
          <w:b/>
          <w:sz w:val="22"/>
          <w:szCs w:val="22"/>
          <w:lang w:val="fr-CH"/>
        </w:rPr>
      </w:pPr>
    </w:p>
    <w:p w:rsidR="001264A6" w:rsidRPr="00ED711A" w:rsidRDefault="001264A6" w:rsidP="001264A6">
      <w:pPr>
        <w:jc w:val="both"/>
        <w:rPr>
          <w:sz w:val="22"/>
          <w:szCs w:val="22"/>
          <w:lang w:val="fr-CH" w:eastAsia="en-US"/>
        </w:rPr>
      </w:pPr>
      <w:r w:rsidRPr="00ED711A">
        <w:rPr>
          <w:sz w:val="22"/>
          <w:szCs w:val="22"/>
          <w:lang w:val="fr-CH" w:eastAsia="en-US"/>
        </w:rPr>
        <w:t>Le résumé tabulaire énumère le nom chimique, le numéro de CAS, la Partie</w:t>
      </w:r>
      <w:r w:rsidR="00747640">
        <w:rPr>
          <w:sz w:val="22"/>
          <w:szCs w:val="22"/>
          <w:lang w:val="fr-CH" w:eastAsia="en-US"/>
        </w:rPr>
        <w:t xml:space="preserve"> </w:t>
      </w:r>
      <w:r w:rsidRPr="00ED711A">
        <w:rPr>
          <w:sz w:val="22"/>
          <w:szCs w:val="22"/>
          <w:lang w:val="fr-CH" w:eastAsia="en-US"/>
        </w:rPr>
        <w:t>qui transmet la notification et la région PIC respective pour chaque notification reçue pendant la procédure PIC provisoire et la présente procédure PIC de la Convention (</w:t>
      </w:r>
      <w:r w:rsidRPr="00ED711A">
        <w:rPr>
          <w:sz w:val="22"/>
          <w:szCs w:val="22"/>
          <w:lang w:val="fr-CH"/>
        </w:rPr>
        <w:t>de septembre 1998 au 31 octobre 2016) et dont il a été vérifié qu</w:t>
      </w:r>
      <w:r w:rsidR="000D310E" w:rsidRPr="00ED711A">
        <w:rPr>
          <w:sz w:val="22"/>
          <w:szCs w:val="22"/>
          <w:lang w:val="fr-CH"/>
        </w:rPr>
        <w:t>’</w:t>
      </w:r>
      <w:r w:rsidRPr="00ED711A">
        <w:rPr>
          <w:sz w:val="22"/>
          <w:szCs w:val="22"/>
          <w:lang w:val="fr-CH"/>
        </w:rPr>
        <w:t>elle contient tous les renseignements demandés à l</w:t>
      </w:r>
      <w:r w:rsidR="000D310E" w:rsidRPr="00ED711A">
        <w:rPr>
          <w:sz w:val="22"/>
          <w:szCs w:val="22"/>
          <w:lang w:val="fr-CH"/>
        </w:rPr>
        <w:t>’</w:t>
      </w:r>
      <w:r w:rsidR="00DE65F4" w:rsidRPr="00ED711A">
        <w:rPr>
          <w:sz w:val="22"/>
          <w:szCs w:val="22"/>
          <w:lang w:val="fr-CH"/>
        </w:rPr>
        <w:t>annexe I</w:t>
      </w:r>
      <w:r w:rsidRPr="00ED711A">
        <w:rPr>
          <w:sz w:val="22"/>
          <w:szCs w:val="22"/>
          <w:lang w:val="fr-CH"/>
        </w:rPr>
        <w:t xml:space="preserve"> de la Convention. Il indique également dans quelle Circulaire le résumé a été publié. Pour consulter ces renseignements vous pouvez également visiter le site web de la Convention de </w:t>
      </w:r>
      <w:r w:rsidRPr="00ED711A">
        <w:rPr>
          <w:sz w:val="22"/>
          <w:szCs w:val="22"/>
          <w:lang w:val="fr-CH" w:eastAsia="en-US"/>
        </w:rPr>
        <w:t>Rotterdam (</w:t>
      </w:r>
      <w:hyperlink r:id="rId56" w:history="1">
        <w:r w:rsidRPr="009F7589">
          <w:rPr>
            <w:rStyle w:val="Hyperlink"/>
            <w:sz w:val="22"/>
            <w:szCs w:val="22"/>
            <w:lang w:val="fr-CH" w:eastAsia="en-US"/>
          </w:rPr>
          <w:t>www.pic.int</w:t>
        </w:r>
      </w:hyperlink>
      <w:r w:rsidRPr="00ED711A">
        <w:rPr>
          <w:sz w:val="22"/>
          <w:szCs w:val="22"/>
          <w:lang w:val="fr-CH" w:eastAsia="en-US"/>
        </w:rPr>
        <w:t>) où vous trouverez toutes les Circulaires PIC.</w:t>
      </w:r>
    </w:p>
    <w:p w:rsidR="001264A6" w:rsidRPr="00ED711A" w:rsidRDefault="001264A6" w:rsidP="001264A6">
      <w:pPr>
        <w:jc w:val="both"/>
        <w:rPr>
          <w:sz w:val="22"/>
          <w:szCs w:val="22"/>
          <w:lang w:val="fr-CH" w:eastAsia="en-US"/>
        </w:rPr>
      </w:pPr>
    </w:p>
    <w:p w:rsidR="001264A6" w:rsidRPr="00ED711A" w:rsidRDefault="001264A6" w:rsidP="001264A6">
      <w:pPr>
        <w:jc w:val="both"/>
        <w:rPr>
          <w:sz w:val="22"/>
          <w:szCs w:val="22"/>
          <w:lang w:val="fr-CH"/>
        </w:rPr>
      </w:pPr>
      <w:r w:rsidRPr="00ED711A">
        <w:rPr>
          <w:sz w:val="22"/>
          <w:szCs w:val="22"/>
          <w:lang w:val="fr-CH" w:eastAsia="en-US"/>
        </w:rPr>
        <w:t>L</w:t>
      </w:r>
      <w:r w:rsidRPr="00ED711A">
        <w:rPr>
          <w:sz w:val="22"/>
          <w:szCs w:val="22"/>
          <w:lang w:val="fr-CH"/>
        </w:rPr>
        <w:t>es renseignements sur les notifications émanant des Parties concernant les produits chimiques inscrits à l</w:t>
      </w:r>
      <w:r w:rsidR="000D310E" w:rsidRPr="00ED711A">
        <w:rPr>
          <w:sz w:val="22"/>
          <w:szCs w:val="22"/>
          <w:lang w:val="fr-CH"/>
        </w:rPr>
        <w:t>’</w:t>
      </w:r>
      <w:r w:rsidR="00DE65F4" w:rsidRPr="00ED711A">
        <w:rPr>
          <w:sz w:val="22"/>
          <w:szCs w:val="22"/>
          <w:lang w:val="fr-CH"/>
        </w:rPr>
        <w:t>annexe III</w:t>
      </w:r>
      <w:r w:rsidRPr="00ED711A">
        <w:rPr>
          <w:sz w:val="22"/>
          <w:szCs w:val="22"/>
          <w:lang w:val="fr-CH"/>
        </w:rPr>
        <w:t xml:space="preserve"> de la Convention et dont il a été vérifié qu</w:t>
      </w:r>
      <w:r w:rsidR="000D310E" w:rsidRPr="00ED711A">
        <w:rPr>
          <w:sz w:val="22"/>
          <w:szCs w:val="22"/>
          <w:lang w:val="fr-CH"/>
        </w:rPr>
        <w:t>’</w:t>
      </w:r>
      <w:r w:rsidRPr="00ED711A">
        <w:rPr>
          <w:sz w:val="22"/>
          <w:szCs w:val="22"/>
          <w:lang w:val="fr-CH"/>
        </w:rPr>
        <w:t>elles contiennent bien tous les renseignements demandés à l</w:t>
      </w:r>
      <w:r w:rsidR="000D310E" w:rsidRPr="00ED711A">
        <w:rPr>
          <w:sz w:val="22"/>
          <w:szCs w:val="22"/>
          <w:lang w:val="fr-CH"/>
        </w:rPr>
        <w:t>’</w:t>
      </w:r>
      <w:r w:rsidR="00DE65F4" w:rsidRPr="00ED711A">
        <w:rPr>
          <w:sz w:val="22"/>
          <w:szCs w:val="22"/>
          <w:lang w:val="fr-CH"/>
        </w:rPr>
        <w:t>annexe I</w:t>
      </w:r>
      <w:r w:rsidRPr="00ED711A">
        <w:rPr>
          <w:sz w:val="22"/>
          <w:szCs w:val="22"/>
          <w:lang w:val="fr-CH"/>
        </w:rPr>
        <w:t xml:space="preserve"> de la Convention, ont été inclus dans la section « Additional information on annexe III chemicals » (actuellement disponible en anglais seulement) sur site web de la Convention de Rotterdam </w:t>
      </w:r>
    </w:p>
    <w:p w:rsidR="001264A6" w:rsidRPr="00ED711A" w:rsidRDefault="001264A6" w:rsidP="001264A6">
      <w:pPr>
        <w:jc w:val="both"/>
        <w:rPr>
          <w:sz w:val="22"/>
          <w:szCs w:val="22"/>
          <w:lang w:val="fr-CH" w:eastAsia="en-US"/>
        </w:rPr>
      </w:pPr>
      <w:r w:rsidRPr="00ED711A">
        <w:rPr>
          <w:sz w:val="22"/>
          <w:szCs w:val="22"/>
          <w:lang w:val="fr-CH"/>
        </w:rPr>
        <w:t>(</w:t>
      </w:r>
      <w:hyperlink r:id="rId57" w:history="1">
        <w:r w:rsidRPr="009F7589">
          <w:rPr>
            <w:rStyle w:val="Hyperlink"/>
            <w:sz w:val="22"/>
            <w:szCs w:val="22"/>
            <w:lang w:val="fr-CH"/>
          </w:rPr>
          <w:t>www.pic.int</w:t>
        </w:r>
      </w:hyperlink>
      <w:r w:rsidRPr="00ED711A">
        <w:rPr>
          <w:sz w:val="22"/>
          <w:szCs w:val="22"/>
          <w:lang w:val="fr-CH"/>
        </w:rPr>
        <w:t>).</w:t>
      </w:r>
    </w:p>
    <w:p w:rsidR="001264A6" w:rsidRPr="00ED711A" w:rsidRDefault="001264A6" w:rsidP="001264A6">
      <w:pPr>
        <w:jc w:val="both"/>
        <w:rPr>
          <w:sz w:val="22"/>
          <w:szCs w:val="22"/>
          <w:lang w:val="fr-CH" w:eastAsia="en-US"/>
        </w:rPr>
      </w:pPr>
    </w:p>
    <w:p w:rsidR="001264A6" w:rsidRPr="00ED711A" w:rsidRDefault="001264A6" w:rsidP="001264A6">
      <w:pPr>
        <w:tabs>
          <w:tab w:val="left" w:pos="1080"/>
        </w:tabs>
        <w:ind w:left="1080" w:hanging="1080"/>
        <w:jc w:val="both"/>
        <w:outlineLvl w:val="1"/>
        <w:rPr>
          <w:b/>
          <w:sz w:val="22"/>
          <w:szCs w:val="22"/>
          <w:lang w:val="fr-CH"/>
        </w:rPr>
      </w:pPr>
      <w:bookmarkStart w:id="245" w:name="_Toc421540834"/>
      <w:bookmarkStart w:id="246" w:name="_Toc421539306"/>
      <w:bookmarkStart w:id="247" w:name="_Toc468887037"/>
      <w:bookmarkStart w:id="248" w:name="_Toc469005616"/>
      <w:r w:rsidRPr="00ED711A">
        <w:rPr>
          <w:b/>
          <w:sz w:val="22"/>
          <w:szCs w:val="22"/>
          <w:lang w:val="fr-CH"/>
        </w:rPr>
        <w:t xml:space="preserve">Partie B: </w:t>
      </w:r>
      <w:r w:rsidRPr="00ED711A">
        <w:rPr>
          <w:b/>
          <w:sz w:val="22"/>
          <w:szCs w:val="22"/>
          <w:lang w:val="fr-CH"/>
        </w:rPr>
        <w:tab/>
      </w:r>
      <w:r w:rsidRPr="00ED711A">
        <w:rPr>
          <w:b/>
          <w:bCs/>
          <w:sz w:val="22"/>
          <w:szCs w:val="22"/>
          <w:lang w:val="fr-CH" w:eastAsia="en-US"/>
        </w:rPr>
        <w:t>Résumé tabulaire des notifications de mesure de réglementation finale pour les produits chimiques interdits ou strictement réglementés dont il a été vérifié qu</w:t>
      </w:r>
      <w:r w:rsidR="000D310E" w:rsidRPr="00ED711A">
        <w:rPr>
          <w:b/>
          <w:bCs/>
          <w:sz w:val="22"/>
          <w:szCs w:val="22"/>
          <w:lang w:val="fr-CH" w:eastAsia="en-US"/>
        </w:rPr>
        <w:t>’</w:t>
      </w:r>
      <w:r w:rsidRPr="00ED711A">
        <w:rPr>
          <w:b/>
          <w:bCs/>
          <w:sz w:val="22"/>
          <w:szCs w:val="22"/>
          <w:lang w:val="fr-CH" w:eastAsia="en-US"/>
        </w:rPr>
        <w:t xml:space="preserve">elles </w:t>
      </w:r>
      <w:r w:rsidRPr="00ED711A">
        <w:rPr>
          <w:b/>
          <w:bCs/>
          <w:i/>
          <w:sz w:val="22"/>
          <w:szCs w:val="22"/>
          <w:lang w:val="fr-CH" w:eastAsia="en-US"/>
        </w:rPr>
        <w:t xml:space="preserve">ne contiennent pas </w:t>
      </w:r>
      <w:r w:rsidRPr="00ED711A">
        <w:rPr>
          <w:b/>
          <w:bCs/>
          <w:sz w:val="22"/>
          <w:szCs w:val="22"/>
          <w:lang w:val="fr-CH" w:eastAsia="en-US"/>
        </w:rPr>
        <w:t xml:space="preserve">tous les renseignements </w:t>
      </w:r>
      <w:r w:rsidR="00E95423" w:rsidRPr="00ED711A">
        <w:rPr>
          <w:b/>
          <w:bCs/>
          <w:sz w:val="22"/>
          <w:szCs w:val="22"/>
          <w:lang w:val="fr-CH" w:eastAsia="en-US"/>
        </w:rPr>
        <w:t>stipulés dans</w:t>
      </w:r>
      <w:r w:rsidRPr="00ED711A">
        <w:rPr>
          <w:b/>
          <w:bCs/>
          <w:sz w:val="22"/>
          <w:szCs w:val="22"/>
          <w:lang w:val="fr-CH" w:eastAsia="en-US"/>
        </w:rPr>
        <w:t xml:space="preserve"> l</w:t>
      </w:r>
      <w:r w:rsidR="000D310E" w:rsidRPr="00ED711A">
        <w:rPr>
          <w:b/>
          <w:bCs/>
          <w:sz w:val="22"/>
          <w:szCs w:val="22"/>
          <w:lang w:val="fr-CH" w:eastAsia="en-US"/>
        </w:rPr>
        <w:t>’</w:t>
      </w:r>
      <w:r w:rsidR="00DE65F4" w:rsidRPr="00ED711A">
        <w:rPr>
          <w:b/>
          <w:bCs/>
          <w:sz w:val="22"/>
          <w:szCs w:val="22"/>
          <w:lang w:val="fr-CH" w:eastAsia="en-US"/>
        </w:rPr>
        <w:t>annexe I</w:t>
      </w:r>
      <w:r w:rsidRPr="00ED711A">
        <w:rPr>
          <w:b/>
          <w:bCs/>
          <w:sz w:val="22"/>
          <w:szCs w:val="22"/>
          <w:lang w:val="fr-CH" w:eastAsia="en-US"/>
        </w:rPr>
        <w:t xml:space="preserve"> de la Convention</w:t>
      </w:r>
      <w:bookmarkEnd w:id="245"/>
      <w:bookmarkEnd w:id="246"/>
      <w:bookmarkEnd w:id="247"/>
      <w:bookmarkEnd w:id="248"/>
    </w:p>
    <w:p w:rsidR="001264A6" w:rsidRPr="00ED711A" w:rsidRDefault="001264A6" w:rsidP="001264A6">
      <w:pPr>
        <w:rPr>
          <w:b/>
          <w:sz w:val="22"/>
          <w:szCs w:val="22"/>
          <w:lang w:val="fr-CH"/>
        </w:rPr>
      </w:pPr>
    </w:p>
    <w:p w:rsidR="007B68CF" w:rsidRPr="00650D8E" w:rsidRDefault="001264A6" w:rsidP="00672487">
      <w:pPr>
        <w:jc w:val="both"/>
        <w:rPr>
          <w:sz w:val="22"/>
          <w:szCs w:val="22"/>
          <w:lang w:val="fr-CH"/>
        </w:rPr>
      </w:pPr>
      <w:r w:rsidRPr="00ED711A">
        <w:rPr>
          <w:sz w:val="22"/>
          <w:szCs w:val="22"/>
          <w:lang w:val="fr-CH" w:eastAsia="en-US"/>
        </w:rPr>
        <w:t>Le résumé tabulaire énumère le nom chimique, le pays qui transmet la notification pour chaque notification reçue pendant la procédure PIC provisoire et la présente PIC (</w:t>
      </w:r>
      <w:r w:rsidRPr="00ED711A">
        <w:rPr>
          <w:sz w:val="22"/>
          <w:szCs w:val="22"/>
          <w:lang w:val="fr-CH"/>
        </w:rPr>
        <w:t>de septe</w:t>
      </w:r>
      <w:r w:rsidRPr="003C616B">
        <w:rPr>
          <w:sz w:val="22"/>
          <w:szCs w:val="22"/>
          <w:lang w:val="fr-CH"/>
        </w:rPr>
        <w:t>mbre 1998 au 31 octobre 2016) et dont il a été vérifié qu</w:t>
      </w:r>
      <w:r w:rsidR="000D310E" w:rsidRPr="003C616B">
        <w:rPr>
          <w:sz w:val="22"/>
          <w:szCs w:val="22"/>
          <w:lang w:val="fr-CH"/>
        </w:rPr>
        <w:t>’</w:t>
      </w:r>
      <w:r w:rsidRPr="003C616B">
        <w:rPr>
          <w:sz w:val="22"/>
          <w:szCs w:val="22"/>
          <w:lang w:val="fr-CH"/>
        </w:rPr>
        <w:t>elle ne contient pas tous les renseignements demandés à l</w:t>
      </w:r>
      <w:r w:rsidR="000D310E" w:rsidRPr="003C616B">
        <w:rPr>
          <w:sz w:val="22"/>
          <w:szCs w:val="22"/>
          <w:lang w:val="fr-CH"/>
        </w:rPr>
        <w:t>’</w:t>
      </w:r>
      <w:r w:rsidR="00DE65F4" w:rsidRPr="003C616B">
        <w:rPr>
          <w:sz w:val="22"/>
          <w:szCs w:val="22"/>
          <w:lang w:val="fr-CH"/>
        </w:rPr>
        <w:t>annexe I</w:t>
      </w:r>
      <w:r w:rsidRPr="003C616B">
        <w:rPr>
          <w:sz w:val="22"/>
          <w:szCs w:val="22"/>
          <w:lang w:val="fr-CH"/>
        </w:rPr>
        <w:t xml:space="preserve"> de la Convention. Il indique également dans quelle Circulaire la synopsis a été publiée.</w:t>
      </w:r>
      <w:r w:rsidR="00672487" w:rsidRPr="003C616B">
        <w:rPr>
          <w:sz w:val="22"/>
          <w:szCs w:val="22"/>
          <w:lang w:val="fr-CH"/>
        </w:rPr>
        <w:t xml:space="preserve">  </w:t>
      </w:r>
      <w:r w:rsidR="00650D8E" w:rsidRPr="003C616B">
        <w:rPr>
          <w:sz w:val="22"/>
          <w:szCs w:val="22"/>
          <w:lang w:val="fr-CH"/>
        </w:rPr>
        <w:t xml:space="preserve">Des informations complémentaires peuvent être trouvèes sur le site web de la Convention </w:t>
      </w:r>
      <w:r w:rsidR="00672487" w:rsidRPr="003C616B">
        <w:rPr>
          <w:sz w:val="22"/>
          <w:szCs w:val="22"/>
          <w:lang w:val="fr-CH"/>
        </w:rPr>
        <w:t>(</w:t>
      </w:r>
      <w:hyperlink r:id="rId58" w:history="1">
        <w:r w:rsidR="00672487" w:rsidRPr="003C616B">
          <w:rPr>
            <w:rStyle w:val="Hyperlink"/>
            <w:sz w:val="22"/>
            <w:szCs w:val="22"/>
            <w:lang w:val="fr-CH"/>
          </w:rPr>
          <w:t>www.pic.int</w:t>
        </w:r>
      </w:hyperlink>
      <w:r w:rsidR="00672487" w:rsidRPr="003C616B">
        <w:rPr>
          <w:sz w:val="22"/>
          <w:szCs w:val="22"/>
          <w:lang w:val="fr-CH"/>
        </w:rPr>
        <w:t>).</w:t>
      </w:r>
    </w:p>
    <w:p w:rsidR="007B68CF" w:rsidRPr="00650D8E" w:rsidRDefault="007B68CF" w:rsidP="007B68CF">
      <w:pPr>
        <w:jc w:val="both"/>
        <w:rPr>
          <w:sz w:val="22"/>
          <w:szCs w:val="22"/>
          <w:lang w:val="fr-CH"/>
        </w:rPr>
      </w:pPr>
    </w:p>
    <w:p w:rsidR="008A1D9E" w:rsidRPr="00650D8E" w:rsidRDefault="008A1D9E" w:rsidP="00AC1AAC">
      <w:pPr>
        <w:autoSpaceDE w:val="0"/>
        <w:autoSpaceDN w:val="0"/>
        <w:adjustRightInd w:val="0"/>
        <w:jc w:val="center"/>
        <w:rPr>
          <w:b/>
          <w:bCs/>
          <w:sz w:val="22"/>
          <w:szCs w:val="22"/>
          <w:lang w:val="fr-CH" w:eastAsia="en-US"/>
        </w:rPr>
        <w:sectPr w:rsidR="008A1D9E" w:rsidRPr="00650D8E" w:rsidSect="008A1D9E">
          <w:headerReference w:type="even" r:id="rId59"/>
          <w:headerReference w:type="default" r:id="rId60"/>
          <w:type w:val="oddPage"/>
          <w:pgSz w:w="11907" w:h="16839" w:code="9"/>
          <w:pgMar w:top="1134" w:right="1134" w:bottom="1134" w:left="1134" w:header="709" w:footer="284" w:gutter="0"/>
          <w:cols w:space="708"/>
          <w:docGrid w:linePitch="360"/>
        </w:sectPr>
      </w:pPr>
    </w:p>
    <w:bookmarkEnd w:id="209"/>
    <w:bookmarkEnd w:id="210"/>
    <w:p w:rsidR="009252ED" w:rsidRPr="00ED711A" w:rsidRDefault="003218B1" w:rsidP="009252ED">
      <w:pPr>
        <w:autoSpaceDE w:val="0"/>
        <w:autoSpaceDN w:val="0"/>
        <w:adjustRightInd w:val="0"/>
        <w:jc w:val="center"/>
        <w:rPr>
          <w:b/>
          <w:bCs/>
          <w:sz w:val="22"/>
          <w:szCs w:val="22"/>
          <w:lang w:val="fr-CH" w:eastAsia="en-US"/>
        </w:rPr>
      </w:pPr>
      <w:r w:rsidRPr="00ED711A">
        <w:rPr>
          <w:b/>
          <w:bCs/>
          <w:sz w:val="22"/>
          <w:szCs w:val="22"/>
          <w:lang w:val="fr-CH" w:eastAsia="en-US"/>
        </w:rPr>
        <w:lastRenderedPageBreak/>
        <w:t>Notifications de mesure de réglementation finale</w:t>
      </w:r>
      <w:r w:rsidR="00A72F0A" w:rsidRPr="00A72F0A">
        <w:rPr>
          <w:lang w:val="es-ES_tradnl"/>
        </w:rPr>
        <w:t xml:space="preserve"> </w:t>
      </w:r>
      <w:r w:rsidR="00A72F0A">
        <w:rPr>
          <w:lang w:val="es-ES_tradnl"/>
        </w:rPr>
        <w:br/>
      </w:r>
      <w:r w:rsidRPr="00ED711A">
        <w:rPr>
          <w:b/>
          <w:bCs/>
          <w:sz w:val="22"/>
          <w:szCs w:val="22"/>
          <w:lang w:val="fr-CH" w:eastAsia="en-US"/>
        </w:rPr>
        <w:t>pour les produits chimique</w:t>
      </w:r>
      <w:r w:rsidR="00747640">
        <w:rPr>
          <w:b/>
          <w:bCs/>
          <w:sz w:val="22"/>
          <w:szCs w:val="22"/>
          <w:lang w:val="fr-CH" w:eastAsia="en-US"/>
        </w:rPr>
        <w:t>s</w:t>
      </w:r>
      <w:r w:rsidRPr="00ED711A">
        <w:rPr>
          <w:b/>
          <w:bCs/>
          <w:sz w:val="22"/>
          <w:szCs w:val="22"/>
          <w:lang w:val="fr-CH" w:eastAsia="en-US"/>
        </w:rPr>
        <w:t xml:space="preserve"> qui ne sont pas inscrits à l</w:t>
      </w:r>
      <w:r w:rsidR="000D310E" w:rsidRPr="00ED711A">
        <w:rPr>
          <w:b/>
          <w:bCs/>
          <w:sz w:val="22"/>
          <w:szCs w:val="22"/>
          <w:lang w:val="fr-CH" w:eastAsia="en-US"/>
        </w:rPr>
        <w:t>’</w:t>
      </w:r>
      <w:r w:rsidR="00DE65F4" w:rsidRPr="00ED711A">
        <w:rPr>
          <w:b/>
          <w:bCs/>
          <w:sz w:val="22"/>
          <w:szCs w:val="22"/>
          <w:lang w:val="fr-CH" w:eastAsia="en-US"/>
        </w:rPr>
        <w:t>annexe III</w:t>
      </w:r>
    </w:p>
    <w:p w:rsidR="009252ED" w:rsidRPr="00ED711A" w:rsidRDefault="009252ED" w:rsidP="009252ED">
      <w:pPr>
        <w:jc w:val="both"/>
        <w:rPr>
          <w:sz w:val="22"/>
          <w:szCs w:val="22"/>
          <w:u w:val="single"/>
          <w:lang w:val="fr-CH"/>
        </w:rPr>
      </w:pPr>
    </w:p>
    <w:p w:rsidR="009252ED" w:rsidRPr="00ED711A" w:rsidRDefault="009252ED" w:rsidP="009252ED">
      <w:pPr>
        <w:autoSpaceDE w:val="0"/>
        <w:autoSpaceDN w:val="0"/>
        <w:adjustRightInd w:val="0"/>
        <w:jc w:val="center"/>
        <w:outlineLvl w:val="1"/>
        <w:rPr>
          <w:b/>
          <w:bCs/>
          <w:u w:val="single"/>
          <w:lang w:val="fr-CH" w:eastAsia="en-US"/>
        </w:rPr>
      </w:pPr>
      <w:bookmarkStart w:id="249" w:name="_Toc468869225"/>
      <w:bookmarkStart w:id="250" w:name="_Toc468870509"/>
      <w:bookmarkStart w:id="251" w:name="_Toc468887038"/>
      <w:bookmarkStart w:id="252" w:name="_Toc469005617"/>
      <w:r w:rsidRPr="00ED711A">
        <w:rPr>
          <w:b/>
          <w:bCs/>
          <w:u w:val="single"/>
          <w:lang w:val="fr-CH" w:eastAsia="en-US"/>
        </w:rPr>
        <w:t>PART</w:t>
      </w:r>
      <w:r w:rsidR="003218B1" w:rsidRPr="00ED711A">
        <w:rPr>
          <w:b/>
          <w:bCs/>
          <w:u w:val="single"/>
          <w:lang w:val="fr-CH" w:eastAsia="en-US"/>
        </w:rPr>
        <w:t>IE</w:t>
      </w:r>
      <w:r w:rsidRPr="00ED711A">
        <w:rPr>
          <w:b/>
          <w:bCs/>
          <w:u w:val="single"/>
          <w:lang w:val="fr-CH" w:eastAsia="en-US"/>
        </w:rPr>
        <w:t xml:space="preserve"> A</w:t>
      </w:r>
      <w:bookmarkEnd w:id="249"/>
      <w:bookmarkEnd w:id="250"/>
      <w:bookmarkEnd w:id="251"/>
      <w:bookmarkEnd w:id="252"/>
    </w:p>
    <w:p w:rsidR="009252ED" w:rsidRPr="00ED711A" w:rsidRDefault="009252ED" w:rsidP="009252ED">
      <w:pPr>
        <w:autoSpaceDE w:val="0"/>
        <w:autoSpaceDN w:val="0"/>
        <w:adjustRightInd w:val="0"/>
        <w:jc w:val="center"/>
        <w:rPr>
          <w:b/>
          <w:bCs/>
          <w:lang w:val="fr-CH" w:eastAsia="en-US"/>
        </w:rPr>
      </w:pPr>
    </w:p>
    <w:p w:rsidR="009252ED" w:rsidRPr="00ED711A" w:rsidRDefault="003218B1" w:rsidP="009252ED">
      <w:pPr>
        <w:autoSpaceDE w:val="0"/>
        <w:autoSpaceDN w:val="0"/>
        <w:adjustRightInd w:val="0"/>
        <w:jc w:val="center"/>
        <w:rPr>
          <w:b/>
          <w:bCs/>
          <w:lang w:val="fr-CH" w:eastAsia="en-US"/>
        </w:rPr>
      </w:pPr>
      <w:r w:rsidRPr="00ED711A">
        <w:rPr>
          <w:b/>
          <w:bCs/>
          <w:lang w:val="fr-CH" w:eastAsia="en-US"/>
        </w:rPr>
        <w:t xml:space="preserve">RESUME TABULAIRE DES NOTIFICATIONS DE MESURE DE </w:t>
      </w:r>
      <w:r w:rsidR="001F3C16">
        <w:rPr>
          <w:b/>
          <w:bCs/>
          <w:lang w:val="fr-CH" w:eastAsia="en-US"/>
        </w:rPr>
        <w:t>RÉGLEMENTATION</w:t>
      </w:r>
      <w:r w:rsidRPr="00ED711A">
        <w:rPr>
          <w:b/>
          <w:bCs/>
          <w:lang w:val="fr-CH" w:eastAsia="en-US"/>
        </w:rPr>
        <w:t xml:space="preserve"> FINALE POUR LES PRODUITS CHIMIQUES INTERDITS OU STRICTEMENT REGLEMENTES QUI NE SONT PAS INCLUS A L</w:t>
      </w:r>
      <w:r w:rsidR="000D310E" w:rsidRPr="00ED711A">
        <w:rPr>
          <w:b/>
          <w:bCs/>
          <w:lang w:val="fr-CH" w:eastAsia="en-US"/>
        </w:rPr>
        <w:t>’</w:t>
      </w:r>
      <w:r w:rsidRPr="00ED711A">
        <w:rPr>
          <w:b/>
          <w:bCs/>
          <w:lang w:val="fr-CH" w:eastAsia="en-US"/>
        </w:rPr>
        <w:t>ANNEXE III ET DONT IL A ETE VERIFIE QU</w:t>
      </w:r>
      <w:r w:rsidR="000D310E" w:rsidRPr="00ED711A">
        <w:rPr>
          <w:b/>
          <w:bCs/>
          <w:lang w:val="fr-CH" w:eastAsia="en-US"/>
        </w:rPr>
        <w:t>’</w:t>
      </w:r>
      <w:r w:rsidRPr="00ED711A">
        <w:rPr>
          <w:b/>
          <w:bCs/>
          <w:lang w:val="fr-CH" w:eastAsia="en-US"/>
        </w:rPr>
        <w:t xml:space="preserve">ELLES CONTIENNENT TOUS LES RENSEIGNEMENTS </w:t>
      </w:r>
      <w:r w:rsidR="00E95423" w:rsidRPr="00ED711A">
        <w:rPr>
          <w:b/>
          <w:bCs/>
          <w:lang w:val="fr-CH" w:eastAsia="en-US"/>
        </w:rPr>
        <w:t>STIPULÉS DANS</w:t>
      </w:r>
      <w:r w:rsidRPr="00ED711A">
        <w:rPr>
          <w:b/>
          <w:bCs/>
          <w:lang w:val="fr-CH" w:eastAsia="en-US"/>
        </w:rPr>
        <w:t xml:space="preserve"> L</w:t>
      </w:r>
      <w:r w:rsidR="000D310E" w:rsidRPr="00ED711A">
        <w:rPr>
          <w:b/>
          <w:bCs/>
          <w:lang w:val="fr-CH" w:eastAsia="en-US"/>
        </w:rPr>
        <w:t>’</w:t>
      </w:r>
      <w:r w:rsidRPr="00ED711A">
        <w:rPr>
          <w:b/>
          <w:bCs/>
          <w:lang w:val="fr-CH" w:eastAsia="en-US"/>
        </w:rPr>
        <w:t>ANNEXE I DE LA CONVENTION</w:t>
      </w:r>
    </w:p>
    <w:p w:rsidR="009252ED" w:rsidRPr="00D1008B" w:rsidRDefault="009252ED" w:rsidP="009252ED">
      <w:pPr>
        <w:jc w:val="both"/>
        <w:rPr>
          <w:sz w:val="22"/>
          <w:szCs w:val="22"/>
          <w:lang w:val="fr-CH"/>
        </w:rPr>
      </w:pPr>
    </w:p>
    <w:p w:rsidR="00A775DE" w:rsidRPr="00D1008B" w:rsidRDefault="004A43EC" w:rsidP="00A775DE">
      <w:pPr>
        <w:jc w:val="both"/>
        <w:rPr>
          <w:sz w:val="22"/>
          <w:szCs w:val="22"/>
          <w:lang w:val="fr-CH"/>
        </w:rPr>
      </w:pPr>
      <w:r w:rsidRPr="00D1008B">
        <w:rPr>
          <w:sz w:val="22"/>
          <w:szCs w:val="22"/>
          <w:lang w:val="fr-CH"/>
        </w:rPr>
        <w:t>Le Secrétariat a vérifié que les notifications suivantes concernant produits chimiques non inscrits à l</w:t>
      </w:r>
      <w:r w:rsidR="000D310E" w:rsidRPr="00D1008B">
        <w:rPr>
          <w:sz w:val="22"/>
          <w:szCs w:val="22"/>
          <w:lang w:val="fr-CH"/>
        </w:rPr>
        <w:t>’</w:t>
      </w:r>
      <w:r w:rsidRPr="00D1008B">
        <w:rPr>
          <w:sz w:val="22"/>
          <w:szCs w:val="22"/>
          <w:lang w:val="fr-CH"/>
        </w:rPr>
        <w:t>annexe</w:t>
      </w:r>
      <w:r w:rsidR="00676EE7" w:rsidRPr="00D1008B">
        <w:rPr>
          <w:szCs w:val="22"/>
          <w:lang w:val="fr-FR"/>
        </w:rPr>
        <w:t> </w:t>
      </w:r>
      <w:r w:rsidRPr="00D1008B">
        <w:rPr>
          <w:sz w:val="22"/>
          <w:szCs w:val="22"/>
          <w:lang w:val="fr-CH"/>
        </w:rPr>
        <w:t>III contiennent les renseignements demandés à l</w:t>
      </w:r>
      <w:r w:rsidR="000D310E" w:rsidRPr="00D1008B">
        <w:rPr>
          <w:sz w:val="22"/>
          <w:szCs w:val="22"/>
          <w:lang w:val="fr-CH"/>
        </w:rPr>
        <w:t>’</w:t>
      </w:r>
      <w:r w:rsidRPr="00D1008B">
        <w:rPr>
          <w:sz w:val="22"/>
          <w:szCs w:val="22"/>
          <w:lang w:val="fr-CH"/>
        </w:rPr>
        <w:t>annexe I de la Convention</w:t>
      </w:r>
      <w:r w:rsidR="00A775DE" w:rsidRPr="00D1008B">
        <w:rPr>
          <w:sz w:val="22"/>
          <w:szCs w:val="22"/>
          <w:lang w:val="fr-CH"/>
        </w:rPr>
        <w:t>.</w:t>
      </w:r>
    </w:p>
    <w:p w:rsidR="00D1008B" w:rsidRPr="001C5D83" w:rsidRDefault="00D1008B" w:rsidP="00D1008B">
      <w:pPr>
        <w:jc w:val="both"/>
        <w:rPr>
          <w:sz w:val="22"/>
          <w:szCs w:val="22"/>
          <w:lang w:val="fr-CH"/>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1389"/>
        <w:gridCol w:w="1708"/>
        <w:gridCol w:w="1440"/>
        <w:gridCol w:w="1551"/>
        <w:gridCol w:w="1140"/>
      </w:tblGrid>
      <w:tr w:rsidR="00FE6357" w:rsidRPr="00D82DB3" w:rsidTr="00FE6357">
        <w:trPr>
          <w:cantSplit/>
          <w:trHeight w:val="20"/>
          <w:tblHeader/>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FE6357" w:rsidRPr="00D1008B" w:rsidRDefault="00FE6357" w:rsidP="00112021">
            <w:pPr>
              <w:tabs>
                <w:tab w:val="right" w:pos="2195"/>
              </w:tabs>
              <w:spacing w:before="40" w:after="40"/>
              <w:jc w:val="center"/>
              <w:rPr>
                <w:b/>
                <w:sz w:val="20"/>
                <w:szCs w:val="20"/>
              </w:rPr>
            </w:pPr>
            <w:r w:rsidRPr="00D1008B">
              <w:rPr>
                <w:b/>
                <w:sz w:val="20"/>
                <w:szCs w:val="20"/>
              </w:rPr>
              <w:t>Produit chimique</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357" w:rsidRPr="00D1008B" w:rsidRDefault="00FE6357" w:rsidP="00112021">
            <w:pPr>
              <w:spacing w:before="40" w:after="40"/>
              <w:jc w:val="center"/>
              <w:rPr>
                <w:b/>
                <w:sz w:val="20"/>
                <w:szCs w:val="20"/>
              </w:rPr>
            </w:pPr>
            <w:r w:rsidRPr="00D1008B">
              <w:rPr>
                <w:b/>
                <w:sz w:val="20"/>
                <w:szCs w:val="20"/>
              </w:rPr>
              <w:t>CAS</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FE6357" w:rsidRPr="00D1008B" w:rsidRDefault="00FE6357" w:rsidP="00112021">
            <w:pPr>
              <w:spacing w:before="40" w:after="40"/>
              <w:jc w:val="center"/>
              <w:rPr>
                <w:b/>
                <w:sz w:val="20"/>
                <w:szCs w:val="20"/>
              </w:rPr>
            </w:pPr>
            <w:r w:rsidRPr="00D1008B">
              <w:rPr>
                <w:b/>
                <w:sz w:val="20"/>
                <w:szCs w:val="20"/>
              </w:rPr>
              <w:t>Catégorie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E6357" w:rsidRPr="00D1008B" w:rsidRDefault="00FE6357" w:rsidP="00112021">
            <w:pPr>
              <w:spacing w:before="40" w:after="40"/>
              <w:jc w:val="center"/>
              <w:rPr>
                <w:b/>
                <w:sz w:val="20"/>
                <w:szCs w:val="20"/>
              </w:rPr>
            </w:pPr>
            <w:r w:rsidRPr="00D1008B">
              <w:rPr>
                <w:b/>
                <w:sz w:val="20"/>
                <w:szCs w:val="20"/>
              </w:rPr>
              <w:t>Pays</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FE6357" w:rsidRPr="00D1008B" w:rsidRDefault="00FE6357" w:rsidP="00112021">
            <w:pPr>
              <w:spacing w:before="40" w:after="40"/>
              <w:jc w:val="center"/>
              <w:rPr>
                <w:b/>
                <w:sz w:val="20"/>
                <w:szCs w:val="20"/>
              </w:rPr>
            </w:pPr>
            <w:r w:rsidRPr="00D1008B">
              <w:rPr>
                <w:b/>
                <w:sz w:val="20"/>
                <w:szCs w:val="20"/>
              </w:rPr>
              <w:t>Région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357" w:rsidRPr="00D1008B" w:rsidRDefault="00FE6357" w:rsidP="00112021">
            <w:pPr>
              <w:spacing w:before="40" w:after="40"/>
              <w:jc w:val="center"/>
              <w:rPr>
                <w:b/>
                <w:sz w:val="20"/>
                <w:szCs w:val="20"/>
              </w:rPr>
            </w:pPr>
            <w:r w:rsidRPr="00D1008B">
              <w:rPr>
                <w:b/>
                <w:sz w:val="20"/>
                <w:szCs w:val="20"/>
              </w:rPr>
              <w:t>Circulaire PIC</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Pr>
                <w:sz w:val="18"/>
                <w:szCs w:val="18"/>
              </w:rPr>
              <w:t>1,1,1,2-T</w:t>
            </w:r>
            <w:r w:rsidRPr="00D82DB3">
              <w:rPr>
                <w:sz w:val="18"/>
                <w:szCs w:val="18"/>
              </w:rPr>
              <w:t>étrachloroéthane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630-20-6</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D23FE5">
            <w:pPr>
              <w:tabs>
                <w:tab w:val="right" w:pos="2195"/>
              </w:tabs>
              <w:spacing w:before="40" w:after="40"/>
              <w:rPr>
                <w:sz w:val="18"/>
                <w:szCs w:val="18"/>
              </w:rPr>
            </w:pPr>
            <w:r w:rsidRPr="00D82DB3">
              <w:rPr>
                <w:sz w:val="18"/>
                <w:szCs w:val="18"/>
              </w:rPr>
              <w:t>1,1,1-</w:t>
            </w:r>
            <w:r>
              <w:rPr>
                <w:sz w:val="18"/>
                <w:szCs w:val="18"/>
              </w:rPr>
              <w:t>T</w:t>
            </w:r>
            <w:r w:rsidRPr="00D82DB3">
              <w:rPr>
                <w:sz w:val="18"/>
                <w:szCs w:val="18"/>
              </w:rPr>
              <w:t>richloroéthane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71-55-6</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Pr>
                <w:sz w:val="18"/>
                <w:szCs w:val="18"/>
              </w:rPr>
              <w:t>1,1,2,2-T</w:t>
            </w:r>
            <w:r w:rsidRPr="00D82DB3">
              <w:rPr>
                <w:sz w:val="18"/>
                <w:szCs w:val="18"/>
              </w:rPr>
              <w:t xml:space="preserve">étrachloroéthane </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79-34-5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Pr>
                <w:sz w:val="18"/>
                <w:szCs w:val="18"/>
              </w:rPr>
              <w:t>1,1,2-t</w:t>
            </w:r>
            <w:r w:rsidRPr="00D82DB3">
              <w:rPr>
                <w:sz w:val="18"/>
                <w:szCs w:val="18"/>
              </w:rPr>
              <w:t>richloroéthane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79-00-5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Pr>
                <w:sz w:val="18"/>
                <w:szCs w:val="18"/>
              </w:rPr>
              <w:t>1,1-D</w:t>
            </w:r>
            <w:r w:rsidRPr="00D82DB3">
              <w:rPr>
                <w:sz w:val="18"/>
                <w:szCs w:val="18"/>
              </w:rPr>
              <w:t>ichloroéthylène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75-35-4</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1,3-Dichloropropène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542-75-6</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XXVI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1008B" w:rsidRDefault="00FE6357" w:rsidP="00BA7EC0">
            <w:pPr>
              <w:tabs>
                <w:tab w:val="right" w:pos="2195"/>
              </w:tabs>
              <w:spacing w:before="40" w:after="40"/>
              <w:rPr>
                <w:sz w:val="18"/>
                <w:szCs w:val="18"/>
                <w:lang w:val="fr-CH"/>
              </w:rPr>
            </w:pPr>
            <w:r w:rsidRPr="00D1008B">
              <w:rPr>
                <w:sz w:val="18"/>
                <w:szCs w:val="18"/>
                <w:lang w:val="fr-CH"/>
              </w:rPr>
              <w:t>1,6-Diisocyanatohexane, homopolymérisé, produits de réaction avec l'alpha-fluoro-oméga-2-hydroxyéthyl-</w:t>
            </w:r>
            <w:proofErr w:type="gramStart"/>
            <w:r w:rsidRPr="00D1008B">
              <w:rPr>
                <w:sz w:val="18"/>
                <w:szCs w:val="18"/>
                <w:lang w:val="fr-CH"/>
              </w:rPr>
              <w:t>poly(</w:t>
            </w:r>
            <w:proofErr w:type="gramEnd"/>
            <w:r w:rsidRPr="00D1008B">
              <w:rPr>
                <w:sz w:val="18"/>
                <w:szCs w:val="18"/>
                <w:lang w:val="fr-CH"/>
              </w:rPr>
              <w:t>difluorométhylène), des alcools ramifiés en C16-20 et l'octadécan-1-ol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n.d.</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Canada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du Nord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2,4,5-TP (Silvex; Fenoprop)</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93-72-1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Thaïlande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Pr>
                <w:sz w:val="18"/>
                <w:szCs w:val="18"/>
              </w:rPr>
              <w:t>2,4,6-T</w:t>
            </w:r>
            <w:r w:rsidRPr="00D82DB3">
              <w:rPr>
                <w:sz w:val="18"/>
                <w:szCs w:val="18"/>
              </w:rPr>
              <w:t>ri-tert-butylphénol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732-26-3</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Japon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2,4-D</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94-75-7</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Norvège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2-Benzotriazol-2-yl-4,6-di-tert-butylphénol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3846-71-7</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Japon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XVII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D23FE5">
            <w:pPr>
              <w:tabs>
                <w:tab w:val="right" w:pos="2195"/>
              </w:tabs>
              <w:spacing w:before="40" w:after="40"/>
              <w:rPr>
                <w:sz w:val="18"/>
                <w:szCs w:val="18"/>
              </w:rPr>
            </w:pPr>
            <w:r w:rsidRPr="00D82DB3">
              <w:rPr>
                <w:sz w:val="18"/>
                <w:szCs w:val="18"/>
              </w:rPr>
              <w:t>2-</w:t>
            </w:r>
            <w:r>
              <w:rPr>
                <w:sz w:val="18"/>
                <w:szCs w:val="18"/>
              </w:rPr>
              <w:t>M</w:t>
            </w:r>
            <w:r w:rsidRPr="00D82DB3">
              <w:rPr>
                <w:sz w:val="18"/>
                <w:szCs w:val="18"/>
              </w:rPr>
              <w:t>ethoxyethanol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109-86-4</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Canada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du Nord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XVIII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1008B" w:rsidRDefault="00FE6357" w:rsidP="00BA7EC0">
            <w:pPr>
              <w:tabs>
                <w:tab w:val="right" w:pos="2195"/>
              </w:tabs>
              <w:spacing w:before="40" w:after="40"/>
              <w:rPr>
                <w:sz w:val="18"/>
                <w:szCs w:val="18"/>
                <w:lang w:val="fr-CH"/>
              </w:rPr>
            </w:pPr>
            <w:r w:rsidRPr="00D1008B">
              <w:rPr>
                <w:sz w:val="18"/>
                <w:szCs w:val="18"/>
                <w:lang w:val="fr-CH"/>
              </w:rPr>
              <w:t>2-Méthyl-2-propénoate de 2-méthylpropyle polymérisé avec le 2-propénoate de butyle et furan-2, 5-dione, esters de gamma</w:t>
            </w:r>
            <w:proofErr w:type="gramStart"/>
            <w:r w:rsidRPr="00D1008B">
              <w:rPr>
                <w:sz w:val="18"/>
                <w:szCs w:val="18"/>
                <w:lang w:val="fr-CH"/>
              </w:rPr>
              <w:t>,oméga</w:t>
            </w:r>
            <w:proofErr w:type="gramEnd"/>
            <w:r w:rsidRPr="00D1008B">
              <w:rPr>
                <w:sz w:val="18"/>
                <w:szCs w:val="18"/>
                <w:lang w:val="fr-CH"/>
              </w:rPr>
              <w:t>-perfluoroalkyle en C8-14, amorcé avec le benzènecarboperoxoate de tert-butyle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459415-06-6</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Canada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du Nord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1008B" w:rsidRDefault="00FE6357" w:rsidP="00BA7EC0">
            <w:pPr>
              <w:tabs>
                <w:tab w:val="right" w:pos="2195"/>
              </w:tabs>
              <w:spacing w:before="40" w:after="40"/>
              <w:rPr>
                <w:sz w:val="18"/>
                <w:szCs w:val="18"/>
                <w:lang w:val="fr-CH"/>
              </w:rPr>
            </w:pPr>
            <w:r w:rsidRPr="00D1008B">
              <w:rPr>
                <w:sz w:val="18"/>
                <w:szCs w:val="18"/>
                <w:lang w:val="fr-CH"/>
              </w:rPr>
              <w:lastRenderedPageBreak/>
              <w:t>2-Méthyl-2-propénoate d’hexadécyle polymère avec le méthacrylate de 2-hydroxyéthyle, l’acrylate de gamma-oméga-perfluoro-C10-16-alkyle et le méthacrylate de stéaryle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203743-03-7</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Canada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du Nord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Pr>
                <w:sz w:val="18"/>
                <w:szCs w:val="18"/>
              </w:rPr>
              <w:t>2-N</w:t>
            </w:r>
            <w:r w:rsidRPr="00D82DB3">
              <w:rPr>
                <w:sz w:val="18"/>
                <w:szCs w:val="18"/>
              </w:rPr>
              <w:t>aphtylamine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91-59-8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Japon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Pr>
                <w:sz w:val="18"/>
                <w:szCs w:val="18"/>
              </w:rPr>
              <w:t>2-N</w:t>
            </w:r>
            <w:r w:rsidRPr="00D82DB3">
              <w:rPr>
                <w:sz w:val="18"/>
                <w:szCs w:val="18"/>
              </w:rPr>
              <w:t>aphtylamine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91-59-8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Pr>
                <w:sz w:val="18"/>
                <w:szCs w:val="18"/>
              </w:rPr>
              <w:t>2-N</w:t>
            </w:r>
            <w:r w:rsidRPr="00D82DB3">
              <w:rPr>
                <w:sz w:val="18"/>
                <w:szCs w:val="18"/>
              </w:rPr>
              <w:t>aphtylamine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91-59-8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République de Corée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Pr>
                <w:sz w:val="18"/>
                <w:szCs w:val="18"/>
              </w:rPr>
              <w:t>2-N</w:t>
            </w:r>
            <w:r w:rsidRPr="00D82DB3">
              <w:rPr>
                <w:sz w:val="18"/>
                <w:szCs w:val="18"/>
              </w:rPr>
              <w:t>aphtylamine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91-59-8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Suisse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Pr>
                <w:sz w:val="18"/>
                <w:szCs w:val="18"/>
              </w:rPr>
              <w:t>2-N</w:t>
            </w:r>
            <w:r w:rsidRPr="00D82DB3">
              <w:rPr>
                <w:sz w:val="18"/>
                <w:szCs w:val="18"/>
              </w:rPr>
              <w:t>itrobenzaldéhyde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552-89-6</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1008B" w:rsidRDefault="00FE6357" w:rsidP="00BA7EC0">
            <w:pPr>
              <w:spacing w:before="40" w:after="40"/>
              <w:rPr>
                <w:sz w:val="18"/>
                <w:szCs w:val="18"/>
                <w:lang w:val="fr-CH"/>
              </w:rPr>
            </w:pPr>
            <w:r>
              <w:rPr>
                <w:sz w:val="18"/>
                <w:szCs w:val="18"/>
                <w:lang w:val="fr-CH"/>
              </w:rPr>
              <w:t>2-P</w:t>
            </w:r>
            <w:r w:rsidRPr="00D1008B">
              <w:rPr>
                <w:sz w:val="18"/>
                <w:szCs w:val="18"/>
                <w:lang w:val="fr-CH"/>
              </w:rPr>
              <w:t>ropène-1-ol, produits de réaction avec du pentafluoroiodoéthane et de tétrafluoroéthylène télomérisés, déshydroiodés, produits de réaction avec l'épichlorhydrine et la triéthylènetétramine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464178-90-3</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Canada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du Nord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Pr>
                <w:sz w:val="18"/>
                <w:szCs w:val="18"/>
              </w:rPr>
              <w:t>4-N</w:t>
            </w:r>
            <w:r w:rsidRPr="00D82DB3">
              <w:rPr>
                <w:sz w:val="18"/>
                <w:szCs w:val="18"/>
              </w:rPr>
              <w:t>itrobiphényle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92-93-3</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Japon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Pr>
                <w:sz w:val="18"/>
                <w:szCs w:val="18"/>
              </w:rPr>
              <w:t>4-N</w:t>
            </w:r>
            <w:r w:rsidRPr="00D82DB3">
              <w:rPr>
                <w:sz w:val="18"/>
                <w:szCs w:val="18"/>
              </w:rPr>
              <w:t>itrobiphényle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92-93-3</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Pr>
                <w:sz w:val="18"/>
                <w:szCs w:val="18"/>
              </w:rPr>
              <w:t>4-N</w:t>
            </w:r>
            <w:r w:rsidRPr="00D82DB3">
              <w:rPr>
                <w:sz w:val="18"/>
                <w:szCs w:val="18"/>
              </w:rPr>
              <w:t>itrobiphényle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92-93-3</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Suisse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Acephate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30560-19-1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VIII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 xml:space="preserve">Acétate de thallium </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563-68-8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République de Corée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Acide fluoroacétique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144-49-0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1008B" w:rsidRDefault="00FE6357" w:rsidP="00BA7EC0">
            <w:pPr>
              <w:spacing w:before="40" w:after="40"/>
              <w:rPr>
                <w:sz w:val="18"/>
                <w:szCs w:val="18"/>
                <w:lang w:val="fr-CH"/>
              </w:rPr>
            </w:pPr>
            <w:r w:rsidRPr="00D1008B">
              <w:rPr>
                <w:sz w:val="18"/>
                <w:szCs w:val="18"/>
                <w:lang w:val="fr-CH"/>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Japon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1008B" w:rsidRDefault="00FE6357" w:rsidP="00BA7EC0">
            <w:pPr>
              <w:spacing w:before="40" w:after="40"/>
              <w:rPr>
                <w:sz w:val="18"/>
                <w:szCs w:val="18"/>
                <w:lang w:val="fr-CH"/>
              </w:rPr>
            </w:pPr>
            <w:r w:rsidRPr="00D1008B">
              <w:rPr>
                <w:sz w:val="18"/>
                <w:szCs w:val="18"/>
                <w:lang w:val="fr-CH"/>
              </w:rPr>
              <w:t>Acide perfluorooctanoïque, (APFO), ses sels et esters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Default="00FE6357" w:rsidP="00BA7EC0">
            <w:pPr>
              <w:spacing w:before="40" w:after="40"/>
              <w:rPr>
                <w:sz w:val="18"/>
                <w:szCs w:val="18"/>
              </w:rPr>
            </w:pPr>
            <w:r>
              <w:rPr>
                <w:sz w:val="18"/>
                <w:szCs w:val="18"/>
              </w:rPr>
              <w:t>335-67-1,</w:t>
            </w:r>
          </w:p>
          <w:p w:rsidR="00FE6357" w:rsidRDefault="00FE6357" w:rsidP="00BA7EC0">
            <w:pPr>
              <w:spacing w:before="40" w:after="40"/>
              <w:rPr>
                <w:sz w:val="18"/>
                <w:szCs w:val="18"/>
              </w:rPr>
            </w:pPr>
            <w:r>
              <w:rPr>
                <w:sz w:val="18"/>
                <w:szCs w:val="18"/>
              </w:rPr>
              <w:t>3825-26-1,</w:t>
            </w:r>
          </w:p>
          <w:p w:rsidR="00FE6357" w:rsidRDefault="00FE6357" w:rsidP="00BA7EC0">
            <w:pPr>
              <w:spacing w:before="40" w:after="40"/>
              <w:rPr>
                <w:sz w:val="18"/>
                <w:szCs w:val="18"/>
              </w:rPr>
            </w:pPr>
            <w:r>
              <w:rPr>
                <w:sz w:val="18"/>
                <w:szCs w:val="18"/>
              </w:rPr>
              <w:t>335-95-5,</w:t>
            </w:r>
          </w:p>
          <w:p w:rsidR="00FE6357" w:rsidRDefault="00FE6357" w:rsidP="00BA7EC0">
            <w:pPr>
              <w:spacing w:before="40" w:after="40"/>
              <w:rPr>
                <w:sz w:val="18"/>
                <w:szCs w:val="18"/>
              </w:rPr>
            </w:pPr>
            <w:r>
              <w:rPr>
                <w:sz w:val="18"/>
                <w:szCs w:val="18"/>
              </w:rPr>
              <w:t>2395-00-8,</w:t>
            </w:r>
          </w:p>
          <w:p w:rsidR="00FE6357" w:rsidRDefault="00FE6357" w:rsidP="00BA7EC0">
            <w:pPr>
              <w:spacing w:before="40" w:after="40"/>
              <w:rPr>
                <w:sz w:val="18"/>
                <w:szCs w:val="18"/>
              </w:rPr>
            </w:pPr>
            <w:r>
              <w:rPr>
                <w:sz w:val="18"/>
                <w:szCs w:val="18"/>
              </w:rPr>
              <w:t>335-93-3,</w:t>
            </w:r>
          </w:p>
          <w:p w:rsidR="00FE6357" w:rsidRDefault="00FE6357" w:rsidP="00BA7EC0">
            <w:pPr>
              <w:spacing w:before="40" w:after="40"/>
              <w:rPr>
                <w:sz w:val="18"/>
                <w:szCs w:val="18"/>
              </w:rPr>
            </w:pPr>
            <w:r w:rsidRPr="00D82DB3">
              <w:rPr>
                <w:sz w:val="18"/>
                <w:szCs w:val="18"/>
              </w:rPr>
              <w:t>335-66-0,</w:t>
            </w:r>
          </w:p>
          <w:p w:rsidR="00FE6357" w:rsidRDefault="00FE6357" w:rsidP="00BA7EC0">
            <w:pPr>
              <w:spacing w:before="40" w:after="40"/>
              <w:rPr>
                <w:sz w:val="18"/>
                <w:szCs w:val="18"/>
              </w:rPr>
            </w:pPr>
            <w:r>
              <w:rPr>
                <w:sz w:val="18"/>
                <w:szCs w:val="18"/>
              </w:rPr>
              <w:t>376-27-2,</w:t>
            </w:r>
          </w:p>
          <w:p w:rsidR="00FE6357" w:rsidRPr="00D82DB3" w:rsidRDefault="00FE6357" w:rsidP="00BA7EC0">
            <w:pPr>
              <w:spacing w:before="40" w:after="40"/>
              <w:rPr>
                <w:sz w:val="18"/>
                <w:szCs w:val="18"/>
              </w:rPr>
            </w:pPr>
            <w:r w:rsidRPr="00D82DB3">
              <w:rPr>
                <w:sz w:val="18"/>
                <w:szCs w:val="18"/>
              </w:rPr>
              <w:t>3108-24-5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1008B" w:rsidRDefault="00FE6357" w:rsidP="00BA7EC0">
            <w:pPr>
              <w:spacing w:before="40" w:after="40"/>
              <w:rPr>
                <w:sz w:val="18"/>
                <w:szCs w:val="18"/>
                <w:lang w:val="fr-CH"/>
              </w:rPr>
            </w:pPr>
            <w:r w:rsidRPr="00D1008B">
              <w:rPr>
                <w:sz w:val="18"/>
                <w:szCs w:val="18"/>
                <w:lang w:val="fr-CH"/>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Norvège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Alcool allylique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107-18-6</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Canada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du Nord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Aminopyralid</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150114-71-9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Norvège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Amitraze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33089-61-1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Iran (République islamique d')</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Amitraze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33089-61-1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République arabe syrienne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Proche Orient</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Amitraze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33089-61-1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lastRenderedPageBreak/>
              <w:t>Amitrole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61-82-5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Thaïlande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Aramite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140-57-8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Thaïlande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Arsenate de calcium</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7778-44-1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Thaïlande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Arséniate de plomb</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7784-40-9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Japon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Arséniate de plomb</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7784-40-9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Pérou</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Latine et  Caraïbes</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Arsenite de sodium</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7784-46-5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Pays-Bas</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Atrazine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1912-24-9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Cabo Verde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Atrazine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1912-24-9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Gambie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Atrazine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1912-24-9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Mauritanie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Atrazine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1912-24-9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Niger</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Atrazine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1912-24-9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Sénégal</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Atrazine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1912-24-9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Tchad</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Atrazine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1912-24-9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Togo</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Atrazine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1912-24-9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Azinphos éthyle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2642-71-9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Thaïlande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Benfuracarb</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82560-54-1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Bentazon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25057-89-0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Norvège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Benzène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71-43-2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Benzidine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92-87-5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Canada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du Nord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Benzidine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92-87-5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Canada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du Nord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XVIII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Benzidine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92-87-5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Jordanie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Proche Orient</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LII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Benzidine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92-87-5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Benzidine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92-87-5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République de Corée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Benzidine et ses sels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92-87-5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Inde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Benzidine et ses sels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92-87-5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Japon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Benzidine et ses sels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92-87-5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w:t>
            </w:r>
            <w:r>
              <w:rPr>
                <w:sz w:val="18"/>
                <w:szCs w:val="18"/>
              </w:rPr>
              <w:t>ordanie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Proche Orient</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XVII</w:t>
            </w:r>
            <w:r w:rsidRPr="00D82DB3">
              <w:rPr>
                <w:sz w:val="18"/>
                <w:szCs w:val="18"/>
              </w:rPr>
              <w:t>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Benzidine et ses sels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92-87-5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Suisse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Pr>
                <w:sz w:val="18"/>
                <w:szCs w:val="18"/>
              </w:rPr>
              <w:t>B</w:t>
            </w:r>
            <w:r w:rsidRPr="00D82DB3">
              <w:rPr>
                <w:sz w:val="18"/>
                <w:szCs w:val="18"/>
              </w:rPr>
              <w:t>eta-Hexachlorocyclohexane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319-85-7</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Japon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Pr>
                <w:sz w:val="18"/>
                <w:szCs w:val="18"/>
              </w:rPr>
              <w:t>B</w:t>
            </w:r>
            <w:r w:rsidRPr="00D82DB3">
              <w:rPr>
                <w:sz w:val="18"/>
                <w:szCs w:val="18"/>
              </w:rPr>
              <w:t>eta-Hexachlorocyclohexane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319-85-7</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Japon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Pr>
                <w:sz w:val="18"/>
                <w:szCs w:val="18"/>
              </w:rPr>
              <w:t>B</w:t>
            </w:r>
            <w:r w:rsidRPr="00D82DB3">
              <w:rPr>
                <w:sz w:val="18"/>
                <w:szCs w:val="18"/>
              </w:rPr>
              <w:t>eta-Hexachlorocyclohexane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319-85-7</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Thaïlande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Bifentrine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82657-04-3</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Pays-Bas</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Biphényle-4-ylamine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92-67-1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Japon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Biphényle-4-ylamine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92-67-1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lastRenderedPageBreak/>
              <w:t>Biphényle-4-ylamine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92-67-1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République de Corée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Biphényle-4-ylamine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92-67-1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Suisse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Bis(chloromethyl)éther</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542-88-1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Canada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du Nord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Bis(chloromethyl)éther</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542-88-1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Japon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Bis(chloromethyl)éther</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542-88-1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République de Corée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Bitertanol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55179-31-2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Norvège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1008B" w:rsidRDefault="00FE6357" w:rsidP="00BA7EC0">
            <w:pPr>
              <w:tabs>
                <w:tab w:val="right" w:pos="2195"/>
              </w:tabs>
              <w:spacing w:before="40" w:after="40"/>
              <w:rPr>
                <w:sz w:val="18"/>
                <w:szCs w:val="18"/>
                <w:lang w:val="fr-CH"/>
              </w:rPr>
            </w:pPr>
            <w:r w:rsidRPr="00D1008B">
              <w:rPr>
                <w:sz w:val="18"/>
                <w:szCs w:val="18"/>
                <w:lang w:val="fr-CH"/>
              </w:rPr>
              <w:t>BNST (dianiline, produits de réaction avec le styrène et le 2,4, 4-triméthylpentène)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68921-45-9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Canada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du Nord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LII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Pr>
                <w:sz w:val="18"/>
                <w:szCs w:val="18"/>
              </w:rPr>
              <w:t>B</w:t>
            </w:r>
            <w:r w:rsidRPr="00D82DB3">
              <w:rPr>
                <w:sz w:val="18"/>
                <w:szCs w:val="18"/>
              </w:rPr>
              <w:t xml:space="preserve">romoacétate de méthyle   </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96-32-2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Bromoacétate d'éthyle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105-36-2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Pr>
                <w:sz w:val="18"/>
                <w:szCs w:val="18"/>
              </w:rPr>
              <w:t>B</w:t>
            </w:r>
            <w:r w:rsidRPr="00D82DB3">
              <w:rPr>
                <w:sz w:val="18"/>
                <w:szCs w:val="18"/>
              </w:rPr>
              <w:t>romobenzylbromotoluène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99688-47-8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Pr>
                <w:sz w:val="18"/>
                <w:szCs w:val="18"/>
              </w:rPr>
              <w:t>B</w:t>
            </w:r>
            <w:r w:rsidRPr="00D82DB3">
              <w:rPr>
                <w:sz w:val="18"/>
                <w:szCs w:val="18"/>
              </w:rPr>
              <w:t>romobenzylbromotoluène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99688-47-8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Suisse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Bromochlorodifluorométhane (Halon 1211)</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353-59-3</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Canada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du Nord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Bromochlorométhane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74-97-5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Thaïlande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Bromotrifluorométhane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75-63-8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Canada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du Nord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Bromuconazole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116255-48-2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Norvège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Butraline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33629-47-9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 xml:space="preserve">Cadmium </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7440-43-9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Cadusafos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95465-99-9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XXVI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Carbaryl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63-25-2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Jordanie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Proche Orient</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VIII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Carbaryl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63-25-2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République arabe syrienne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Proche Orient</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Carbaryl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63-25-2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XVI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Carbofuranne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1563-66-2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Cabo Verde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Carbofuranne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1563-66-2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Canada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du Nord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Carbofuranne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1563-66-2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Gambie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Carbofuranne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1563-66-2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Mauritanie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Carbofuranne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1563-66-2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Niger</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Carbofuranne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1563-66-2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Sénégal</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Carbofuranne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1563-66-2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Tchad</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Carbofuranne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1563-66-2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Togo</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Carbofuranne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1563-66-2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lastRenderedPageBreak/>
              <w:t>Carbonate de plomb</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598-63-0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Jordanie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Proche Orient</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XXVI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Carbonate de plomb</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598-63-0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Carbosulfan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55285-14-8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Burkina Faso</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Carbosulfan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55285-14-8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Cabo Verde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Carbosulfan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55285-14-8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Gambie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Carbosulfan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55285-14-8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Mauritanie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Carbosulfan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55285-14-8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Niger</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Carbosulfan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55285-14-8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Sénégal</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Carbosulfan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55285-14-8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Tchad</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Carbosulfan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55285-14-8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Togo</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Carbosulfan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55285-14-8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XXXV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CFC (chlorofluorocarbone totalment halogénés)</w:t>
            </w:r>
            <w:r w:rsidRPr="00D82DB3">
              <w:rPr>
                <w:sz w:val="18"/>
                <w:szCs w:val="18"/>
              </w:rPr>
              <w:br/>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Default="00FE6357" w:rsidP="00BA7EC0">
            <w:pPr>
              <w:spacing w:before="40" w:after="40"/>
              <w:rPr>
                <w:color w:val="000000"/>
                <w:sz w:val="18"/>
                <w:szCs w:val="18"/>
              </w:rPr>
            </w:pPr>
            <w:r w:rsidRPr="00D82DB3">
              <w:rPr>
                <w:color w:val="000000"/>
                <w:sz w:val="18"/>
                <w:szCs w:val="18"/>
              </w:rPr>
              <w:t>75-69-4,</w:t>
            </w:r>
          </w:p>
          <w:p w:rsidR="00FE6357" w:rsidRDefault="00FE6357" w:rsidP="00BA7EC0">
            <w:pPr>
              <w:spacing w:before="40" w:after="40"/>
              <w:rPr>
                <w:color w:val="000000"/>
                <w:sz w:val="18"/>
                <w:szCs w:val="18"/>
              </w:rPr>
            </w:pPr>
            <w:r w:rsidRPr="00D82DB3">
              <w:rPr>
                <w:color w:val="000000"/>
                <w:sz w:val="18"/>
                <w:szCs w:val="18"/>
              </w:rPr>
              <w:t>75-71-8,</w:t>
            </w:r>
          </w:p>
          <w:p w:rsidR="00FE6357" w:rsidRDefault="00FE6357" w:rsidP="00BA7EC0">
            <w:pPr>
              <w:spacing w:before="40" w:after="40"/>
              <w:rPr>
                <w:color w:val="000000"/>
                <w:sz w:val="18"/>
                <w:szCs w:val="18"/>
              </w:rPr>
            </w:pPr>
            <w:r w:rsidRPr="00D82DB3">
              <w:rPr>
                <w:color w:val="000000"/>
                <w:sz w:val="18"/>
                <w:szCs w:val="18"/>
              </w:rPr>
              <w:t>76-13-1,</w:t>
            </w:r>
          </w:p>
          <w:p w:rsidR="00FE6357" w:rsidRDefault="00FE6357" w:rsidP="00BA7EC0">
            <w:pPr>
              <w:spacing w:before="40" w:after="40"/>
              <w:rPr>
                <w:color w:val="000000"/>
                <w:sz w:val="18"/>
                <w:szCs w:val="18"/>
              </w:rPr>
            </w:pPr>
            <w:r w:rsidRPr="00D82DB3">
              <w:rPr>
                <w:color w:val="000000"/>
                <w:sz w:val="18"/>
                <w:szCs w:val="18"/>
              </w:rPr>
              <w:t>76-14-2,</w:t>
            </w:r>
          </w:p>
          <w:p w:rsidR="00FE6357" w:rsidRPr="00D82DB3" w:rsidRDefault="00FE6357" w:rsidP="00BA7EC0">
            <w:pPr>
              <w:spacing w:before="40" w:after="40"/>
              <w:rPr>
                <w:sz w:val="18"/>
                <w:szCs w:val="18"/>
              </w:rPr>
            </w:pPr>
            <w:r w:rsidRPr="00D82DB3">
              <w:rPr>
                <w:color w:val="000000"/>
                <w:sz w:val="18"/>
                <w:szCs w:val="18"/>
              </w:rPr>
              <w:t>76-15-3</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Canada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du Nord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1008B" w:rsidRDefault="00FE6357" w:rsidP="00BA7EC0">
            <w:pPr>
              <w:tabs>
                <w:tab w:val="right" w:pos="2195"/>
              </w:tabs>
              <w:spacing w:before="40" w:after="40"/>
              <w:rPr>
                <w:sz w:val="18"/>
                <w:szCs w:val="18"/>
                <w:lang w:val="fr-CH"/>
              </w:rPr>
            </w:pPr>
            <w:r w:rsidRPr="00D1008B">
              <w:rPr>
                <w:sz w:val="18"/>
                <w:szCs w:val="18"/>
                <w:lang w:val="fr-CH"/>
              </w:rPr>
              <w:t>Chlorates (y compris mais non limité aux chlorates de Na, Mg, K)</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Default="00FE6357" w:rsidP="00BA7EC0">
            <w:pPr>
              <w:spacing w:before="40" w:after="40"/>
              <w:rPr>
                <w:sz w:val="18"/>
                <w:szCs w:val="18"/>
              </w:rPr>
            </w:pPr>
            <w:r w:rsidRPr="00D82DB3">
              <w:rPr>
                <w:sz w:val="18"/>
                <w:szCs w:val="18"/>
              </w:rPr>
              <w:t>7775-09-9,</w:t>
            </w:r>
          </w:p>
          <w:p w:rsidR="00FE6357" w:rsidRDefault="00FE6357" w:rsidP="00BA7EC0">
            <w:pPr>
              <w:spacing w:before="40" w:after="40"/>
              <w:rPr>
                <w:color w:val="000000"/>
                <w:sz w:val="18"/>
                <w:szCs w:val="18"/>
              </w:rPr>
            </w:pPr>
            <w:r>
              <w:rPr>
                <w:color w:val="000000"/>
                <w:sz w:val="18"/>
                <w:szCs w:val="18"/>
              </w:rPr>
              <w:t>10326-21-3,</w:t>
            </w:r>
          </w:p>
          <w:p w:rsidR="00FE6357" w:rsidRDefault="00FE6357" w:rsidP="00BA7EC0">
            <w:pPr>
              <w:spacing w:before="40" w:after="40"/>
              <w:rPr>
                <w:color w:val="000000"/>
                <w:sz w:val="18"/>
                <w:szCs w:val="18"/>
              </w:rPr>
            </w:pPr>
            <w:r>
              <w:rPr>
                <w:color w:val="000000"/>
                <w:sz w:val="18"/>
                <w:szCs w:val="18"/>
              </w:rPr>
              <w:t>3811-04-9</w:t>
            </w:r>
          </w:p>
          <w:p w:rsidR="00FE6357" w:rsidRPr="00D82DB3" w:rsidRDefault="00FE6357" w:rsidP="00BA7EC0">
            <w:pPr>
              <w:spacing w:before="40" w:after="40"/>
              <w:rPr>
                <w:sz w:val="18"/>
                <w:szCs w:val="18"/>
              </w:rPr>
            </w:pPr>
            <w:r w:rsidRPr="00D82DB3">
              <w:rPr>
                <w:color w:val="000000"/>
                <w:sz w:val="18"/>
                <w:szCs w:val="18"/>
              </w:rPr>
              <w:t>et d’autres</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XXXVIII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Chlordécone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143-50-0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Japon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XXXII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Chlordécone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143-50-0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Japon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XXXIII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Chlordécone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143-50-0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Suisse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Chlordécone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143-50-0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Thaïlande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Chlorfenapyr</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122453-73-0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XVIII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Chlorfenvinphos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470-90-6</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Norvège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Chlornitrofen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1836-77-7</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Japon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chloroéthylène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75-01-4</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 xml:space="preserve">Chloroforme </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67-66-3</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Chlorsulfuron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64902-72-3</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Norvège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Chlorthal-dimethyl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1861-32-1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XXXVII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Chlorthiophos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60238-56-4</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Thaïlande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Chlorure de tributyltétradécyl phosphonium</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81741-28-8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Canada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du Nord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Chlozolinate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84332-86-5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VI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Chrysotile (amiante chrysotile)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12001-29-5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 du Sud</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Chrysotile (amiante chrysotile)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12001-29-5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Australie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Pacifique Sud-Ouest</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Chrysotile (amiante chrysotile)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12001-29-5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Bulgarie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lastRenderedPageBreak/>
              <w:t>Chrysotile (amiante chrysotile)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12001-29-5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Chili</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Latine et  Caraïbes</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Chrysotile (amiante chrysotile)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12001-29-5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Japon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Chrysotile (amiante chrysotile)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12001-29-5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Japon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Chrysotile (amiante chrysotile)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12001-29-5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Chrysotile (amiante chrysotile)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12001-29-5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Suisse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Chrysotile (amiante chrysotile)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12001-29-5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Compound de arsenic</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7440-38-2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 xml:space="preserve">Créosote </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8001-58-9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créosote de bois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8021-39-4</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Cycloheximide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66-81-9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Thaïlande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Cyhexatin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13121-70-5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Brésil</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Latine et  Caraïbes</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XXVI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Cyhexatin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13121-70-5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Canada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du Nord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Cyhexatin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13121-70-5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Japon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DBCP</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96-12-8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Canada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du Nord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DBCP</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96-12-8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Thaïlande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DDD</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72-54-8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Thaïlande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Decabromodiphényl éther (decaBDE)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1163-19-5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Norvège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XXXIX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055895" w:rsidP="00055895">
            <w:pPr>
              <w:tabs>
                <w:tab w:val="right" w:pos="2195"/>
              </w:tabs>
              <w:spacing w:before="40" w:after="40"/>
              <w:rPr>
                <w:sz w:val="18"/>
                <w:szCs w:val="18"/>
              </w:rPr>
            </w:pPr>
            <w:r>
              <w:rPr>
                <w:sz w:val="18"/>
                <w:szCs w:val="18"/>
              </w:rPr>
              <w:t>Dé</w:t>
            </w:r>
            <w:r w:rsidR="00FE6357" w:rsidRPr="00D82DB3">
              <w:rPr>
                <w:sz w:val="18"/>
                <w:szCs w:val="18"/>
              </w:rPr>
              <w:t>m</w:t>
            </w:r>
            <w:r>
              <w:rPr>
                <w:sz w:val="18"/>
                <w:szCs w:val="18"/>
              </w:rPr>
              <w:t>é</w:t>
            </w:r>
            <w:r w:rsidR="00FE6357" w:rsidRPr="00D82DB3">
              <w:rPr>
                <w:sz w:val="18"/>
                <w:szCs w:val="18"/>
              </w:rPr>
              <w:t>phion-</w:t>
            </w:r>
            <w:r w:rsidR="00FE6357" w:rsidRPr="00055895">
              <w:rPr>
                <w:sz w:val="18"/>
                <w:szCs w:val="18"/>
              </w:rPr>
              <w:t>O</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682-80-4</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Thaïlande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BA7EC0" w:rsidRDefault="00FE6357" w:rsidP="00BA7EC0">
            <w:pPr>
              <w:tabs>
                <w:tab w:val="right" w:pos="2195"/>
              </w:tabs>
              <w:spacing w:before="40" w:after="40"/>
              <w:rPr>
                <w:sz w:val="18"/>
                <w:szCs w:val="18"/>
                <w:lang w:val="fr-CH"/>
              </w:rPr>
            </w:pPr>
            <w:r w:rsidRPr="00BA7EC0">
              <w:rPr>
                <w:sz w:val="18"/>
                <w:szCs w:val="18"/>
                <w:lang w:val="fr-CH"/>
              </w:rPr>
              <w:t>Déméton-</w:t>
            </w:r>
            <w:r w:rsidRPr="00BA7EC0" w:rsidDel="00912AFD">
              <w:rPr>
                <w:sz w:val="18"/>
                <w:szCs w:val="18"/>
                <w:lang w:val="fr-CH"/>
              </w:rPr>
              <w:t xml:space="preserve"> </w:t>
            </w:r>
            <w:r w:rsidRPr="00BA7EC0">
              <w:rPr>
                <w:sz w:val="18"/>
                <w:szCs w:val="18"/>
                <w:lang w:val="fr-CH"/>
              </w:rPr>
              <w:t>méthyle (mélange des isomères déméton-</w:t>
            </w:r>
            <w:r w:rsidRPr="00BB768B">
              <w:rPr>
                <w:i/>
                <w:sz w:val="18"/>
                <w:szCs w:val="18"/>
                <w:lang w:val="fr-CH"/>
              </w:rPr>
              <w:t>O</w:t>
            </w:r>
            <w:r w:rsidRPr="00BA7EC0">
              <w:rPr>
                <w:sz w:val="18"/>
                <w:szCs w:val="18"/>
                <w:lang w:val="fr-CH"/>
              </w:rPr>
              <w:t>-méthyle et déméton-</w:t>
            </w:r>
            <w:r w:rsidRPr="007C6511">
              <w:rPr>
                <w:i/>
                <w:sz w:val="18"/>
                <w:szCs w:val="18"/>
                <w:lang w:val="fr-CH"/>
              </w:rPr>
              <w:t>S</w:t>
            </w:r>
            <w:r w:rsidRPr="00BA7EC0">
              <w:rPr>
                <w:sz w:val="18"/>
                <w:szCs w:val="18"/>
                <w:lang w:val="fr-CH"/>
              </w:rPr>
              <w:t>-méthyle)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Default="00FE6357" w:rsidP="00BA7EC0">
            <w:pPr>
              <w:spacing w:before="40" w:after="40"/>
              <w:rPr>
                <w:color w:val="000000"/>
                <w:sz w:val="18"/>
                <w:szCs w:val="18"/>
              </w:rPr>
            </w:pPr>
            <w:r w:rsidRPr="00D82DB3">
              <w:rPr>
                <w:color w:val="000000"/>
                <w:sz w:val="18"/>
                <w:szCs w:val="18"/>
              </w:rPr>
              <w:t>8022-00-2,</w:t>
            </w:r>
          </w:p>
          <w:p w:rsidR="00FE6357" w:rsidRDefault="00FE6357" w:rsidP="00BA7EC0">
            <w:pPr>
              <w:spacing w:before="40" w:after="40"/>
              <w:rPr>
                <w:sz w:val="18"/>
                <w:szCs w:val="18"/>
              </w:rPr>
            </w:pPr>
            <w:r>
              <w:rPr>
                <w:sz w:val="18"/>
                <w:szCs w:val="18"/>
              </w:rPr>
              <w:t>867-27-6,</w:t>
            </w:r>
          </w:p>
          <w:p w:rsidR="00FE6357" w:rsidRPr="00D82DB3" w:rsidRDefault="00FE6357" w:rsidP="00BA7EC0">
            <w:pPr>
              <w:spacing w:before="40" w:after="40"/>
              <w:rPr>
                <w:sz w:val="18"/>
                <w:szCs w:val="18"/>
              </w:rPr>
            </w:pPr>
            <w:r w:rsidRPr="00D82DB3">
              <w:rPr>
                <w:sz w:val="18"/>
                <w:szCs w:val="18"/>
              </w:rPr>
              <w:t>919-86-8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BA7EC0" w:rsidRDefault="00FE6357" w:rsidP="00BA7EC0">
            <w:pPr>
              <w:spacing w:before="40" w:after="40"/>
              <w:rPr>
                <w:sz w:val="18"/>
                <w:szCs w:val="18"/>
                <w:lang w:val="fr-CH"/>
              </w:rPr>
            </w:pPr>
            <w:r w:rsidRPr="00BA7EC0">
              <w:rPr>
                <w:sz w:val="18"/>
                <w:szCs w:val="18"/>
                <w:lang w:val="fr-CH"/>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Japon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Diazinon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333-41-5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Dibromotétrafluoroéthane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124-73-2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Canada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du Nord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Dichlobénil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1194-65-6</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Norvège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Dichlobénil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1194-65-6</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XXVI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 xml:space="preserve">Dichloro[(dichlorophényl)méthyl]méthylbenzène   </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76253-60-6</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 xml:space="preserve">Dichloro[(dichlorophényl)méthyl]méthylbenzène   </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76253-60-6</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Suisse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Dichlorobenzyltoluene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81161-70-8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Suisse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Dichlorophène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97-23-4</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Thaïlande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Dichlorure de dimercure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10112-91-1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Roumanie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Dichlorvos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62-73-7</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lastRenderedPageBreak/>
              <w:t>Dicloran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99-30-9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XXVI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Dicofol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115-32-2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Japon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Dicofol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115-32-2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Japon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Dicofol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115-32-2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Japon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Dicofol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115-32-2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Pays-Bas</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Dicofol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115-32-2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Roumanie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Dicofol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115-32-2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Suisse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Dicofol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115-32-2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Dicrotophos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141-66-2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Jordanie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Proche Orient</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VIII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Difénoconazole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119446-68-3</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Norvège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Diméfox</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115-26-4</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Jordanie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Proche Orient</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VIII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Diméfox</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115-26-4</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Thaïlande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Diméthénamide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87674-68-8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XVII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Diniconazole-M</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83657-18-5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Dinoterb</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1420-07-1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Suisse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Dinoterb</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1420-07-1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Thaïlande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Dinoterb</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1420-07-1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Diphenylamine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122-39-4</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XXXIX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BA7EC0" w:rsidRDefault="00FE6357" w:rsidP="00BA7EC0">
            <w:pPr>
              <w:tabs>
                <w:tab w:val="right" w:pos="2195"/>
              </w:tabs>
              <w:spacing w:before="40" w:after="40"/>
              <w:rPr>
                <w:sz w:val="18"/>
                <w:szCs w:val="18"/>
                <w:lang w:val="fr-CH"/>
              </w:rPr>
            </w:pPr>
            <w:r w:rsidRPr="00BA7EC0">
              <w:rPr>
                <w:sz w:val="18"/>
                <w:szCs w:val="18"/>
                <w:lang w:val="fr-CH"/>
              </w:rPr>
              <w:t>Distillats de goudron de houille, huiles de naphtalène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84650-04-4</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BA7EC0" w:rsidRDefault="00FE6357" w:rsidP="00BA7EC0">
            <w:pPr>
              <w:tabs>
                <w:tab w:val="right" w:pos="2195"/>
              </w:tabs>
              <w:spacing w:before="40" w:after="40"/>
              <w:rPr>
                <w:sz w:val="18"/>
                <w:szCs w:val="18"/>
                <w:lang w:val="fr-CH"/>
              </w:rPr>
            </w:pPr>
            <w:r w:rsidRPr="00BA7EC0">
              <w:rPr>
                <w:sz w:val="18"/>
                <w:szCs w:val="18"/>
                <w:lang w:val="fr-CH"/>
              </w:rPr>
              <w:t xml:space="preserve">Distillats supérieurs de goudron de houille (charbon)   </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65996-91-0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Disulfoton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298-04-4</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Thaïlande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C140D9" w:rsidRDefault="00FE6357" w:rsidP="00BA7EC0">
            <w:pPr>
              <w:tabs>
                <w:tab w:val="right" w:pos="2195"/>
              </w:tabs>
              <w:spacing w:before="40" w:after="40"/>
              <w:rPr>
                <w:sz w:val="18"/>
                <w:szCs w:val="18"/>
              </w:rPr>
            </w:pPr>
            <w:r w:rsidRPr="00C140D9">
              <w:rPr>
                <w:color w:val="000000"/>
                <w:sz w:val="18"/>
                <w:szCs w:val="18"/>
              </w:rPr>
              <w:t>Endosulfan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Default="00FE6357" w:rsidP="00BA7EC0">
            <w:pPr>
              <w:spacing w:before="40" w:after="40"/>
              <w:rPr>
                <w:color w:val="000000"/>
                <w:sz w:val="18"/>
                <w:szCs w:val="18"/>
              </w:rPr>
            </w:pPr>
            <w:r>
              <w:rPr>
                <w:color w:val="000000"/>
                <w:sz w:val="18"/>
                <w:szCs w:val="18"/>
              </w:rPr>
              <w:t>115-29-7**,</w:t>
            </w:r>
          </w:p>
          <w:p w:rsidR="00FE6357" w:rsidRDefault="00FE6357" w:rsidP="00BA7EC0">
            <w:pPr>
              <w:spacing w:before="40" w:after="40"/>
              <w:rPr>
                <w:color w:val="000000"/>
                <w:sz w:val="18"/>
                <w:szCs w:val="18"/>
              </w:rPr>
            </w:pPr>
            <w:r>
              <w:rPr>
                <w:color w:val="000000"/>
                <w:sz w:val="18"/>
                <w:szCs w:val="18"/>
              </w:rPr>
              <w:t>959-98-8,</w:t>
            </w:r>
          </w:p>
          <w:p w:rsidR="00FE6357" w:rsidRPr="00C140D9" w:rsidRDefault="00FE6357" w:rsidP="00BA7EC0">
            <w:pPr>
              <w:spacing w:before="40" w:after="40"/>
              <w:rPr>
                <w:sz w:val="18"/>
                <w:szCs w:val="18"/>
              </w:rPr>
            </w:pPr>
            <w:r w:rsidRPr="00C140D9">
              <w:rPr>
                <w:color w:val="000000"/>
                <w:sz w:val="18"/>
                <w:szCs w:val="18"/>
              </w:rPr>
              <w:t>33213-65-9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BA7EC0" w:rsidRDefault="00FE6357" w:rsidP="00BA7EC0">
            <w:pPr>
              <w:spacing w:before="40" w:after="40"/>
              <w:rPr>
                <w:sz w:val="18"/>
                <w:szCs w:val="18"/>
                <w:lang w:val="fr-CH"/>
              </w:rPr>
            </w:pPr>
            <w:r w:rsidRPr="00BA7EC0">
              <w:rPr>
                <w:color w:val="000000"/>
                <w:sz w:val="18"/>
                <w:szCs w:val="18"/>
                <w:lang w:val="fr-CH"/>
              </w:rPr>
              <w:t xml:space="preserve">Pesticide* &amp; </w:t>
            </w:r>
            <w:r w:rsidRPr="00BA7EC0">
              <w:rPr>
                <w:sz w:val="18"/>
                <w:szCs w:val="18"/>
                <w:lang w:val="fr-CH"/>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C140D9" w:rsidRDefault="00FE6357" w:rsidP="00BA7EC0">
            <w:pPr>
              <w:spacing w:before="40" w:after="40"/>
              <w:rPr>
                <w:sz w:val="18"/>
                <w:szCs w:val="18"/>
              </w:rPr>
            </w:pPr>
            <w:r>
              <w:rPr>
                <w:color w:val="000000"/>
                <w:sz w:val="18"/>
                <w:szCs w:val="18"/>
              </w:rPr>
              <w:t>Japo</w:t>
            </w:r>
            <w:r w:rsidRPr="00C140D9">
              <w:rPr>
                <w:color w:val="000000"/>
                <w:sz w:val="18"/>
                <w:szCs w:val="18"/>
              </w:rPr>
              <w:t>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C140D9" w:rsidRDefault="00FE6357" w:rsidP="00BA7EC0">
            <w:pPr>
              <w:spacing w:before="40" w:after="40"/>
              <w:rPr>
                <w:sz w:val="18"/>
                <w:szCs w:val="18"/>
              </w:rPr>
            </w:pPr>
            <w:r w:rsidRPr="00C140D9">
              <w:rPr>
                <w:color w:val="000000"/>
                <w:sz w:val="18"/>
                <w:szCs w:val="18"/>
              </w:rPr>
              <w:t>Asi</w:t>
            </w:r>
            <w:r>
              <w:rPr>
                <w:color w:val="000000"/>
                <w:sz w:val="18"/>
                <w:szCs w:val="18"/>
              </w:rPr>
              <w:t>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C140D9" w:rsidRDefault="00FE6357" w:rsidP="00BA7EC0">
            <w:pPr>
              <w:spacing w:before="40" w:after="40"/>
              <w:rPr>
                <w:sz w:val="18"/>
                <w:szCs w:val="18"/>
              </w:rPr>
            </w:pPr>
            <w:r w:rsidRPr="00C140D9">
              <w:rPr>
                <w:color w:val="000000"/>
                <w:sz w:val="18"/>
                <w:szCs w:val="18"/>
              </w:rPr>
              <w:t>XLIV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Endrine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72-20-8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Bulgarie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Endrine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72-20-8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Canada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du Nord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Endrine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72-20-8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Guyana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Latine et  Caraïbes</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XVI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Endrine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72-20-8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BA7EC0" w:rsidRDefault="00FE6357" w:rsidP="00BA7EC0">
            <w:pPr>
              <w:spacing w:before="40" w:after="40"/>
              <w:rPr>
                <w:sz w:val="18"/>
                <w:szCs w:val="18"/>
                <w:lang w:val="fr-CH"/>
              </w:rPr>
            </w:pPr>
            <w:r w:rsidRPr="00BA7EC0">
              <w:rPr>
                <w:sz w:val="18"/>
                <w:szCs w:val="18"/>
                <w:lang w:val="fr-CH"/>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Japon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Endrine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72-20-8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Jordanie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Proche Orient</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VIII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Endrine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72-20-8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Pérou</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Latine et  Caraïbes</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Endrine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72-20-8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BA7EC0" w:rsidRDefault="00FE6357" w:rsidP="00BA7EC0">
            <w:pPr>
              <w:spacing w:before="40" w:after="40"/>
              <w:rPr>
                <w:sz w:val="18"/>
                <w:szCs w:val="18"/>
                <w:lang w:val="fr-CH"/>
              </w:rPr>
            </w:pPr>
            <w:r w:rsidRPr="00BA7EC0">
              <w:rPr>
                <w:sz w:val="18"/>
                <w:szCs w:val="18"/>
                <w:lang w:val="fr-CH"/>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République de Corée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Endrine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72-20-8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Roumanie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Endrine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72-20-8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Suisse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Endrine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72-20-8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Uruguay</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Latine et  Caraïbes</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XVIII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lastRenderedPageBreak/>
              <w:t>Epoxiconazole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106325-08-0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Norvège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EPTC</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759-94-4</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Norvège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Ether de chlorométhyle méthyle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107-30-2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Canada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du Nord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XVIII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Ethoxylates de nonylph</w:t>
            </w:r>
            <w:r>
              <w:rPr>
                <w:sz w:val="18"/>
                <w:szCs w:val="18"/>
              </w:rPr>
              <w:t>é</w:t>
            </w:r>
            <w:r w:rsidRPr="00D82DB3">
              <w:rPr>
                <w:sz w:val="18"/>
                <w:szCs w:val="18"/>
              </w:rPr>
              <w:t>nol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Default="00FE6357" w:rsidP="00BA7EC0">
            <w:pPr>
              <w:spacing w:before="40" w:after="40"/>
              <w:rPr>
                <w:color w:val="000000"/>
                <w:sz w:val="18"/>
                <w:szCs w:val="18"/>
                <w:lang w:val="en-GB"/>
              </w:rPr>
            </w:pPr>
            <w:r>
              <w:rPr>
                <w:color w:val="000000"/>
                <w:sz w:val="18"/>
                <w:szCs w:val="18"/>
                <w:lang w:val="en-GB"/>
              </w:rPr>
              <w:t>127087-87-0,</w:t>
            </w:r>
          </w:p>
          <w:p w:rsidR="00FE6357" w:rsidRDefault="00FE6357" w:rsidP="00BA7EC0">
            <w:pPr>
              <w:spacing w:before="40" w:after="40"/>
              <w:rPr>
                <w:color w:val="000000"/>
                <w:sz w:val="18"/>
                <w:szCs w:val="18"/>
                <w:lang w:val="en-GB"/>
              </w:rPr>
            </w:pPr>
            <w:r>
              <w:rPr>
                <w:color w:val="000000"/>
                <w:sz w:val="18"/>
                <w:szCs w:val="18"/>
                <w:lang w:val="en-GB"/>
              </w:rPr>
              <w:t>26027-38-3,</w:t>
            </w:r>
          </w:p>
          <w:p w:rsidR="00FE6357" w:rsidRDefault="00FE6357" w:rsidP="00BA7EC0">
            <w:pPr>
              <w:spacing w:before="40" w:after="40"/>
              <w:rPr>
                <w:color w:val="000000"/>
                <w:sz w:val="18"/>
                <w:szCs w:val="18"/>
                <w:lang w:val="en-GB"/>
              </w:rPr>
            </w:pPr>
            <w:r>
              <w:rPr>
                <w:color w:val="000000"/>
                <w:sz w:val="18"/>
                <w:szCs w:val="18"/>
                <w:lang w:val="en-GB"/>
              </w:rPr>
              <w:t>37205-87-1,</w:t>
            </w:r>
          </w:p>
          <w:p w:rsidR="00FE6357" w:rsidRDefault="00FE6357" w:rsidP="00BA7EC0">
            <w:pPr>
              <w:spacing w:before="40" w:after="40"/>
              <w:rPr>
                <w:color w:val="000000"/>
                <w:sz w:val="18"/>
                <w:szCs w:val="18"/>
                <w:lang w:val="en-GB"/>
              </w:rPr>
            </w:pPr>
            <w:r w:rsidRPr="00CB1E21">
              <w:rPr>
                <w:color w:val="000000"/>
                <w:sz w:val="18"/>
                <w:szCs w:val="18"/>
                <w:lang w:val="en-GB"/>
              </w:rPr>
              <w:t>68412-54-4,</w:t>
            </w:r>
          </w:p>
          <w:p w:rsidR="00FE6357" w:rsidRPr="00D82DB3" w:rsidRDefault="00FE6357" w:rsidP="00BA7EC0">
            <w:pPr>
              <w:spacing w:before="40" w:after="40"/>
              <w:rPr>
                <w:sz w:val="18"/>
                <w:szCs w:val="18"/>
              </w:rPr>
            </w:pPr>
            <w:r w:rsidRPr="00D82DB3">
              <w:rPr>
                <w:sz w:val="18"/>
                <w:szCs w:val="18"/>
              </w:rPr>
              <w:t>9016-45-9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BA7EC0" w:rsidRDefault="00FE6357" w:rsidP="00BA7EC0">
            <w:pPr>
              <w:spacing w:before="40" w:after="40"/>
              <w:rPr>
                <w:sz w:val="18"/>
                <w:szCs w:val="18"/>
                <w:lang w:val="fr-CH"/>
              </w:rPr>
            </w:pPr>
            <w:r w:rsidRPr="00BA7EC0">
              <w:rPr>
                <w:sz w:val="18"/>
                <w:szCs w:val="18"/>
                <w:lang w:val="fr-CH"/>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Ethyl hexylèneglycol (ethylhexanediol)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94-96-2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Thaïlande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Fénarimol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60168-88-9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XXXVII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Fénitrothion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122-14-5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Fensulfothion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115-90-2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Thaïlande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Fenthion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55-38-9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Fentine hydroxyde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76-87-9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VI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Fipronil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120068-37-3</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Cabo Verde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Fipronil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120068-37-3</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Gambie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Fipronil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120068-37-3</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Mauritanie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Fipronil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120068-37-3</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Niger</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Fipronil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120068-37-3</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Sénégal</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Fipronil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120068-37-3</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Tchad</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Fipronil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120068-37-3</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Togo</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Fluazifop-P-butyl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79241-46-6</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Norvège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Fluazinam</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79622-59-6</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Norvège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Flufenoxuron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101463-69-8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XXXIX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color w:val="000000"/>
                <w:sz w:val="18"/>
                <w:szCs w:val="18"/>
              </w:rPr>
              <w:t>Fluopicolide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color w:val="000000"/>
                <w:sz w:val="18"/>
                <w:szCs w:val="18"/>
              </w:rPr>
              <w:t>239110-15-7</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color w:val="000000"/>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Norvège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color w:val="000000"/>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color w:val="000000"/>
                <w:sz w:val="18"/>
                <w:szCs w:val="18"/>
              </w:rPr>
              <w:t>XLIII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Fluoroacétate de sodium</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62-74-8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Cuba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Latine et  Caraïbes</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XVIII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Flurprimidol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56425-91-3</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XXVI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Folpet</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133-07-3</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Malaisie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Fonofos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944-22-9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Thaïlande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Furfural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98-01-1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Canada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du Nord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81015B">
              <w:rPr>
                <w:sz w:val="18"/>
                <w:szCs w:val="18"/>
              </w:rPr>
              <w:t>Hexabromocyclodod</w:t>
            </w:r>
            <w:r>
              <w:rPr>
                <w:sz w:val="18"/>
                <w:szCs w:val="18"/>
              </w:rPr>
              <w:t>é</w:t>
            </w:r>
            <w:r w:rsidRPr="0081015B">
              <w:rPr>
                <w:sz w:val="18"/>
                <w:szCs w:val="18"/>
              </w:rPr>
              <w:t>cane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81015B">
              <w:rPr>
                <w:sz w:val="18"/>
                <w:szCs w:val="18"/>
              </w:rPr>
              <w:t>25637-99-4</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Pr>
                <w:sz w:val="18"/>
                <w:szCs w:val="18"/>
              </w:rPr>
              <w:t>Japo</w:t>
            </w:r>
            <w:r w:rsidRPr="0081015B">
              <w:rPr>
                <w:sz w:val="18"/>
                <w:szCs w:val="18"/>
              </w:rPr>
              <w:t>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81015B">
              <w:rPr>
                <w:sz w:val="18"/>
                <w:szCs w:val="18"/>
              </w:rPr>
              <w:t>Asi</w:t>
            </w:r>
            <w:r>
              <w:rPr>
                <w:sz w:val="18"/>
                <w:szCs w:val="18"/>
              </w:rPr>
              <w:t>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81015B">
              <w:rPr>
                <w:sz w:val="18"/>
                <w:szCs w:val="18"/>
              </w:rPr>
              <w:t>XLIV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C140D9" w:rsidRDefault="00FE6357" w:rsidP="00BA7EC0">
            <w:pPr>
              <w:tabs>
                <w:tab w:val="right" w:pos="2195"/>
              </w:tabs>
              <w:spacing w:before="40" w:after="40"/>
              <w:rPr>
                <w:sz w:val="18"/>
                <w:szCs w:val="18"/>
              </w:rPr>
            </w:pPr>
            <w:r w:rsidRPr="00C140D9">
              <w:rPr>
                <w:sz w:val="18"/>
                <w:szCs w:val="18"/>
              </w:rPr>
              <w:t>Hexabromocyclodod</w:t>
            </w:r>
            <w:r>
              <w:rPr>
                <w:sz w:val="18"/>
                <w:szCs w:val="18"/>
              </w:rPr>
              <w:t>é</w:t>
            </w:r>
            <w:r w:rsidRPr="00C140D9">
              <w:rPr>
                <w:sz w:val="18"/>
                <w:szCs w:val="18"/>
              </w:rPr>
              <w:t>cane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Default="00FE6357" w:rsidP="00BA7EC0">
            <w:pPr>
              <w:spacing w:before="40" w:after="40"/>
              <w:rPr>
                <w:sz w:val="18"/>
                <w:szCs w:val="18"/>
              </w:rPr>
            </w:pPr>
            <w:r>
              <w:rPr>
                <w:sz w:val="18"/>
                <w:szCs w:val="18"/>
              </w:rPr>
              <w:t>25637-99-4,</w:t>
            </w:r>
          </w:p>
          <w:p w:rsidR="00FE6357" w:rsidRDefault="00FE6357" w:rsidP="00BA7EC0">
            <w:pPr>
              <w:spacing w:before="40" w:after="40"/>
              <w:rPr>
                <w:sz w:val="18"/>
                <w:szCs w:val="18"/>
              </w:rPr>
            </w:pPr>
            <w:r>
              <w:rPr>
                <w:sz w:val="18"/>
                <w:szCs w:val="18"/>
              </w:rPr>
              <w:t>3194-55-6,</w:t>
            </w:r>
          </w:p>
          <w:p w:rsidR="00FE6357" w:rsidRDefault="00FE6357" w:rsidP="00BA7EC0">
            <w:pPr>
              <w:spacing w:before="40" w:after="40"/>
              <w:rPr>
                <w:sz w:val="18"/>
                <w:szCs w:val="18"/>
              </w:rPr>
            </w:pPr>
            <w:r>
              <w:rPr>
                <w:sz w:val="18"/>
                <w:szCs w:val="18"/>
              </w:rPr>
              <w:t>134237-50-6,</w:t>
            </w:r>
          </w:p>
          <w:p w:rsidR="00FE6357" w:rsidRDefault="00FE6357" w:rsidP="00BA7EC0">
            <w:pPr>
              <w:spacing w:before="40" w:after="40"/>
              <w:rPr>
                <w:sz w:val="18"/>
                <w:szCs w:val="18"/>
              </w:rPr>
            </w:pPr>
            <w:r>
              <w:rPr>
                <w:sz w:val="18"/>
                <w:szCs w:val="18"/>
              </w:rPr>
              <w:t>134237-51-7,</w:t>
            </w:r>
          </w:p>
          <w:p w:rsidR="00FE6357" w:rsidRPr="00C140D9" w:rsidRDefault="00FE6357" w:rsidP="00BA7EC0">
            <w:pPr>
              <w:spacing w:before="40" w:after="40"/>
              <w:rPr>
                <w:sz w:val="18"/>
                <w:szCs w:val="18"/>
              </w:rPr>
            </w:pPr>
            <w:r w:rsidRPr="00C140D9">
              <w:rPr>
                <w:sz w:val="18"/>
                <w:szCs w:val="18"/>
              </w:rPr>
              <w:t>134237-52-8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C140D9"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C140D9" w:rsidRDefault="00FE6357" w:rsidP="00BA7EC0">
            <w:pPr>
              <w:spacing w:before="40" w:after="40"/>
              <w:rPr>
                <w:sz w:val="18"/>
                <w:szCs w:val="18"/>
              </w:rPr>
            </w:pPr>
            <w:r w:rsidRPr="00D82DB3">
              <w:rPr>
                <w:sz w:val="18"/>
                <w:szCs w:val="18"/>
              </w:rPr>
              <w:t>Norvège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C140D9" w:rsidRDefault="00FE6357" w:rsidP="00BA7EC0">
            <w:pPr>
              <w:spacing w:before="40" w:after="40"/>
              <w:rPr>
                <w:sz w:val="18"/>
                <w:szCs w:val="18"/>
              </w:rPr>
            </w:pPr>
            <w:r w:rsidRPr="00C140D9">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C140D9" w:rsidRDefault="00FE6357" w:rsidP="00BA7EC0">
            <w:pPr>
              <w:spacing w:before="40" w:after="40"/>
              <w:rPr>
                <w:sz w:val="18"/>
                <w:szCs w:val="18"/>
              </w:rPr>
            </w:pPr>
            <w:r w:rsidRPr="00C140D9">
              <w:rPr>
                <w:sz w:val="18"/>
                <w:szCs w:val="18"/>
              </w:rPr>
              <w:t>XLIV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Hexachlorobenzène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118-74-1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Canada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du Nord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XXVIII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lastRenderedPageBreak/>
              <w:t>Hexachlorobenzène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118-74-1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Chine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color w:val="000000"/>
                <w:sz w:val="18"/>
                <w:szCs w:val="18"/>
              </w:rPr>
              <w:t>Hexachlorobenzène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color w:val="000000"/>
                <w:sz w:val="18"/>
                <w:szCs w:val="18"/>
              </w:rPr>
              <w:t>118-74-1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BA7EC0" w:rsidRDefault="00FE6357" w:rsidP="00BA7EC0">
            <w:pPr>
              <w:spacing w:before="40" w:after="40"/>
              <w:rPr>
                <w:sz w:val="18"/>
                <w:szCs w:val="18"/>
                <w:lang w:val="fr-CH"/>
              </w:rPr>
            </w:pPr>
            <w:r w:rsidRPr="00BA7EC0">
              <w:rPr>
                <w:color w:val="000000"/>
                <w:sz w:val="18"/>
                <w:szCs w:val="18"/>
                <w:lang w:val="fr-CH"/>
              </w:rPr>
              <w:t xml:space="preserve">Pesticide* &amp; </w:t>
            </w:r>
            <w:r w:rsidRPr="00BA7EC0">
              <w:rPr>
                <w:sz w:val="18"/>
                <w:szCs w:val="18"/>
                <w:lang w:val="fr-CH"/>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color w:val="000000"/>
                <w:sz w:val="18"/>
                <w:szCs w:val="18"/>
              </w:rPr>
              <w:t>Japon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color w:val="000000"/>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color w:val="000000"/>
                <w:sz w:val="18"/>
                <w:szCs w:val="18"/>
              </w:rPr>
              <w:t>XX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color w:val="000000"/>
                <w:sz w:val="18"/>
                <w:szCs w:val="18"/>
              </w:rPr>
              <w:t>Hexachlorobenzène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color w:val="000000"/>
                <w:sz w:val="18"/>
                <w:szCs w:val="18"/>
              </w:rPr>
              <w:t>118-74-1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BA7EC0" w:rsidRDefault="00FE6357" w:rsidP="00BA7EC0">
            <w:pPr>
              <w:spacing w:before="40" w:after="40"/>
              <w:rPr>
                <w:sz w:val="18"/>
                <w:szCs w:val="18"/>
                <w:lang w:val="fr-CH"/>
              </w:rPr>
            </w:pPr>
            <w:r w:rsidRPr="00BA7EC0">
              <w:rPr>
                <w:color w:val="000000"/>
                <w:sz w:val="18"/>
                <w:szCs w:val="18"/>
                <w:lang w:val="fr-CH"/>
              </w:rPr>
              <w:t xml:space="preserve">Pesticide* &amp; </w:t>
            </w:r>
            <w:r w:rsidRPr="00BA7EC0">
              <w:rPr>
                <w:sz w:val="18"/>
                <w:szCs w:val="18"/>
                <w:lang w:val="fr-CH"/>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color w:val="000000"/>
                <w:sz w:val="18"/>
                <w:szCs w:val="18"/>
              </w:rPr>
              <w:t>Panama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Latine et  Caraïbes</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color w:val="000000"/>
                <w:sz w:val="18"/>
                <w:szCs w:val="18"/>
              </w:rPr>
              <w:t>XIX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Hexachlorobutadiène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87-68-3</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Canada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du Nord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XVIII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Hexachlorobutadiène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87-68-3</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Japon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Hexachlorocyclohexane, alpha isomer</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319-84-6</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Japon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Hexachlorocyclohexane, alpha isomer</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319-84-6</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Japon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Hexachloroéthane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67-72-1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Hexazinon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51235-04-2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Norvège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Pr>
                <w:sz w:val="18"/>
                <w:szCs w:val="18"/>
              </w:rPr>
              <w:t>H</w:t>
            </w:r>
            <w:r w:rsidRPr="00D82DB3">
              <w:rPr>
                <w:sz w:val="18"/>
                <w:szCs w:val="18"/>
              </w:rPr>
              <w:t>uile anthracénique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90640-80-5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Pr>
                <w:sz w:val="18"/>
                <w:szCs w:val="18"/>
              </w:rPr>
              <w:t>H</w:t>
            </w:r>
            <w:r w:rsidRPr="00D82DB3">
              <w:rPr>
                <w:sz w:val="18"/>
                <w:szCs w:val="18"/>
              </w:rPr>
              <w:t>uile de créosote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61789-28-4</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BA7EC0" w:rsidRDefault="00FE6357" w:rsidP="00BA7EC0">
            <w:pPr>
              <w:tabs>
                <w:tab w:val="right" w:pos="2195"/>
              </w:tabs>
              <w:spacing w:before="40" w:after="40"/>
              <w:rPr>
                <w:sz w:val="18"/>
                <w:szCs w:val="18"/>
                <w:lang w:val="fr-CH"/>
              </w:rPr>
            </w:pPr>
            <w:r>
              <w:rPr>
                <w:sz w:val="18"/>
                <w:szCs w:val="18"/>
                <w:lang w:val="fr-CH"/>
              </w:rPr>
              <w:t>H</w:t>
            </w:r>
            <w:r w:rsidRPr="00BA7EC0">
              <w:rPr>
                <w:sz w:val="18"/>
                <w:szCs w:val="18"/>
                <w:lang w:val="fr-CH"/>
              </w:rPr>
              <w:t>uile de créosote, fraction acénaphtène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90640-84-9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BA7EC0" w:rsidRDefault="00FE6357" w:rsidP="00BA7EC0">
            <w:pPr>
              <w:tabs>
                <w:tab w:val="right" w:pos="2195"/>
              </w:tabs>
              <w:spacing w:before="40" w:after="40"/>
              <w:rPr>
                <w:sz w:val="18"/>
                <w:szCs w:val="18"/>
                <w:lang w:val="fr-CH"/>
              </w:rPr>
            </w:pPr>
            <w:r>
              <w:rPr>
                <w:sz w:val="18"/>
                <w:szCs w:val="18"/>
                <w:lang w:val="fr-CH"/>
              </w:rPr>
              <w:t>H</w:t>
            </w:r>
            <w:r w:rsidRPr="00BA7EC0">
              <w:rPr>
                <w:sz w:val="18"/>
                <w:szCs w:val="18"/>
                <w:lang w:val="fr-CH"/>
              </w:rPr>
              <w:t>uiles acides de goudron de houille brutes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65996-85-2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Hydrate de chloral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302-17-0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Pays-Bas</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Hydrazide maléique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123-33-1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Roumanie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Pr>
                <w:sz w:val="18"/>
                <w:szCs w:val="18"/>
              </w:rPr>
              <w:t>H</w:t>
            </w:r>
            <w:r w:rsidRPr="00D82DB3">
              <w:rPr>
                <w:sz w:val="18"/>
                <w:szCs w:val="18"/>
              </w:rPr>
              <w:t>ydrog</w:t>
            </w:r>
            <w:r>
              <w:rPr>
                <w:sz w:val="18"/>
                <w:szCs w:val="18"/>
              </w:rPr>
              <w:t>énoborate de dibutylétain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75113-37-0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Pr>
                <w:sz w:val="18"/>
                <w:szCs w:val="18"/>
              </w:rPr>
              <w:t>Hydrogénosulfure d'ammonium</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12124-99-1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 xml:space="preserve">Hydroxycarbonate de plomb </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1319-46-6</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Imazalil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35554-44-0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Norvège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Imazapyr</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81334-34-1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Norvège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Isodrine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465-73-6</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Suisse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Isopyrazam</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881685-58-1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Norvège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XXXVII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Kélévane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4234-79-1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Suisse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Linuron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330-55-2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Norvège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XVI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Malathion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121-75-5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République arabe syrienne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Proche Orient</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MCPA-thioethyl (phenothiol)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25319-90-8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Thaïlande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MCPB</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94-81-5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Thaïlande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Mecoprop</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7085-19-0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Thaïlande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Méphospholan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950-10-7</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Thaïlande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Mépiquat chloride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24307-26-4</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Norvège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Mercure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7439-97-6</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Suède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XXIII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lastRenderedPageBreak/>
              <w:t>Méthazole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20354-26-1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Australie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Pacifique Sud-Ouest</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Méthyl bromide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74-83-9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BA7EC0" w:rsidRDefault="00FE6357" w:rsidP="00BA7EC0">
            <w:pPr>
              <w:spacing w:before="40" w:after="40"/>
              <w:rPr>
                <w:sz w:val="18"/>
                <w:szCs w:val="18"/>
                <w:lang w:val="fr-CH"/>
              </w:rPr>
            </w:pPr>
            <w:r w:rsidRPr="00BA7EC0">
              <w:rPr>
                <w:sz w:val="18"/>
                <w:szCs w:val="18"/>
                <w:lang w:val="fr-CH"/>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Malawi</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Méthyl bromide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74-83-9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Pays-Bas</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Méthyl bromide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74-83-9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BA7EC0" w:rsidRDefault="00FE6357" w:rsidP="00BA7EC0">
            <w:pPr>
              <w:spacing w:before="40" w:after="40"/>
              <w:rPr>
                <w:sz w:val="18"/>
                <w:szCs w:val="18"/>
                <w:lang w:val="fr-CH"/>
              </w:rPr>
            </w:pPr>
            <w:r w:rsidRPr="00BA7EC0">
              <w:rPr>
                <w:sz w:val="18"/>
                <w:szCs w:val="18"/>
                <w:lang w:val="fr-CH"/>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République de Corée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Méthyl bromide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74-83-9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BA7EC0" w:rsidRDefault="00FE6357" w:rsidP="00BA7EC0">
            <w:pPr>
              <w:spacing w:before="40" w:after="40"/>
              <w:rPr>
                <w:sz w:val="18"/>
                <w:szCs w:val="18"/>
                <w:lang w:val="fr-CH"/>
              </w:rPr>
            </w:pPr>
            <w:r w:rsidRPr="00BA7EC0">
              <w:rPr>
                <w:sz w:val="18"/>
                <w:szCs w:val="18"/>
                <w:lang w:val="fr-CH"/>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Suisse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Méthyle parathion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298-00-0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Brésil</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Latine et  Caraïbes</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Méthyle parathion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298-00-0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Bulgarie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Méthyle parathion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298-00-0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Côte d´Ivoire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Méthyle parathion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298-00-0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El Salvador</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Latine et  Caraïbes</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Méthyle parathion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298-00-0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Gambie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Méthyle parathion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298-00-0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Guyana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Latine et  Caraïbes</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XVI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Méthyle parathion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298-00-0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BA7EC0" w:rsidRDefault="00FE6357" w:rsidP="00BA7EC0">
            <w:pPr>
              <w:spacing w:before="40" w:after="40"/>
              <w:rPr>
                <w:sz w:val="18"/>
                <w:szCs w:val="18"/>
                <w:lang w:val="fr-CH"/>
              </w:rPr>
            </w:pPr>
            <w:r w:rsidRPr="00BA7EC0">
              <w:rPr>
                <w:sz w:val="18"/>
                <w:szCs w:val="18"/>
                <w:lang w:val="fr-CH"/>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Japon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Méthyle parathion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298-00-0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Kirghizistan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Proche Orient</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Méthyle parathion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298-00-0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Nigéria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Méthyle parathion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298-00-0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Panama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Latine et  Caraïbes</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Méthyle parathion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color w:val="000000"/>
                <w:sz w:val="18"/>
                <w:szCs w:val="18"/>
              </w:rPr>
              <w:t>298-00-0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color w:val="000000"/>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color w:val="000000"/>
                <w:sz w:val="18"/>
                <w:szCs w:val="18"/>
              </w:rPr>
              <w:t>Paraguay</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Latine et  Caraïbes</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color w:val="000000"/>
                <w:sz w:val="18"/>
                <w:szCs w:val="18"/>
              </w:rPr>
              <w:t>XXIX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Méthyle parathion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298-00-0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République dominicaine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Latine et  Caraïbes</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Méthyle parathion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298-00-0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Thaïlande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Méthyle parathion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298-00-0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VIII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Méthyle parathion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298-00-0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Uruguay</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Latine et  Caraïbes</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XVIII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Mevinphos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26718-65-0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Jordanie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Proche Orient</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VIII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Mevinphos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26718-65-0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Thaïlande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MGK Repellent 11</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126-15-8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Thaïlande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Mirex</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2385-85-5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Bulgarie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Mirex</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2385-85-5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Canada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du Nord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Mirex</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2385-85-5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Canada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du Nord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XVIII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Mirex</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2385-85-5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Cuba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Latine et  Caraïbes</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XVIII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Mirex</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2385-85-5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Guyana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Latine et  Caraïbes</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XVI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Mirex</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2385-85-5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BA7EC0" w:rsidRDefault="00FE6357" w:rsidP="00BA7EC0">
            <w:pPr>
              <w:spacing w:before="40" w:after="40"/>
              <w:rPr>
                <w:sz w:val="18"/>
                <w:szCs w:val="18"/>
                <w:lang w:val="fr-CH"/>
              </w:rPr>
            </w:pPr>
            <w:r w:rsidRPr="00BA7EC0">
              <w:rPr>
                <w:sz w:val="18"/>
                <w:szCs w:val="18"/>
                <w:lang w:val="fr-CH"/>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Japon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Mirex</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2385-85-5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BA7EC0" w:rsidRDefault="00FE6357" w:rsidP="00BA7EC0">
            <w:pPr>
              <w:spacing w:before="40" w:after="40"/>
              <w:rPr>
                <w:sz w:val="18"/>
                <w:szCs w:val="18"/>
                <w:lang w:val="fr-CH"/>
              </w:rPr>
            </w:pPr>
            <w:r w:rsidRPr="00BA7EC0">
              <w:rPr>
                <w:sz w:val="18"/>
                <w:szCs w:val="18"/>
                <w:lang w:val="fr-CH"/>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Suisse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Mirex</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2385-85-5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Thaïlande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lastRenderedPageBreak/>
              <w:t>Mirex</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2385-85-5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Uruguay</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Latine et  Caraïbes</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XVIII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Monométhyl, dichlorophényl éthane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122808-61-1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Pr>
                <w:sz w:val="18"/>
                <w:szCs w:val="18"/>
              </w:rPr>
              <w:t>N,N'-ditolyl-p-phénylènediamine</w:t>
            </w:r>
            <w:r w:rsidRPr="00D82DB3">
              <w:rPr>
                <w:sz w:val="18"/>
                <w:szCs w:val="18"/>
              </w:rPr>
              <w:t>; N,N'-dixyl</w:t>
            </w:r>
            <w:r>
              <w:rPr>
                <w:sz w:val="18"/>
                <w:szCs w:val="18"/>
              </w:rPr>
              <w:t>yl-p-phénylènediamine</w:t>
            </w:r>
            <w:r w:rsidRPr="00D82DB3">
              <w:rPr>
                <w:sz w:val="18"/>
                <w:szCs w:val="18"/>
              </w:rPr>
              <w:t>; N-tolyl-N'-xylyl-p-phénylènediamine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Default="00FE6357" w:rsidP="00BA7EC0">
            <w:pPr>
              <w:spacing w:before="40" w:after="40"/>
              <w:rPr>
                <w:color w:val="000000"/>
                <w:sz w:val="18"/>
                <w:szCs w:val="18"/>
              </w:rPr>
            </w:pPr>
            <w:r>
              <w:rPr>
                <w:color w:val="000000"/>
                <w:sz w:val="18"/>
                <w:szCs w:val="18"/>
              </w:rPr>
              <w:t>27417-40-9,</w:t>
            </w:r>
          </w:p>
          <w:p w:rsidR="00FE6357" w:rsidRDefault="00FE6357" w:rsidP="00BA7EC0">
            <w:pPr>
              <w:spacing w:before="40" w:after="40"/>
              <w:rPr>
                <w:color w:val="000000"/>
                <w:sz w:val="18"/>
                <w:szCs w:val="18"/>
              </w:rPr>
            </w:pPr>
            <w:r>
              <w:rPr>
                <w:color w:val="000000"/>
                <w:sz w:val="18"/>
                <w:szCs w:val="18"/>
              </w:rPr>
              <w:t>28726-30-9,</w:t>
            </w:r>
          </w:p>
          <w:p w:rsidR="00FE6357" w:rsidRPr="00D82DB3" w:rsidRDefault="00FE6357" w:rsidP="00BA7EC0">
            <w:pPr>
              <w:spacing w:before="40" w:after="40"/>
              <w:rPr>
                <w:sz w:val="18"/>
                <w:szCs w:val="18"/>
              </w:rPr>
            </w:pPr>
            <w:r w:rsidRPr="00D82DB3">
              <w:rPr>
                <w:color w:val="000000"/>
                <w:sz w:val="18"/>
                <w:szCs w:val="18"/>
              </w:rPr>
              <w:t>70290-05-0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Japon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Naled</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300-76-5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XXXIX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NCC éther</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94097-88-8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Canada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du Nord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II</w:t>
            </w:r>
            <w:r>
              <w:rPr>
                <w:sz w:val="18"/>
                <w:szCs w:val="18"/>
              </w:rPr>
              <w:t>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NCC éther</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94097-88-8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Canada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du Nord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XVIII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 xml:space="preserve">Nickel </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7440-02-0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Nitrate de thallium</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10102-45-1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République de Corée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Nitrofen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1836-75-5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Roumanie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Nitrofen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1836-75-5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VI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N-Nitrosodimethylamine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62-75-9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Canada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du Nord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XVIII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Nonylphénol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Default="00FE6357" w:rsidP="00BA7EC0">
            <w:pPr>
              <w:spacing w:before="40" w:after="40"/>
              <w:rPr>
                <w:color w:val="000000"/>
                <w:sz w:val="18"/>
                <w:szCs w:val="18"/>
                <w:lang w:val="en-GB"/>
              </w:rPr>
            </w:pPr>
            <w:r w:rsidRPr="00CB1E21">
              <w:rPr>
                <w:color w:val="000000"/>
                <w:sz w:val="18"/>
                <w:szCs w:val="18"/>
                <w:lang w:val="en-GB"/>
              </w:rPr>
              <w:t>11066-49-2,</w:t>
            </w:r>
          </w:p>
          <w:p w:rsidR="00FE6357" w:rsidRDefault="00FE6357" w:rsidP="00BA7EC0">
            <w:pPr>
              <w:spacing w:before="40" w:after="40"/>
              <w:rPr>
                <w:color w:val="000000"/>
                <w:sz w:val="18"/>
                <w:szCs w:val="18"/>
                <w:lang w:val="en-GB"/>
              </w:rPr>
            </w:pPr>
            <w:r w:rsidRPr="00D82DB3">
              <w:rPr>
                <w:sz w:val="18"/>
                <w:szCs w:val="18"/>
              </w:rPr>
              <w:t>25154-52-3</w:t>
            </w:r>
            <w:r>
              <w:rPr>
                <w:color w:val="000000"/>
                <w:sz w:val="18"/>
                <w:szCs w:val="18"/>
                <w:lang w:val="en-GB"/>
              </w:rPr>
              <w:t>,</w:t>
            </w:r>
          </w:p>
          <w:p w:rsidR="00FE6357" w:rsidRDefault="00FE6357" w:rsidP="00BA7EC0">
            <w:pPr>
              <w:spacing w:before="40" w:after="40"/>
              <w:rPr>
                <w:color w:val="000000"/>
                <w:sz w:val="18"/>
                <w:szCs w:val="18"/>
                <w:lang w:val="en-GB"/>
              </w:rPr>
            </w:pPr>
            <w:r w:rsidRPr="00CB1E21">
              <w:rPr>
                <w:color w:val="000000"/>
                <w:sz w:val="18"/>
                <w:szCs w:val="18"/>
                <w:lang w:val="en-GB"/>
              </w:rPr>
              <w:t>84852-15-3,</w:t>
            </w:r>
          </w:p>
          <w:p w:rsidR="00FE6357" w:rsidRPr="00D82DB3" w:rsidRDefault="00FE6357" w:rsidP="00BA7EC0">
            <w:pPr>
              <w:spacing w:before="40" w:after="40"/>
              <w:rPr>
                <w:sz w:val="18"/>
                <w:szCs w:val="18"/>
              </w:rPr>
            </w:pPr>
            <w:r w:rsidRPr="00CB1E21">
              <w:rPr>
                <w:color w:val="000000"/>
                <w:sz w:val="18"/>
                <w:szCs w:val="18"/>
                <w:lang w:val="en-GB"/>
              </w:rPr>
              <w:t>90481-04-2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BA7EC0" w:rsidRDefault="00FE6357" w:rsidP="00BA7EC0">
            <w:pPr>
              <w:spacing w:before="40" w:after="40"/>
              <w:rPr>
                <w:sz w:val="18"/>
                <w:szCs w:val="18"/>
                <w:lang w:val="fr-CH"/>
              </w:rPr>
            </w:pPr>
            <w:r w:rsidRPr="00BA7EC0">
              <w:rPr>
                <w:sz w:val="18"/>
                <w:szCs w:val="18"/>
                <w:lang w:val="fr-CH"/>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BA7EC0" w:rsidRDefault="00FE6357" w:rsidP="00BA7EC0">
            <w:pPr>
              <w:tabs>
                <w:tab w:val="right" w:pos="2195"/>
              </w:tabs>
              <w:spacing w:before="40" w:after="40"/>
              <w:rPr>
                <w:sz w:val="18"/>
                <w:szCs w:val="18"/>
                <w:lang w:val="fr-CH"/>
              </w:rPr>
            </w:pPr>
            <w:r w:rsidRPr="00BA7EC0">
              <w:rPr>
                <w:sz w:val="18"/>
                <w:szCs w:val="18"/>
                <w:lang w:val="fr-CH"/>
              </w:rPr>
              <w:t>Nonylphénols et éthoxylates de nonylphénol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Default="00FE6357" w:rsidP="00BA7EC0">
            <w:pPr>
              <w:spacing w:before="40" w:after="40"/>
              <w:rPr>
                <w:color w:val="000000"/>
                <w:sz w:val="18"/>
                <w:szCs w:val="18"/>
                <w:lang w:val="en-GB"/>
              </w:rPr>
            </w:pPr>
            <w:r w:rsidRPr="003031E7">
              <w:rPr>
                <w:color w:val="000000"/>
                <w:sz w:val="18"/>
                <w:szCs w:val="18"/>
                <w:lang w:val="en-GB"/>
              </w:rPr>
              <w:t>104-40-5</w:t>
            </w:r>
            <w:r>
              <w:rPr>
                <w:color w:val="000000"/>
                <w:sz w:val="18"/>
                <w:szCs w:val="18"/>
                <w:lang w:val="en-GB"/>
              </w:rPr>
              <w:t>,</w:t>
            </w:r>
          </w:p>
          <w:p w:rsidR="00FE6357" w:rsidRDefault="00FE6357" w:rsidP="00BA7EC0">
            <w:pPr>
              <w:spacing w:before="40" w:after="40"/>
              <w:rPr>
                <w:color w:val="000000"/>
                <w:sz w:val="18"/>
                <w:szCs w:val="18"/>
                <w:lang w:val="en-GB"/>
              </w:rPr>
            </w:pPr>
            <w:r w:rsidRPr="00D139D3">
              <w:rPr>
                <w:color w:val="000000"/>
                <w:sz w:val="18"/>
                <w:szCs w:val="18"/>
                <w:lang w:val="en-GB"/>
              </w:rPr>
              <w:t>11066-49-2</w:t>
            </w:r>
            <w:r>
              <w:rPr>
                <w:color w:val="000000"/>
                <w:sz w:val="18"/>
                <w:szCs w:val="18"/>
                <w:lang w:val="en-GB"/>
              </w:rPr>
              <w:t>,</w:t>
            </w:r>
          </w:p>
          <w:p w:rsidR="00FE6357" w:rsidRDefault="00FE6357" w:rsidP="00BA7EC0">
            <w:pPr>
              <w:spacing w:before="40" w:after="40"/>
              <w:rPr>
                <w:color w:val="000000"/>
                <w:sz w:val="18"/>
                <w:szCs w:val="18"/>
                <w:lang w:val="en-GB"/>
              </w:rPr>
            </w:pPr>
            <w:r w:rsidRPr="00D139D3">
              <w:rPr>
                <w:color w:val="000000"/>
                <w:sz w:val="18"/>
                <w:szCs w:val="18"/>
                <w:lang w:val="en-GB"/>
              </w:rPr>
              <w:t>25154-52-3,</w:t>
            </w:r>
          </w:p>
          <w:p w:rsidR="00FE6357" w:rsidRDefault="00FE6357" w:rsidP="00BA7EC0">
            <w:pPr>
              <w:spacing w:before="40" w:after="40"/>
              <w:rPr>
                <w:color w:val="000000"/>
                <w:sz w:val="18"/>
                <w:szCs w:val="18"/>
                <w:lang w:val="en-GB"/>
              </w:rPr>
            </w:pPr>
            <w:r>
              <w:rPr>
                <w:color w:val="000000"/>
                <w:sz w:val="18"/>
                <w:szCs w:val="18"/>
                <w:lang w:val="en-GB"/>
              </w:rPr>
              <w:t>84852-15-3,</w:t>
            </w:r>
          </w:p>
          <w:p w:rsidR="00FE6357" w:rsidRDefault="00FE6357" w:rsidP="00BA7EC0">
            <w:pPr>
              <w:spacing w:before="40" w:after="40"/>
              <w:rPr>
                <w:color w:val="000000"/>
                <w:sz w:val="18"/>
                <w:szCs w:val="18"/>
                <w:lang w:val="en-GB"/>
              </w:rPr>
            </w:pPr>
            <w:r>
              <w:rPr>
                <w:color w:val="000000"/>
                <w:sz w:val="18"/>
                <w:szCs w:val="18"/>
                <w:lang w:val="en-GB"/>
              </w:rPr>
              <w:t>90481-04-2,</w:t>
            </w:r>
          </w:p>
          <w:p w:rsidR="00FE6357" w:rsidRDefault="00FE6357" w:rsidP="00BA7EC0">
            <w:pPr>
              <w:spacing w:before="40" w:after="40"/>
              <w:rPr>
                <w:color w:val="000000"/>
                <w:sz w:val="18"/>
                <w:szCs w:val="18"/>
                <w:lang w:val="en-GB"/>
              </w:rPr>
            </w:pPr>
            <w:r>
              <w:rPr>
                <w:color w:val="000000"/>
                <w:sz w:val="18"/>
                <w:szCs w:val="18"/>
                <w:lang w:val="en-GB"/>
              </w:rPr>
              <w:t>127087-87-0,</w:t>
            </w:r>
          </w:p>
          <w:p w:rsidR="00FE6357" w:rsidRDefault="00FE6357" w:rsidP="00BA7EC0">
            <w:pPr>
              <w:spacing w:before="40" w:after="40"/>
              <w:rPr>
                <w:color w:val="000000"/>
                <w:sz w:val="18"/>
                <w:szCs w:val="18"/>
                <w:lang w:val="en-GB"/>
              </w:rPr>
            </w:pPr>
            <w:r>
              <w:rPr>
                <w:color w:val="000000"/>
                <w:sz w:val="18"/>
                <w:szCs w:val="18"/>
                <w:lang w:val="en-GB"/>
              </w:rPr>
              <w:t>26027-38-3,</w:t>
            </w:r>
          </w:p>
          <w:p w:rsidR="00FE6357" w:rsidRDefault="00FE6357" w:rsidP="00BA7EC0">
            <w:pPr>
              <w:spacing w:before="40" w:after="40"/>
              <w:rPr>
                <w:color w:val="000000"/>
                <w:sz w:val="18"/>
                <w:szCs w:val="18"/>
                <w:lang w:val="en-GB"/>
              </w:rPr>
            </w:pPr>
            <w:r>
              <w:rPr>
                <w:color w:val="000000"/>
                <w:sz w:val="18"/>
                <w:szCs w:val="18"/>
                <w:lang w:val="en-GB"/>
              </w:rPr>
              <w:t>37205-87-1,</w:t>
            </w:r>
          </w:p>
          <w:p w:rsidR="00FE6357" w:rsidRDefault="00FE6357" w:rsidP="00BA7EC0">
            <w:pPr>
              <w:spacing w:before="40" w:after="40"/>
              <w:rPr>
                <w:color w:val="000000"/>
                <w:sz w:val="18"/>
                <w:szCs w:val="18"/>
                <w:lang w:val="en-GB"/>
              </w:rPr>
            </w:pPr>
            <w:r>
              <w:rPr>
                <w:color w:val="000000"/>
                <w:sz w:val="18"/>
                <w:szCs w:val="18"/>
                <w:lang w:val="en-GB"/>
              </w:rPr>
              <w:t>68412-54-4,</w:t>
            </w:r>
          </w:p>
          <w:p w:rsidR="00FE6357" w:rsidRPr="00D82DB3" w:rsidRDefault="00FE6357" w:rsidP="00BA7EC0">
            <w:pPr>
              <w:spacing w:before="40" w:after="40"/>
              <w:rPr>
                <w:sz w:val="18"/>
                <w:szCs w:val="18"/>
              </w:rPr>
            </w:pPr>
            <w:r w:rsidRPr="00D139D3">
              <w:rPr>
                <w:color w:val="000000"/>
                <w:sz w:val="18"/>
                <w:szCs w:val="18"/>
                <w:lang w:val="en-GB"/>
              </w:rPr>
              <w:t>9016-45-9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BA7EC0" w:rsidRDefault="00FE6357" w:rsidP="00BA7EC0">
            <w:pPr>
              <w:spacing w:before="40" w:after="40"/>
              <w:rPr>
                <w:sz w:val="18"/>
                <w:szCs w:val="18"/>
                <w:lang w:val="fr-CH"/>
              </w:rPr>
            </w:pPr>
            <w:r w:rsidRPr="00BA7EC0">
              <w:rPr>
                <w:sz w:val="18"/>
                <w:szCs w:val="18"/>
                <w:lang w:val="fr-CH"/>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Suisse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XXVI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Octanoate de bromoxynil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1689-99-2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Norvège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BA7EC0" w:rsidRDefault="00FE6357" w:rsidP="00BA7EC0">
            <w:pPr>
              <w:tabs>
                <w:tab w:val="right" w:pos="2195"/>
              </w:tabs>
              <w:spacing w:before="40" w:after="40"/>
              <w:rPr>
                <w:sz w:val="18"/>
                <w:szCs w:val="18"/>
                <w:lang w:val="fr-CH"/>
              </w:rPr>
            </w:pPr>
            <w:r w:rsidRPr="00BA7EC0">
              <w:rPr>
                <w:sz w:val="18"/>
                <w:szCs w:val="18"/>
                <w:lang w:val="fr-CH"/>
              </w:rPr>
              <w:t xml:space="preserve">Octylphénols et éthoxylates </w:t>
            </w:r>
            <w:proofErr w:type="gramStart"/>
            <w:r w:rsidRPr="00BA7EC0">
              <w:rPr>
                <w:sz w:val="18"/>
                <w:szCs w:val="18"/>
                <w:lang w:val="fr-CH"/>
              </w:rPr>
              <w:t>de octylphénol</w:t>
            </w:r>
            <w:proofErr w:type="gramEnd"/>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140-66-9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BA7EC0" w:rsidRDefault="00FE6357" w:rsidP="00BA7EC0">
            <w:pPr>
              <w:spacing w:before="40" w:after="40"/>
              <w:rPr>
                <w:sz w:val="18"/>
                <w:szCs w:val="18"/>
                <w:lang w:val="fr-CH"/>
              </w:rPr>
            </w:pPr>
            <w:r w:rsidRPr="00BA7EC0">
              <w:rPr>
                <w:sz w:val="18"/>
                <w:szCs w:val="18"/>
                <w:lang w:val="fr-CH"/>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Suisse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XXVI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Oxyde de bis(2-chloroéthyle)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111-44-4</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République de Corée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BA7EC0" w:rsidRDefault="00FE6357" w:rsidP="00BA7EC0">
            <w:pPr>
              <w:tabs>
                <w:tab w:val="right" w:pos="2195"/>
              </w:tabs>
              <w:spacing w:before="40" w:after="40"/>
              <w:rPr>
                <w:sz w:val="18"/>
                <w:szCs w:val="18"/>
                <w:lang w:val="fr-CH"/>
              </w:rPr>
            </w:pPr>
            <w:r w:rsidRPr="00BA7EC0">
              <w:rPr>
                <w:sz w:val="18"/>
                <w:szCs w:val="18"/>
                <w:lang w:val="fr-CH"/>
              </w:rPr>
              <w:t xml:space="preserve">Oxyde de </w:t>
            </w:r>
            <w:proofErr w:type="gramStart"/>
            <w:r w:rsidRPr="00BA7EC0">
              <w:rPr>
                <w:sz w:val="18"/>
                <w:szCs w:val="18"/>
                <w:lang w:val="fr-CH"/>
              </w:rPr>
              <w:t>tri(</w:t>
            </w:r>
            <w:proofErr w:type="gramEnd"/>
            <w:r w:rsidRPr="00BA7EC0">
              <w:rPr>
                <w:sz w:val="18"/>
                <w:szCs w:val="18"/>
                <w:lang w:val="fr-CH"/>
              </w:rPr>
              <w:t xml:space="preserve">aziridine-1-yl)phosphine   </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545-55-1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BA7EC0" w:rsidRDefault="00FE6357" w:rsidP="00BA7EC0">
            <w:pPr>
              <w:tabs>
                <w:tab w:val="right" w:pos="2195"/>
              </w:tabs>
              <w:spacing w:before="40" w:after="40"/>
              <w:rPr>
                <w:sz w:val="18"/>
                <w:szCs w:val="18"/>
                <w:lang w:val="fr-CH"/>
              </w:rPr>
            </w:pPr>
            <w:r w:rsidRPr="00BA7EC0">
              <w:rPr>
                <w:sz w:val="18"/>
                <w:szCs w:val="18"/>
                <w:lang w:val="fr-CH"/>
              </w:rPr>
              <w:t xml:space="preserve">Oxyde de </w:t>
            </w:r>
            <w:proofErr w:type="gramStart"/>
            <w:r w:rsidRPr="00BA7EC0">
              <w:rPr>
                <w:sz w:val="18"/>
                <w:szCs w:val="18"/>
                <w:lang w:val="fr-CH"/>
              </w:rPr>
              <w:t>tri(</w:t>
            </w:r>
            <w:proofErr w:type="gramEnd"/>
            <w:r w:rsidRPr="00BA7EC0">
              <w:rPr>
                <w:sz w:val="18"/>
                <w:szCs w:val="18"/>
                <w:lang w:val="fr-CH"/>
              </w:rPr>
              <w:t xml:space="preserve">aziridine-1-yl)phosphine   </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545-55-1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Suisse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Oxyde de tributylétain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56-35-9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Japon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Oxydéméton-méthyl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301-12-2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BA7EC0" w:rsidRDefault="00FE6357" w:rsidP="00BA7EC0">
            <w:pPr>
              <w:tabs>
                <w:tab w:val="right" w:pos="2195"/>
              </w:tabs>
              <w:spacing w:before="40" w:after="40"/>
              <w:rPr>
                <w:sz w:val="18"/>
                <w:szCs w:val="18"/>
                <w:lang w:val="fr-CH"/>
              </w:rPr>
            </w:pPr>
            <w:r w:rsidRPr="00BA7EC0">
              <w:rPr>
                <w:sz w:val="18"/>
                <w:szCs w:val="18"/>
                <w:lang w:val="fr-CH"/>
              </w:rPr>
              <w:lastRenderedPageBreak/>
              <w:t>Paraffines chlorées à chaîne courte [</w:t>
            </w:r>
            <w:r w:rsidRPr="00BA7EC0">
              <w:rPr>
                <w:sz w:val="18"/>
                <w:szCs w:val="18"/>
                <w:shd w:val="clear" w:color="auto" w:fill="FFFFFF"/>
                <w:lang w:val="fr-CH"/>
              </w:rPr>
              <w:t xml:space="preserve">Alcanes chlorés ayant une formule moléculaire de </w:t>
            </w:r>
            <w:proofErr w:type="gramStart"/>
            <w:r w:rsidRPr="00BA7EC0">
              <w:rPr>
                <w:sz w:val="18"/>
                <w:szCs w:val="18"/>
                <w:shd w:val="clear" w:color="auto" w:fill="FFFFFF"/>
                <w:lang w:val="fr-CH"/>
              </w:rPr>
              <w:t>CnHxCl(</w:t>
            </w:r>
            <w:proofErr w:type="gramEnd"/>
            <w:r w:rsidRPr="00BA7EC0">
              <w:rPr>
                <w:sz w:val="18"/>
                <w:szCs w:val="18"/>
                <w:shd w:val="clear" w:color="auto" w:fill="FFFFFF"/>
                <w:lang w:val="fr-CH"/>
              </w:rPr>
              <w:t>2n+2-x) dans laquelle 10 ≤ n ≤ 13</w:t>
            </w:r>
            <w:r w:rsidRPr="00BA7EC0">
              <w:rPr>
                <w:sz w:val="18"/>
                <w:szCs w:val="18"/>
                <w:lang w:val="fr-CH"/>
              </w:rPr>
              <w:t>]</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Default="00FE6357" w:rsidP="00BA7EC0">
            <w:pPr>
              <w:spacing w:before="40" w:after="40"/>
              <w:rPr>
                <w:color w:val="000000"/>
                <w:sz w:val="18"/>
                <w:szCs w:val="18"/>
                <w:lang w:val="es-ES_tradnl"/>
              </w:rPr>
            </w:pPr>
            <w:r>
              <w:rPr>
                <w:color w:val="000000"/>
                <w:sz w:val="18"/>
                <w:szCs w:val="18"/>
                <w:lang w:val="es-ES_tradnl"/>
              </w:rPr>
              <w:t>1002-69-3,</w:t>
            </w:r>
          </w:p>
          <w:p w:rsidR="00FE6357" w:rsidRDefault="00FE6357" w:rsidP="00BA7EC0">
            <w:pPr>
              <w:spacing w:before="40" w:after="40"/>
              <w:rPr>
                <w:color w:val="000000"/>
                <w:sz w:val="18"/>
                <w:szCs w:val="18"/>
                <w:lang w:val="es-ES_tradnl"/>
              </w:rPr>
            </w:pPr>
            <w:r>
              <w:rPr>
                <w:color w:val="000000"/>
                <w:sz w:val="18"/>
                <w:szCs w:val="18"/>
                <w:lang w:val="es-ES_tradnl"/>
              </w:rPr>
              <w:t>104948-36-9,</w:t>
            </w:r>
          </w:p>
          <w:p w:rsidR="00FE6357" w:rsidRDefault="00FE6357" w:rsidP="00BA7EC0">
            <w:pPr>
              <w:spacing w:before="40" w:after="40"/>
              <w:rPr>
                <w:color w:val="000000"/>
                <w:sz w:val="18"/>
                <w:szCs w:val="18"/>
                <w:lang w:val="es-ES_tradnl"/>
              </w:rPr>
            </w:pPr>
            <w:r>
              <w:rPr>
                <w:color w:val="000000"/>
                <w:sz w:val="18"/>
                <w:szCs w:val="18"/>
                <w:lang w:val="es-ES_tradnl"/>
              </w:rPr>
              <w:t>108171-26-2,</w:t>
            </w:r>
          </w:p>
          <w:p w:rsidR="00FE6357" w:rsidRDefault="00FE6357" w:rsidP="00BA7EC0">
            <w:pPr>
              <w:spacing w:before="40" w:after="40"/>
              <w:rPr>
                <w:color w:val="000000"/>
                <w:sz w:val="18"/>
                <w:szCs w:val="18"/>
                <w:lang w:val="es-ES_tradnl"/>
              </w:rPr>
            </w:pPr>
            <w:r>
              <w:rPr>
                <w:color w:val="000000"/>
                <w:sz w:val="18"/>
                <w:szCs w:val="18"/>
                <w:lang w:val="es-ES_tradnl"/>
              </w:rPr>
              <w:t>112-52-7,</w:t>
            </w:r>
          </w:p>
          <w:p w:rsidR="00FE6357" w:rsidRDefault="00FE6357" w:rsidP="00BA7EC0">
            <w:pPr>
              <w:spacing w:before="40" w:after="40"/>
              <w:rPr>
                <w:color w:val="000000"/>
                <w:sz w:val="18"/>
                <w:szCs w:val="18"/>
                <w:lang w:val="es-ES_tradnl"/>
              </w:rPr>
            </w:pPr>
            <w:r>
              <w:rPr>
                <w:color w:val="000000"/>
                <w:sz w:val="18"/>
                <w:szCs w:val="18"/>
                <w:lang w:val="es-ES_tradnl"/>
              </w:rPr>
              <w:t>2162-98-3,</w:t>
            </w:r>
          </w:p>
          <w:p w:rsidR="00FE6357" w:rsidRDefault="00FE6357" w:rsidP="00BA7EC0">
            <w:pPr>
              <w:spacing w:before="40" w:after="40"/>
              <w:rPr>
                <w:color w:val="000000"/>
                <w:sz w:val="18"/>
                <w:szCs w:val="18"/>
                <w:lang w:val="es-ES_tradnl"/>
              </w:rPr>
            </w:pPr>
            <w:r>
              <w:rPr>
                <w:color w:val="000000"/>
                <w:sz w:val="18"/>
                <w:szCs w:val="18"/>
                <w:lang w:val="es-ES_tradnl"/>
              </w:rPr>
              <w:t>3922-28-9,</w:t>
            </w:r>
          </w:p>
          <w:p w:rsidR="00FE6357" w:rsidRDefault="00FE6357" w:rsidP="00BA7EC0">
            <w:pPr>
              <w:spacing w:before="40" w:after="40"/>
              <w:rPr>
                <w:color w:val="000000"/>
                <w:sz w:val="18"/>
                <w:szCs w:val="18"/>
                <w:lang w:val="es-ES_tradnl"/>
              </w:rPr>
            </w:pPr>
            <w:r>
              <w:rPr>
                <w:color w:val="000000"/>
                <w:sz w:val="18"/>
                <w:szCs w:val="18"/>
                <w:lang w:val="es-ES_tradnl"/>
              </w:rPr>
              <w:t>51990-12- 6,</w:t>
            </w:r>
          </w:p>
          <w:p w:rsidR="00FE6357" w:rsidRDefault="00FE6357" w:rsidP="00BA7EC0">
            <w:pPr>
              <w:spacing w:before="40" w:after="40"/>
              <w:rPr>
                <w:color w:val="000000"/>
                <w:sz w:val="18"/>
                <w:szCs w:val="18"/>
                <w:lang w:val="es-ES_tradnl"/>
              </w:rPr>
            </w:pPr>
            <w:r>
              <w:rPr>
                <w:color w:val="000000"/>
                <w:sz w:val="18"/>
                <w:szCs w:val="18"/>
                <w:lang w:val="es-ES_tradnl"/>
              </w:rPr>
              <w:t>61788-76-9,</w:t>
            </w:r>
          </w:p>
          <w:p w:rsidR="00FE6357" w:rsidRDefault="00FE6357" w:rsidP="00BA7EC0">
            <w:pPr>
              <w:spacing w:before="40" w:after="40"/>
              <w:rPr>
                <w:color w:val="000000"/>
                <w:sz w:val="18"/>
                <w:szCs w:val="18"/>
                <w:lang w:val="es-ES_tradnl"/>
              </w:rPr>
            </w:pPr>
            <w:r>
              <w:rPr>
                <w:color w:val="000000"/>
                <w:sz w:val="18"/>
                <w:szCs w:val="18"/>
                <w:lang w:val="es-ES_tradnl"/>
              </w:rPr>
              <w:t>63449-39-8,</w:t>
            </w:r>
          </w:p>
          <w:p w:rsidR="00FE6357" w:rsidRDefault="00FE6357" w:rsidP="00BA7EC0">
            <w:pPr>
              <w:spacing w:before="40" w:after="40"/>
              <w:rPr>
                <w:color w:val="000000"/>
                <w:sz w:val="18"/>
                <w:szCs w:val="18"/>
                <w:lang w:val="es-ES_tradnl"/>
              </w:rPr>
            </w:pPr>
            <w:r>
              <w:rPr>
                <w:color w:val="000000"/>
                <w:sz w:val="18"/>
                <w:szCs w:val="18"/>
                <w:lang w:val="es-ES_tradnl"/>
              </w:rPr>
              <w:t>68188-19-2,</w:t>
            </w:r>
          </w:p>
          <w:p w:rsidR="00FE6357" w:rsidRDefault="00FE6357" w:rsidP="00BA7EC0">
            <w:pPr>
              <w:spacing w:before="40" w:after="40"/>
              <w:rPr>
                <w:color w:val="000000"/>
                <w:sz w:val="18"/>
                <w:szCs w:val="18"/>
                <w:lang w:val="es-ES_tradnl"/>
              </w:rPr>
            </w:pPr>
            <w:r>
              <w:rPr>
                <w:color w:val="000000"/>
                <w:sz w:val="18"/>
                <w:szCs w:val="18"/>
                <w:lang w:val="es-ES_tradnl"/>
              </w:rPr>
              <w:t>68476-48-2,</w:t>
            </w:r>
          </w:p>
          <w:p w:rsidR="00FE6357" w:rsidRDefault="00FE6357" w:rsidP="00BA7EC0">
            <w:pPr>
              <w:spacing w:before="40" w:after="40"/>
              <w:rPr>
                <w:color w:val="000000"/>
                <w:sz w:val="18"/>
                <w:szCs w:val="18"/>
                <w:lang w:val="es-ES_tradnl"/>
              </w:rPr>
            </w:pPr>
            <w:r>
              <w:rPr>
                <w:color w:val="000000"/>
                <w:sz w:val="18"/>
                <w:szCs w:val="18"/>
                <w:lang w:val="es-ES_tradnl"/>
              </w:rPr>
              <w:t>68606-33-7,</w:t>
            </w:r>
          </w:p>
          <w:p w:rsidR="00FE6357" w:rsidRDefault="00FE6357" w:rsidP="00BA7EC0">
            <w:pPr>
              <w:spacing w:before="40" w:after="40"/>
              <w:rPr>
                <w:color w:val="000000"/>
                <w:sz w:val="18"/>
                <w:szCs w:val="18"/>
                <w:lang w:val="es-ES_tradnl"/>
              </w:rPr>
            </w:pPr>
            <w:r>
              <w:rPr>
                <w:color w:val="000000"/>
                <w:sz w:val="18"/>
                <w:szCs w:val="18"/>
                <w:lang w:val="es-ES_tradnl"/>
              </w:rPr>
              <w:t>68911-63-7,</w:t>
            </w:r>
          </w:p>
          <w:p w:rsidR="00FE6357" w:rsidRDefault="00FE6357" w:rsidP="00BA7EC0">
            <w:pPr>
              <w:spacing w:before="40" w:after="40"/>
              <w:rPr>
                <w:color w:val="000000"/>
                <w:sz w:val="18"/>
                <w:szCs w:val="18"/>
                <w:lang w:val="es-ES_tradnl"/>
              </w:rPr>
            </w:pPr>
            <w:r>
              <w:rPr>
                <w:color w:val="000000"/>
                <w:sz w:val="18"/>
                <w:szCs w:val="18"/>
                <w:lang w:val="es-ES_tradnl"/>
              </w:rPr>
              <w:t>68920-70-7,</w:t>
            </w:r>
          </w:p>
          <w:p w:rsidR="00FE6357" w:rsidRDefault="00FE6357" w:rsidP="00BA7EC0">
            <w:pPr>
              <w:spacing w:before="40" w:after="40"/>
              <w:rPr>
                <w:color w:val="000000"/>
                <w:sz w:val="18"/>
                <w:szCs w:val="18"/>
                <w:lang w:val="es-ES_tradnl"/>
              </w:rPr>
            </w:pPr>
            <w:r>
              <w:rPr>
                <w:color w:val="000000"/>
                <w:sz w:val="18"/>
                <w:szCs w:val="18"/>
                <w:lang w:val="es-ES_tradnl"/>
              </w:rPr>
              <w:t>68938- 42-1,</w:t>
            </w:r>
          </w:p>
          <w:p w:rsidR="00FE6357" w:rsidRDefault="00FE6357" w:rsidP="00BA7EC0">
            <w:pPr>
              <w:spacing w:before="40" w:after="40"/>
              <w:rPr>
                <w:color w:val="000000"/>
                <w:sz w:val="18"/>
                <w:szCs w:val="18"/>
                <w:lang w:val="es-ES_tradnl"/>
              </w:rPr>
            </w:pPr>
            <w:r>
              <w:rPr>
                <w:color w:val="000000"/>
                <w:sz w:val="18"/>
                <w:szCs w:val="18"/>
                <w:lang w:val="es-ES_tradnl"/>
              </w:rPr>
              <w:t>68955-41-9,</w:t>
            </w:r>
          </w:p>
          <w:p w:rsidR="00FE6357" w:rsidRDefault="00FE6357" w:rsidP="00BA7EC0">
            <w:pPr>
              <w:spacing w:before="40" w:after="40"/>
              <w:rPr>
                <w:color w:val="000000"/>
                <w:sz w:val="18"/>
                <w:szCs w:val="18"/>
                <w:lang w:val="es-ES_tradnl"/>
              </w:rPr>
            </w:pPr>
            <w:r>
              <w:rPr>
                <w:color w:val="000000"/>
                <w:sz w:val="18"/>
                <w:szCs w:val="18"/>
                <w:lang w:val="es-ES_tradnl"/>
              </w:rPr>
              <w:t>68990-22-7,</w:t>
            </w:r>
          </w:p>
          <w:p w:rsidR="00FE6357" w:rsidRDefault="00FE6357" w:rsidP="00BA7EC0">
            <w:pPr>
              <w:spacing w:before="40" w:after="40"/>
              <w:rPr>
                <w:color w:val="000000"/>
                <w:sz w:val="18"/>
                <w:szCs w:val="18"/>
                <w:lang w:val="es-ES_tradnl"/>
              </w:rPr>
            </w:pPr>
            <w:r>
              <w:rPr>
                <w:color w:val="000000"/>
                <w:sz w:val="18"/>
                <w:szCs w:val="18"/>
                <w:lang w:val="es-ES_tradnl"/>
              </w:rPr>
              <w:t>71011-12-6,</w:t>
            </w:r>
          </w:p>
          <w:p w:rsidR="00FE6357" w:rsidRDefault="00FE6357" w:rsidP="00BA7EC0">
            <w:pPr>
              <w:spacing w:before="40" w:after="40"/>
              <w:rPr>
                <w:color w:val="000000"/>
                <w:sz w:val="18"/>
                <w:szCs w:val="18"/>
                <w:lang w:val="es-ES_tradnl"/>
              </w:rPr>
            </w:pPr>
            <w:r>
              <w:rPr>
                <w:color w:val="000000"/>
                <w:sz w:val="18"/>
                <w:szCs w:val="18"/>
                <w:lang w:val="es-ES_tradnl"/>
              </w:rPr>
              <w:t>72854-22-9,</w:t>
            </w:r>
          </w:p>
          <w:p w:rsidR="00FE6357" w:rsidRDefault="00FE6357" w:rsidP="00BA7EC0">
            <w:pPr>
              <w:spacing w:before="40" w:after="40"/>
              <w:rPr>
                <w:color w:val="000000"/>
                <w:sz w:val="18"/>
                <w:szCs w:val="18"/>
                <w:lang w:val="es-ES_tradnl"/>
              </w:rPr>
            </w:pPr>
            <w:r>
              <w:rPr>
                <w:color w:val="000000"/>
                <w:sz w:val="18"/>
                <w:szCs w:val="18"/>
                <w:lang w:val="es-ES_tradnl"/>
              </w:rPr>
              <w:t>73138-78-0,</w:t>
            </w:r>
          </w:p>
          <w:p w:rsidR="00FE6357" w:rsidRDefault="00FE6357" w:rsidP="00BA7EC0">
            <w:pPr>
              <w:spacing w:before="40" w:after="40"/>
              <w:rPr>
                <w:color w:val="000000"/>
                <w:sz w:val="18"/>
                <w:szCs w:val="18"/>
                <w:lang w:val="es-ES_tradnl"/>
              </w:rPr>
            </w:pPr>
            <w:r>
              <w:rPr>
                <w:color w:val="000000"/>
                <w:sz w:val="18"/>
                <w:szCs w:val="18"/>
                <w:lang w:val="es-ES_tradnl"/>
              </w:rPr>
              <w:t>84082-38-2,</w:t>
            </w:r>
          </w:p>
          <w:p w:rsidR="00FE6357" w:rsidRDefault="00FE6357" w:rsidP="00BA7EC0">
            <w:pPr>
              <w:spacing w:before="40" w:after="40"/>
              <w:rPr>
                <w:color w:val="000000"/>
                <w:sz w:val="18"/>
                <w:szCs w:val="18"/>
                <w:lang w:val="es-ES_tradnl"/>
              </w:rPr>
            </w:pPr>
            <w:r>
              <w:rPr>
                <w:color w:val="000000"/>
                <w:sz w:val="18"/>
                <w:szCs w:val="18"/>
                <w:lang w:val="es-ES_tradnl"/>
              </w:rPr>
              <w:t>84776-06-7,</w:t>
            </w:r>
          </w:p>
          <w:p w:rsidR="00FE6357" w:rsidRDefault="00FE6357" w:rsidP="00BA7EC0">
            <w:pPr>
              <w:spacing w:before="40" w:after="40"/>
              <w:rPr>
                <w:color w:val="000000"/>
                <w:sz w:val="18"/>
                <w:szCs w:val="18"/>
                <w:lang w:val="es-ES_tradnl"/>
              </w:rPr>
            </w:pPr>
            <w:r>
              <w:rPr>
                <w:color w:val="000000"/>
                <w:sz w:val="18"/>
                <w:szCs w:val="18"/>
                <w:lang w:val="es-ES_tradnl"/>
              </w:rPr>
              <w:t>85422-92-0,</w:t>
            </w:r>
          </w:p>
          <w:p w:rsidR="00FE6357" w:rsidRDefault="00FE6357" w:rsidP="00BA7EC0">
            <w:pPr>
              <w:spacing w:before="40" w:after="40"/>
              <w:rPr>
                <w:color w:val="000000"/>
                <w:sz w:val="18"/>
                <w:szCs w:val="18"/>
                <w:lang w:val="es-ES_tradnl"/>
              </w:rPr>
            </w:pPr>
            <w:r>
              <w:rPr>
                <w:color w:val="000000"/>
                <w:sz w:val="18"/>
                <w:szCs w:val="18"/>
                <w:lang w:val="es-ES_tradnl"/>
              </w:rPr>
              <w:t>85535-84-8,</w:t>
            </w:r>
          </w:p>
          <w:p w:rsidR="00FE6357" w:rsidRDefault="00FE6357" w:rsidP="00BA7EC0">
            <w:pPr>
              <w:spacing w:before="40" w:after="40"/>
              <w:rPr>
                <w:color w:val="000000"/>
                <w:sz w:val="18"/>
                <w:szCs w:val="18"/>
                <w:lang w:val="es-ES_tradnl"/>
              </w:rPr>
            </w:pPr>
            <w:r>
              <w:rPr>
                <w:color w:val="000000"/>
                <w:sz w:val="18"/>
                <w:szCs w:val="18"/>
                <w:lang w:val="es-ES_tradnl"/>
              </w:rPr>
              <w:t>85536-22-7,</w:t>
            </w:r>
          </w:p>
          <w:p w:rsidR="00FE6357" w:rsidRDefault="00FE6357" w:rsidP="00BA7EC0">
            <w:pPr>
              <w:spacing w:before="40" w:after="40"/>
              <w:rPr>
                <w:color w:val="000000"/>
                <w:sz w:val="18"/>
                <w:szCs w:val="18"/>
                <w:lang w:val="es-ES_tradnl"/>
              </w:rPr>
            </w:pPr>
            <w:r w:rsidRPr="00C47B3E">
              <w:rPr>
                <w:color w:val="000000"/>
                <w:sz w:val="18"/>
                <w:szCs w:val="18"/>
                <w:lang w:val="es-ES_tradnl"/>
              </w:rPr>
              <w:t>8568</w:t>
            </w:r>
            <w:r>
              <w:rPr>
                <w:color w:val="000000"/>
                <w:sz w:val="18"/>
                <w:szCs w:val="18"/>
                <w:lang w:val="es-ES_tradnl"/>
              </w:rPr>
              <w:t>1-73-8,</w:t>
            </w:r>
          </w:p>
          <w:p w:rsidR="00FE6357" w:rsidRDefault="00FE6357" w:rsidP="00BA7EC0">
            <w:pPr>
              <w:spacing w:before="40" w:after="40"/>
              <w:rPr>
                <w:color w:val="000000"/>
                <w:sz w:val="18"/>
                <w:szCs w:val="18"/>
                <w:lang w:val="es-ES_tradnl"/>
              </w:rPr>
            </w:pPr>
            <w:r>
              <w:rPr>
                <w:color w:val="000000"/>
                <w:sz w:val="18"/>
                <w:szCs w:val="18"/>
                <w:lang w:val="es-ES_tradnl"/>
              </w:rPr>
              <w:t>97553-43-0,</w:t>
            </w:r>
          </w:p>
          <w:p w:rsidR="00FE6357" w:rsidRPr="00C47B3E" w:rsidRDefault="00FE6357" w:rsidP="00BA7EC0">
            <w:pPr>
              <w:spacing w:before="40" w:after="40"/>
              <w:rPr>
                <w:sz w:val="18"/>
                <w:szCs w:val="18"/>
                <w:lang w:val="es-ES_tradnl"/>
              </w:rPr>
            </w:pPr>
            <w:r w:rsidRPr="00C47B3E">
              <w:rPr>
                <w:color w:val="000000"/>
                <w:sz w:val="18"/>
                <w:szCs w:val="18"/>
                <w:lang w:val="es-ES_tradnl"/>
              </w:rPr>
              <w:t>97659-46-6</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Canada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du Nord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20"/>
                <w:szCs w:val="20"/>
              </w:rPr>
              <w:t>XXXVIII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BA7EC0" w:rsidRDefault="00FE6357" w:rsidP="00BA7EC0">
            <w:pPr>
              <w:tabs>
                <w:tab w:val="right" w:pos="2195"/>
              </w:tabs>
              <w:spacing w:before="40" w:after="40"/>
              <w:rPr>
                <w:sz w:val="18"/>
                <w:szCs w:val="18"/>
                <w:lang w:val="fr-CH"/>
              </w:rPr>
            </w:pPr>
            <w:r w:rsidRPr="00BA7EC0">
              <w:rPr>
                <w:sz w:val="18"/>
                <w:szCs w:val="18"/>
                <w:lang w:val="fr-CH"/>
              </w:rPr>
              <w:t>Paraffines chlorées à chaîne courte (PCCC)</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85535-84-8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Norvège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Paraquat</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4685-14-7</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Sri Lanka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XVIII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Paraquat</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4685-14-7</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Suède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Paraquat</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4685-14-7</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Togo</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Paraquat dichlorure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1910-42-5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Burkina Faso</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Paraquat dichlorure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1910-42-5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Cabo Verde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Paraquat dichlorure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1910-42-5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Mali</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Paraquat dichlorure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1910-42-5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Mauritanie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Paraquat dichlorure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1910-42-5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Niger</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Paraquat dichlorure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1910-42-5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Sénégal</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Paraquat dichlorure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1910-42-5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Suède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Paraquat dichlorure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1910-42-5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Tchad</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Paraquat dichlorure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1910-42-5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Uruguay</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Latine et  Caraïbes</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XVIII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Paraquat dimethyl,bis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2074-50-2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Suède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Paris green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12002-03-8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Thaïlande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Pendimethalin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40487-42-1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Norvège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Pentachlorobenzène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608-93-5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Canada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du Nord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XVIII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Pentachlorobenzène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608-93-5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Japon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Pentachlorobenzène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608-93-5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Japon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Pr>
                <w:sz w:val="18"/>
                <w:szCs w:val="18"/>
              </w:rPr>
              <w:lastRenderedPageBreak/>
              <w:t>P</w:t>
            </w:r>
            <w:r w:rsidRPr="00D82DB3">
              <w:rPr>
                <w:sz w:val="18"/>
                <w:szCs w:val="18"/>
              </w:rPr>
              <w:t>entachloroéthane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76-01-7</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BA7EC0" w:rsidRDefault="00FE6357" w:rsidP="00BA7EC0">
            <w:pPr>
              <w:tabs>
                <w:tab w:val="right" w:pos="2195"/>
              </w:tabs>
              <w:spacing w:before="40" w:after="40"/>
              <w:rPr>
                <w:sz w:val="18"/>
                <w:szCs w:val="18"/>
                <w:lang w:val="fr-CH"/>
              </w:rPr>
            </w:pPr>
            <w:r w:rsidRPr="00BA7EC0">
              <w:rPr>
                <w:color w:val="000000"/>
                <w:sz w:val="18"/>
                <w:szCs w:val="18"/>
                <w:lang w:val="fr-CH"/>
              </w:rPr>
              <w:t>Pentachlorophénol et ses sels et esters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Default="00FE6357" w:rsidP="00BA7EC0">
            <w:pPr>
              <w:spacing w:before="40" w:after="40"/>
              <w:rPr>
                <w:color w:val="000000"/>
                <w:sz w:val="18"/>
                <w:szCs w:val="18"/>
              </w:rPr>
            </w:pPr>
            <w:r w:rsidRPr="007D41CB">
              <w:rPr>
                <w:color w:val="000000"/>
                <w:sz w:val="18"/>
                <w:szCs w:val="18"/>
              </w:rPr>
              <w:t>87-86-5*</w:t>
            </w:r>
            <w:r>
              <w:rPr>
                <w:color w:val="000000"/>
                <w:sz w:val="18"/>
                <w:szCs w:val="18"/>
              </w:rPr>
              <w:t>*,</w:t>
            </w:r>
          </w:p>
          <w:p w:rsidR="00FE6357" w:rsidRDefault="00FE6357" w:rsidP="00BA7EC0">
            <w:pPr>
              <w:spacing w:before="40" w:after="40"/>
              <w:rPr>
                <w:color w:val="000000"/>
                <w:sz w:val="18"/>
                <w:szCs w:val="18"/>
              </w:rPr>
            </w:pPr>
            <w:r>
              <w:rPr>
                <w:color w:val="000000"/>
                <w:sz w:val="18"/>
                <w:szCs w:val="18"/>
              </w:rPr>
              <w:t>131-52-2,</w:t>
            </w:r>
          </w:p>
          <w:p w:rsidR="00FE6357" w:rsidRDefault="00FE6357" w:rsidP="00BA7EC0">
            <w:pPr>
              <w:spacing w:before="40" w:after="40"/>
              <w:rPr>
                <w:color w:val="000000"/>
                <w:sz w:val="18"/>
                <w:szCs w:val="18"/>
              </w:rPr>
            </w:pPr>
            <w:r>
              <w:rPr>
                <w:color w:val="000000"/>
                <w:sz w:val="18"/>
                <w:szCs w:val="18"/>
              </w:rPr>
              <w:t>27735-64-4,</w:t>
            </w:r>
          </w:p>
          <w:p w:rsidR="00FE6357" w:rsidRPr="00D82DB3" w:rsidRDefault="00FE6357" w:rsidP="00BA7EC0">
            <w:pPr>
              <w:spacing w:before="40" w:after="40"/>
              <w:rPr>
                <w:sz w:val="18"/>
                <w:szCs w:val="18"/>
              </w:rPr>
            </w:pPr>
            <w:r w:rsidRPr="007D41CB">
              <w:rPr>
                <w:color w:val="000000"/>
                <w:sz w:val="18"/>
                <w:szCs w:val="18"/>
              </w:rPr>
              <w:t>3772-94-9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BA7EC0" w:rsidRDefault="00FE6357" w:rsidP="00BA7EC0">
            <w:pPr>
              <w:spacing w:before="40" w:after="40"/>
              <w:rPr>
                <w:sz w:val="18"/>
                <w:szCs w:val="18"/>
                <w:lang w:val="fr-CH"/>
              </w:rPr>
            </w:pPr>
            <w:r w:rsidRPr="00BA7EC0">
              <w:rPr>
                <w:color w:val="000000"/>
                <w:sz w:val="18"/>
                <w:szCs w:val="18"/>
                <w:lang w:val="fr-CH"/>
              </w:rPr>
              <w:t xml:space="preserve">Pesticide* &amp; </w:t>
            </w:r>
            <w:r w:rsidRPr="00BA7EC0">
              <w:rPr>
                <w:sz w:val="18"/>
                <w:szCs w:val="18"/>
                <w:lang w:val="fr-CH"/>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Pr>
                <w:color w:val="000000"/>
                <w:sz w:val="18"/>
                <w:szCs w:val="18"/>
              </w:rPr>
              <w:t>Japo</w:t>
            </w:r>
            <w:r w:rsidRPr="007D41CB">
              <w:rPr>
                <w:color w:val="000000"/>
                <w:sz w:val="18"/>
                <w:szCs w:val="18"/>
              </w:rPr>
              <w:t>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7D41CB">
              <w:rPr>
                <w:color w:val="000000"/>
                <w:sz w:val="18"/>
                <w:szCs w:val="18"/>
              </w:rPr>
              <w:t>Asi</w:t>
            </w:r>
            <w:r>
              <w:rPr>
                <w:color w:val="000000"/>
                <w:sz w:val="18"/>
                <w:szCs w:val="18"/>
              </w:rPr>
              <w:t>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7D41CB">
              <w:rPr>
                <w:color w:val="000000"/>
                <w:sz w:val="18"/>
                <w:szCs w:val="18"/>
              </w:rPr>
              <w:t>XLIV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Pr>
                <w:sz w:val="18"/>
                <w:szCs w:val="18"/>
              </w:rPr>
              <w:t>P</w:t>
            </w:r>
            <w:r w:rsidRPr="00D82DB3">
              <w:rPr>
                <w:sz w:val="18"/>
                <w:szCs w:val="18"/>
              </w:rPr>
              <w:t>entaoxyde de diarsenic</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1303-28-2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République de Corée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Permetrin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52645-53-1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République arabe syrienne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Proche Orient</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8A23C1">
              <w:rPr>
                <w:color w:val="000000"/>
                <w:sz w:val="18"/>
                <w:szCs w:val="18"/>
              </w:rPr>
              <w:t xml:space="preserve">Phenthoate </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8A23C1">
              <w:rPr>
                <w:color w:val="000000"/>
                <w:sz w:val="18"/>
                <w:szCs w:val="18"/>
              </w:rPr>
              <w:t>2597-03-7</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8A23C1">
              <w:rPr>
                <w:color w:val="000000"/>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Default="00FE6357" w:rsidP="00BA7EC0">
            <w:pPr>
              <w:spacing w:before="40" w:after="40"/>
              <w:rPr>
                <w:sz w:val="18"/>
                <w:szCs w:val="18"/>
              </w:rPr>
            </w:pPr>
            <w:r w:rsidRPr="00D82DB3">
              <w:rPr>
                <w:sz w:val="18"/>
                <w:szCs w:val="18"/>
              </w:rPr>
              <w:t>Malaisie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8A23C1">
              <w:rPr>
                <w:color w:val="000000"/>
                <w:sz w:val="18"/>
                <w:szCs w:val="18"/>
              </w:rPr>
              <w:t>Asi</w:t>
            </w:r>
            <w:r>
              <w:rPr>
                <w:color w:val="000000"/>
                <w:sz w:val="18"/>
                <w:szCs w:val="18"/>
              </w:rPr>
              <w:t>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8A23C1">
              <w:rPr>
                <w:color w:val="000000"/>
                <w:sz w:val="18"/>
                <w:szCs w:val="18"/>
              </w:rPr>
              <w:t>XLIV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Phorate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298-02-2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Pr>
                <w:sz w:val="18"/>
                <w:szCs w:val="18"/>
              </w:rPr>
              <w:t>Brésil</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Latine et  Caraïbes</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w:t>
            </w:r>
            <w:r>
              <w:rPr>
                <w:sz w:val="18"/>
                <w:szCs w:val="18"/>
              </w:rPr>
              <w:t>LI</w:t>
            </w:r>
            <w:r w:rsidRPr="00D82DB3">
              <w:rPr>
                <w:sz w:val="18"/>
                <w:szCs w:val="18"/>
              </w:rPr>
              <w:t>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Phorate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298-02-2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Canada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du Nord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XVIII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Phorate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298-02-2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Thaïlande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Phosalone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2310-17-0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XVII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Phosphamidon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13171-21-6</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Brésil</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Latine et  Caraïbes</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Phosphamidon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13171-21-6</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Côte d´Ivoire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Phosphamidon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13171-21-6</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BA7EC0" w:rsidRDefault="00FE6357" w:rsidP="00BA7EC0">
            <w:pPr>
              <w:spacing w:before="40" w:after="40"/>
              <w:rPr>
                <w:sz w:val="18"/>
                <w:szCs w:val="18"/>
                <w:lang w:val="fr-CH"/>
              </w:rPr>
            </w:pPr>
            <w:r w:rsidRPr="00BA7EC0">
              <w:rPr>
                <w:sz w:val="18"/>
                <w:szCs w:val="18"/>
                <w:lang w:val="fr-CH"/>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Japon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Phosphamidon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13171-21-6</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Panama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Latine et  Caraïbes</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Phosphamidon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13171-21-6</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Thaïlande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Phosphure d'aluminium</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20859-73-8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BA7EC0" w:rsidRDefault="00FE6357" w:rsidP="00BA7EC0">
            <w:pPr>
              <w:spacing w:before="40" w:after="40"/>
              <w:rPr>
                <w:sz w:val="18"/>
                <w:szCs w:val="18"/>
                <w:lang w:val="fr-CH"/>
              </w:rPr>
            </w:pPr>
            <w:r w:rsidRPr="00BA7EC0">
              <w:rPr>
                <w:sz w:val="18"/>
                <w:szCs w:val="18"/>
                <w:lang w:val="fr-CH"/>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Japon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567A4">
              <w:rPr>
                <w:sz w:val="18"/>
                <w:szCs w:val="18"/>
                <w:lang w:val="fr-CH"/>
              </w:rPr>
              <w:t>Polychloronaphtalènes</w:t>
            </w:r>
            <w:r w:rsidRPr="00D82DB3">
              <w:rPr>
                <w:sz w:val="18"/>
                <w:szCs w:val="18"/>
              </w:rPr>
              <w:t xml:space="preserve"> (PCN)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70776-03-3</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Canada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du Nord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highlight w:val="yellow"/>
              </w:rPr>
            </w:pPr>
            <w:r w:rsidRPr="00D82DB3">
              <w:rPr>
                <w:sz w:val="18"/>
                <w:szCs w:val="18"/>
              </w:rPr>
              <w:t>XXXVIII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567A4">
              <w:rPr>
                <w:sz w:val="18"/>
                <w:szCs w:val="18"/>
                <w:lang w:val="fr-CH"/>
              </w:rPr>
              <w:t>Polychloronaphtalènes</w:t>
            </w:r>
            <w:r w:rsidRPr="00D82DB3">
              <w:rPr>
                <w:sz w:val="18"/>
                <w:szCs w:val="18"/>
              </w:rPr>
              <w:t xml:space="preserve"> (PCN)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Default="00FE6357" w:rsidP="00BA7EC0">
            <w:pPr>
              <w:spacing w:before="40" w:after="40"/>
              <w:rPr>
                <w:sz w:val="18"/>
                <w:szCs w:val="18"/>
              </w:rPr>
            </w:pPr>
            <w:r>
              <w:rPr>
                <w:sz w:val="18"/>
                <w:szCs w:val="18"/>
              </w:rPr>
              <w:t>28699-88-9,</w:t>
            </w:r>
          </w:p>
          <w:p w:rsidR="00FE6357" w:rsidRDefault="00FE6357" w:rsidP="00BA7EC0">
            <w:pPr>
              <w:spacing w:before="40" w:after="40"/>
              <w:rPr>
                <w:sz w:val="18"/>
                <w:szCs w:val="18"/>
              </w:rPr>
            </w:pPr>
            <w:r>
              <w:rPr>
                <w:sz w:val="18"/>
                <w:szCs w:val="18"/>
              </w:rPr>
              <w:t>1321-65-9,</w:t>
            </w:r>
          </w:p>
          <w:p w:rsidR="00FE6357" w:rsidRDefault="00FE6357" w:rsidP="00BA7EC0">
            <w:pPr>
              <w:spacing w:before="40" w:after="40"/>
              <w:rPr>
                <w:sz w:val="18"/>
                <w:szCs w:val="18"/>
              </w:rPr>
            </w:pPr>
            <w:r>
              <w:rPr>
                <w:sz w:val="18"/>
                <w:szCs w:val="18"/>
              </w:rPr>
              <w:t>1335-88-2,</w:t>
            </w:r>
          </w:p>
          <w:p w:rsidR="00FE6357" w:rsidRDefault="00FE6357" w:rsidP="00BA7EC0">
            <w:pPr>
              <w:spacing w:before="40" w:after="40"/>
              <w:rPr>
                <w:sz w:val="18"/>
                <w:szCs w:val="18"/>
              </w:rPr>
            </w:pPr>
            <w:r>
              <w:rPr>
                <w:sz w:val="18"/>
                <w:szCs w:val="18"/>
              </w:rPr>
              <w:t>1321-64-8,</w:t>
            </w:r>
          </w:p>
          <w:p w:rsidR="00FE6357" w:rsidRDefault="00FE6357" w:rsidP="00BA7EC0">
            <w:pPr>
              <w:spacing w:before="40" w:after="40"/>
              <w:rPr>
                <w:sz w:val="18"/>
                <w:szCs w:val="18"/>
              </w:rPr>
            </w:pPr>
            <w:r>
              <w:rPr>
                <w:sz w:val="18"/>
                <w:szCs w:val="18"/>
              </w:rPr>
              <w:t>1335-87-1,</w:t>
            </w:r>
          </w:p>
          <w:p w:rsidR="00FE6357" w:rsidRDefault="00FE6357" w:rsidP="00BA7EC0">
            <w:pPr>
              <w:spacing w:before="40" w:after="40"/>
              <w:rPr>
                <w:sz w:val="18"/>
                <w:szCs w:val="18"/>
              </w:rPr>
            </w:pPr>
            <w:r w:rsidRPr="0081015B">
              <w:rPr>
                <w:sz w:val="18"/>
                <w:szCs w:val="18"/>
              </w:rPr>
              <w:t>32241-08-0</w:t>
            </w:r>
            <w:r>
              <w:rPr>
                <w:sz w:val="18"/>
                <w:szCs w:val="18"/>
              </w:rPr>
              <w:t>,</w:t>
            </w:r>
          </w:p>
          <w:p w:rsidR="00FE6357" w:rsidRPr="00D82DB3" w:rsidRDefault="00FE6357" w:rsidP="00BA7EC0">
            <w:pPr>
              <w:spacing w:before="40" w:after="40"/>
              <w:rPr>
                <w:sz w:val="18"/>
                <w:szCs w:val="18"/>
              </w:rPr>
            </w:pPr>
            <w:r w:rsidRPr="0081015B">
              <w:rPr>
                <w:sz w:val="18"/>
                <w:szCs w:val="18"/>
              </w:rPr>
              <w:t>2234-13-1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Japon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XL</w:t>
            </w:r>
            <w:r w:rsidRPr="00D82DB3">
              <w:rPr>
                <w:sz w:val="18"/>
                <w:szCs w:val="18"/>
              </w:rPr>
              <w:t>I</w:t>
            </w:r>
            <w:r>
              <w:rPr>
                <w:sz w:val="18"/>
                <w:szCs w:val="18"/>
              </w:rPr>
              <w:t xml:space="preserve">V </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Polychloroterpenes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8001-50-1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Thaïlande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Procymidone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32809-16-8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XXXVII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FC0E8C">
              <w:rPr>
                <w:color w:val="000000"/>
                <w:sz w:val="18"/>
                <w:szCs w:val="18"/>
              </w:rPr>
              <w:t>Profenofos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FC0E8C">
              <w:rPr>
                <w:color w:val="000000"/>
                <w:sz w:val="18"/>
                <w:szCs w:val="18"/>
              </w:rPr>
              <w:t>41198-08-7</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FC0E8C">
              <w:rPr>
                <w:color w:val="000000"/>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FC0E8C">
              <w:rPr>
                <w:color w:val="000000"/>
                <w:sz w:val="18"/>
                <w:szCs w:val="18"/>
              </w:rPr>
              <w:t>Mala</w:t>
            </w:r>
            <w:r>
              <w:rPr>
                <w:color w:val="000000"/>
                <w:sz w:val="18"/>
                <w:szCs w:val="18"/>
              </w:rPr>
              <w:t>isie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FC0E8C">
              <w:rPr>
                <w:color w:val="000000"/>
                <w:sz w:val="18"/>
                <w:szCs w:val="18"/>
              </w:rPr>
              <w:t>Asi</w:t>
            </w:r>
            <w:r>
              <w:rPr>
                <w:color w:val="000000"/>
                <w:sz w:val="18"/>
                <w:szCs w:val="18"/>
              </w:rPr>
              <w:t>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FC0E8C">
              <w:rPr>
                <w:color w:val="000000"/>
                <w:sz w:val="18"/>
                <w:szCs w:val="18"/>
              </w:rPr>
              <w:t>XLIV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Propachlore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1918-16-7</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Norvège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XVI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Propachlore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1918-16-7</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Propanil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709-98-8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 xml:space="preserve">XXXIX </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Propargite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2312-35-8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 xml:space="preserve">XXXIX </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Propisochlore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86763-47-5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XXVI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Propoxycarbazone de sodium</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145026-81-9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Norvège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lastRenderedPageBreak/>
              <w:t>Propylbromoacetate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35223-80-4</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FC0E8C">
              <w:rPr>
                <w:sz w:val="18"/>
                <w:szCs w:val="18"/>
              </w:rPr>
              <w:t>Prothiofos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FC0E8C">
              <w:rPr>
                <w:sz w:val="18"/>
                <w:szCs w:val="18"/>
              </w:rPr>
              <w:t>34643-46-4</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FC0E8C">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Pr>
                <w:sz w:val="18"/>
                <w:szCs w:val="18"/>
              </w:rPr>
              <w:t>Malaisie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FC0E8C">
              <w:rPr>
                <w:sz w:val="18"/>
                <w:szCs w:val="18"/>
              </w:rPr>
              <w:t>Asi</w:t>
            </w:r>
            <w:r>
              <w:rPr>
                <w:sz w:val="18"/>
                <w:szCs w:val="18"/>
              </w:rPr>
              <w:t>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FC0E8C">
              <w:rPr>
                <w:sz w:val="18"/>
                <w:szCs w:val="18"/>
              </w:rPr>
              <w:t>XLIV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Prothoate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2275-18-5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Thaïlande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Pymetrozine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123312-89-0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Norvège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XXXIX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Pyrazophos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13457-18-6</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Pyrinuron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53558-25-1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Thaïlande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C548A2">
              <w:rPr>
                <w:color w:val="000000"/>
                <w:sz w:val="18"/>
                <w:szCs w:val="18"/>
              </w:rPr>
              <w:t>Quinalphos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C548A2">
              <w:rPr>
                <w:color w:val="000000"/>
                <w:sz w:val="18"/>
                <w:szCs w:val="18"/>
              </w:rPr>
              <w:t>13593-03-8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C548A2">
              <w:rPr>
                <w:color w:val="000000"/>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Pr>
                <w:color w:val="000000"/>
                <w:sz w:val="18"/>
                <w:szCs w:val="18"/>
              </w:rPr>
              <w:t>Malaisie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C548A2">
              <w:rPr>
                <w:color w:val="000000"/>
                <w:sz w:val="18"/>
                <w:szCs w:val="18"/>
              </w:rPr>
              <w:t>Asi</w:t>
            </w:r>
            <w:r>
              <w:rPr>
                <w:color w:val="000000"/>
                <w:sz w:val="18"/>
                <w:szCs w:val="18"/>
              </w:rPr>
              <w:t>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C548A2">
              <w:rPr>
                <w:color w:val="000000"/>
                <w:sz w:val="18"/>
                <w:szCs w:val="18"/>
              </w:rPr>
              <w:t>XLIV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Quintozène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82-68-8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Roumanie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Quintozène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82-68-8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Suisse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Quintozène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82-68-8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BA7EC0" w:rsidRDefault="00FE6357" w:rsidP="00BA7EC0">
            <w:pPr>
              <w:tabs>
                <w:tab w:val="right" w:pos="2195"/>
              </w:tabs>
              <w:spacing w:before="40" w:after="40"/>
              <w:rPr>
                <w:sz w:val="18"/>
                <w:szCs w:val="18"/>
                <w:lang w:val="fr-CH"/>
              </w:rPr>
            </w:pPr>
            <w:r w:rsidRPr="00BA7EC0">
              <w:rPr>
                <w:sz w:val="18"/>
                <w:szCs w:val="18"/>
                <w:lang w:val="fr-CH"/>
              </w:rPr>
              <w:t xml:space="preserve">Résidus d'extraction alcalins (charbon), goudron de houille à basse température   </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122384-78-5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Schradane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152-16-9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BA7EC0" w:rsidRDefault="00FE6357" w:rsidP="00BA7EC0">
            <w:pPr>
              <w:spacing w:before="40" w:after="40"/>
              <w:rPr>
                <w:sz w:val="18"/>
                <w:szCs w:val="18"/>
                <w:lang w:val="fr-CH"/>
              </w:rPr>
            </w:pPr>
            <w:r w:rsidRPr="00BA7EC0">
              <w:rPr>
                <w:sz w:val="18"/>
                <w:szCs w:val="18"/>
                <w:lang w:val="fr-CH"/>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Japon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Schradane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152-16-9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Thaïlande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Simazine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122-34-9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Norvège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Simazine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122-34-9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Sulfate de dithallium</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7446-18-6</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République de Corée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Sulfate de dithallium</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7446-18-6</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Thaïlande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Sulfate de plomb</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15739-80-7</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Pr>
                <w:sz w:val="18"/>
                <w:szCs w:val="18"/>
              </w:rPr>
              <w:t>S</w:t>
            </w:r>
            <w:r w:rsidRPr="00D82DB3">
              <w:rPr>
                <w:sz w:val="18"/>
                <w:szCs w:val="18"/>
              </w:rPr>
              <w:t>ulfate de plomb</w:t>
            </w:r>
            <w:r>
              <w:rPr>
                <w:sz w:val="18"/>
                <w:szCs w:val="18"/>
              </w:rPr>
              <w:t xml:space="preserve"> (II)</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7446-14-2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Sulfosulfurone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141776-32-1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Norvège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Sulfotep</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3689-24-5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Thaïlande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Pr>
                <w:sz w:val="18"/>
                <w:szCs w:val="18"/>
              </w:rPr>
              <w:t>S</w:t>
            </w:r>
            <w:r w:rsidRPr="00D82DB3">
              <w:rPr>
                <w:sz w:val="18"/>
                <w:szCs w:val="18"/>
              </w:rPr>
              <w:t>ulfure d'ammonium ((NH4)2(Sx))</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9080-17-5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Tecnazène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117-18-0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TEPP (pyrophosphate de tétraéthyle)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107-49-3</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BA7EC0" w:rsidRDefault="00FE6357" w:rsidP="00BA7EC0">
            <w:pPr>
              <w:spacing w:before="40" w:after="40"/>
              <w:rPr>
                <w:sz w:val="18"/>
                <w:szCs w:val="18"/>
                <w:lang w:val="fr-CH"/>
              </w:rPr>
            </w:pPr>
            <w:r w:rsidRPr="00BA7EC0">
              <w:rPr>
                <w:sz w:val="18"/>
                <w:szCs w:val="18"/>
                <w:lang w:val="fr-CH"/>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Japon</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Terbufos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13071-79-9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Canada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du Nord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XVIII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Tétrachlorobenzène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12408-10-5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Canada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du Nord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XVIII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Tétrachlorobenzène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634-66-2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Canada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du Nord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XVIII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Tétrachlorobenzène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634-90-2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Canada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du Nord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XVIII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Tétrachlorobenzène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95-94-3</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Canada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du Nord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XVIII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Tétrachlorure de carbone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56-23-5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BA7EC0" w:rsidRDefault="00FE6357" w:rsidP="00BA7EC0">
            <w:pPr>
              <w:spacing w:before="40" w:after="40"/>
              <w:rPr>
                <w:sz w:val="18"/>
                <w:szCs w:val="18"/>
                <w:lang w:val="fr-CH"/>
              </w:rPr>
            </w:pPr>
            <w:r w:rsidRPr="00BA7EC0">
              <w:rPr>
                <w:sz w:val="18"/>
                <w:szCs w:val="18"/>
                <w:lang w:val="fr-CH"/>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Canada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du Nord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Tétrachlorure de carbone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56-23-5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Jordanie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Proche Orient</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LI</w:t>
            </w:r>
            <w:r>
              <w:rPr>
                <w:sz w:val="18"/>
                <w:szCs w:val="18"/>
              </w:rPr>
              <w:t>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lastRenderedPageBreak/>
              <w:t>Tétrachlorure de carbone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56-23-5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Lettonie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Tétrachlorure de carbone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56-23-5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République de Corée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Tétrachlorure de carbone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56-23-5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BA7EC0" w:rsidRDefault="00FE6357" w:rsidP="00BA7EC0">
            <w:pPr>
              <w:spacing w:before="40" w:after="40"/>
              <w:rPr>
                <w:sz w:val="18"/>
                <w:szCs w:val="18"/>
                <w:lang w:val="fr-CH"/>
              </w:rPr>
            </w:pPr>
            <w:r w:rsidRPr="00BA7EC0">
              <w:rPr>
                <w:sz w:val="18"/>
                <w:szCs w:val="18"/>
                <w:lang w:val="fr-CH"/>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Suisse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Tétrachlorure de carbone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56-23-5</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Thaïlande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Thiabendazole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148-79-8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Norvège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Thiodicarb</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59669-26-0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XVII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Triazophos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24017-47-8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Cabo Verde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Triazophos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24017-47-8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Gambie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0B4181">
              <w:rPr>
                <w:color w:val="000000"/>
                <w:sz w:val="18"/>
                <w:szCs w:val="18"/>
              </w:rPr>
              <w:t>Triazophos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0B4181">
              <w:rPr>
                <w:color w:val="000000"/>
                <w:sz w:val="18"/>
                <w:szCs w:val="18"/>
              </w:rPr>
              <w:t>24017-47-8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0B4181">
              <w:rPr>
                <w:color w:val="000000"/>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Pr>
                <w:color w:val="000000"/>
                <w:sz w:val="18"/>
                <w:szCs w:val="18"/>
              </w:rPr>
              <w:t>Malaisie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0B4181">
              <w:rPr>
                <w:color w:val="000000"/>
                <w:sz w:val="18"/>
                <w:szCs w:val="18"/>
              </w:rPr>
              <w:t>Asi</w:t>
            </w:r>
            <w:r>
              <w:rPr>
                <w:color w:val="000000"/>
                <w:sz w:val="18"/>
                <w:szCs w:val="18"/>
              </w:rPr>
              <w:t>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0B4181">
              <w:rPr>
                <w:color w:val="000000"/>
                <w:sz w:val="18"/>
                <w:szCs w:val="18"/>
              </w:rPr>
              <w:t>XLIV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Triazophos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24017-47-8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Mauritanie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Triazophos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24017-47-8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Niger</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Triazophos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24017-47-8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Sénégal</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Triazophos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24017-47-8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Tchad</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Triazophos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24017-47-8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Togo</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Tribufos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78-48-8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Australie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Pacifique Sud-Ouest</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Tributylétain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Default="00FE6357" w:rsidP="00BA7EC0">
            <w:pPr>
              <w:spacing w:before="40" w:after="40"/>
              <w:rPr>
                <w:sz w:val="18"/>
                <w:szCs w:val="18"/>
              </w:rPr>
            </w:pPr>
            <w:r>
              <w:rPr>
                <w:sz w:val="18"/>
                <w:szCs w:val="18"/>
              </w:rPr>
              <w:t>1461-22-9,</w:t>
            </w:r>
          </w:p>
          <w:p w:rsidR="00FE6357" w:rsidRDefault="00FE6357" w:rsidP="00BA7EC0">
            <w:pPr>
              <w:spacing w:before="40" w:after="40"/>
              <w:rPr>
                <w:sz w:val="18"/>
                <w:szCs w:val="18"/>
              </w:rPr>
            </w:pPr>
            <w:r>
              <w:rPr>
                <w:sz w:val="18"/>
                <w:szCs w:val="18"/>
              </w:rPr>
              <w:t>1983-10-4,</w:t>
            </w:r>
          </w:p>
          <w:p w:rsidR="00FE6357" w:rsidRDefault="00FE6357" w:rsidP="00BA7EC0">
            <w:pPr>
              <w:spacing w:before="40" w:after="40"/>
              <w:rPr>
                <w:sz w:val="18"/>
                <w:szCs w:val="18"/>
              </w:rPr>
            </w:pPr>
            <w:r>
              <w:rPr>
                <w:sz w:val="18"/>
                <w:szCs w:val="18"/>
              </w:rPr>
              <w:t>2155-70-6,</w:t>
            </w:r>
          </w:p>
          <w:p w:rsidR="00FE6357" w:rsidRDefault="00FE6357" w:rsidP="00BA7EC0">
            <w:pPr>
              <w:spacing w:before="40" w:after="40"/>
              <w:rPr>
                <w:sz w:val="18"/>
                <w:szCs w:val="18"/>
              </w:rPr>
            </w:pPr>
            <w:r>
              <w:rPr>
                <w:sz w:val="18"/>
                <w:szCs w:val="18"/>
              </w:rPr>
              <w:t>4027-18-3,</w:t>
            </w:r>
          </w:p>
          <w:p w:rsidR="00FE6357" w:rsidRPr="00D82DB3" w:rsidRDefault="00FE6357" w:rsidP="00BA7EC0">
            <w:pPr>
              <w:spacing w:before="40" w:after="40"/>
              <w:rPr>
                <w:sz w:val="18"/>
                <w:szCs w:val="18"/>
              </w:rPr>
            </w:pPr>
            <w:r w:rsidRPr="00D82DB3">
              <w:rPr>
                <w:sz w:val="18"/>
                <w:szCs w:val="18"/>
              </w:rPr>
              <w:t>4342-30-7</w:t>
            </w:r>
          </w:p>
          <w:p w:rsidR="00FE6357" w:rsidRPr="00D82DB3" w:rsidRDefault="00FE6357" w:rsidP="00BA7EC0">
            <w:pPr>
              <w:spacing w:before="40" w:after="40"/>
              <w:rPr>
                <w:sz w:val="18"/>
                <w:szCs w:val="18"/>
              </w:rPr>
            </w:pPr>
            <w:r w:rsidRPr="00D82DB3">
              <w:rPr>
                <w:sz w:val="18"/>
                <w:szCs w:val="18"/>
              </w:rPr>
              <w:t>56-35-9</w:t>
            </w:r>
          </w:p>
          <w:p w:rsidR="00FE6357" w:rsidRDefault="00FE6357" w:rsidP="00BA7EC0">
            <w:pPr>
              <w:spacing w:before="40" w:after="40"/>
              <w:rPr>
                <w:sz w:val="18"/>
                <w:szCs w:val="18"/>
              </w:rPr>
            </w:pPr>
            <w:r>
              <w:rPr>
                <w:sz w:val="18"/>
                <w:szCs w:val="18"/>
              </w:rPr>
              <w:t>67701-37-5,</w:t>
            </w:r>
          </w:p>
          <w:p w:rsidR="00FE6357" w:rsidRPr="00D82DB3" w:rsidRDefault="00FE6357" w:rsidP="00BA7EC0">
            <w:pPr>
              <w:spacing w:before="40" w:after="40"/>
              <w:rPr>
                <w:sz w:val="18"/>
                <w:szCs w:val="18"/>
              </w:rPr>
            </w:pPr>
            <w:r w:rsidRPr="00D82DB3">
              <w:rPr>
                <w:sz w:val="18"/>
                <w:szCs w:val="18"/>
              </w:rPr>
              <w:t>688-73-3</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Canada</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du Nord</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XXXVIII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Tributylétain, composés de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56-35-9</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République de Corée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Asie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Trichlorfon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52-68-6</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Brésil</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Latine et  Caraïbes</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Trichlorfon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52-68-6</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Togo</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Afrique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XLII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Trichlorfon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52-68-6</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Trichloroacétate de sodium</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650-51-1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Pays-Bas</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IV</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Trifluraline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1582-09-8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Union Européenne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XXVI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Vinclozolin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50471-44-8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Jordanie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Proche Orient</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VIII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Vinclozolin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50471-44-8</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Norvège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Europe</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III</w:t>
            </w:r>
          </w:p>
        </w:tc>
      </w:tr>
      <w:tr w:rsidR="00FE6357" w:rsidRPr="00D82DB3" w:rsidTr="00FE635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tabs>
                <w:tab w:val="right" w:pos="2195"/>
              </w:tabs>
              <w:spacing w:before="40" w:after="40"/>
              <w:rPr>
                <w:sz w:val="18"/>
                <w:szCs w:val="18"/>
              </w:rPr>
            </w:pPr>
            <w:r w:rsidRPr="00D82DB3">
              <w:rPr>
                <w:sz w:val="18"/>
                <w:szCs w:val="18"/>
              </w:rPr>
              <w:t>Zinebe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sidRPr="00D82DB3">
              <w:rPr>
                <w:sz w:val="18"/>
                <w:szCs w:val="18"/>
              </w:rPr>
              <w:t>12122-67-7</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Equateur</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FE6357" w:rsidRPr="00D82DB3" w:rsidRDefault="00FE6357" w:rsidP="00BA7EC0">
            <w:pPr>
              <w:spacing w:before="40" w:after="40"/>
              <w:rPr>
                <w:sz w:val="18"/>
                <w:szCs w:val="18"/>
              </w:rPr>
            </w:pPr>
            <w:r w:rsidRPr="00D82DB3">
              <w:rPr>
                <w:sz w:val="18"/>
                <w:szCs w:val="18"/>
              </w:rPr>
              <w:t>Amérique Latine et  Caraïbes</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FE6357" w:rsidRPr="00D82DB3" w:rsidRDefault="00FE6357" w:rsidP="00BA7EC0">
            <w:pPr>
              <w:spacing w:before="40" w:after="40"/>
              <w:rPr>
                <w:sz w:val="18"/>
                <w:szCs w:val="18"/>
              </w:rPr>
            </w:pPr>
            <w:r>
              <w:rPr>
                <w:sz w:val="18"/>
                <w:szCs w:val="18"/>
              </w:rPr>
              <w:t>X</w:t>
            </w:r>
            <w:r w:rsidRPr="00D82DB3">
              <w:rPr>
                <w:sz w:val="18"/>
                <w:szCs w:val="18"/>
              </w:rPr>
              <w:t>X</w:t>
            </w:r>
          </w:p>
        </w:tc>
      </w:tr>
    </w:tbl>
    <w:p w:rsidR="00D1008B" w:rsidRPr="00D1008B" w:rsidRDefault="00D1008B" w:rsidP="00D1008B">
      <w:pPr>
        <w:spacing w:before="80"/>
        <w:rPr>
          <w:sz w:val="18"/>
          <w:lang w:val="fr-CH"/>
        </w:rPr>
      </w:pPr>
      <w:r w:rsidRPr="00D1008B">
        <w:rPr>
          <w:sz w:val="18"/>
          <w:lang w:val="fr-CH"/>
        </w:rPr>
        <w:t>* Le produit chimique est inscrit à l'annexe III sous cette catégorie.</w:t>
      </w:r>
    </w:p>
    <w:p w:rsidR="00D1008B" w:rsidRPr="00D1008B" w:rsidRDefault="00D1008B" w:rsidP="00D1008B">
      <w:pPr>
        <w:rPr>
          <w:sz w:val="18"/>
          <w:lang w:val="fr-CH"/>
        </w:rPr>
      </w:pPr>
      <w:r w:rsidRPr="00D1008B">
        <w:rPr>
          <w:sz w:val="18"/>
          <w:lang w:val="fr-CH"/>
        </w:rPr>
        <w:t>** Le produit chimique est inscrit à l'annexe III sous ce numéro de CAS.</w:t>
      </w:r>
    </w:p>
    <w:p w:rsidR="00AC1AAC" w:rsidRPr="001C5D83" w:rsidRDefault="00AC1AAC" w:rsidP="007B68CF">
      <w:pPr>
        <w:autoSpaceDE w:val="0"/>
        <w:autoSpaceDN w:val="0"/>
        <w:adjustRightInd w:val="0"/>
        <w:jc w:val="center"/>
        <w:rPr>
          <w:b/>
          <w:bCs/>
          <w:sz w:val="22"/>
          <w:szCs w:val="22"/>
          <w:lang w:val="fr-CH" w:eastAsia="en-US"/>
        </w:rPr>
      </w:pPr>
    </w:p>
    <w:p w:rsidR="00C542A8" w:rsidRPr="001C5D83" w:rsidRDefault="00C542A8">
      <w:pPr>
        <w:rPr>
          <w:b/>
          <w:bCs/>
          <w:sz w:val="22"/>
          <w:szCs w:val="22"/>
          <w:lang w:val="fr-CH" w:eastAsia="en-US"/>
        </w:rPr>
        <w:sectPr w:rsidR="00C542A8" w:rsidRPr="001C5D83" w:rsidSect="008A1D9E">
          <w:headerReference w:type="default" r:id="rId61"/>
          <w:pgSz w:w="11907" w:h="16839" w:code="9"/>
          <w:pgMar w:top="1134" w:right="1134" w:bottom="1134" w:left="1134" w:header="709" w:footer="284" w:gutter="0"/>
          <w:cols w:space="708"/>
          <w:docGrid w:linePitch="360"/>
        </w:sectPr>
      </w:pPr>
    </w:p>
    <w:p w:rsidR="00AC1AAC" w:rsidRPr="00ED711A" w:rsidRDefault="00A011E2" w:rsidP="00AC1AAC">
      <w:pPr>
        <w:autoSpaceDE w:val="0"/>
        <w:autoSpaceDN w:val="0"/>
        <w:adjustRightInd w:val="0"/>
        <w:jc w:val="center"/>
        <w:rPr>
          <w:b/>
          <w:bCs/>
          <w:sz w:val="22"/>
          <w:szCs w:val="22"/>
          <w:lang w:val="fr-CH" w:eastAsia="en-US"/>
        </w:rPr>
      </w:pPr>
      <w:bookmarkStart w:id="253" w:name="_Toc232307927"/>
      <w:bookmarkStart w:id="254" w:name="_Toc248296484"/>
      <w:bookmarkStart w:id="255" w:name="_Toc248307720"/>
      <w:bookmarkStart w:id="256" w:name="_Toc263866447"/>
      <w:bookmarkStart w:id="257" w:name="_Toc264393164"/>
      <w:r w:rsidRPr="00ED711A">
        <w:rPr>
          <w:b/>
          <w:bCs/>
          <w:sz w:val="22"/>
          <w:szCs w:val="22"/>
          <w:lang w:val="fr-CH" w:eastAsia="en-US"/>
        </w:rPr>
        <w:lastRenderedPageBreak/>
        <w:t xml:space="preserve">Notifications de mesure de </w:t>
      </w:r>
      <w:r w:rsidR="001F3C16">
        <w:rPr>
          <w:b/>
          <w:bCs/>
          <w:sz w:val="22"/>
          <w:szCs w:val="22"/>
          <w:lang w:val="fr-CH" w:eastAsia="en-US"/>
        </w:rPr>
        <w:t>réglementation</w:t>
      </w:r>
      <w:r w:rsidRPr="00ED711A">
        <w:rPr>
          <w:b/>
          <w:bCs/>
          <w:sz w:val="22"/>
          <w:szCs w:val="22"/>
          <w:lang w:val="fr-CH" w:eastAsia="en-US"/>
        </w:rPr>
        <w:t xml:space="preserve"> finale</w:t>
      </w:r>
      <w:r w:rsidR="00A72F0A" w:rsidRPr="00A72F0A">
        <w:rPr>
          <w:lang w:val="es-ES_tradnl"/>
        </w:rPr>
        <w:t xml:space="preserve"> </w:t>
      </w:r>
      <w:r w:rsidR="00A72F0A">
        <w:rPr>
          <w:lang w:val="es-ES_tradnl"/>
        </w:rPr>
        <w:br/>
      </w:r>
      <w:r w:rsidRPr="00ED711A">
        <w:rPr>
          <w:b/>
          <w:bCs/>
          <w:sz w:val="22"/>
          <w:szCs w:val="22"/>
          <w:lang w:val="fr-CH" w:eastAsia="en-US"/>
        </w:rPr>
        <w:t xml:space="preserve"> pour les produits chimique</w:t>
      </w:r>
      <w:r w:rsidR="002E14BF">
        <w:rPr>
          <w:b/>
          <w:bCs/>
          <w:sz w:val="22"/>
          <w:szCs w:val="22"/>
          <w:lang w:val="fr-CH" w:eastAsia="en-US"/>
        </w:rPr>
        <w:t>s</w:t>
      </w:r>
      <w:r w:rsidRPr="00ED711A">
        <w:rPr>
          <w:b/>
          <w:bCs/>
          <w:sz w:val="22"/>
          <w:szCs w:val="22"/>
          <w:lang w:val="fr-CH" w:eastAsia="en-US"/>
        </w:rPr>
        <w:t xml:space="preserve"> qui ne sont pas inscrits </w:t>
      </w:r>
      <w:r w:rsidR="002E14BF" w:rsidRPr="00ED711A">
        <w:rPr>
          <w:b/>
          <w:bCs/>
          <w:sz w:val="22"/>
          <w:szCs w:val="22"/>
          <w:lang w:val="fr-CH" w:eastAsia="en-US"/>
        </w:rPr>
        <w:t>à</w:t>
      </w:r>
      <w:r w:rsidRPr="00ED711A">
        <w:rPr>
          <w:b/>
          <w:bCs/>
          <w:sz w:val="22"/>
          <w:szCs w:val="22"/>
          <w:lang w:val="fr-CH" w:eastAsia="en-US"/>
        </w:rPr>
        <w:t xml:space="preserve"> l</w:t>
      </w:r>
      <w:r w:rsidR="000D310E" w:rsidRPr="00ED711A">
        <w:rPr>
          <w:b/>
          <w:bCs/>
          <w:sz w:val="22"/>
          <w:szCs w:val="22"/>
          <w:lang w:val="fr-CH" w:eastAsia="en-US"/>
        </w:rPr>
        <w:t>’</w:t>
      </w:r>
      <w:r w:rsidR="00DE65F4" w:rsidRPr="00ED711A">
        <w:rPr>
          <w:b/>
          <w:bCs/>
          <w:sz w:val="22"/>
          <w:szCs w:val="22"/>
          <w:lang w:val="fr-CH" w:eastAsia="en-US"/>
        </w:rPr>
        <w:t>annexe III</w:t>
      </w:r>
    </w:p>
    <w:p w:rsidR="00AC1AAC" w:rsidRPr="00ED711A" w:rsidRDefault="00AC1AAC" w:rsidP="00AC1AAC">
      <w:pPr>
        <w:jc w:val="center"/>
        <w:rPr>
          <w:b/>
          <w:sz w:val="22"/>
          <w:szCs w:val="22"/>
          <w:lang w:val="fr-CH"/>
        </w:rPr>
      </w:pPr>
    </w:p>
    <w:p w:rsidR="00AC1AAC" w:rsidRPr="00ED711A" w:rsidRDefault="00AC1AAC" w:rsidP="00AC1AAC">
      <w:pPr>
        <w:jc w:val="center"/>
        <w:outlineLvl w:val="1"/>
        <w:rPr>
          <w:b/>
          <w:u w:val="single"/>
          <w:lang w:val="fr-CH"/>
        </w:rPr>
      </w:pPr>
      <w:bookmarkStart w:id="258" w:name="_Toc468869226"/>
      <w:bookmarkStart w:id="259" w:name="_Toc468870510"/>
      <w:bookmarkStart w:id="260" w:name="_Toc468887039"/>
      <w:bookmarkStart w:id="261" w:name="_Toc469005618"/>
      <w:r w:rsidRPr="00ED711A">
        <w:rPr>
          <w:b/>
          <w:u w:val="single"/>
          <w:lang w:val="fr-CH"/>
        </w:rPr>
        <w:t>PART</w:t>
      </w:r>
      <w:r w:rsidR="00A011E2" w:rsidRPr="00ED711A">
        <w:rPr>
          <w:b/>
          <w:u w:val="single"/>
          <w:lang w:val="fr-CH"/>
        </w:rPr>
        <w:t>IE</w:t>
      </w:r>
      <w:r w:rsidRPr="00ED711A">
        <w:rPr>
          <w:b/>
          <w:u w:val="single"/>
          <w:lang w:val="fr-CH"/>
        </w:rPr>
        <w:t xml:space="preserve"> B</w:t>
      </w:r>
      <w:bookmarkEnd w:id="258"/>
      <w:bookmarkEnd w:id="259"/>
      <w:bookmarkEnd w:id="260"/>
      <w:bookmarkEnd w:id="261"/>
    </w:p>
    <w:p w:rsidR="00AC1AAC" w:rsidRPr="00ED711A" w:rsidRDefault="00AC1AAC" w:rsidP="00AC1AAC">
      <w:pPr>
        <w:jc w:val="center"/>
        <w:rPr>
          <w:b/>
          <w:lang w:val="fr-CH"/>
        </w:rPr>
      </w:pPr>
    </w:p>
    <w:p w:rsidR="00AC1AAC" w:rsidRPr="00ED711A" w:rsidRDefault="00A011E2" w:rsidP="00AC1AAC">
      <w:pPr>
        <w:jc w:val="center"/>
        <w:rPr>
          <w:b/>
          <w:snapToGrid w:val="0"/>
          <w:lang w:val="fr-CH"/>
        </w:rPr>
      </w:pPr>
      <w:r w:rsidRPr="00ED711A">
        <w:rPr>
          <w:b/>
          <w:snapToGrid w:val="0"/>
          <w:lang w:val="fr-CH"/>
        </w:rPr>
        <w:t xml:space="preserve">RESUME TABULAIRE DES NOTIFICATIONS DE MESURE DE </w:t>
      </w:r>
      <w:r w:rsidR="001F3C16">
        <w:rPr>
          <w:b/>
          <w:snapToGrid w:val="0"/>
          <w:lang w:val="fr-CH"/>
        </w:rPr>
        <w:t>RÉGLEMENTATION</w:t>
      </w:r>
      <w:r w:rsidRPr="00ED711A">
        <w:rPr>
          <w:b/>
          <w:snapToGrid w:val="0"/>
          <w:lang w:val="fr-CH"/>
        </w:rPr>
        <w:t xml:space="preserve"> FINALE POUR LES PRODUITS CHIMIQUES INTERDITS OU STRICTEMENT REGLEMENTES NON INCLUS DANS L</w:t>
      </w:r>
      <w:r w:rsidR="000D310E" w:rsidRPr="00ED711A">
        <w:rPr>
          <w:b/>
          <w:snapToGrid w:val="0"/>
          <w:lang w:val="fr-CH"/>
        </w:rPr>
        <w:t>’</w:t>
      </w:r>
      <w:r w:rsidRPr="00ED711A">
        <w:rPr>
          <w:b/>
          <w:snapToGrid w:val="0"/>
          <w:lang w:val="fr-CH"/>
        </w:rPr>
        <w:t>ANNEXE III ET DONT IL A ETE VERIFIE QU</w:t>
      </w:r>
      <w:r w:rsidR="000D310E" w:rsidRPr="00ED711A">
        <w:rPr>
          <w:b/>
          <w:snapToGrid w:val="0"/>
          <w:lang w:val="fr-CH"/>
        </w:rPr>
        <w:t>’</w:t>
      </w:r>
      <w:r w:rsidRPr="00ED711A">
        <w:rPr>
          <w:b/>
          <w:snapToGrid w:val="0"/>
          <w:lang w:val="fr-CH"/>
        </w:rPr>
        <w:t xml:space="preserve">ELLES NE CONTIENNENT PAS TOUS LES RENSEIGNEMENTS </w:t>
      </w:r>
      <w:r w:rsidR="00E95423" w:rsidRPr="00ED711A">
        <w:rPr>
          <w:b/>
          <w:snapToGrid w:val="0"/>
          <w:lang w:val="fr-CH"/>
        </w:rPr>
        <w:t>STIPULÉS DANS</w:t>
      </w:r>
      <w:r w:rsidRPr="00ED711A">
        <w:rPr>
          <w:b/>
          <w:snapToGrid w:val="0"/>
          <w:lang w:val="fr-CH"/>
        </w:rPr>
        <w:t xml:space="preserve"> L</w:t>
      </w:r>
      <w:r w:rsidR="000D310E" w:rsidRPr="00ED711A">
        <w:rPr>
          <w:b/>
          <w:snapToGrid w:val="0"/>
          <w:lang w:val="fr-CH"/>
        </w:rPr>
        <w:t>’</w:t>
      </w:r>
      <w:r w:rsidRPr="00ED711A">
        <w:rPr>
          <w:b/>
          <w:snapToGrid w:val="0"/>
          <w:lang w:val="fr-CH"/>
        </w:rPr>
        <w:t>ANNEXE I DE LA CONVENTION</w:t>
      </w:r>
    </w:p>
    <w:p w:rsidR="00AC1AAC" w:rsidRPr="00ED711A" w:rsidRDefault="00AC1AAC" w:rsidP="00AC1AAC">
      <w:pPr>
        <w:tabs>
          <w:tab w:val="left" w:pos="900"/>
        </w:tabs>
        <w:ind w:left="900" w:hanging="900"/>
        <w:rPr>
          <w:snapToGrid w:val="0"/>
          <w:sz w:val="22"/>
          <w:szCs w:val="22"/>
          <w:lang w:val="fr-CH"/>
        </w:rPr>
      </w:pPr>
    </w:p>
    <w:p w:rsidR="00AC1AAC" w:rsidRPr="00ED711A" w:rsidRDefault="00A011E2" w:rsidP="00AC1AAC">
      <w:pPr>
        <w:jc w:val="both"/>
        <w:rPr>
          <w:sz w:val="22"/>
          <w:szCs w:val="22"/>
          <w:lang w:val="fr-CH"/>
        </w:rPr>
      </w:pPr>
      <w:r w:rsidRPr="00ED711A">
        <w:rPr>
          <w:sz w:val="22"/>
          <w:szCs w:val="22"/>
          <w:lang w:val="fr-CH"/>
        </w:rPr>
        <w:t xml:space="preserve">Le Secrétariat a vérifié que les notifications </w:t>
      </w:r>
      <w:r w:rsidR="00BC7123" w:rsidRPr="00ED711A">
        <w:rPr>
          <w:sz w:val="22"/>
          <w:szCs w:val="22"/>
          <w:lang w:val="fr-CH"/>
        </w:rPr>
        <w:t>suivants</w:t>
      </w:r>
      <w:r w:rsidRPr="00ED711A">
        <w:rPr>
          <w:sz w:val="22"/>
          <w:szCs w:val="22"/>
          <w:lang w:val="fr-CH"/>
        </w:rPr>
        <w:t xml:space="preserve"> pour produits chimiques non inscrits à l</w:t>
      </w:r>
      <w:r w:rsidR="000D310E" w:rsidRPr="00ED711A">
        <w:rPr>
          <w:sz w:val="22"/>
          <w:szCs w:val="22"/>
          <w:lang w:val="fr-CH"/>
        </w:rPr>
        <w:t>’</w:t>
      </w:r>
      <w:r w:rsidRPr="00ED711A">
        <w:rPr>
          <w:sz w:val="22"/>
          <w:szCs w:val="22"/>
          <w:lang w:val="fr-CH"/>
        </w:rPr>
        <w:t>annexe III ne contiennent pas les renseignements demandés à l</w:t>
      </w:r>
      <w:r w:rsidR="000D310E" w:rsidRPr="00ED711A">
        <w:rPr>
          <w:sz w:val="22"/>
          <w:szCs w:val="22"/>
          <w:lang w:val="fr-CH"/>
        </w:rPr>
        <w:t>’</w:t>
      </w:r>
      <w:r w:rsidRPr="00ED711A">
        <w:rPr>
          <w:sz w:val="22"/>
          <w:szCs w:val="22"/>
          <w:lang w:val="fr-CH"/>
        </w:rPr>
        <w:t>annexe I de la Convention</w:t>
      </w:r>
      <w:r w:rsidR="00AC1AAC" w:rsidRPr="00ED711A">
        <w:rPr>
          <w:sz w:val="22"/>
          <w:szCs w:val="22"/>
          <w:lang w:val="fr-CH"/>
        </w:rPr>
        <w:t>.</w:t>
      </w:r>
    </w:p>
    <w:p w:rsidR="00AC1AAC" w:rsidRPr="00ED711A" w:rsidRDefault="00AC1AAC" w:rsidP="00AC1AAC">
      <w:pPr>
        <w:jc w:val="both"/>
        <w:rPr>
          <w:sz w:val="22"/>
          <w:szCs w:val="22"/>
          <w:lang w:val="fr-CH"/>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7"/>
        <w:gridCol w:w="1320"/>
        <w:gridCol w:w="1295"/>
        <w:gridCol w:w="1682"/>
        <w:gridCol w:w="1634"/>
        <w:gridCol w:w="1202"/>
      </w:tblGrid>
      <w:tr w:rsidR="00A011E2" w:rsidRPr="00ED711A" w:rsidTr="004F5AE9">
        <w:trPr>
          <w:cantSplit/>
          <w:trHeight w:val="20"/>
          <w:tblHeader/>
        </w:trPr>
        <w:tc>
          <w:tcPr>
            <w:tcW w:w="2616" w:type="dxa"/>
            <w:tcBorders>
              <w:top w:val="single" w:sz="4" w:space="0" w:color="auto"/>
              <w:left w:val="single" w:sz="4" w:space="0" w:color="auto"/>
              <w:bottom w:val="single" w:sz="4" w:space="0" w:color="auto"/>
              <w:right w:val="single" w:sz="4" w:space="0" w:color="auto"/>
            </w:tcBorders>
            <w:vAlign w:val="center"/>
          </w:tcPr>
          <w:p w:rsidR="00A011E2" w:rsidRPr="00ED711A" w:rsidRDefault="00A011E2" w:rsidP="004F5AE9">
            <w:pPr>
              <w:spacing w:before="40" w:after="40"/>
              <w:jc w:val="center"/>
              <w:rPr>
                <w:b/>
                <w:sz w:val="20"/>
                <w:szCs w:val="20"/>
                <w:lang w:val="fr-FR"/>
              </w:rPr>
            </w:pPr>
            <w:r w:rsidRPr="00ED711A">
              <w:rPr>
                <w:b/>
                <w:sz w:val="20"/>
                <w:szCs w:val="20"/>
              </w:rPr>
              <w:t>Produit chimique</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A011E2" w:rsidRPr="00ED711A" w:rsidRDefault="00A011E2" w:rsidP="004F5AE9">
            <w:pPr>
              <w:spacing w:before="40" w:after="40"/>
              <w:jc w:val="center"/>
              <w:rPr>
                <w:b/>
                <w:sz w:val="20"/>
                <w:szCs w:val="20"/>
                <w:lang w:val="fr-FR"/>
              </w:rPr>
            </w:pPr>
            <w:r w:rsidRPr="00ED711A">
              <w:rPr>
                <w:b/>
                <w:sz w:val="20"/>
                <w:szCs w:val="20"/>
              </w:rPr>
              <w:t>CAS</w:t>
            </w:r>
          </w:p>
        </w:tc>
        <w:tc>
          <w:tcPr>
            <w:tcW w:w="1295" w:type="dxa"/>
            <w:tcBorders>
              <w:top w:val="single" w:sz="4" w:space="0" w:color="auto"/>
              <w:left w:val="single" w:sz="4" w:space="0" w:color="auto"/>
              <w:bottom w:val="single" w:sz="4" w:space="0" w:color="auto"/>
              <w:right w:val="single" w:sz="4" w:space="0" w:color="auto"/>
            </w:tcBorders>
            <w:vAlign w:val="center"/>
            <w:hideMark/>
          </w:tcPr>
          <w:p w:rsidR="00A011E2" w:rsidRPr="00ED711A" w:rsidRDefault="00A011E2" w:rsidP="004F5AE9">
            <w:pPr>
              <w:spacing w:before="40" w:after="40"/>
              <w:jc w:val="center"/>
              <w:rPr>
                <w:b/>
                <w:sz w:val="20"/>
                <w:szCs w:val="20"/>
                <w:lang w:val="fr-FR"/>
              </w:rPr>
            </w:pPr>
            <w:r w:rsidRPr="00ED711A">
              <w:rPr>
                <w:b/>
                <w:sz w:val="20"/>
                <w:szCs w:val="20"/>
              </w:rPr>
              <w:t>Catégorie</w:t>
            </w:r>
          </w:p>
        </w:tc>
        <w:tc>
          <w:tcPr>
            <w:tcW w:w="1681" w:type="dxa"/>
            <w:tcBorders>
              <w:top w:val="single" w:sz="4" w:space="0" w:color="auto"/>
              <w:left w:val="single" w:sz="4" w:space="0" w:color="auto"/>
              <w:bottom w:val="single" w:sz="4" w:space="0" w:color="auto"/>
              <w:right w:val="single" w:sz="4" w:space="0" w:color="auto"/>
            </w:tcBorders>
            <w:vAlign w:val="center"/>
            <w:hideMark/>
          </w:tcPr>
          <w:p w:rsidR="00A011E2" w:rsidRPr="00ED711A" w:rsidRDefault="00A011E2" w:rsidP="004F5AE9">
            <w:pPr>
              <w:spacing w:before="40" w:after="40"/>
              <w:jc w:val="center"/>
              <w:rPr>
                <w:b/>
                <w:sz w:val="20"/>
                <w:szCs w:val="20"/>
                <w:lang w:val="fr-FR"/>
              </w:rPr>
            </w:pPr>
            <w:r w:rsidRPr="00ED711A">
              <w:rPr>
                <w:b/>
                <w:sz w:val="20"/>
                <w:szCs w:val="20"/>
              </w:rPr>
              <w:t>Pays</w:t>
            </w:r>
          </w:p>
        </w:tc>
        <w:tc>
          <w:tcPr>
            <w:tcW w:w="1633" w:type="dxa"/>
            <w:tcBorders>
              <w:top w:val="single" w:sz="4" w:space="0" w:color="auto"/>
              <w:left w:val="single" w:sz="4" w:space="0" w:color="auto"/>
              <w:bottom w:val="single" w:sz="4" w:space="0" w:color="auto"/>
              <w:right w:val="single" w:sz="4" w:space="0" w:color="auto"/>
            </w:tcBorders>
            <w:vAlign w:val="center"/>
            <w:hideMark/>
          </w:tcPr>
          <w:p w:rsidR="00A011E2" w:rsidRPr="00ED711A" w:rsidRDefault="00A011E2" w:rsidP="004F5AE9">
            <w:pPr>
              <w:spacing w:before="40" w:after="40"/>
              <w:jc w:val="center"/>
              <w:rPr>
                <w:b/>
                <w:sz w:val="20"/>
                <w:szCs w:val="20"/>
                <w:lang w:val="fr-FR"/>
              </w:rPr>
            </w:pPr>
            <w:r w:rsidRPr="00ED711A">
              <w:rPr>
                <w:b/>
                <w:sz w:val="20"/>
                <w:szCs w:val="20"/>
              </w:rPr>
              <w:t>Région</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A011E2" w:rsidRPr="00ED711A" w:rsidRDefault="00A011E2" w:rsidP="004F5AE9">
            <w:pPr>
              <w:spacing w:before="40" w:after="40"/>
              <w:jc w:val="center"/>
              <w:rPr>
                <w:b/>
                <w:sz w:val="20"/>
                <w:szCs w:val="20"/>
                <w:lang w:val="fr-FR"/>
              </w:rPr>
            </w:pPr>
            <w:r w:rsidRPr="00ED711A">
              <w:rPr>
                <w:b/>
                <w:sz w:val="20"/>
                <w:szCs w:val="20"/>
              </w:rPr>
              <w:t>Circulaire PIC</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1,2-dichloropropane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78-87-5</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1,4-dichlorobenzène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106-46-7</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Israël</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Europe</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XXV</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1-Bromo-2-chloroéthane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107-04-0</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XXII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2-(2,4,5-trichlorephenoxy)ethyl 2,2dichloropropanoate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136-25-4</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2,4,5-TP (Silvex; Fenoprop)</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93-72-1</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XXII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Acephate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30560-19-1</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Oman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XXXIX</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Acide diméthylarsinique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75-60-5</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Israël</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Europe</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XXV</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Acroléine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107-02-8</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XXII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Acrylonitrile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107-13-1</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Amitraze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33089-61-1</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Oman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XXXIX</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Amitrole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61-82-5</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Amitrole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61-82-5</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Oman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XXXIX</w:t>
            </w:r>
          </w:p>
        </w:tc>
      </w:tr>
      <w:tr w:rsidR="00A011E2" w:rsidRPr="00ED711A" w:rsidTr="004F5AE9">
        <w:trPr>
          <w:cantSplit/>
          <w:trHeight w:val="348"/>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Arséniate basique de cuivre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16102-92-4</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Thaïlande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Asie</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w:t>
            </w:r>
          </w:p>
        </w:tc>
      </w:tr>
      <w:tr w:rsidR="00A011E2" w:rsidRPr="00ED711A" w:rsidTr="004F5AE9">
        <w:trPr>
          <w:cantSplit/>
          <w:trHeight w:val="348"/>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Arséniate de plomb</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7784-40-9</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Togo</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Afrique</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XLII</w:t>
            </w:r>
          </w:p>
        </w:tc>
      </w:tr>
      <w:tr w:rsidR="00A011E2" w:rsidRPr="00ED711A" w:rsidTr="004F5AE9">
        <w:trPr>
          <w:cantSplit/>
          <w:trHeight w:val="281"/>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Arséniate de plomb</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7784-40-9</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Thaïlande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Asie</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Atrazine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1912-24-9</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Oman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XXXIX</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Azinphos éthyle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2642-71-9</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Bendiocarbe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22781-23-3</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Benomyl</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17804-35-2</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XXXVIII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Benomyl</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17804-35-2</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Oman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XXXIX</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Bifentrine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82657-04-3</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Oman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XXXIX</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Bromadiolone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28772-56-7</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XXXVIII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Bromadiolone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28772-56-7</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Oman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XXXIX</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Bromofos-ethyl</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4824-78-6</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Bromofos-ethyl</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4824-78-6</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Oman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XXXIX</w:t>
            </w:r>
          </w:p>
        </w:tc>
      </w:tr>
      <w:tr w:rsidR="00A011E2" w:rsidRPr="00ED711A" w:rsidTr="004F5AE9">
        <w:trPr>
          <w:cantSplit/>
          <w:trHeight w:val="295"/>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 xml:space="preserve">Cadmium </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7440-43-9</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Thaïlande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Asie</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Cadusafos</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95465-99-9</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Oman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XXXIX</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Captane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133-06-2</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Captane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133-06-2</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Oman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XXXIX</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Carbaryl</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63-25-2</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El Salvador</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Amerique Latine et  Caraïbes</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Carbaryl</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63-25-2</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 xml:space="preserve">XXXVIII </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lastRenderedPageBreak/>
              <w:t>Carbofuranne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1563-66-2</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 xml:space="preserve">XXXVIII </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Carbofuranne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1563-66-2</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Jordanie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XVIII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Carbofuranne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1563-66-2</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Oman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XXXIX</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Chloranile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118-75-2</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Chloranile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118-75-2</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Mexique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Amerique Latine et  Caraïbes</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XXVIII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Chlordécone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143-50-0</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Chlordécone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143-50-0</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Mexique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Amerique Latine et  Caraïbes</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XXVIII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Chlormephos</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24934-91-6</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Chlormephos</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24934-91-6</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Oman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XXXIX</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Chloropicrin</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76-06-2</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Chloropicrin</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76-06-2</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Oman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XXXIX</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Chlorothalonil</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1897-45-6</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 xml:space="preserve">XXXVIII </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Chlorpyrifos</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2921-88-2</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 xml:space="preserve">XXXVIII </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Chlorthiophos</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60238-56-4</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337"/>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Chlorure éthylmercurique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107-27-7</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Arménie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Europe</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Chrysotile (amiante chrysotile)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12001-29-5</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Produit à usage industriel</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El Salvador</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Amerique Latine et  Caraïbes</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Cyanazine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21725-46-2</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Oman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XXXIX</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Cyanophos</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2636-26-2</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Mexique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Amerique Latine et  Caraïbes</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Cyanure de calcium</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592-01-8</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Cyanure d</w:t>
            </w:r>
            <w:r w:rsidR="000D310E" w:rsidRPr="00ED711A">
              <w:rPr>
                <w:sz w:val="18"/>
                <w:szCs w:val="18"/>
              </w:rPr>
              <w:t>’</w:t>
            </w:r>
            <w:r w:rsidRPr="00ED711A">
              <w:rPr>
                <w:sz w:val="18"/>
                <w:szCs w:val="18"/>
              </w:rPr>
              <w:t>hydrogène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74-90-8</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Cycloheximide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66-81-9</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Cyhexatin</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13121-70-5</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XXII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Daminozide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1596-84-5</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XXII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DBCP</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96-12-8</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DBCP</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96-12-8</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Mexique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Amerique Latine et  Caraïbes</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DDD</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72-54-8</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Demeton-</w:t>
            </w:r>
            <w:r w:rsidRPr="007C6511">
              <w:rPr>
                <w:i/>
                <w:sz w:val="18"/>
                <w:szCs w:val="18"/>
              </w:rPr>
              <w:t>S</w:t>
            </w:r>
            <w:r w:rsidRPr="00ED711A">
              <w:rPr>
                <w:sz w:val="18"/>
                <w:szCs w:val="18"/>
              </w:rPr>
              <w:t>-methyl</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919-86-8</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XXXVIII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Demeton-</w:t>
            </w:r>
            <w:r w:rsidRPr="007C6511">
              <w:rPr>
                <w:i/>
                <w:sz w:val="18"/>
                <w:szCs w:val="18"/>
              </w:rPr>
              <w:t>S</w:t>
            </w:r>
            <w:r w:rsidRPr="00ED711A">
              <w:rPr>
                <w:sz w:val="18"/>
                <w:szCs w:val="18"/>
              </w:rPr>
              <w:t>-methyl</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919-86-8</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Oman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XXXIX</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Dialifos</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10311-84-9</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Mexique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Amerique Latine et  Caraïbes</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Dichlorvos</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62-73-7</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Diclofop-methyl</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51338-27-3</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XXII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Dicofol</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115-32-2</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XXXVIII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Dicofol</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115-32-2</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Oman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XXXIX</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Dicrotophos</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141-66-2</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Dicrotophos</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141-66-2</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Oman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XXXIX</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Diflubenzuron</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35367-38-5</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Oman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XXXIX</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Diméfox</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115-26-4</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Diméfox</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115-26-4</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Oman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 xml:space="preserve">XXXVIII </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Dimethoate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60-51-5</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 xml:space="preserve">XXXVIII </w:t>
            </w:r>
          </w:p>
        </w:tc>
      </w:tr>
      <w:tr w:rsidR="00A011E2" w:rsidRPr="00ED711A" w:rsidTr="004F5AE9">
        <w:trPr>
          <w:cantSplit/>
          <w:trHeight w:val="271"/>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Diméthylarsinate de sodium</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124-65-2</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Israël</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Europe</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XXV</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lastRenderedPageBreak/>
              <w:t>Dinitramine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29091-05-2</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Dinitramine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29091-05-2</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Mexique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Amerique Latine et  Caraïbes</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Disulfoton</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298-04-4</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Disulfoton</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298-04-4</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Oman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XXXIX</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Endrine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72-20-8</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Endrine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72-20-8</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Mexique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Amerique Latine et  Caraïbes</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Endrine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72-20-8</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Népal</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Asie</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XLII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EPN</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2104-64-5</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Erbon</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136-25-4</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XXII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Erbon</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136-25-4</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Mexique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Amerique Latine et  Caraïbes</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Ethéphon</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16672-87-0</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Ethoprophos</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13194-48-4</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XXXVIII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Ethoprophos</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13194-48-4</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Oman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XXXIX</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Ethylan</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72-56-0</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Fensulfothion</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115-90-2</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Fenthion</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55-38-9</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Oman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XXXIX</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Fipronil</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120068-37-3</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Oman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XXXIX</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Flucythrinate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70124-77-5</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Oman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XXXIX</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Fluorine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7782-41-4</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Fluoroacétate de sodium</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62-74-8</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Fluoroacétate de sodium</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62-74-8</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Mexique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Amerique Latine et  Caraïbes</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Folpet</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133-07-3</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Fonofos</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944-22-9</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Fonofos</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944-22-9</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Oman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XXXIX</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Formothion</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2540-82-1</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Mexique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Amerique Latine et  Caraïbes</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Fosthiétan</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21548-32-3</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Fosthiétan</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21548-32-3</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Oman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XXXIX</w:t>
            </w:r>
          </w:p>
        </w:tc>
      </w:tr>
      <w:tr w:rsidR="00A011E2" w:rsidRPr="00ED711A" w:rsidTr="004F5AE9">
        <w:trPr>
          <w:cantSplit/>
          <w:trHeight w:val="259"/>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Granosan M</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2235-25-8</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Arménie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Europe</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Hexaethyl tetra phosphate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757-58-4</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Leptophos</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21609-90-5</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Linuron</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330-55-2</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Oman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XXXIX</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Mancozeb</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8018-01-7</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XXXVIII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Méphospholan</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950-10-7</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Méphospholan</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950-10-7</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Oman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XXXIX</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Metham sodium</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137-42-8</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Methidathion</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950-37-8</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Oman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XXXIX</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Methiocarb</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2032-65-7</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 xml:space="preserve">XXXVIII </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Methomyl</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16752-77-5</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 xml:space="preserve">XXXVIII </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 xml:space="preserve">Methoxychlore </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72-43-5</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 xml:space="preserve">XXXVIII </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 xml:space="preserve">Methoxychlore </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72-43-5</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Oman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XXXIX</w:t>
            </w:r>
          </w:p>
        </w:tc>
      </w:tr>
      <w:tr w:rsidR="00A011E2" w:rsidRPr="00ED711A" w:rsidTr="004F5AE9">
        <w:trPr>
          <w:cantSplit/>
          <w:trHeight w:val="334"/>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Méthyle parathion</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298-00-0</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Cameroun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Afrique</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VIII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lastRenderedPageBreak/>
              <w:t>Mévinphos</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7786-34-7</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Mévinphos</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7786-34-7</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Oman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XXXIX</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Mirex</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2385-85-5</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Mirex</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2385-85-5</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El Salvador</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Amerique Latine et  Caraïbes</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Mirex</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2385-85-5</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Mexique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Amerique Latine et  Caraïbes</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Mirex</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2385-85-5</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Népal</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Asie</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XLII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Mirex</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2385-85-5</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Pérou</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Amerique Latine et  Caraïbes</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XXVI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lang w:val="fr-CH"/>
              </w:rPr>
              <w:t>Monocrotophos (Formulations liquides solubles de la substance qui contiennent plus de 600 g de principe actif par litre)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6923-22-4</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Cameroun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Afrique</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VIII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Monuron</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150-68-5</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Mexique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Amerique Latine et  Caraïbes</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Nicotine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54-11-5</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Oman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XXXIX</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Nitrofen</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1836-75-5</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Mexique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Amerique Latine et  Caraïbes</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Oxydéméton-méthyl</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301-12-2</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XXXVIII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Oxydéméton-méthyl</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301-12-2</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Oman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XXXIX</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Paraquat</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4685-14-7</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paraquat dichloride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1910-42-5</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Oman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XXXIX</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Phénamiphos</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22224-92-6</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Phénamiphos</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22224-92-6</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Oman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XXXIX</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Phenylmercury acetate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62-38-4</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Mexique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Amerique Latine et  Caraïbes</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Phorate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298-02-2</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Phosfolan</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947-02-4</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lang w:val="fr-CH"/>
              </w:rPr>
              <w:t>Phosphoniques diamide, p-(5-amino-3-phényl-1H-</w:t>
            </w:r>
            <w:proofErr w:type="gramStart"/>
            <w:r w:rsidRPr="00ED711A">
              <w:rPr>
                <w:sz w:val="18"/>
                <w:szCs w:val="18"/>
                <w:lang w:val="fr-CH"/>
              </w:rPr>
              <w:t>1 ,2,4</w:t>
            </w:r>
            <w:proofErr w:type="gramEnd"/>
            <w:r w:rsidRPr="00ED711A">
              <w:rPr>
                <w:sz w:val="18"/>
                <w:szCs w:val="18"/>
                <w:lang w:val="fr-CH"/>
              </w:rPr>
              <w:t xml:space="preserve">-triazol-1-yl)-N, N, N </w:t>
            </w:r>
            <w:r w:rsidR="000D310E" w:rsidRPr="00ED711A">
              <w:rPr>
                <w:sz w:val="18"/>
                <w:szCs w:val="18"/>
                <w:lang w:val="fr-CH"/>
              </w:rPr>
              <w:t>‘</w:t>
            </w:r>
            <w:r w:rsidRPr="00ED711A">
              <w:rPr>
                <w:sz w:val="18"/>
                <w:szCs w:val="18"/>
                <w:lang w:val="fr-CH"/>
              </w:rPr>
              <w:t>, N</w:t>
            </w:r>
            <w:r w:rsidR="000D310E" w:rsidRPr="00ED711A">
              <w:rPr>
                <w:sz w:val="18"/>
                <w:szCs w:val="18"/>
                <w:lang w:val="fr-CH"/>
              </w:rPr>
              <w:t>’</w:t>
            </w:r>
            <w:r w:rsidRPr="00ED711A">
              <w:rPr>
                <w:sz w:val="18"/>
                <w:szCs w:val="18"/>
                <w:lang w:val="fr-CH"/>
              </w:rPr>
              <w:t>-tétraméthyl</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1031-47-6</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Mexique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Amerique Latine et  Caraïbes</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Polychloroterpenes</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8001-50-1</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Propargite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2312-35-8</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 xml:space="preserve">XXXVIII </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Propoxur</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114-26-1</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 xml:space="preserve">XXXVIII </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Prothoate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2275-18-5</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Quintozène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82-68-8</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XXXVIII</w:t>
            </w:r>
          </w:p>
        </w:tc>
      </w:tr>
      <w:tr w:rsidR="00A011E2" w:rsidRPr="00ED711A" w:rsidTr="004F5AE9">
        <w:trPr>
          <w:cantSplit/>
          <w:trHeight w:val="252"/>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Quintozène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82-68-8</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Japon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Asie</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Quintozène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82-68-8</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Oman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XXXIX</w:t>
            </w:r>
          </w:p>
        </w:tc>
      </w:tr>
      <w:tr w:rsidR="00A011E2" w:rsidRPr="00ED711A" w:rsidTr="004F5AE9">
        <w:trPr>
          <w:cantSplit/>
          <w:trHeight w:val="376"/>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Safrole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94-59-7</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Thaïlande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Asie</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Schradane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152-16-9</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Schradane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152-16-9</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Mexique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Amerique Latine et  Caraïbes</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Simazine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122-34-9</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XXXVIII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Simazine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122-34-9</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Oman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XXXIX</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Sodium cyanide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143-33-9</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Sulfate de dithallium</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7446-18-6</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Tefluthrin</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79538-32-2</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Oman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XXXIX</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lastRenderedPageBreak/>
              <w:t>TEPP</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107-49-3</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Terbufos</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13071-79-9</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Tetradifon</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116-29-0</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XXXVIII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Thionazin</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297-97-2</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C13239" w:rsidP="004F5AE9">
            <w:pPr>
              <w:spacing w:before="40" w:after="40"/>
              <w:rPr>
                <w:sz w:val="18"/>
                <w:szCs w:val="18"/>
                <w:lang w:val="fr-FR"/>
              </w:rPr>
            </w:pPr>
            <w:r>
              <w:rPr>
                <w:sz w:val="18"/>
                <w:szCs w:val="18"/>
              </w:rPr>
              <w:t>X</w:t>
            </w:r>
            <w:r w:rsidR="00A011E2" w:rsidRPr="00ED711A">
              <w:rPr>
                <w:sz w:val="18"/>
                <w:szCs w:val="18"/>
              </w:rPr>
              <w:t>XVII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Zinebe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12122-67-7</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Arabie saoudite</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XXXVIII</w:t>
            </w:r>
          </w:p>
        </w:tc>
      </w:tr>
      <w:tr w:rsidR="00A011E2" w:rsidRPr="00ED711A" w:rsidTr="004F5AE9">
        <w:trPr>
          <w:cantSplit/>
          <w:trHeight w:val="20"/>
        </w:trPr>
        <w:tc>
          <w:tcPr>
            <w:tcW w:w="2616"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Zinebe</w:t>
            </w:r>
          </w:p>
        </w:tc>
        <w:tc>
          <w:tcPr>
            <w:tcW w:w="1320"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12122-67-7</w:t>
            </w:r>
          </w:p>
        </w:tc>
        <w:tc>
          <w:tcPr>
            <w:tcW w:w="1295"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Pesticide</w:t>
            </w:r>
          </w:p>
        </w:tc>
        <w:tc>
          <w:tcPr>
            <w:tcW w:w="1681"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Oman</w:t>
            </w:r>
          </w:p>
        </w:tc>
        <w:tc>
          <w:tcPr>
            <w:tcW w:w="1633" w:type="dxa"/>
            <w:tcBorders>
              <w:top w:val="single" w:sz="4" w:space="0" w:color="auto"/>
              <w:left w:val="single" w:sz="4" w:space="0" w:color="auto"/>
              <w:bottom w:val="single" w:sz="4" w:space="0" w:color="auto"/>
              <w:right w:val="single" w:sz="4" w:space="0" w:color="auto"/>
            </w:tcBorders>
            <w:hideMark/>
          </w:tcPr>
          <w:p w:rsidR="00A011E2" w:rsidRPr="00ED711A" w:rsidRDefault="00A011E2" w:rsidP="004F5AE9">
            <w:pPr>
              <w:spacing w:before="40" w:after="40"/>
              <w:rPr>
                <w:sz w:val="18"/>
                <w:szCs w:val="18"/>
                <w:lang w:val="fr-FR"/>
              </w:rPr>
            </w:pPr>
            <w:r w:rsidRPr="00ED711A">
              <w:rPr>
                <w:sz w:val="18"/>
                <w:szCs w:val="18"/>
              </w:rPr>
              <w:t>Proche Orient</w:t>
            </w:r>
          </w:p>
        </w:tc>
        <w:tc>
          <w:tcPr>
            <w:tcW w:w="1202" w:type="dxa"/>
            <w:tcBorders>
              <w:top w:val="single" w:sz="4" w:space="0" w:color="auto"/>
              <w:left w:val="single" w:sz="4" w:space="0" w:color="auto"/>
              <w:bottom w:val="single" w:sz="4" w:space="0" w:color="auto"/>
              <w:right w:val="single" w:sz="4" w:space="0" w:color="auto"/>
            </w:tcBorders>
            <w:noWrap/>
            <w:hideMark/>
          </w:tcPr>
          <w:p w:rsidR="00A011E2" w:rsidRPr="00ED711A" w:rsidRDefault="00A011E2" w:rsidP="004F5AE9">
            <w:pPr>
              <w:spacing w:before="40" w:after="40"/>
              <w:rPr>
                <w:sz w:val="18"/>
                <w:szCs w:val="18"/>
                <w:lang w:val="fr-FR"/>
              </w:rPr>
            </w:pPr>
            <w:r w:rsidRPr="00ED711A">
              <w:rPr>
                <w:sz w:val="18"/>
                <w:szCs w:val="18"/>
              </w:rPr>
              <w:t>XXXIX</w:t>
            </w:r>
          </w:p>
        </w:tc>
      </w:tr>
    </w:tbl>
    <w:p w:rsidR="00C542A8" w:rsidRPr="00ED711A" w:rsidRDefault="00C542A8">
      <w:pPr>
        <w:rPr>
          <w:rFonts w:ascii="Arial" w:hAnsi="Arial" w:cs="Arial"/>
          <w:b/>
          <w:sz w:val="22"/>
          <w:szCs w:val="22"/>
          <w:lang w:val="en-GB"/>
        </w:rPr>
        <w:sectPr w:rsidR="00C542A8" w:rsidRPr="00ED711A" w:rsidSect="008A1D9E">
          <w:headerReference w:type="default" r:id="rId62"/>
          <w:pgSz w:w="11907" w:h="16839" w:code="9"/>
          <w:pgMar w:top="1134" w:right="1134" w:bottom="1134" w:left="1134" w:header="709" w:footer="284" w:gutter="0"/>
          <w:cols w:space="708"/>
          <w:docGrid w:linePitch="360"/>
        </w:sectPr>
      </w:pPr>
    </w:p>
    <w:p w:rsidR="007B68CF" w:rsidRPr="00ED711A" w:rsidRDefault="00BC73C4" w:rsidP="00602DC1">
      <w:pPr>
        <w:jc w:val="center"/>
        <w:outlineLvl w:val="0"/>
        <w:rPr>
          <w:b/>
          <w:snapToGrid w:val="0"/>
          <w:lang w:val="fr-CH"/>
        </w:rPr>
      </w:pPr>
      <w:bookmarkStart w:id="262" w:name="_Toc469005619"/>
      <w:r w:rsidRPr="00ED711A">
        <w:rPr>
          <w:b/>
          <w:lang w:val="fr-CH"/>
        </w:rPr>
        <w:lastRenderedPageBreak/>
        <w:t>APPENDI</w:t>
      </w:r>
      <w:r w:rsidR="008A7C9A" w:rsidRPr="00ED711A">
        <w:rPr>
          <w:b/>
          <w:lang w:val="fr-CH"/>
        </w:rPr>
        <w:t>CE</w:t>
      </w:r>
      <w:r w:rsidRPr="00ED711A">
        <w:rPr>
          <w:b/>
          <w:lang w:val="fr-CH"/>
        </w:rPr>
        <w:t xml:space="preserve"> VI</w:t>
      </w:r>
      <w:r w:rsidR="00602DC1" w:rsidRPr="00ED711A">
        <w:rPr>
          <w:b/>
          <w:lang w:val="fr-CH"/>
        </w:rPr>
        <w:br/>
      </w:r>
      <w:r w:rsidR="00602DC1" w:rsidRPr="00ED711A">
        <w:rPr>
          <w:b/>
          <w:lang w:val="fr-CH"/>
        </w:rPr>
        <w:br/>
      </w:r>
      <w:bookmarkStart w:id="263" w:name="_Toc405887668"/>
      <w:bookmarkStart w:id="264" w:name="_Toc421544546"/>
      <w:bookmarkEnd w:id="253"/>
      <w:bookmarkEnd w:id="254"/>
      <w:bookmarkEnd w:id="255"/>
      <w:bookmarkEnd w:id="256"/>
      <w:bookmarkEnd w:id="257"/>
      <w:r w:rsidR="00D70458" w:rsidRPr="00ED711A">
        <w:rPr>
          <w:b/>
          <w:snapToGrid w:val="0"/>
          <w:lang w:val="fr-CH"/>
        </w:rPr>
        <w:t>ECHANGE D</w:t>
      </w:r>
      <w:r w:rsidR="000D310E" w:rsidRPr="00ED711A">
        <w:rPr>
          <w:b/>
          <w:snapToGrid w:val="0"/>
          <w:lang w:val="fr-CH"/>
        </w:rPr>
        <w:t>’</w:t>
      </w:r>
      <w:r w:rsidR="00D70458" w:rsidRPr="00ED711A">
        <w:rPr>
          <w:b/>
          <w:snapToGrid w:val="0"/>
          <w:lang w:val="fr-CH"/>
        </w:rPr>
        <w:t>INFORMATIONS SUR LES PRODUITS CHIMIQUES DONT LE COMITE D</w:t>
      </w:r>
      <w:r w:rsidR="000D310E" w:rsidRPr="00ED711A">
        <w:rPr>
          <w:b/>
          <w:snapToGrid w:val="0"/>
          <w:lang w:val="fr-CH"/>
        </w:rPr>
        <w:t>’</w:t>
      </w:r>
      <w:r w:rsidR="00D70458" w:rsidRPr="00ED711A">
        <w:rPr>
          <w:b/>
          <w:snapToGrid w:val="0"/>
          <w:lang w:val="fr-CH"/>
        </w:rPr>
        <w:t>ETUDE DES PRODUITS CHIMIQUES A RECOMMANDE L</w:t>
      </w:r>
      <w:r w:rsidR="000D310E" w:rsidRPr="00ED711A">
        <w:rPr>
          <w:b/>
          <w:snapToGrid w:val="0"/>
          <w:lang w:val="fr-CH"/>
        </w:rPr>
        <w:t>’</w:t>
      </w:r>
      <w:r w:rsidR="00D70458" w:rsidRPr="00ED711A">
        <w:rPr>
          <w:b/>
          <w:snapToGrid w:val="0"/>
          <w:lang w:val="fr-CH"/>
        </w:rPr>
        <w:t>INSCRIPTION A L</w:t>
      </w:r>
      <w:r w:rsidR="000D310E" w:rsidRPr="00ED711A">
        <w:rPr>
          <w:b/>
          <w:snapToGrid w:val="0"/>
          <w:lang w:val="fr-CH"/>
        </w:rPr>
        <w:t>’</w:t>
      </w:r>
      <w:r w:rsidR="00D70458" w:rsidRPr="00ED711A">
        <w:rPr>
          <w:b/>
          <w:snapToGrid w:val="0"/>
          <w:lang w:val="fr-CH"/>
        </w:rPr>
        <w:t>ANNEXE III DE LA CONVENTION MAIS POUR LESQUELS LA CONFERENCE DES PARTIES N</w:t>
      </w:r>
      <w:r w:rsidR="000D310E" w:rsidRPr="00ED711A">
        <w:rPr>
          <w:b/>
          <w:snapToGrid w:val="0"/>
          <w:lang w:val="fr-CH"/>
        </w:rPr>
        <w:t>’</w:t>
      </w:r>
      <w:r w:rsidR="00D70458" w:rsidRPr="00ED711A">
        <w:rPr>
          <w:b/>
          <w:snapToGrid w:val="0"/>
          <w:lang w:val="fr-CH"/>
        </w:rPr>
        <w:t>A PAS ENCORE PRIS DE DECISION</w:t>
      </w:r>
      <w:bookmarkEnd w:id="262"/>
      <w:r w:rsidR="00517EDF">
        <w:rPr>
          <w:b/>
          <w:snapToGrid w:val="0"/>
          <w:lang w:val="fr-CH"/>
        </w:rPr>
        <w:t xml:space="preserve"> FINALE</w:t>
      </w:r>
    </w:p>
    <w:p w:rsidR="007B68CF" w:rsidRPr="00ED711A" w:rsidRDefault="007B68CF" w:rsidP="007B68CF">
      <w:pPr>
        <w:rPr>
          <w:sz w:val="22"/>
          <w:szCs w:val="22"/>
          <w:lang w:val="fr-CH"/>
        </w:rPr>
      </w:pPr>
    </w:p>
    <w:p w:rsidR="00D70458" w:rsidRPr="00ED711A" w:rsidRDefault="00D70458" w:rsidP="007B68CF">
      <w:pPr>
        <w:rPr>
          <w:sz w:val="22"/>
          <w:szCs w:val="22"/>
          <w:lang w:val="fr-CH"/>
        </w:rPr>
      </w:pPr>
    </w:p>
    <w:bookmarkEnd w:id="263"/>
    <w:bookmarkEnd w:id="264"/>
    <w:p w:rsidR="00D70458" w:rsidRPr="00ED711A" w:rsidRDefault="00D70458" w:rsidP="00D70458">
      <w:pPr>
        <w:jc w:val="both"/>
        <w:rPr>
          <w:snapToGrid w:val="0"/>
          <w:sz w:val="22"/>
          <w:szCs w:val="22"/>
          <w:lang w:val="fr-CH"/>
        </w:rPr>
      </w:pPr>
      <w:r w:rsidRPr="00ED711A">
        <w:rPr>
          <w:sz w:val="22"/>
          <w:szCs w:val="22"/>
          <w:lang w:val="fr-CH"/>
        </w:rPr>
        <w:t>L</w:t>
      </w:r>
      <w:r w:rsidR="000D310E" w:rsidRPr="00ED711A">
        <w:rPr>
          <w:sz w:val="22"/>
          <w:szCs w:val="22"/>
          <w:lang w:val="fr-CH"/>
        </w:rPr>
        <w:t>’</w:t>
      </w:r>
      <w:r w:rsidRPr="00ED711A">
        <w:rPr>
          <w:sz w:val="22"/>
          <w:szCs w:val="22"/>
          <w:lang w:val="fr-CH"/>
        </w:rPr>
        <w:t>appendice VI</w:t>
      </w:r>
      <w:r w:rsidRPr="00ED711A">
        <w:rPr>
          <w:snapToGrid w:val="0"/>
          <w:sz w:val="22"/>
          <w:szCs w:val="22"/>
          <w:lang w:val="fr-CH"/>
        </w:rPr>
        <w:t xml:space="preserve"> a été développé afin de promouvoir l</w:t>
      </w:r>
      <w:r w:rsidR="000D310E" w:rsidRPr="00ED711A">
        <w:rPr>
          <w:snapToGrid w:val="0"/>
          <w:sz w:val="22"/>
          <w:szCs w:val="22"/>
          <w:lang w:val="fr-CH"/>
        </w:rPr>
        <w:t>’</w:t>
      </w:r>
      <w:r w:rsidRPr="00ED711A">
        <w:rPr>
          <w:snapToGrid w:val="0"/>
          <w:sz w:val="22"/>
          <w:szCs w:val="22"/>
          <w:lang w:val="fr-CH"/>
        </w:rPr>
        <w:t xml:space="preserve">échange de renseignements sur les produits chimiques dont le </w:t>
      </w:r>
      <w:r w:rsidRPr="00ED711A">
        <w:rPr>
          <w:sz w:val="22"/>
          <w:szCs w:val="22"/>
          <w:lang w:val="fr-CH"/>
        </w:rPr>
        <w:t>Comité d</w:t>
      </w:r>
      <w:r w:rsidR="000D310E" w:rsidRPr="00ED711A">
        <w:rPr>
          <w:sz w:val="22"/>
          <w:szCs w:val="22"/>
          <w:lang w:val="fr-CH"/>
        </w:rPr>
        <w:t>’</w:t>
      </w:r>
      <w:r w:rsidRPr="00ED711A">
        <w:rPr>
          <w:sz w:val="22"/>
          <w:szCs w:val="22"/>
          <w:lang w:val="fr-CH"/>
        </w:rPr>
        <w:t>étude des produits chimiques</w:t>
      </w:r>
      <w:r w:rsidRPr="00ED711A">
        <w:rPr>
          <w:snapToGrid w:val="0"/>
          <w:sz w:val="22"/>
          <w:szCs w:val="22"/>
          <w:lang w:val="fr-CH"/>
        </w:rPr>
        <w:t xml:space="preserve"> a recommandé l</w:t>
      </w:r>
      <w:r w:rsidR="000D310E" w:rsidRPr="00ED711A">
        <w:rPr>
          <w:snapToGrid w:val="0"/>
          <w:sz w:val="22"/>
          <w:szCs w:val="22"/>
          <w:lang w:val="fr-CH"/>
        </w:rPr>
        <w:t>’</w:t>
      </w:r>
      <w:r w:rsidRPr="00ED711A">
        <w:rPr>
          <w:snapToGrid w:val="0"/>
          <w:sz w:val="22"/>
          <w:szCs w:val="22"/>
          <w:lang w:val="fr-CH"/>
        </w:rPr>
        <w:t>inscription à l</w:t>
      </w:r>
      <w:r w:rsidR="000D310E" w:rsidRPr="00ED711A">
        <w:rPr>
          <w:snapToGrid w:val="0"/>
          <w:sz w:val="22"/>
          <w:szCs w:val="22"/>
          <w:lang w:val="fr-CH"/>
        </w:rPr>
        <w:t>’</w:t>
      </w:r>
      <w:r w:rsidR="00DE65F4" w:rsidRPr="00ED711A">
        <w:rPr>
          <w:snapToGrid w:val="0"/>
          <w:sz w:val="22"/>
          <w:szCs w:val="22"/>
          <w:lang w:val="fr-CH"/>
        </w:rPr>
        <w:t>annexe III</w:t>
      </w:r>
      <w:r w:rsidRPr="00ED711A">
        <w:rPr>
          <w:snapToGrid w:val="0"/>
          <w:sz w:val="22"/>
          <w:szCs w:val="22"/>
          <w:lang w:val="fr-CH"/>
        </w:rPr>
        <w:t xml:space="preserve"> de la Convention mais pour lesquels la Conférence des Parties n</w:t>
      </w:r>
      <w:r w:rsidR="000D310E" w:rsidRPr="00ED711A">
        <w:rPr>
          <w:snapToGrid w:val="0"/>
          <w:sz w:val="22"/>
          <w:szCs w:val="22"/>
          <w:lang w:val="fr-CH"/>
        </w:rPr>
        <w:t>’</w:t>
      </w:r>
      <w:r w:rsidRPr="00ED711A">
        <w:rPr>
          <w:snapToGrid w:val="0"/>
          <w:sz w:val="22"/>
          <w:szCs w:val="22"/>
          <w:lang w:val="fr-CH"/>
        </w:rPr>
        <w:t xml:space="preserve">a pas encore pris de décision. </w:t>
      </w:r>
    </w:p>
    <w:p w:rsidR="00D70458" w:rsidRPr="00ED711A" w:rsidRDefault="00D70458" w:rsidP="00D70458">
      <w:pPr>
        <w:jc w:val="both"/>
        <w:rPr>
          <w:snapToGrid w:val="0"/>
          <w:sz w:val="22"/>
          <w:szCs w:val="22"/>
          <w:lang w:val="fr-CH"/>
        </w:rPr>
      </w:pPr>
    </w:p>
    <w:p w:rsidR="00D70458" w:rsidRPr="00ED711A" w:rsidRDefault="00D70458" w:rsidP="00D70458">
      <w:pPr>
        <w:jc w:val="both"/>
        <w:rPr>
          <w:snapToGrid w:val="0"/>
          <w:sz w:val="22"/>
          <w:szCs w:val="22"/>
          <w:lang w:val="fr-CH"/>
        </w:rPr>
      </w:pPr>
      <w:r w:rsidRPr="00ED711A">
        <w:rPr>
          <w:snapToGrid w:val="0"/>
          <w:sz w:val="22"/>
          <w:szCs w:val="22"/>
          <w:lang w:val="fr-CH"/>
        </w:rPr>
        <w:t>L</w:t>
      </w:r>
      <w:r w:rsidR="000D310E" w:rsidRPr="00ED711A">
        <w:rPr>
          <w:snapToGrid w:val="0"/>
          <w:sz w:val="22"/>
          <w:szCs w:val="22"/>
          <w:lang w:val="fr-CH"/>
        </w:rPr>
        <w:t>’</w:t>
      </w:r>
      <w:r w:rsidRPr="00ED711A">
        <w:rPr>
          <w:snapToGrid w:val="0"/>
          <w:sz w:val="22"/>
          <w:szCs w:val="22"/>
          <w:lang w:val="fr-CH"/>
        </w:rPr>
        <w:t xml:space="preserve">appendice VI fournit une référence aux informations transmises au Secrétariat par les Parties </w:t>
      </w:r>
      <w:r w:rsidR="008E409F">
        <w:rPr>
          <w:snapToGrid w:val="0"/>
          <w:sz w:val="22"/>
          <w:szCs w:val="22"/>
          <w:lang w:val="fr-CH"/>
        </w:rPr>
        <w:t>conformément à les décisions RC-3/3, RC-4/4 et RC-</w:t>
      </w:r>
      <w:r w:rsidRPr="00ED711A">
        <w:rPr>
          <w:snapToGrid w:val="0"/>
          <w:sz w:val="22"/>
          <w:szCs w:val="22"/>
          <w:lang w:val="fr-CH"/>
        </w:rPr>
        <w:t>6/8 de la Conférence des Parties et au paragraphe 1 de l</w:t>
      </w:r>
      <w:r w:rsidR="000D310E" w:rsidRPr="00ED711A">
        <w:rPr>
          <w:snapToGrid w:val="0"/>
          <w:sz w:val="22"/>
          <w:szCs w:val="22"/>
          <w:lang w:val="fr-CH"/>
        </w:rPr>
        <w:t>’</w:t>
      </w:r>
      <w:r w:rsidRPr="00ED711A">
        <w:rPr>
          <w:snapToGrid w:val="0"/>
          <w:sz w:val="22"/>
          <w:szCs w:val="22"/>
          <w:lang w:val="fr-CH"/>
        </w:rPr>
        <w:t xml:space="preserve">article 14 de la Convention. </w:t>
      </w:r>
    </w:p>
    <w:p w:rsidR="00D70458" w:rsidRPr="00ED711A" w:rsidRDefault="00D70458" w:rsidP="00D70458">
      <w:pPr>
        <w:jc w:val="both"/>
        <w:rPr>
          <w:snapToGrid w:val="0"/>
          <w:sz w:val="22"/>
          <w:szCs w:val="22"/>
          <w:lang w:val="fr-CH"/>
        </w:rPr>
      </w:pPr>
    </w:p>
    <w:p w:rsidR="00D70458" w:rsidRPr="00ED711A" w:rsidRDefault="00D70458" w:rsidP="00D70458">
      <w:pPr>
        <w:rPr>
          <w:sz w:val="22"/>
          <w:szCs w:val="22"/>
          <w:lang w:val="fr-CH"/>
        </w:rPr>
      </w:pPr>
      <w:r w:rsidRPr="00ED711A">
        <w:rPr>
          <w:sz w:val="22"/>
          <w:szCs w:val="22"/>
          <w:lang w:val="fr-CH"/>
        </w:rPr>
        <w:t xml:space="preserve">Cet appendice est composé en deux parties : </w:t>
      </w:r>
    </w:p>
    <w:p w:rsidR="00D70458" w:rsidRPr="00ED711A" w:rsidRDefault="00D70458" w:rsidP="00D70458">
      <w:pPr>
        <w:rPr>
          <w:sz w:val="22"/>
          <w:szCs w:val="22"/>
          <w:lang w:val="fr-CH"/>
        </w:rPr>
      </w:pPr>
    </w:p>
    <w:p w:rsidR="00D70458" w:rsidRPr="00ED711A" w:rsidRDefault="00D70458" w:rsidP="00D70458">
      <w:pPr>
        <w:ind w:left="426"/>
        <w:jc w:val="both"/>
        <w:rPr>
          <w:snapToGrid w:val="0"/>
          <w:sz w:val="22"/>
          <w:szCs w:val="22"/>
          <w:lang w:val="fr-CH"/>
        </w:rPr>
      </w:pPr>
      <w:r w:rsidRPr="00ED711A">
        <w:rPr>
          <w:sz w:val="22"/>
          <w:szCs w:val="22"/>
          <w:lang w:val="fr-CH"/>
        </w:rPr>
        <w:t xml:space="preserve">La </w:t>
      </w:r>
      <w:r w:rsidRPr="00ED711A">
        <w:rPr>
          <w:b/>
          <w:sz w:val="22"/>
          <w:szCs w:val="22"/>
          <w:lang w:val="fr-CH"/>
        </w:rPr>
        <w:t>partie A</w:t>
      </w:r>
      <w:r w:rsidRPr="00ED711A">
        <w:rPr>
          <w:sz w:val="22"/>
          <w:szCs w:val="22"/>
          <w:lang w:val="fr-CH"/>
        </w:rPr>
        <w:t xml:space="preserve"> fait référence aux informations fournies par les Parties au Secrétariat sur les décisions nationales concernant la gestion des amiantes </w:t>
      </w:r>
      <w:r w:rsidRPr="00ED711A">
        <w:rPr>
          <w:snapToGrid w:val="0"/>
          <w:sz w:val="22"/>
          <w:szCs w:val="22"/>
          <w:lang w:val="fr-CH"/>
        </w:rPr>
        <w:t>chrysotile et préparations liquides (concentrés émulsifiables et concentrés solubles) contenant du dichlorure de paraquat à des concentrations égales ou supérieures à 276 g/L correspondant à des concentrations d</w:t>
      </w:r>
      <w:r w:rsidR="000D310E" w:rsidRPr="00ED711A">
        <w:rPr>
          <w:snapToGrid w:val="0"/>
          <w:sz w:val="22"/>
          <w:szCs w:val="22"/>
          <w:lang w:val="fr-CH"/>
        </w:rPr>
        <w:t>’</w:t>
      </w:r>
      <w:r w:rsidRPr="00ED711A">
        <w:rPr>
          <w:snapToGrid w:val="0"/>
          <w:sz w:val="22"/>
          <w:szCs w:val="22"/>
          <w:lang w:val="fr-CH"/>
        </w:rPr>
        <w:t xml:space="preserve">ions paraquat égales ou supérieures à 200 g/L. </w:t>
      </w:r>
      <w:r w:rsidRPr="00ED711A">
        <w:rPr>
          <w:sz w:val="22"/>
          <w:szCs w:val="22"/>
          <w:lang w:val="fr-CH"/>
        </w:rPr>
        <w:t>Le tableau contient un résumé des renseignements fournis par les Parties sur ces produits chimiques comprenant le nom chimique, le nom de la Partie, la Circulaire PIC dans laquelle les renseignements ont été publiés pour la première fois et un lien sur le site web de la Convention de Rotterdam d</w:t>
      </w:r>
      <w:r w:rsidR="000D310E" w:rsidRPr="00ED711A">
        <w:rPr>
          <w:sz w:val="22"/>
          <w:szCs w:val="22"/>
          <w:lang w:val="fr-CH"/>
        </w:rPr>
        <w:t>’</w:t>
      </w:r>
      <w:r w:rsidRPr="00ED711A">
        <w:rPr>
          <w:sz w:val="22"/>
          <w:szCs w:val="22"/>
          <w:lang w:val="fr-CH"/>
        </w:rPr>
        <w:t>où vous pouvez télécharger les renseignements détaillés.</w:t>
      </w:r>
    </w:p>
    <w:p w:rsidR="00D70458" w:rsidRPr="00ED711A" w:rsidRDefault="00D70458" w:rsidP="00D70458">
      <w:pPr>
        <w:ind w:left="426"/>
        <w:jc w:val="both"/>
        <w:rPr>
          <w:snapToGrid w:val="0"/>
          <w:sz w:val="22"/>
          <w:szCs w:val="22"/>
          <w:lang w:val="fr-CH"/>
        </w:rPr>
      </w:pPr>
    </w:p>
    <w:p w:rsidR="00D70458" w:rsidRPr="00ED711A" w:rsidRDefault="00D70458" w:rsidP="00D70458">
      <w:pPr>
        <w:pStyle w:val="NormalWeb"/>
        <w:spacing w:before="0" w:beforeAutospacing="0" w:after="0" w:afterAutospacing="0"/>
        <w:ind w:left="426"/>
        <w:jc w:val="both"/>
        <w:rPr>
          <w:sz w:val="22"/>
          <w:szCs w:val="22"/>
          <w:lang w:val="fr-FR"/>
        </w:rPr>
      </w:pPr>
      <w:r w:rsidRPr="00ED711A">
        <w:rPr>
          <w:snapToGrid w:val="0"/>
          <w:sz w:val="22"/>
          <w:szCs w:val="22"/>
          <w:lang w:val="fr-FR"/>
        </w:rPr>
        <w:t xml:space="preserve">La </w:t>
      </w:r>
      <w:r w:rsidRPr="00ED711A">
        <w:rPr>
          <w:b/>
          <w:snapToGrid w:val="0"/>
          <w:sz w:val="22"/>
          <w:szCs w:val="22"/>
          <w:lang w:val="fr-FR"/>
        </w:rPr>
        <w:t>partie B</w:t>
      </w:r>
      <w:r w:rsidRPr="00ED711A">
        <w:rPr>
          <w:snapToGrid w:val="0"/>
          <w:sz w:val="22"/>
          <w:szCs w:val="22"/>
          <w:lang w:val="fr-FR"/>
        </w:rPr>
        <w:t xml:space="preserve"> est une liste des décisions concernant l</w:t>
      </w:r>
      <w:r w:rsidR="000D310E" w:rsidRPr="00ED711A">
        <w:rPr>
          <w:snapToGrid w:val="0"/>
          <w:sz w:val="22"/>
          <w:szCs w:val="22"/>
          <w:lang w:val="fr-FR"/>
        </w:rPr>
        <w:t>’</w:t>
      </w:r>
      <w:r w:rsidRPr="00ED711A">
        <w:rPr>
          <w:snapToGrid w:val="0"/>
          <w:sz w:val="22"/>
          <w:szCs w:val="22"/>
          <w:lang w:val="fr-FR"/>
        </w:rPr>
        <w:t>importation future des amiantes chrysotile et préparations liquides (concentrés émulsifiables et concentrés solubles) contenant du dichlorure de paraquat à des concentrations égales ou supérieures à 276 g/L correspondant à des concentrations d</w:t>
      </w:r>
      <w:r w:rsidR="000D310E" w:rsidRPr="00ED711A">
        <w:rPr>
          <w:snapToGrid w:val="0"/>
          <w:sz w:val="22"/>
          <w:szCs w:val="22"/>
          <w:lang w:val="fr-FR"/>
        </w:rPr>
        <w:t>’</w:t>
      </w:r>
      <w:r w:rsidRPr="00ED711A">
        <w:rPr>
          <w:snapToGrid w:val="0"/>
          <w:sz w:val="22"/>
          <w:szCs w:val="22"/>
          <w:lang w:val="fr-FR"/>
        </w:rPr>
        <w:t>ions paraquat égales ou supérieures à 200 g/L qui ont été soumises par les Parties. Ces décisions concernant l</w:t>
      </w:r>
      <w:r w:rsidR="000D310E" w:rsidRPr="00ED711A">
        <w:rPr>
          <w:snapToGrid w:val="0"/>
          <w:sz w:val="22"/>
          <w:szCs w:val="22"/>
          <w:lang w:val="fr-FR"/>
        </w:rPr>
        <w:t>’</w:t>
      </w:r>
      <w:r w:rsidRPr="00ED711A">
        <w:rPr>
          <w:snapToGrid w:val="0"/>
          <w:sz w:val="22"/>
          <w:szCs w:val="22"/>
          <w:lang w:val="fr-FR"/>
        </w:rPr>
        <w:t>importation sont diffusées aux seules fins de l</w:t>
      </w:r>
      <w:r w:rsidR="000D310E" w:rsidRPr="00ED711A">
        <w:rPr>
          <w:snapToGrid w:val="0"/>
          <w:sz w:val="22"/>
          <w:szCs w:val="22"/>
          <w:lang w:val="fr-FR"/>
        </w:rPr>
        <w:t>’</w:t>
      </w:r>
      <w:r w:rsidRPr="00ED711A">
        <w:rPr>
          <w:snapToGrid w:val="0"/>
          <w:sz w:val="22"/>
          <w:szCs w:val="22"/>
          <w:lang w:val="fr-FR"/>
        </w:rPr>
        <w:t>information et ne constituent pas une partie de la procédure PIC juridiquement contraignante.</w:t>
      </w:r>
    </w:p>
    <w:p w:rsidR="00D70458" w:rsidRPr="00ED711A" w:rsidRDefault="00D70458" w:rsidP="00D70458">
      <w:pPr>
        <w:rPr>
          <w:snapToGrid w:val="0"/>
          <w:sz w:val="22"/>
          <w:szCs w:val="22"/>
          <w:lang w:val="fr-FR"/>
        </w:rPr>
      </w:pPr>
    </w:p>
    <w:p w:rsidR="007B68CF" w:rsidRPr="00ED711A" w:rsidRDefault="00D70458" w:rsidP="00D70458">
      <w:pPr>
        <w:jc w:val="both"/>
        <w:rPr>
          <w:sz w:val="22"/>
          <w:szCs w:val="22"/>
          <w:lang w:val="fr-CH"/>
        </w:rPr>
      </w:pPr>
      <w:r w:rsidRPr="00ED711A">
        <w:rPr>
          <w:snapToGrid w:val="0"/>
          <w:sz w:val="22"/>
          <w:szCs w:val="22"/>
          <w:lang w:val="fr-CH"/>
        </w:rPr>
        <w:t>Dans site web de la Convention de Rotterdam, dans la section « Produits chimiq</w:t>
      </w:r>
      <w:r w:rsidR="00EE1BD5">
        <w:rPr>
          <w:snapToGrid w:val="0"/>
          <w:sz w:val="22"/>
          <w:szCs w:val="22"/>
          <w:lang w:val="fr-CH"/>
        </w:rPr>
        <w:t>ues recommandé pour inscription</w:t>
      </w:r>
      <w:r w:rsidRPr="00ED711A">
        <w:rPr>
          <w:snapToGrid w:val="0"/>
          <w:sz w:val="22"/>
          <w:szCs w:val="22"/>
          <w:lang w:val="fr-CH"/>
        </w:rPr>
        <w:t> »</w:t>
      </w:r>
      <w:r w:rsidR="00EE1BD5">
        <w:rPr>
          <w:snapToGrid w:val="0"/>
          <w:sz w:val="22"/>
          <w:szCs w:val="22"/>
          <w:lang w:val="fr-CH"/>
        </w:rPr>
        <w:t>,</w:t>
      </w:r>
      <w:r w:rsidRPr="00ED711A">
        <w:rPr>
          <w:snapToGrid w:val="0"/>
          <w:sz w:val="22"/>
          <w:szCs w:val="22"/>
          <w:lang w:val="fr-CH"/>
        </w:rPr>
        <w:t xml:space="preserve"> sont disponibles des informations additionnelles sur ces produits chimiques y compris les notifications de mesure de réglementation finale et la documentation à d</w:t>
      </w:r>
      <w:r w:rsidR="000D310E" w:rsidRPr="00ED711A">
        <w:rPr>
          <w:snapToGrid w:val="0"/>
          <w:sz w:val="22"/>
          <w:szCs w:val="22"/>
          <w:lang w:val="fr-CH"/>
        </w:rPr>
        <w:t>’</w:t>
      </w:r>
      <w:r w:rsidRPr="00ED711A">
        <w:rPr>
          <w:snapToGrid w:val="0"/>
          <w:sz w:val="22"/>
          <w:szCs w:val="22"/>
          <w:lang w:val="fr-CH"/>
        </w:rPr>
        <w:t xml:space="preserve">appoint disponible au </w:t>
      </w:r>
      <w:r w:rsidRPr="00ED711A">
        <w:rPr>
          <w:sz w:val="22"/>
          <w:szCs w:val="22"/>
          <w:lang w:val="fr-CH"/>
        </w:rPr>
        <w:t>Comité d</w:t>
      </w:r>
      <w:r w:rsidR="000D310E" w:rsidRPr="00ED711A">
        <w:rPr>
          <w:sz w:val="22"/>
          <w:szCs w:val="22"/>
          <w:lang w:val="fr-CH"/>
        </w:rPr>
        <w:t>’</w:t>
      </w:r>
      <w:r w:rsidRPr="00ED711A">
        <w:rPr>
          <w:sz w:val="22"/>
          <w:szCs w:val="22"/>
          <w:lang w:val="fr-CH"/>
        </w:rPr>
        <w:t>étude des produits chimiques</w:t>
      </w:r>
      <w:r w:rsidRPr="00ED711A">
        <w:rPr>
          <w:snapToGrid w:val="0"/>
          <w:sz w:val="22"/>
          <w:szCs w:val="22"/>
          <w:lang w:val="fr-CH"/>
        </w:rPr>
        <w:t xml:space="preserve"> et les projets des </w:t>
      </w:r>
      <w:r w:rsidR="00B578E3">
        <w:rPr>
          <w:snapToGrid w:val="0"/>
          <w:sz w:val="22"/>
          <w:szCs w:val="22"/>
          <w:lang w:val="fr-CH"/>
        </w:rPr>
        <w:t>d</w:t>
      </w:r>
      <w:r w:rsidRPr="00ED711A">
        <w:rPr>
          <w:snapToGrid w:val="0"/>
          <w:sz w:val="22"/>
          <w:szCs w:val="22"/>
          <w:lang w:val="fr-CH"/>
        </w:rPr>
        <w:t>ocuments d</w:t>
      </w:r>
      <w:r w:rsidR="000D310E" w:rsidRPr="00ED711A">
        <w:rPr>
          <w:snapToGrid w:val="0"/>
          <w:sz w:val="22"/>
          <w:szCs w:val="22"/>
          <w:lang w:val="fr-CH"/>
        </w:rPr>
        <w:t>’</w:t>
      </w:r>
      <w:r w:rsidR="00B578E3">
        <w:rPr>
          <w:snapToGrid w:val="0"/>
          <w:sz w:val="22"/>
          <w:szCs w:val="22"/>
          <w:lang w:val="fr-CH"/>
        </w:rPr>
        <w:t>o</w:t>
      </w:r>
      <w:r w:rsidRPr="00ED711A">
        <w:rPr>
          <w:snapToGrid w:val="0"/>
          <w:sz w:val="22"/>
          <w:szCs w:val="22"/>
          <w:lang w:val="fr-CH"/>
        </w:rPr>
        <w:t xml:space="preserve">rientation des </w:t>
      </w:r>
      <w:r w:rsidR="00B578E3">
        <w:rPr>
          <w:snapToGrid w:val="0"/>
          <w:sz w:val="22"/>
          <w:szCs w:val="22"/>
          <w:lang w:val="fr-CH"/>
        </w:rPr>
        <w:t>d</w:t>
      </w:r>
      <w:r w:rsidRPr="00ED711A">
        <w:rPr>
          <w:snapToGrid w:val="0"/>
          <w:sz w:val="22"/>
          <w:szCs w:val="22"/>
          <w:lang w:val="fr-CH"/>
        </w:rPr>
        <w:t>écisions.</w:t>
      </w:r>
      <w:r w:rsidR="00BC73C4" w:rsidRPr="00ED711A">
        <w:rPr>
          <w:sz w:val="22"/>
          <w:szCs w:val="22"/>
          <w:lang w:val="fr-CH"/>
        </w:rPr>
        <w:t xml:space="preserve"> </w:t>
      </w:r>
    </w:p>
    <w:p w:rsidR="00A332F9" w:rsidRPr="00ED711A" w:rsidRDefault="00A332F9" w:rsidP="007B68CF">
      <w:pPr>
        <w:jc w:val="center"/>
        <w:rPr>
          <w:b/>
          <w:u w:val="single"/>
          <w:lang w:val="fr-CH"/>
        </w:rPr>
        <w:sectPr w:rsidR="00A332F9" w:rsidRPr="00ED711A" w:rsidSect="007F589F">
          <w:headerReference w:type="default" r:id="rId63"/>
          <w:pgSz w:w="11907" w:h="16839" w:code="9"/>
          <w:pgMar w:top="1134" w:right="1134" w:bottom="1134" w:left="1134" w:header="709" w:footer="709" w:gutter="0"/>
          <w:cols w:space="708"/>
          <w:docGrid w:linePitch="360"/>
        </w:sectPr>
      </w:pPr>
    </w:p>
    <w:p w:rsidR="007B68CF" w:rsidRPr="00ED711A" w:rsidRDefault="00BC73C4" w:rsidP="007B68CF">
      <w:pPr>
        <w:jc w:val="center"/>
        <w:rPr>
          <w:b/>
          <w:lang w:val="fr-CH"/>
        </w:rPr>
      </w:pPr>
      <w:r w:rsidRPr="00ED711A">
        <w:rPr>
          <w:b/>
          <w:u w:val="single"/>
          <w:lang w:val="fr-CH"/>
        </w:rPr>
        <w:lastRenderedPageBreak/>
        <w:t>PART</w:t>
      </w:r>
      <w:r w:rsidR="00D70458" w:rsidRPr="00ED711A">
        <w:rPr>
          <w:b/>
          <w:u w:val="single"/>
          <w:lang w:val="fr-CH"/>
        </w:rPr>
        <w:t>IE</w:t>
      </w:r>
      <w:r w:rsidRPr="00ED711A">
        <w:rPr>
          <w:b/>
          <w:u w:val="single"/>
          <w:lang w:val="fr-CH"/>
        </w:rPr>
        <w:t xml:space="preserve"> </w:t>
      </w:r>
      <w:r w:rsidR="00F64250" w:rsidRPr="00ED711A">
        <w:rPr>
          <w:b/>
          <w:u w:val="single"/>
          <w:lang w:val="fr-CH"/>
        </w:rPr>
        <w:t>A</w:t>
      </w:r>
    </w:p>
    <w:p w:rsidR="007B68CF" w:rsidRPr="00ED711A" w:rsidRDefault="007B68CF" w:rsidP="007B68CF">
      <w:pPr>
        <w:rPr>
          <w:lang w:val="fr-CH"/>
        </w:rPr>
      </w:pPr>
    </w:p>
    <w:p w:rsidR="007B68CF" w:rsidRPr="00ED711A" w:rsidRDefault="00090AF5" w:rsidP="00090AF5">
      <w:pPr>
        <w:jc w:val="center"/>
        <w:rPr>
          <w:b/>
          <w:snapToGrid w:val="0"/>
          <w:lang w:val="fr-CH"/>
        </w:rPr>
      </w:pPr>
      <w:r w:rsidRPr="00ED711A">
        <w:rPr>
          <w:b/>
          <w:snapToGrid w:val="0"/>
          <w:lang w:val="fr-CH"/>
        </w:rPr>
        <w:t>INFORMATIONS FOURNIES PAR LES PARTIES SUR LES DECISIONS NATIONALES CONCERNANT LA GESTION D</w:t>
      </w:r>
      <w:r w:rsidR="000D310E" w:rsidRPr="00ED711A">
        <w:rPr>
          <w:b/>
          <w:snapToGrid w:val="0"/>
          <w:lang w:val="fr-CH"/>
        </w:rPr>
        <w:t>’</w:t>
      </w:r>
      <w:r w:rsidRPr="00ED711A">
        <w:rPr>
          <w:b/>
          <w:snapToGrid w:val="0"/>
          <w:lang w:val="fr-CH"/>
        </w:rPr>
        <w:t>AMIANTE CHRYSOTILE ET PREPARATIONS LIQUIDES (CONCENTRES EMULSIFIABLES ET CONCENTRES SOLUBLES) CONTENANT DU DICHLORURE DE PARAQUAT A DES CONCENTRATIONS EGALES OU SUPERIEURES A 276 g/L CORRESPONDANT A DES CONCENTRATIONS D</w:t>
      </w:r>
      <w:r w:rsidR="000D310E" w:rsidRPr="00ED711A">
        <w:rPr>
          <w:b/>
          <w:snapToGrid w:val="0"/>
          <w:lang w:val="fr-CH"/>
        </w:rPr>
        <w:t>’</w:t>
      </w:r>
      <w:r w:rsidRPr="00ED711A">
        <w:rPr>
          <w:b/>
          <w:snapToGrid w:val="0"/>
          <w:lang w:val="fr-CH"/>
        </w:rPr>
        <w:t>IONS PARAQUAT EGALES OU SUPERIEURES A 200 g/L</w:t>
      </w:r>
    </w:p>
    <w:p w:rsidR="00090AF5" w:rsidRPr="00ED711A" w:rsidRDefault="00090AF5" w:rsidP="00E16B07">
      <w:pPr>
        <w:rPr>
          <w:sz w:val="22"/>
          <w:szCs w:val="22"/>
          <w:lang w:val="fr-CH"/>
        </w:rPr>
      </w:pPr>
    </w:p>
    <w:p w:rsidR="007B68CF" w:rsidRPr="00ED711A" w:rsidRDefault="00090AF5" w:rsidP="007B68CF">
      <w:pPr>
        <w:jc w:val="center"/>
        <w:rPr>
          <w:b/>
          <w:sz w:val="22"/>
          <w:szCs w:val="22"/>
          <w:lang w:val="en-GB"/>
        </w:rPr>
      </w:pPr>
      <w:r w:rsidRPr="00ED711A">
        <w:rPr>
          <w:b/>
          <w:sz w:val="22"/>
          <w:szCs w:val="22"/>
          <w:lang w:val="en-GB"/>
        </w:rPr>
        <w:t>AMIANTE CHRYSOTILE</w:t>
      </w:r>
    </w:p>
    <w:p w:rsidR="007B68CF" w:rsidRPr="00ED711A" w:rsidRDefault="007B68CF" w:rsidP="007B68CF">
      <w:pPr>
        <w:rPr>
          <w:sz w:val="22"/>
          <w:szCs w:val="22"/>
          <w:lang w:val="en-GB"/>
        </w:rPr>
      </w:pPr>
    </w:p>
    <w:tbl>
      <w:tblPr>
        <w:tblW w:w="9810"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3601"/>
        <w:gridCol w:w="4661"/>
      </w:tblGrid>
      <w:tr w:rsidR="00090AF5" w:rsidRPr="00020818" w:rsidTr="00090AF5">
        <w:tc>
          <w:tcPr>
            <w:tcW w:w="9808"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90AF5" w:rsidRPr="00020818" w:rsidRDefault="00090AF5" w:rsidP="00160AED">
            <w:pPr>
              <w:autoSpaceDE w:val="0"/>
              <w:autoSpaceDN w:val="0"/>
              <w:adjustRightInd w:val="0"/>
              <w:spacing w:before="40" w:after="40"/>
              <w:jc w:val="center"/>
              <w:rPr>
                <w:sz w:val="20"/>
                <w:szCs w:val="20"/>
                <w:lang w:val="fr-FR" w:eastAsia="en-GB"/>
              </w:rPr>
            </w:pPr>
            <w:bookmarkStart w:id="265" w:name="OLE_LINK3"/>
            <w:r w:rsidRPr="00020818">
              <w:rPr>
                <w:b/>
                <w:bCs/>
                <w:sz w:val="20"/>
                <w:szCs w:val="20"/>
                <w:lang w:eastAsia="en-GB"/>
              </w:rPr>
              <w:t>Amiante chrysotile (numéro CAS: 12001-29-5)</w:t>
            </w:r>
            <w:bookmarkEnd w:id="265"/>
          </w:p>
        </w:tc>
      </w:tr>
      <w:tr w:rsidR="00090AF5" w:rsidRPr="00020818" w:rsidTr="00090AF5">
        <w:tc>
          <w:tcPr>
            <w:tcW w:w="1548" w:type="dxa"/>
            <w:tcBorders>
              <w:top w:val="single" w:sz="4" w:space="0" w:color="auto"/>
              <w:left w:val="single" w:sz="4" w:space="0" w:color="auto"/>
              <w:bottom w:val="single" w:sz="4" w:space="0" w:color="auto"/>
              <w:right w:val="single" w:sz="4" w:space="0" w:color="auto"/>
            </w:tcBorders>
            <w:vAlign w:val="center"/>
            <w:hideMark/>
          </w:tcPr>
          <w:p w:rsidR="00090AF5" w:rsidRPr="00020818" w:rsidRDefault="00090AF5" w:rsidP="00160AED">
            <w:pPr>
              <w:autoSpaceDE w:val="0"/>
              <w:autoSpaceDN w:val="0"/>
              <w:adjustRightInd w:val="0"/>
              <w:spacing w:before="40" w:after="40"/>
              <w:jc w:val="center"/>
              <w:rPr>
                <w:b/>
                <w:bCs/>
                <w:sz w:val="20"/>
                <w:szCs w:val="20"/>
                <w:lang w:val="fr-FR" w:eastAsia="en-GB"/>
              </w:rPr>
            </w:pPr>
            <w:r w:rsidRPr="00020818">
              <w:rPr>
                <w:b/>
                <w:bCs/>
                <w:sz w:val="20"/>
                <w:szCs w:val="20"/>
                <w:lang w:eastAsia="en-GB"/>
              </w:rPr>
              <w:t>PARTIE</w:t>
            </w:r>
          </w:p>
        </w:tc>
        <w:tc>
          <w:tcPr>
            <w:tcW w:w="3600" w:type="dxa"/>
            <w:tcBorders>
              <w:top w:val="single" w:sz="4" w:space="0" w:color="auto"/>
              <w:left w:val="single" w:sz="4" w:space="0" w:color="auto"/>
              <w:bottom w:val="single" w:sz="4" w:space="0" w:color="auto"/>
              <w:right w:val="single" w:sz="4" w:space="0" w:color="auto"/>
            </w:tcBorders>
            <w:vAlign w:val="center"/>
            <w:hideMark/>
          </w:tcPr>
          <w:p w:rsidR="00090AF5" w:rsidRPr="00020818" w:rsidRDefault="00090AF5" w:rsidP="00160AED">
            <w:pPr>
              <w:autoSpaceDE w:val="0"/>
              <w:autoSpaceDN w:val="0"/>
              <w:adjustRightInd w:val="0"/>
              <w:spacing w:before="40" w:after="40"/>
              <w:jc w:val="center"/>
              <w:rPr>
                <w:b/>
                <w:bCs/>
                <w:sz w:val="20"/>
                <w:szCs w:val="20"/>
                <w:lang w:val="fr-FR" w:eastAsia="en-GB"/>
              </w:rPr>
            </w:pPr>
            <w:r w:rsidRPr="00020818">
              <w:rPr>
                <w:b/>
                <w:sz w:val="20"/>
                <w:szCs w:val="20"/>
                <w:lang w:eastAsia="en-GB"/>
              </w:rPr>
              <w:t>CIRCULAIRE PIC</w:t>
            </w:r>
          </w:p>
        </w:tc>
        <w:tc>
          <w:tcPr>
            <w:tcW w:w="4660" w:type="dxa"/>
            <w:tcBorders>
              <w:top w:val="single" w:sz="4" w:space="0" w:color="auto"/>
              <w:left w:val="single" w:sz="4" w:space="0" w:color="auto"/>
              <w:bottom w:val="single" w:sz="4" w:space="0" w:color="auto"/>
              <w:right w:val="single" w:sz="4" w:space="0" w:color="auto"/>
            </w:tcBorders>
            <w:vAlign w:val="center"/>
            <w:hideMark/>
          </w:tcPr>
          <w:p w:rsidR="00090AF5" w:rsidRPr="00020818" w:rsidRDefault="00090AF5" w:rsidP="00160AED">
            <w:pPr>
              <w:autoSpaceDE w:val="0"/>
              <w:autoSpaceDN w:val="0"/>
              <w:adjustRightInd w:val="0"/>
              <w:spacing w:before="40" w:after="40"/>
              <w:jc w:val="center"/>
              <w:rPr>
                <w:b/>
                <w:sz w:val="20"/>
                <w:szCs w:val="20"/>
                <w:lang w:val="fr-FR" w:eastAsia="en-GB"/>
              </w:rPr>
            </w:pPr>
            <w:r w:rsidRPr="00020818">
              <w:rPr>
                <w:b/>
                <w:sz w:val="20"/>
                <w:szCs w:val="20"/>
                <w:lang w:eastAsia="en-GB"/>
              </w:rPr>
              <w:t>LIEN</w:t>
            </w:r>
          </w:p>
        </w:tc>
      </w:tr>
      <w:tr w:rsidR="00090AF5" w:rsidRPr="00BB768B" w:rsidTr="00090AF5">
        <w:tc>
          <w:tcPr>
            <w:tcW w:w="1548" w:type="dxa"/>
            <w:tcBorders>
              <w:top w:val="single" w:sz="4" w:space="0" w:color="auto"/>
              <w:left w:val="single" w:sz="4" w:space="0" w:color="auto"/>
              <w:bottom w:val="single" w:sz="4" w:space="0" w:color="auto"/>
              <w:right w:val="single" w:sz="4" w:space="0" w:color="auto"/>
            </w:tcBorders>
            <w:hideMark/>
          </w:tcPr>
          <w:p w:rsidR="00090AF5" w:rsidRPr="00EE1BD5" w:rsidRDefault="00090AF5" w:rsidP="00160AED">
            <w:pPr>
              <w:autoSpaceDE w:val="0"/>
              <w:autoSpaceDN w:val="0"/>
              <w:adjustRightInd w:val="0"/>
              <w:spacing w:before="40" w:after="40"/>
              <w:jc w:val="both"/>
              <w:rPr>
                <w:bCs/>
                <w:sz w:val="20"/>
                <w:szCs w:val="20"/>
                <w:lang w:val="fr-FR" w:eastAsia="en-GB"/>
              </w:rPr>
            </w:pPr>
            <w:r w:rsidRPr="00EE1BD5">
              <w:rPr>
                <w:bCs/>
                <w:sz w:val="20"/>
                <w:szCs w:val="20"/>
                <w:lang w:eastAsia="en-GB"/>
              </w:rPr>
              <w:t>Union Européenne</w:t>
            </w:r>
          </w:p>
        </w:tc>
        <w:tc>
          <w:tcPr>
            <w:tcW w:w="3600" w:type="dxa"/>
            <w:tcBorders>
              <w:top w:val="single" w:sz="4" w:space="0" w:color="auto"/>
              <w:left w:val="single" w:sz="4" w:space="0" w:color="auto"/>
              <w:bottom w:val="single" w:sz="4" w:space="0" w:color="auto"/>
              <w:right w:val="single" w:sz="4" w:space="0" w:color="auto"/>
            </w:tcBorders>
            <w:hideMark/>
          </w:tcPr>
          <w:p w:rsidR="00090AF5" w:rsidRPr="00020818" w:rsidRDefault="00090AF5" w:rsidP="00160AED">
            <w:pPr>
              <w:autoSpaceDE w:val="0"/>
              <w:autoSpaceDN w:val="0"/>
              <w:adjustRightInd w:val="0"/>
              <w:spacing w:before="40" w:after="40"/>
              <w:rPr>
                <w:b/>
                <w:bCs/>
                <w:sz w:val="20"/>
                <w:szCs w:val="20"/>
                <w:lang w:val="fr-FR" w:eastAsia="en-GB"/>
              </w:rPr>
            </w:pPr>
            <w:r w:rsidRPr="00020818">
              <w:rPr>
                <w:sz w:val="20"/>
                <w:szCs w:val="20"/>
                <w:lang w:eastAsia="en-GB"/>
              </w:rPr>
              <w:t>Circulaire PIC XXVII, juin 2008</w:t>
            </w:r>
          </w:p>
        </w:tc>
        <w:tc>
          <w:tcPr>
            <w:tcW w:w="4660" w:type="dxa"/>
            <w:tcBorders>
              <w:top w:val="single" w:sz="4" w:space="0" w:color="auto"/>
              <w:left w:val="single" w:sz="4" w:space="0" w:color="auto"/>
              <w:bottom w:val="single" w:sz="4" w:space="0" w:color="auto"/>
              <w:right w:val="single" w:sz="4" w:space="0" w:color="auto"/>
            </w:tcBorders>
            <w:hideMark/>
          </w:tcPr>
          <w:p w:rsidR="00090AF5" w:rsidRPr="00020818" w:rsidRDefault="00E526E5" w:rsidP="00160AED">
            <w:pPr>
              <w:autoSpaceDE w:val="0"/>
              <w:autoSpaceDN w:val="0"/>
              <w:adjustRightInd w:val="0"/>
              <w:spacing w:before="40" w:after="40"/>
              <w:jc w:val="both"/>
              <w:rPr>
                <w:color w:val="0000FF"/>
                <w:sz w:val="20"/>
                <w:szCs w:val="20"/>
                <w:u w:val="single"/>
                <w:lang w:val="fr-FR" w:eastAsia="en-GB"/>
              </w:rPr>
            </w:pPr>
            <w:hyperlink r:id="rId64" w:history="1">
              <w:r w:rsidR="00090AF5" w:rsidRPr="00020818">
                <w:rPr>
                  <w:rStyle w:val="Hyperlink"/>
                  <w:sz w:val="20"/>
                  <w:szCs w:val="20"/>
                  <w:lang w:val="fr-FR" w:eastAsia="en-GB"/>
                </w:rPr>
                <w:t>http://www.pic.int/LaConvention/Produitschimiques/Recommandéspourinscription/Chrysotile/tabid/1871/language/fr-CH/Default.aspx</w:t>
              </w:r>
            </w:hyperlink>
          </w:p>
        </w:tc>
      </w:tr>
      <w:tr w:rsidR="00090AF5" w:rsidRPr="00BB768B" w:rsidTr="00090AF5">
        <w:tc>
          <w:tcPr>
            <w:tcW w:w="1548" w:type="dxa"/>
            <w:tcBorders>
              <w:top w:val="single" w:sz="4" w:space="0" w:color="auto"/>
              <w:left w:val="single" w:sz="4" w:space="0" w:color="auto"/>
              <w:bottom w:val="single" w:sz="4" w:space="0" w:color="auto"/>
              <w:right w:val="single" w:sz="4" w:space="0" w:color="auto"/>
            </w:tcBorders>
          </w:tcPr>
          <w:p w:rsidR="00090AF5" w:rsidRPr="00EE1BD5" w:rsidRDefault="00090AF5" w:rsidP="00160AED">
            <w:pPr>
              <w:autoSpaceDE w:val="0"/>
              <w:autoSpaceDN w:val="0"/>
              <w:adjustRightInd w:val="0"/>
              <w:spacing w:before="40" w:after="40"/>
              <w:jc w:val="both"/>
              <w:rPr>
                <w:bCs/>
                <w:sz w:val="20"/>
                <w:szCs w:val="20"/>
                <w:lang w:val="fr-FR" w:eastAsia="en-GB"/>
              </w:rPr>
            </w:pPr>
            <w:r w:rsidRPr="00EE1BD5">
              <w:rPr>
                <w:bCs/>
                <w:sz w:val="20"/>
                <w:szCs w:val="20"/>
                <w:lang w:eastAsia="en-GB"/>
              </w:rPr>
              <w:t>Suisse</w:t>
            </w:r>
          </w:p>
        </w:tc>
        <w:tc>
          <w:tcPr>
            <w:tcW w:w="3600" w:type="dxa"/>
            <w:tcBorders>
              <w:top w:val="single" w:sz="4" w:space="0" w:color="auto"/>
              <w:left w:val="single" w:sz="4" w:space="0" w:color="auto"/>
              <w:bottom w:val="single" w:sz="4" w:space="0" w:color="auto"/>
              <w:right w:val="single" w:sz="4" w:space="0" w:color="auto"/>
            </w:tcBorders>
            <w:hideMark/>
          </w:tcPr>
          <w:p w:rsidR="00090AF5" w:rsidRPr="00020818" w:rsidRDefault="00090AF5" w:rsidP="00160AED">
            <w:pPr>
              <w:autoSpaceDE w:val="0"/>
              <w:autoSpaceDN w:val="0"/>
              <w:adjustRightInd w:val="0"/>
              <w:spacing w:before="40" w:after="40"/>
              <w:rPr>
                <w:b/>
                <w:bCs/>
                <w:sz w:val="20"/>
                <w:szCs w:val="20"/>
                <w:lang w:val="fr-FR" w:eastAsia="en-GB"/>
              </w:rPr>
            </w:pPr>
            <w:r w:rsidRPr="00020818">
              <w:rPr>
                <w:sz w:val="20"/>
                <w:szCs w:val="20"/>
                <w:lang w:eastAsia="en-GB"/>
              </w:rPr>
              <w:t>Circulaire PIC XXVI, décembre 2007</w:t>
            </w:r>
          </w:p>
        </w:tc>
        <w:tc>
          <w:tcPr>
            <w:tcW w:w="4660" w:type="dxa"/>
            <w:tcBorders>
              <w:top w:val="single" w:sz="4" w:space="0" w:color="auto"/>
              <w:left w:val="single" w:sz="4" w:space="0" w:color="auto"/>
              <w:bottom w:val="single" w:sz="4" w:space="0" w:color="auto"/>
              <w:right w:val="single" w:sz="4" w:space="0" w:color="auto"/>
            </w:tcBorders>
            <w:hideMark/>
          </w:tcPr>
          <w:p w:rsidR="00090AF5" w:rsidRPr="00020818" w:rsidRDefault="00E526E5" w:rsidP="00160AED">
            <w:pPr>
              <w:autoSpaceDE w:val="0"/>
              <w:autoSpaceDN w:val="0"/>
              <w:adjustRightInd w:val="0"/>
              <w:spacing w:before="40" w:after="40"/>
              <w:jc w:val="both"/>
              <w:rPr>
                <w:color w:val="0000FF"/>
                <w:sz w:val="20"/>
                <w:szCs w:val="20"/>
                <w:u w:val="single"/>
                <w:lang w:val="fr-FR" w:eastAsia="en-GB"/>
              </w:rPr>
            </w:pPr>
            <w:hyperlink r:id="rId65" w:history="1">
              <w:r w:rsidR="00090AF5" w:rsidRPr="00020818">
                <w:rPr>
                  <w:rStyle w:val="Hyperlink"/>
                  <w:sz w:val="20"/>
                  <w:szCs w:val="20"/>
                  <w:lang w:val="fr-FR" w:eastAsia="en-GB"/>
                </w:rPr>
                <w:t>http://www.pic.int/LaConvention/Produitschimiques/Recommandéspourinscription/Chrysotile/tabid/1871/language/fr-CH/Default.aspx</w:t>
              </w:r>
            </w:hyperlink>
          </w:p>
        </w:tc>
      </w:tr>
    </w:tbl>
    <w:p w:rsidR="007B68CF" w:rsidRPr="00ED711A" w:rsidRDefault="007B68CF" w:rsidP="00E16B07">
      <w:pPr>
        <w:rPr>
          <w:sz w:val="22"/>
          <w:szCs w:val="22"/>
          <w:lang w:val="fr-FR"/>
        </w:rPr>
      </w:pPr>
    </w:p>
    <w:p w:rsidR="007B68CF" w:rsidRPr="00ED711A" w:rsidRDefault="007B68CF" w:rsidP="00E16B07">
      <w:pPr>
        <w:rPr>
          <w:sz w:val="22"/>
          <w:szCs w:val="22"/>
          <w:lang w:val="fr-FR"/>
        </w:rPr>
      </w:pPr>
    </w:p>
    <w:p w:rsidR="007B68CF" w:rsidRPr="00ED711A" w:rsidRDefault="00090AF5" w:rsidP="007B68CF">
      <w:pPr>
        <w:jc w:val="center"/>
        <w:rPr>
          <w:b/>
          <w:sz w:val="22"/>
          <w:szCs w:val="22"/>
          <w:lang w:val="fr-CH"/>
        </w:rPr>
      </w:pPr>
      <w:r w:rsidRPr="00ED711A">
        <w:rPr>
          <w:b/>
          <w:sz w:val="22"/>
          <w:szCs w:val="22"/>
          <w:lang w:val="fr-CH"/>
        </w:rPr>
        <w:t>PREPARATIONS LIQUIDES (CONCENTRES EMULSIFIABLES ET CONCENTRES SOLUBLES) CONTENANT DU DICHLORURE DE PARAQUAT A DES CONCENTRATIONS EGALES OU SUPERIEURES A 276 g/L CORRESPONDANT A DES CONCENTRATIONS D</w:t>
      </w:r>
      <w:r w:rsidR="000D310E" w:rsidRPr="00ED711A">
        <w:rPr>
          <w:b/>
          <w:sz w:val="22"/>
          <w:szCs w:val="22"/>
          <w:lang w:val="fr-CH"/>
        </w:rPr>
        <w:t>’</w:t>
      </w:r>
      <w:r w:rsidRPr="00ED711A">
        <w:rPr>
          <w:b/>
          <w:sz w:val="22"/>
          <w:szCs w:val="22"/>
          <w:lang w:val="fr-CH"/>
        </w:rPr>
        <w:t>IONS PARAQUAT EGALES OU SUPERIEURES A 200 g/L</w:t>
      </w:r>
    </w:p>
    <w:p w:rsidR="007B68CF" w:rsidRPr="00ED711A" w:rsidRDefault="007B68CF" w:rsidP="007B68CF">
      <w:pPr>
        <w:rPr>
          <w:sz w:val="22"/>
          <w:szCs w:val="22"/>
          <w:lang w:val="fr-CH"/>
        </w:rPr>
      </w:pPr>
    </w:p>
    <w:tbl>
      <w:tblPr>
        <w:tblW w:w="9810"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3601"/>
        <w:gridCol w:w="4661"/>
      </w:tblGrid>
      <w:tr w:rsidR="00090AF5" w:rsidRPr="00BB768B" w:rsidTr="00090AF5">
        <w:tc>
          <w:tcPr>
            <w:tcW w:w="9808"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90AF5" w:rsidRPr="00020818" w:rsidRDefault="00090AF5" w:rsidP="00160AED">
            <w:pPr>
              <w:autoSpaceDE w:val="0"/>
              <w:autoSpaceDN w:val="0"/>
              <w:adjustRightInd w:val="0"/>
              <w:spacing w:before="40" w:after="40"/>
              <w:jc w:val="center"/>
              <w:rPr>
                <w:sz w:val="20"/>
                <w:szCs w:val="20"/>
                <w:lang w:val="fr-FR" w:eastAsia="en-GB"/>
              </w:rPr>
            </w:pPr>
            <w:r w:rsidRPr="00020818">
              <w:rPr>
                <w:b/>
                <w:bCs/>
                <w:sz w:val="20"/>
                <w:szCs w:val="20"/>
                <w:lang w:val="fr-CH" w:eastAsia="en-GB"/>
              </w:rPr>
              <w:t>Preparations liquides (concentres emulsifiables et concentres solubles) contenant du dichlorure de paraquat a des concentrations egales ou superieures a 276 g/L correspondant a des concentrations d</w:t>
            </w:r>
            <w:r w:rsidR="000D310E" w:rsidRPr="00020818">
              <w:rPr>
                <w:b/>
                <w:bCs/>
                <w:sz w:val="20"/>
                <w:szCs w:val="20"/>
                <w:lang w:val="fr-CH" w:eastAsia="en-GB"/>
              </w:rPr>
              <w:t>’</w:t>
            </w:r>
            <w:r w:rsidRPr="00020818">
              <w:rPr>
                <w:b/>
                <w:bCs/>
                <w:sz w:val="20"/>
                <w:szCs w:val="20"/>
                <w:lang w:val="fr-CH" w:eastAsia="en-GB"/>
              </w:rPr>
              <w:t>ions paraquat egales ou superieures a 200 g/L</w:t>
            </w:r>
          </w:p>
        </w:tc>
      </w:tr>
      <w:tr w:rsidR="00090AF5" w:rsidRPr="00020818" w:rsidTr="00090AF5">
        <w:tc>
          <w:tcPr>
            <w:tcW w:w="1548" w:type="dxa"/>
            <w:tcBorders>
              <w:top w:val="single" w:sz="4" w:space="0" w:color="auto"/>
              <w:left w:val="single" w:sz="4" w:space="0" w:color="auto"/>
              <w:bottom w:val="single" w:sz="4" w:space="0" w:color="auto"/>
              <w:right w:val="single" w:sz="4" w:space="0" w:color="auto"/>
            </w:tcBorders>
            <w:vAlign w:val="center"/>
            <w:hideMark/>
          </w:tcPr>
          <w:p w:rsidR="00090AF5" w:rsidRPr="00020818" w:rsidRDefault="00090AF5" w:rsidP="00160AED">
            <w:pPr>
              <w:autoSpaceDE w:val="0"/>
              <w:autoSpaceDN w:val="0"/>
              <w:adjustRightInd w:val="0"/>
              <w:spacing w:before="40" w:after="40"/>
              <w:jc w:val="center"/>
              <w:rPr>
                <w:b/>
                <w:bCs/>
                <w:sz w:val="20"/>
                <w:szCs w:val="20"/>
                <w:lang w:val="fr-FR" w:eastAsia="en-GB"/>
              </w:rPr>
            </w:pPr>
            <w:r w:rsidRPr="00020818">
              <w:rPr>
                <w:b/>
                <w:bCs/>
                <w:sz w:val="20"/>
                <w:szCs w:val="20"/>
                <w:lang w:eastAsia="en-GB"/>
              </w:rPr>
              <w:t>PARTIE</w:t>
            </w:r>
          </w:p>
        </w:tc>
        <w:tc>
          <w:tcPr>
            <w:tcW w:w="3600" w:type="dxa"/>
            <w:tcBorders>
              <w:top w:val="single" w:sz="4" w:space="0" w:color="auto"/>
              <w:left w:val="single" w:sz="4" w:space="0" w:color="auto"/>
              <w:bottom w:val="single" w:sz="4" w:space="0" w:color="auto"/>
              <w:right w:val="single" w:sz="4" w:space="0" w:color="auto"/>
            </w:tcBorders>
            <w:vAlign w:val="center"/>
            <w:hideMark/>
          </w:tcPr>
          <w:p w:rsidR="00090AF5" w:rsidRPr="00020818" w:rsidRDefault="00090AF5" w:rsidP="00160AED">
            <w:pPr>
              <w:autoSpaceDE w:val="0"/>
              <w:autoSpaceDN w:val="0"/>
              <w:adjustRightInd w:val="0"/>
              <w:spacing w:before="40" w:after="40"/>
              <w:jc w:val="center"/>
              <w:rPr>
                <w:b/>
                <w:bCs/>
                <w:sz w:val="20"/>
                <w:szCs w:val="20"/>
                <w:lang w:val="fr-FR" w:eastAsia="en-GB"/>
              </w:rPr>
            </w:pPr>
            <w:r w:rsidRPr="00020818">
              <w:rPr>
                <w:b/>
                <w:sz w:val="20"/>
                <w:szCs w:val="20"/>
                <w:lang w:eastAsia="en-GB"/>
              </w:rPr>
              <w:t>CIRCULAIRE PIC</w:t>
            </w:r>
          </w:p>
        </w:tc>
        <w:tc>
          <w:tcPr>
            <w:tcW w:w="4660" w:type="dxa"/>
            <w:tcBorders>
              <w:top w:val="single" w:sz="4" w:space="0" w:color="auto"/>
              <w:left w:val="single" w:sz="4" w:space="0" w:color="auto"/>
              <w:bottom w:val="single" w:sz="4" w:space="0" w:color="auto"/>
              <w:right w:val="single" w:sz="4" w:space="0" w:color="auto"/>
            </w:tcBorders>
            <w:vAlign w:val="center"/>
            <w:hideMark/>
          </w:tcPr>
          <w:p w:rsidR="00090AF5" w:rsidRPr="00020818" w:rsidRDefault="00090AF5" w:rsidP="00160AED">
            <w:pPr>
              <w:autoSpaceDE w:val="0"/>
              <w:autoSpaceDN w:val="0"/>
              <w:adjustRightInd w:val="0"/>
              <w:spacing w:before="40" w:after="40"/>
              <w:jc w:val="center"/>
              <w:rPr>
                <w:b/>
                <w:sz w:val="20"/>
                <w:szCs w:val="20"/>
                <w:lang w:val="fr-FR" w:eastAsia="en-GB"/>
              </w:rPr>
            </w:pPr>
            <w:r w:rsidRPr="00020818">
              <w:rPr>
                <w:b/>
                <w:sz w:val="20"/>
                <w:szCs w:val="20"/>
                <w:lang w:eastAsia="en-GB"/>
              </w:rPr>
              <w:t>LIEN</w:t>
            </w:r>
          </w:p>
        </w:tc>
      </w:tr>
      <w:tr w:rsidR="00090AF5" w:rsidRPr="00020818" w:rsidTr="00090AF5">
        <w:tc>
          <w:tcPr>
            <w:tcW w:w="1548" w:type="dxa"/>
            <w:tcBorders>
              <w:top w:val="single" w:sz="4" w:space="0" w:color="auto"/>
              <w:left w:val="single" w:sz="4" w:space="0" w:color="auto"/>
              <w:bottom w:val="single" w:sz="4" w:space="0" w:color="auto"/>
              <w:right w:val="single" w:sz="4" w:space="0" w:color="auto"/>
            </w:tcBorders>
          </w:tcPr>
          <w:p w:rsidR="00090AF5" w:rsidRPr="00020818" w:rsidRDefault="00EE1BD5" w:rsidP="00160AED">
            <w:pPr>
              <w:autoSpaceDE w:val="0"/>
              <w:autoSpaceDN w:val="0"/>
              <w:adjustRightInd w:val="0"/>
              <w:spacing w:before="40" w:after="40"/>
              <w:jc w:val="both"/>
              <w:rPr>
                <w:b/>
                <w:bCs/>
                <w:sz w:val="20"/>
                <w:szCs w:val="20"/>
                <w:lang w:val="fr-FR" w:eastAsia="en-GB"/>
              </w:rPr>
            </w:pPr>
            <w:r>
              <w:rPr>
                <w:b/>
                <w:bCs/>
                <w:sz w:val="20"/>
                <w:szCs w:val="20"/>
                <w:lang w:val="fr-FR" w:eastAsia="en-GB"/>
              </w:rPr>
              <w:t>-</w:t>
            </w:r>
          </w:p>
        </w:tc>
        <w:tc>
          <w:tcPr>
            <w:tcW w:w="3600" w:type="dxa"/>
            <w:tcBorders>
              <w:top w:val="single" w:sz="4" w:space="0" w:color="auto"/>
              <w:left w:val="single" w:sz="4" w:space="0" w:color="auto"/>
              <w:bottom w:val="single" w:sz="4" w:space="0" w:color="auto"/>
              <w:right w:val="single" w:sz="4" w:space="0" w:color="auto"/>
            </w:tcBorders>
          </w:tcPr>
          <w:p w:rsidR="00090AF5" w:rsidRPr="00020818" w:rsidRDefault="00EE1BD5" w:rsidP="00160AED">
            <w:pPr>
              <w:autoSpaceDE w:val="0"/>
              <w:autoSpaceDN w:val="0"/>
              <w:adjustRightInd w:val="0"/>
              <w:spacing w:before="40" w:after="40"/>
              <w:rPr>
                <w:b/>
                <w:bCs/>
                <w:sz w:val="20"/>
                <w:szCs w:val="20"/>
                <w:lang w:val="fr-FR" w:eastAsia="en-GB"/>
              </w:rPr>
            </w:pPr>
            <w:r>
              <w:rPr>
                <w:b/>
                <w:bCs/>
                <w:sz w:val="20"/>
                <w:szCs w:val="20"/>
                <w:lang w:val="fr-FR" w:eastAsia="en-GB"/>
              </w:rPr>
              <w:t>-</w:t>
            </w:r>
          </w:p>
        </w:tc>
        <w:tc>
          <w:tcPr>
            <w:tcW w:w="4660" w:type="dxa"/>
            <w:tcBorders>
              <w:top w:val="single" w:sz="4" w:space="0" w:color="auto"/>
              <w:left w:val="single" w:sz="4" w:space="0" w:color="auto"/>
              <w:bottom w:val="single" w:sz="4" w:space="0" w:color="auto"/>
              <w:right w:val="single" w:sz="4" w:space="0" w:color="auto"/>
            </w:tcBorders>
          </w:tcPr>
          <w:p w:rsidR="00090AF5" w:rsidRPr="00020818" w:rsidRDefault="00EE1BD5" w:rsidP="00160AED">
            <w:pPr>
              <w:autoSpaceDE w:val="0"/>
              <w:autoSpaceDN w:val="0"/>
              <w:adjustRightInd w:val="0"/>
              <w:spacing w:before="40" w:after="40"/>
              <w:jc w:val="both"/>
              <w:rPr>
                <w:sz w:val="20"/>
                <w:szCs w:val="20"/>
                <w:u w:val="single"/>
                <w:lang w:val="fr-FR" w:eastAsia="en-GB"/>
              </w:rPr>
            </w:pPr>
            <w:r>
              <w:rPr>
                <w:sz w:val="20"/>
                <w:szCs w:val="20"/>
                <w:u w:val="single"/>
                <w:lang w:val="fr-FR" w:eastAsia="en-GB"/>
              </w:rPr>
              <w:t>-</w:t>
            </w:r>
          </w:p>
        </w:tc>
      </w:tr>
    </w:tbl>
    <w:p w:rsidR="007B68CF" w:rsidRPr="00ED711A" w:rsidRDefault="007B68CF" w:rsidP="007B68CF">
      <w:pPr>
        <w:rPr>
          <w:sz w:val="22"/>
          <w:szCs w:val="22"/>
          <w:lang w:val="en-GB"/>
        </w:rPr>
      </w:pPr>
    </w:p>
    <w:p w:rsidR="00E16B07" w:rsidRPr="00ED711A" w:rsidRDefault="00E16B07" w:rsidP="007B68CF">
      <w:pPr>
        <w:jc w:val="center"/>
        <w:rPr>
          <w:b/>
          <w:u w:val="single"/>
          <w:lang w:val="en-GB"/>
        </w:rPr>
        <w:sectPr w:rsidR="00E16B07" w:rsidRPr="00ED711A" w:rsidSect="007F589F">
          <w:headerReference w:type="default" r:id="rId66"/>
          <w:pgSz w:w="11907" w:h="16839" w:code="9"/>
          <w:pgMar w:top="1134" w:right="1134" w:bottom="1134" w:left="1134" w:header="709" w:footer="709" w:gutter="0"/>
          <w:cols w:space="708"/>
          <w:docGrid w:linePitch="360"/>
        </w:sectPr>
      </w:pPr>
    </w:p>
    <w:p w:rsidR="007B68CF" w:rsidRPr="00ED711A" w:rsidRDefault="00F64250" w:rsidP="007B68CF">
      <w:pPr>
        <w:jc w:val="center"/>
        <w:rPr>
          <w:b/>
          <w:u w:val="single"/>
          <w:lang w:val="en-GB"/>
        </w:rPr>
      </w:pPr>
      <w:r w:rsidRPr="00ED711A">
        <w:rPr>
          <w:b/>
          <w:u w:val="single"/>
          <w:lang w:val="en-GB"/>
        </w:rPr>
        <w:lastRenderedPageBreak/>
        <w:t>PART</w:t>
      </w:r>
      <w:r w:rsidR="00D70458" w:rsidRPr="00ED711A">
        <w:rPr>
          <w:b/>
          <w:u w:val="single"/>
          <w:lang w:val="en-GB"/>
        </w:rPr>
        <w:t>IE</w:t>
      </w:r>
      <w:r w:rsidRPr="00ED711A">
        <w:rPr>
          <w:b/>
          <w:u w:val="single"/>
          <w:lang w:val="en-GB"/>
        </w:rPr>
        <w:t xml:space="preserve"> B</w:t>
      </w:r>
    </w:p>
    <w:p w:rsidR="007B68CF" w:rsidRPr="00ED711A" w:rsidRDefault="007B68CF" w:rsidP="007B68CF">
      <w:pPr>
        <w:rPr>
          <w:lang w:val="en-GB"/>
        </w:rPr>
      </w:pPr>
    </w:p>
    <w:p w:rsidR="007B68CF" w:rsidRPr="00ED711A" w:rsidRDefault="00090AF5" w:rsidP="007B68CF">
      <w:pPr>
        <w:jc w:val="center"/>
        <w:rPr>
          <w:b/>
          <w:snapToGrid w:val="0"/>
          <w:lang w:val="fr-CH"/>
        </w:rPr>
      </w:pPr>
      <w:r w:rsidRPr="00ED711A">
        <w:rPr>
          <w:b/>
          <w:snapToGrid w:val="0"/>
          <w:lang w:val="fr-CH"/>
        </w:rPr>
        <w:t>INFORMATIONS FOURNIES PAR LES PARTIES SUR LES DECISIONS CONCERNANT L</w:t>
      </w:r>
      <w:r w:rsidR="000D310E" w:rsidRPr="00ED711A">
        <w:rPr>
          <w:b/>
          <w:snapToGrid w:val="0"/>
          <w:lang w:val="fr-CH"/>
        </w:rPr>
        <w:t>’</w:t>
      </w:r>
      <w:r w:rsidRPr="00ED711A">
        <w:rPr>
          <w:b/>
          <w:snapToGrid w:val="0"/>
          <w:lang w:val="fr-CH"/>
        </w:rPr>
        <w:t>IMPORTATION POUR L</w:t>
      </w:r>
      <w:r w:rsidR="000D310E" w:rsidRPr="00ED711A">
        <w:rPr>
          <w:b/>
          <w:snapToGrid w:val="0"/>
          <w:lang w:val="fr-CH"/>
        </w:rPr>
        <w:t>’</w:t>
      </w:r>
      <w:r w:rsidRPr="00ED711A">
        <w:rPr>
          <w:b/>
          <w:snapToGrid w:val="0"/>
          <w:lang w:val="fr-CH"/>
        </w:rPr>
        <w:t>AMIANTE CHRYSOTILE ET PREPARATIONS LIQUIDES (CONCENTRES EMULSIFIABLES ET CONCENTRES SOLUBLES) CONTENANT DU DICHLORURE DE PARAQUAT A DES CONCENTRATIONS EGALES OU SUPERIEURES A 276 g/L CORRESPONDANT A DES CONCENTRATIONS D</w:t>
      </w:r>
      <w:r w:rsidR="000D310E" w:rsidRPr="00ED711A">
        <w:rPr>
          <w:b/>
          <w:snapToGrid w:val="0"/>
          <w:lang w:val="fr-CH"/>
        </w:rPr>
        <w:t>’</w:t>
      </w:r>
      <w:r w:rsidRPr="00ED711A">
        <w:rPr>
          <w:b/>
          <w:snapToGrid w:val="0"/>
          <w:lang w:val="fr-CH"/>
        </w:rPr>
        <w:t>IONS PARAQUAT EGALES OU SUPERIEURES A 200 g/L</w:t>
      </w:r>
    </w:p>
    <w:p w:rsidR="007B68CF" w:rsidRPr="00ED711A" w:rsidRDefault="007B68CF" w:rsidP="007B68CF">
      <w:pPr>
        <w:rPr>
          <w:sz w:val="22"/>
          <w:szCs w:val="22"/>
          <w:lang w:val="fr-CH"/>
        </w:rPr>
      </w:pPr>
    </w:p>
    <w:p w:rsidR="007B68CF" w:rsidRPr="00ED711A" w:rsidRDefault="00090AF5" w:rsidP="007B68CF">
      <w:pPr>
        <w:jc w:val="center"/>
        <w:rPr>
          <w:b/>
          <w:sz w:val="22"/>
          <w:szCs w:val="22"/>
          <w:lang w:val="en-GB"/>
        </w:rPr>
      </w:pPr>
      <w:r w:rsidRPr="00ED711A">
        <w:rPr>
          <w:b/>
          <w:sz w:val="22"/>
          <w:szCs w:val="22"/>
          <w:lang w:val="en-GB"/>
        </w:rPr>
        <w:t>AMIANTE CHRYSOTILE</w:t>
      </w:r>
    </w:p>
    <w:p w:rsidR="007B68CF" w:rsidRPr="00ED711A" w:rsidRDefault="007B68CF" w:rsidP="007B68CF">
      <w:pPr>
        <w:rPr>
          <w:sz w:val="22"/>
          <w:szCs w:val="22"/>
          <w:lang w:val="en-GB"/>
        </w:rPr>
      </w:pPr>
    </w:p>
    <w:tbl>
      <w:tblPr>
        <w:tblW w:w="9923" w:type="dxa"/>
        <w:tblBorders>
          <w:top w:val="single" w:sz="4" w:space="0" w:color="auto"/>
          <w:left w:val="single" w:sz="4" w:space="0" w:color="auto"/>
          <w:bottom w:val="single" w:sz="4" w:space="0" w:color="auto"/>
          <w:right w:val="single" w:sz="4" w:space="0" w:color="auto"/>
        </w:tblBorders>
        <w:tblLayout w:type="fixed"/>
        <w:tblLook w:val="0000"/>
      </w:tblPr>
      <w:tblGrid>
        <w:gridCol w:w="1496"/>
        <w:gridCol w:w="6712"/>
        <w:gridCol w:w="1715"/>
      </w:tblGrid>
      <w:tr w:rsidR="007B68CF" w:rsidRPr="00020818" w:rsidTr="00D47369">
        <w:tc>
          <w:tcPr>
            <w:tcW w:w="9923" w:type="dxa"/>
            <w:gridSpan w:val="3"/>
            <w:tcBorders>
              <w:top w:val="single" w:sz="4" w:space="0" w:color="auto"/>
              <w:bottom w:val="single" w:sz="4" w:space="0" w:color="auto"/>
              <w:right w:val="single" w:sz="4" w:space="0" w:color="auto"/>
            </w:tcBorders>
            <w:shd w:val="clear" w:color="auto" w:fill="E6E6E6"/>
            <w:vAlign w:val="center"/>
          </w:tcPr>
          <w:p w:rsidR="007B68CF" w:rsidRPr="00020818" w:rsidRDefault="00090AF5" w:rsidP="00020818">
            <w:pPr>
              <w:autoSpaceDE w:val="0"/>
              <w:autoSpaceDN w:val="0"/>
              <w:adjustRightInd w:val="0"/>
              <w:spacing w:before="40" w:after="40"/>
              <w:jc w:val="center"/>
              <w:rPr>
                <w:sz w:val="20"/>
                <w:szCs w:val="20"/>
                <w:lang w:val="en-GB" w:eastAsia="en-GB"/>
              </w:rPr>
            </w:pPr>
            <w:r w:rsidRPr="00020818">
              <w:rPr>
                <w:b/>
                <w:bCs/>
                <w:sz w:val="20"/>
                <w:szCs w:val="20"/>
                <w:lang w:eastAsia="en-GB"/>
              </w:rPr>
              <w:t>Amiante chrysotile (Numéro CAS: 12001-29-5)</w:t>
            </w:r>
          </w:p>
        </w:tc>
      </w:tr>
      <w:tr w:rsidR="00090AF5" w:rsidRPr="00020818" w:rsidTr="00090AF5">
        <w:tc>
          <w:tcPr>
            <w:tcW w:w="1496" w:type="dxa"/>
            <w:tcBorders>
              <w:top w:val="single" w:sz="4" w:space="0" w:color="auto"/>
              <w:bottom w:val="single" w:sz="4" w:space="0" w:color="auto"/>
              <w:right w:val="single" w:sz="4" w:space="0" w:color="auto"/>
            </w:tcBorders>
            <w:vAlign w:val="center"/>
          </w:tcPr>
          <w:p w:rsidR="00090AF5" w:rsidRPr="00020818" w:rsidRDefault="00090AF5" w:rsidP="00020818">
            <w:pPr>
              <w:autoSpaceDE w:val="0"/>
              <w:autoSpaceDN w:val="0"/>
              <w:adjustRightInd w:val="0"/>
              <w:spacing w:before="40" w:after="40"/>
              <w:jc w:val="center"/>
              <w:rPr>
                <w:b/>
                <w:bCs/>
                <w:sz w:val="20"/>
                <w:szCs w:val="20"/>
                <w:lang w:val="fr-FR" w:eastAsia="en-GB"/>
              </w:rPr>
            </w:pPr>
            <w:r w:rsidRPr="00020818">
              <w:rPr>
                <w:b/>
                <w:bCs/>
                <w:sz w:val="20"/>
                <w:szCs w:val="20"/>
                <w:lang w:eastAsia="en-GB"/>
              </w:rPr>
              <w:t>PARTIE</w:t>
            </w:r>
          </w:p>
        </w:tc>
        <w:tc>
          <w:tcPr>
            <w:tcW w:w="6712" w:type="dxa"/>
            <w:tcBorders>
              <w:top w:val="single" w:sz="4" w:space="0" w:color="auto"/>
              <w:left w:val="single" w:sz="4" w:space="0" w:color="auto"/>
              <w:bottom w:val="single" w:sz="4" w:space="0" w:color="auto"/>
              <w:right w:val="single" w:sz="4" w:space="0" w:color="auto"/>
            </w:tcBorders>
            <w:vAlign w:val="center"/>
          </w:tcPr>
          <w:p w:rsidR="00090AF5" w:rsidRPr="00020818" w:rsidRDefault="00090AF5" w:rsidP="00020818">
            <w:pPr>
              <w:autoSpaceDE w:val="0"/>
              <w:autoSpaceDN w:val="0"/>
              <w:adjustRightInd w:val="0"/>
              <w:spacing w:before="40" w:after="40"/>
              <w:jc w:val="center"/>
              <w:rPr>
                <w:b/>
                <w:bCs/>
                <w:sz w:val="20"/>
                <w:szCs w:val="20"/>
                <w:lang w:val="fr-FR" w:eastAsia="en-GB"/>
              </w:rPr>
            </w:pPr>
            <w:r w:rsidRPr="00020818">
              <w:rPr>
                <w:b/>
                <w:bCs/>
                <w:sz w:val="20"/>
                <w:szCs w:val="20"/>
                <w:lang w:eastAsia="en-GB"/>
              </w:rPr>
              <w:t>DECISION CONCERNANT L</w:t>
            </w:r>
            <w:r w:rsidR="000D310E" w:rsidRPr="00020818">
              <w:rPr>
                <w:b/>
                <w:bCs/>
                <w:sz w:val="20"/>
                <w:szCs w:val="20"/>
                <w:lang w:eastAsia="en-GB"/>
              </w:rPr>
              <w:t>’</w:t>
            </w:r>
            <w:r w:rsidRPr="00020818">
              <w:rPr>
                <w:b/>
                <w:bCs/>
                <w:sz w:val="20"/>
                <w:szCs w:val="20"/>
                <w:lang w:eastAsia="en-GB"/>
              </w:rPr>
              <w:t>IMPORTATION</w:t>
            </w:r>
          </w:p>
        </w:tc>
        <w:tc>
          <w:tcPr>
            <w:tcW w:w="1715" w:type="dxa"/>
            <w:tcBorders>
              <w:top w:val="single" w:sz="4" w:space="0" w:color="auto"/>
              <w:left w:val="single" w:sz="4" w:space="0" w:color="auto"/>
              <w:bottom w:val="single" w:sz="4" w:space="0" w:color="auto"/>
              <w:right w:val="single" w:sz="4" w:space="0" w:color="auto"/>
            </w:tcBorders>
            <w:vAlign w:val="center"/>
          </w:tcPr>
          <w:p w:rsidR="00090AF5" w:rsidRPr="00020818" w:rsidRDefault="00090AF5" w:rsidP="00020818">
            <w:pPr>
              <w:autoSpaceDE w:val="0"/>
              <w:autoSpaceDN w:val="0"/>
              <w:adjustRightInd w:val="0"/>
              <w:spacing w:before="40" w:after="40"/>
              <w:jc w:val="center"/>
              <w:rPr>
                <w:b/>
                <w:sz w:val="20"/>
                <w:szCs w:val="20"/>
                <w:lang w:val="fr-FR" w:eastAsia="en-GB"/>
              </w:rPr>
            </w:pPr>
            <w:r w:rsidRPr="00020818">
              <w:rPr>
                <w:b/>
                <w:sz w:val="20"/>
                <w:szCs w:val="20"/>
                <w:lang w:eastAsia="en-GB"/>
              </w:rPr>
              <w:t>DATE DE RECEPTION</w:t>
            </w:r>
          </w:p>
        </w:tc>
      </w:tr>
      <w:tr w:rsidR="00090AF5" w:rsidRPr="00020818" w:rsidTr="00D47369">
        <w:tc>
          <w:tcPr>
            <w:tcW w:w="1496" w:type="dxa"/>
            <w:tcBorders>
              <w:top w:val="single" w:sz="4" w:space="0" w:color="auto"/>
              <w:bottom w:val="single" w:sz="4" w:space="0" w:color="auto"/>
              <w:right w:val="single" w:sz="4" w:space="0" w:color="auto"/>
            </w:tcBorders>
          </w:tcPr>
          <w:p w:rsidR="00090AF5" w:rsidRPr="00EE1BD5" w:rsidRDefault="00090AF5" w:rsidP="00020818">
            <w:pPr>
              <w:autoSpaceDE w:val="0"/>
              <w:autoSpaceDN w:val="0"/>
              <w:adjustRightInd w:val="0"/>
              <w:spacing w:before="40" w:after="40"/>
              <w:jc w:val="both"/>
              <w:rPr>
                <w:bCs/>
                <w:sz w:val="20"/>
                <w:szCs w:val="20"/>
                <w:lang w:val="fr-FR" w:eastAsia="en-GB"/>
              </w:rPr>
            </w:pPr>
            <w:r w:rsidRPr="00EE1BD5">
              <w:rPr>
                <w:bCs/>
                <w:sz w:val="20"/>
                <w:szCs w:val="20"/>
                <w:lang w:eastAsia="en-GB"/>
              </w:rPr>
              <w:t>Union Européenne</w:t>
            </w:r>
          </w:p>
        </w:tc>
        <w:tc>
          <w:tcPr>
            <w:tcW w:w="6712" w:type="dxa"/>
            <w:tcBorders>
              <w:top w:val="single" w:sz="4" w:space="0" w:color="auto"/>
              <w:left w:val="single" w:sz="4" w:space="0" w:color="auto"/>
              <w:bottom w:val="single" w:sz="4" w:space="0" w:color="auto"/>
              <w:right w:val="single" w:sz="4" w:space="0" w:color="auto"/>
            </w:tcBorders>
          </w:tcPr>
          <w:p w:rsidR="00090AF5" w:rsidRPr="00020818" w:rsidRDefault="00090AF5" w:rsidP="00020818">
            <w:pPr>
              <w:autoSpaceDE w:val="0"/>
              <w:autoSpaceDN w:val="0"/>
              <w:adjustRightInd w:val="0"/>
              <w:spacing w:before="40" w:after="40"/>
              <w:jc w:val="both"/>
              <w:rPr>
                <w:bCs/>
                <w:sz w:val="20"/>
                <w:szCs w:val="20"/>
                <w:lang w:val="fr-FR" w:eastAsia="en-GB"/>
              </w:rPr>
            </w:pPr>
            <w:r w:rsidRPr="00020818">
              <w:rPr>
                <w:rStyle w:val="longtext1"/>
                <w:u w:val="single"/>
                <w:shd w:val="clear" w:color="auto" w:fill="FFFFFF"/>
                <w:lang w:val="fr-CH"/>
              </w:rPr>
              <w:t>Consentement à l</w:t>
            </w:r>
            <w:r w:rsidR="000D310E" w:rsidRPr="00020818">
              <w:rPr>
                <w:rStyle w:val="longtext1"/>
                <w:u w:val="single"/>
                <w:shd w:val="clear" w:color="auto" w:fill="FFFFFF"/>
                <w:lang w:val="fr-CH"/>
              </w:rPr>
              <w:t>’</w:t>
            </w:r>
            <w:r w:rsidRPr="00020818">
              <w:rPr>
                <w:rStyle w:val="longtext1"/>
                <w:u w:val="single"/>
                <w:shd w:val="clear" w:color="auto" w:fill="FFFFFF"/>
                <w:lang w:val="fr-CH"/>
              </w:rPr>
              <w:t>importation seulement sous certaines conditions spécifiées</w:t>
            </w:r>
            <w:r w:rsidRPr="00020818">
              <w:rPr>
                <w:rStyle w:val="longtext1"/>
                <w:shd w:val="clear" w:color="auto" w:fill="FFFFFF"/>
                <w:lang w:val="fr-CH"/>
              </w:rPr>
              <w:t>:</w:t>
            </w:r>
            <w:r w:rsidRPr="00020818">
              <w:rPr>
                <w:sz w:val="20"/>
                <w:szCs w:val="20"/>
                <w:shd w:val="clear" w:color="auto" w:fill="FFFFFF"/>
                <w:lang w:val="fr-CH"/>
              </w:rPr>
              <w:br/>
            </w:r>
            <w:r w:rsidRPr="00020818">
              <w:rPr>
                <w:rStyle w:val="longtext1"/>
                <w:shd w:val="clear" w:color="auto" w:fill="FFFFFF"/>
                <w:lang w:val="fr-CH"/>
              </w:rPr>
              <w:t>La fabrication, la mise sur le marché et l</w:t>
            </w:r>
            <w:r w:rsidR="000D310E" w:rsidRPr="00020818">
              <w:rPr>
                <w:rStyle w:val="longtext1"/>
                <w:shd w:val="clear" w:color="auto" w:fill="FFFFFF"/>
                <w:lang w:val="fr-CH"/>
              </w:rPr>
              <w:t>’</w:t>
            </w:r>
            <w:r w:rsidRPr="00020818">
              <w:rPr>
                <w:rStyle w:val="longtext1"/>
                <w:shd w:val="clear" w:color="auto" w:fill="FFFFFF"/>
                <w:lang w:val="fr-CH"/>
              </w:rPr>
              <w:t>utilisation de fibres d</w:t>
            </w:r>
            <w:r w:rsidR="000D310E" w:rsidRPr="00020818">
              <w:rPr>
                <w:rStyle w:val="longtext1"/>
                <w:shd w:val="clear" w:color="auto" w:fill="FFFFFF"/>
                <w:lang w:val="fr-CH"/>
              </w:rPr>
              <w:t>’</w:t>
            </w:r>
            <w:r w:rsidRPr="00020818">
              <w:rPr>
                <w:rStyle w:val="longtext1"/>
                <w:shd w:val="clear" w:color="auto" w:fill="FFFFFF"/>
                <w:lang w:val="fr-CH"/>
              </w:rPr>
              <w:t>amiante chrysotile et des articles contenant ces fibres ajoutées intentionnellement, est interdit. Toutefois, les États membres devront exempter  la mise sur le marché et l</w:t>
            </w:r>
            <w:r w:rsidR="000D310E" w:rsidRPr="00020818">
              <w:rPr>
                <w:rStyle w:val="longtext1"/>
                <w:shd w:val="clear" w:color="auto" w:fill="FFFFFF"/>
                <w:lang w:val="fr-CH"/>
              </w:rPr>
              <w:t>’</w:t>
            </w:r>
            <w:r w:rsidRPr="00020818">
              <w:rPr>
                <w:rStyle w:val="longtext1"/>
                <w:shd w:val="clear" w:color="auto" w:fill="FFFFFF"/>
                <w:lang w:val="fr-CH"/>
              </w:rPr>
              <w:t>utilisation de diaphragmes contenant du chrysotile pour les installations d</w:t>
            </w:r>
            <w:r w:rsidR="000D310E" w:rsidRPr="00020818">
              <w:rPr>
                <w:rStyle w:val="longtext1"/>
                <w:shd w:val="clear" w:color="auto" w:fill="FFFFFF"/>
                <w:lang w:val="fr-CH"/>
              </w:rPr>
              <w:t>’</w:t>
            </w:r>
            <w:r w:rsidRPr="00020818">
              <w:rPr>
                <w:rStyle w:val="longtext1"/>
                <w:shd w:val="clear" w:color="auto" w:fill="FFFFFF"/>
                <w:lang w:val="fr-CH"/>
              </w:rPr>
              <w:t>électrolyse existantes jusqu</w:t>
            </w:r>
            <w:r w:rsidR="000D310E" w:rsidRPr="00020818">
              <w:rPr>
                <w:rStyle w:val="longtext1"/>
                <w:shd w:val="clear" w:color="auto" w:fill="FFFFFF"/>
                <w:lang w:val="fr-CH"/>
              </w:rPr>
              <w:t>’</w:t>
            </w:r>
            <w:r w:rsidRPr="00020818">
              <w:rPr>
                <w:rStyle w:val="longtext1"/>
                <w:shd w:val="clear" w:color="auto" w:fill="FFFFFF"/>
                <w:lang w:val="fr-CH"/>
              </w:rPr>
              <w:t>à ce qu</w:t>
            </w:r>
            <w:r w:rsidR="000D310E" w:rsidRPr="00020818">
              <w:rPr>
                <w:rStyle w:val="longtext1"/>
                <w:shd w:val="clear" w:color="auto" w:fill="FFFFFF"/>
                <w:lang w:val="fr-CH"/>
              </w:rPr>
              <w:t>’</w:t>
            </w:r>
            <w:r w:rsidRPr="00020818">
              <w:rPr>
                <w:rStyle w:val="longtext1"/>
                <w:shd w:val="clear" w:color="auto" w:fill="FFFFFF"/>
                <w:lang w:val="fr-CH"/>
              </w:rPr>
              <w:t>elles atteignent la fin de leur cycle de vie, ou jusqu</w:t>
            </w:r>
            <w:r w:rsidR="000D310E" w:rsidRPr="00020818">
              <w:rPr>
                <w:rStyle w:val="longtext1"/>
                <w:shd w:val="clear" w:color="auto" w:fill="FFFFFF"/>
                <w:lang w:val="fr-CH"/>
              </w:rPr>
              <w:t>’</w:t>
            </w:r>
            <w:r w:rsidRPr="00020818">
              <w:rPr>
                <w:rStyle w:val="longtext1"/>
                <w:shd w:val="clear" w:color="auto" w:fill="FFFFFF"/>
                <w:lang w:val="fr-CH"/>
              </w:rPr>
              <w:t>à ce que des substituts appropriés d</w:t>
            </w:r>
            <w:r w:rsidR="000D310E" w:rsidRPr="00020818">
              <w:rPr>
                <w:rStyle w:val="longtext1"/>
                <w:shd w:val="clear" w:color="auto" w:fill="FFFFFF"/>
                <w:lang w:val="fr-CH"/>
              </w:rPr>
              <w:t>’</w:t>
            </w:r>
            <w:r w:rsidRPr="00020818">
              <w:rPr>
                <w:rStyle w:val="longtext1"/>
                <w:shd w:val="clear" w:color="auto" w:fill="FFFFFF"/>
                <w:lang w:val="fr-CH"/>
              </w:rPr>
              <w:t xml:space="preserve">amiante deviennent disponibles, selon la date la plus proche. Avant le 1er Juin 2011 les États membres faisant usage de cette dérogation, doivent fournir un rapport à la Commission. </w:t>
            </w:r>
            <w:r w:rsidRPr="00020818">
              <w:rPr>
                <w:rStyle w:val="longtext1"/>
                <w:lang w:val="fr-CH"/>
              </w:rPr>
              <w:t>La Commission doit demander à l</w:t>
            </w:r>
            <w:r w:rsidR="000D310E" w:rsidRPr="00020818">
              <w:rPr>
                <w:rStyle w:val="longtext1"/>
                <w:lang w:val="fr-CH"/>
              </w:rPr>
              <w:t>’</w:t>
            </w:r>
            <w:r w:rsidRPr="00020818">
              <w:rPr>
                <w:rStyle w:val="longtext1"/>
                <w:lang w:val="fr-CH"/>
              </w:rPr>
              <w:t>Agence européenne des produits chimiques de préparer un dossier en vue d</w:t>
            </w:r>
            <w:r w:rsidR="000D310E" w:rsidRPr="00020818">
              <w:rPr>
                <w:rStyle w:val="longtext1"/>
                <w:lang w:val="fr-CH"/>
              </w:rPr>
              <w:t>’</w:t>
            </w:r>
            <w:r w:rsidRPr="00020818">
              <w:rPr>
                <w:rStyle w:val="longtext1"/>
                <w:lang w:val="fr-CH"/>
              </w:rPr>
              <w:t>interdire la mise sur le marché et l</w:t>
            </w:r>
            <w:r w:rsidR="000D310E" w:rsidRPr="00020818">
              <w:rPr>
                <w:rStyle w:val="longtext1"/>
                <w:lang w:val="fr-CH"/>
              </w:rPr>
              <w:t>’</w:t>
            </w:r>
            <w:r w:rsidRPr="00020818">
              <w:rPr>
                <w:rStyle w:val="longtext1"/>
                <w:lang w:val="fr-CH"/>
              </w:rPr>
              <w:t>utilisation de diaphragmes contenant du chrysotile</w:t>
            </w:r>
          </w:p>
          <w:p w:rsidR="00090AF5" w:rsidRPr="00020818" w:rsidRDefault="00090AF5" w:rsidP="00020818">
            <w:pPr>
              <w:autoSpaceDE w:val="0"/>
              <w:autoSpaceDN w:val="0"/>
              <w:adjustRightInd w:val="0"/>
              <w:spacing w:before="40" w:after="40"/>
              <w:jc w:val="both"/>
              <w:rPr>
                <w:bCs/>
                <w:sz w:val="20"/>
                <w:szCs w:val="20"/>
                <w:lang w:val="fr-CH" w:eastAsia="en-GB"/>
              </w:rPr>
            </w:pPr>
          </w:p>
          <w:p w:rsidR="00090AF5" w:rsidRPr="00020818" w:rsidRDefault="00090AF5" w:rsidP="00020818">
            <w:pPr>
              <w:autoSpaceDE w:val="0"/>
              <w:autoSpaceDN w:val="0"/>
              <w:adjustRightInd w:val="0"/>
              <w:spacing w:before="40" w:after="40"/>
              <w:jc w:val="both"/>
              <w:rPr>
                <w:sz w:val="20"/>
                <w:szCs w:val="20"/>
                <w:shd w:val="clear" w:color="auto" w:fill="FFFFFF"/>
                <w:lang w:val="fr-CH"/>
              </w:rPr>
            </w:pPr>
            <w:r w:rsidRPr="00020818">
              <w:rPr>
                <w:rStyle w:val="longtext1"/>
                <w:u w:val="single"/>
                <w:shd w:val="clear" w:color="auto" w:fill="FFFFFF"/>
                <w:lang w:val="fr-CH"/>
              </w:rPr>
              <w:t>Mesures administratives</w:t>
            </w:r>
            <w:r w:rsidRPr="00020818">
              <w:rPr>
                <w:rStyle w:val="longtext1"/>
                <w:shd w:val="clear" w:color="auto" w:fill="FFFFFF"/>
                <w:lang w:val="fr-CH"/>
              </w:rPr>
              <w:t xml:space="preserve">: </w:t>
            </w:r>
          </w:p>
          <w:p w:rsidR="00090AF5" w:rsidRPr="00020818" w:rsidRDefault="00090AF5" w:rsidP="00020818">
            <w:pPr>
              <w:autoSpaceDE w:val="0"/>
              <w:autoSpaceDN w:val="0"/>
              <w:adjustRightInd w:val="0"/>
              <w:spacing w:before="40" w:after="40"/>
              <w:jc w:val="both"/>
              <w:rPr>
                <w:bCs/>
                <w:sz w:val="20"/>
                <w:szCs w:val="20"/>
                <w:lang w:val="fr-FR" w:eastAsia="en-GB"/>
              </w:rPr>
            </w:pPr>
            <w:r w:rsidRPr="00020818">
              <w:rPr>
                <w:rStyle w:val="longtext1"/>
                <w:shd w:val="clear" w:color="auto" w:fill="FFFFFF"/>
                <w:lang w:val="fr-CH"/>
              </w:rPr>
              <w:t>Le produit chimique a été interdit (avec l</w:t>
            </w:r>
            <w:r w:rsidR="000D310E" w:rsidRPr="00020818">
              <w:rPr>
                <w:rStyle w:val="longtext1"/>
                <w:shd w:val="clear" w:color="auto" w:fill="FFFFFF"/>
                <w:lang w:val="fr-CH"/>
              </w:rPr>
              <w:t>’</w:t>
            </w:r>
            <w:r w:rsidRPr="00020818">
              <w:rPr>
                <w:rStyle w:val="longtext1"/>
                <w:shd w:val="clear" w:color="auto" w:fill="FFFFFF"/>
                <w:lang w:val="fr-CH"/>
              </w:rPr>
              <w:t>une des dérogation limitée visés à l</w:t>
            </w:r>
            <w:r w:rsidR="000D310E" w:rsidRPr="00020818">
              <w:rPr>
                <w:rStyle w:val="longtext1"/>
                <w:shd w:val="clear" w:color="auto" w:fill="FFFFFF"/>
                <w:lang w:val="fr-CH"/>
              </w:rPr>
              <w:t>’</w:t>
            </w:r>
            <w:r w:rsidRPr="00020818">
              <w:rPr>
                <w:rStyle w:val="longtext1"/>
                <w:shd w:val="clear" w:color="auto" w:fill="FFFFFF"/>
                <w:lang w:val="fr-CH"/>
              </w:rPr>
              <w:t>article 5.3 ci-dessus) par le règlement (CE) n ° 1907/2006 du Parlement européen et du Conseil du 18 Décembre 2006 concernant l</w:t>
            </w:r>
            <w:r w:rsidR="000D310E" w:rsidRPr="00020818">
              <w:rPr>
                <w:rStyle w:val="longtext1"/>
                <w:shd w:val="clear" w:color="auto" w:fill="FFFFFF"/>
                <w:lang w:val="fr-CH"/>
              </w:rPr>
              <w:t>’</w:t>
            </w:r>
            <w:r w:rsidRPr="00020818">
              <w:rPr>
                <w:rStyle w:val="longtext1"/>
                <w:shd w:val="clear" w:color="auto" w:fill="FFFFFF"/>
                <w:lang w:val="fr-CH"/>
              </w:rPr>
              <w:t xml:space="preserve">enregistrement, évaluation, autorisation et restriction des produits chimiques (REACH ), instituant une Agence européenne des produits chimiques, modifiant la directive 1999/45/CE et abrogeant le règlement (CEE) n ° 793/93 et le règlement (CE) n ° 1488/94 ainsi que la directive du Conseil 76/769/CEE  et les directives de la Commission 91/ 155/EEC, 93/67/CEE, 93/105/CE et 2000/21/CE de la Commission (Journal officiel des Communautés européennes (JO) l396 du 30 Décembre 2006, p. 1), modifié par le règlement (CE) </w:t>
            </w:r>
            <w:r w:rsidRPr="00020818">
              <w:rPr>
                <w:rStyle w:val="longtext1"/>
                <w:lang w:val="fr-CH"/>
              </w:rPr>
              <w:t>n ° 552/2009 du 22 Juin 2009 modifiant le règlement (CE) n ° 1907/2006 du Parlement européen et du Conseil concernant l</w:t>
            </w:r>
            <w:r w:rsidR="000D310E" w:rsidRPr="00020818">
              <w:rPr>
                <w:rStyle w:val="longtext1"/>
                <w:lang w:val="fr-CH"/>
              </w:rPr>
              <w:t>’</w:t>
            </w:r>
            <w:r w:rsidRPr="00020818">
              <w:rPr>
                <w:rStyle w:val="longtext1"/>
                <w:lang w:val="fr-CH"/>
              </w:rPr>
              <w:t>enregistrement, évaluation et autorisation des substances chimiques (REACH) qui concerne l</w:t>
            </w:r>
            <w:r w:rsidR="000D310E" w:rsidRPr="00020818">
              <w:rPr>
                <w:rStyle w:val="longtext1"/>
                <w:lang w:val="fr-CH"/>
              </w:rPr>
              <w:t>’</w:t>
            </w:r>
            <w:r w:rsidRPr="00020818">
              <w:rPr>
                <w:rStyle w:val="longtext1"/>
                <w:lang w:val="fr-CH"/>
              </w:rPr>
              <w:t xml:space="preserve">annexe XVII (JO L 164 du 22 Juin 2009, p. 7). </w:t>
            </w:r>
          </w:p>
        </w:tc>
        <w:tc>
          <w:tcPr>
            <w:tcW w:w="1715" w:type="dxa"/>
            <w:tcBorders>
              <w:top w:val="single" w:sz="4" w:space="0" w:color="auto"/>
              <w:left w:val="single" w:sz="4" w:space="0" w:color="auto"/>
              <w:bottom w:val="single" w:sz="4" w:space="0" w:color="auto"/>
              <w:right w:val="single" w:sz="4" w:space="0" w:color="auto"/>
            </w:tcBorders>
          </w:tcPr>
          <w:p w:rsidR="00090AF5" w:rsidRPr="00020818" w:rsidRDefault="00090AF5" w:rsidP="00020818">
            <w:pPr>
              <w:autoSpaceDE w:val="0"/>
              <w:autoSpaceDN w:val="0"/>
              <w:adjustRightInd w:val="0"/>
              <w:spacing w:before="40" w:after="40"/>
              <w:jc w:val="center"/>
              <w:rPr>
                <w:b/>
                <w:sz w:val="20"/>
                <w:szCs w:val="20"/>
                <w:lang w:val="fr-FR" w:eastAsia="en-GB"/>
              </w:rPr>
            </w:pPr>
            <w:r w:rsidRPr="00020818">
              <w:rPr>
                <w:sz w:val="20"/>
                <w:szCs w:val="20"/>
                <w:lang w:eastAsia="en-GB"/>
              </w:rPr>
              <w:t>06-10-2009</w:t>
            </w:r>
          </w:p>
        </w:tc>
      </w:tr>
    </w:tbl>
    <w:p w:rsidR="007B68CF" w:rsidRPr="00ED711A" w:rsidRDefault="007B68CF" w:rsidP="007B68CF">
      <w:pPr>
        <w:rPr>
          <w:lang w:val="en-GB"/>
        </w:rPr>
      </w:pPr>
    </w:p>
    <w:p w:rsidR="00090AF5" w:rsidRPr="00ED711A" w:rsidRDefault="00090AF5">
      <w:pPr>
        <w:rPr>
          <w:b/>
          <w:sz w:val="22"/>
          <w:szCs w:val="22"/>
          <w:lang w:val="fr-CH"/>
        </w:rPr>
      </w:pPr>
      <w:r w:rsidRPr="00ED711A">
        <w:rPr>
          <w:b/>
          <w:sz w:val="22"/>
          <w:szCs w:val="22"/>
          <w:lang w:val="fr-CH"/>
        </w:rPr>
        <w:br w:type="page"/>
      </w:r>
    </w:p>
    <w:p w:rsidR="007B68CF" w:rsidRPr="00ED711A" w:rsidRDefault="00090AF5" w:rsidP="007B68CF">
      <w:pPr>
        <w:jc w:val="center"/>
        <w:rPr>
          <w:b/>
          <w:sz w:val="22"/>
          <w:szCs w:val="22"/>
          <w:lang w:val="fr-CH"/>
        </w:rPr>
      </w:pPr>
      <w:r w:rsidRPr="00ED711A">
        <w:rPr>
          <w:b/>
          <w:sz w:val="22"/>
          <w:szCs w:val="22"/>
          <w:lang w:val="fr-CH"/>
        </w:rPr>
        <w:lastRenderedPageBreak/>
        <w:t>PREPARATIONS LIQUIDES (CONCENTRES EMULSIFIABLES ET CONCENTRES SOLUBLES) CONTENANT DU DICHLORURE DE PARAQUAT A DES CONCENTRATIONS EGALES OU SUPERIEURES A 276 g/L CORRESPONDANT A DES CONCENTRATIONS D</w:t>
      </w:r>
      <w:r w:rsidR="000D310E" w:rsidRPr="00ED711A">
        <w:rPr>
          <w:b/>
          <w:sz w:val="22"/>
          <w:szCs w:val="22"/>
          <w:lang w:val="fr-CH"/>
        </w:rPr>
        <w:t>’</w:t>
      </w:r>
      <w:r w:rsidRPr="00ED711A">
        <w:rPr>
          <w:b/>
          <w:sz w:val="22"/>
          <w:szCs w:val="22"/>
          <w:lang w:val="fr-CH"/>
        </w:rPr>
        <w:t>IONS PARAQUAT EGALES OU SUPERIEURES A 200 g/L</w:t>
      </w:r>
    </w:p>
    <w:p w:rsidR="007B68CF" w:rsidRPr="00ED711A" w:rsidRDefault="007B68CF" w:rsidP="007B68CF">
      <w:pPr>
        <w:rPr>
          <w:sz w:val="22"/>
          <w:szCs w:val="22"/>
          <w:lang w:val="fr-CH"/>
        </w:rPr>
      </w:pPr>
    </w:p>
    <w:tbl>
      <w:tblPr>
        <w:tblW w:w="9725" w:type="dxa"/>
        <w:tblInd w:w="198" w:type="dxa"/>
        <w:tblBorders>
          <w:top w:val="single" w:sz="4" w:space="0" w:color="auto"/>
          <w:left w:val="single" w:sz="4" w:space="0" w:color="auto"/>
          <w:bottom w:val="single" w:sz="4" w:space="0" w:color="auto"/>
          <w:right w:val="single" w:sz="4" w:space="0" w:color="auto"/>
        </w:tblBorders>
        <w:tblLayout w:type="fixed"/>
        <w:tblLook w:val="0000"/>
      </w:tblPr>
      <w:tblGrid>
        <w:gridCol w:w="1298"/>
        <w:gridCol w:w="6712"/>
        <w:gridCol w:w="1715"/>
      </w:tblGrid>
      <w:tr w:rsidR="007B68CF" w:rsidRPr="00BB768B" w:rsidTr="00090AF5">
        <w:tc>
          <w:tcPr>
            <w:tcW w:w="9725" w:type="dxa"/>
            <w:gridSpan w:val="3"/>
            <w:tcBorders>
              <w:top w:val="single" w:sz="4" w:space="0" w:color="auto"/>
              <w:bottom w:val="single" w:sz="4" w:space="0" w:color="auto"/>
              <w:right w:val="single" w:sz="4" w:space="0" w:color="auto"/>
            </w:tcBorders>
            <w:shd w:val="clear" w:color="auto" w:fill="E0E0E0"/>
            <w:vAlign w:val="center"/>
          </w:tcPr>
          <w:p w:rsidR="007B68CF" w:rsidRPr="00020818" w:rsidRDefault="00090AF5" w:rsidP="00020818">
            <w:pPr>
              <w:autoSpaceDE w:val="0"/>
              <w:autoSpaceDN w:val="0"/>
              <w:adjustRightInd w:val="0"/>
              <w:spacing w:before="40" w:after="40"/>
              <w:jc w:val="center"/>
              <w:rPr>
                <w:sz w:val="20"/>
                <w:szCs w:val="20"/>
                <w:lang w:val="fr-CH" w:eastAsia="en-GB"/>
              </w:rPr>
            </w:pPr>
            <w:r w:rsidRPr="00020818">
              <w:rPr>
                <w:b/>
                <w:bCs/>
                <w:sz w:val="20"/>
                <w:szCs w:val="20"/>
                <w:lang w:val="fr-CH" w:eastAsia="en-GB"/>
              </w:rPr>
              <w:t>Preparations liquides (concentres emulsifiables et concentres solubles) contenant du dichlorure de paraquat a des concentrations egales ou superieures a 276 g/L correspondant a des concentrations d</w:t>
            </w:r>
            <w:r w:rsidR="000D310E" w:rsidRPr="00020818">
              <w:rPr>
                <w:b/>
                <w:bCs/>
                <w:sz w:val="20"/>
                <w:szCs w:val="20"/>
                <w:lang w:val="fr-CH" w:eastAsia="en-GB"/>
              </w:rPr>
              <w:t>’</w:t>
            </w:r>
            <w:r w:rsidRPr="00020818">
              <w:rPr>
                <w:b/>
                <w:bCs/>
                <w:sz w:val="20"/>
                <w:szCs w:val="20"/>
                <w:lang w:val="fr-CH" w:eastAsia="en-GB"/>
              </w:rPr>
              <w:t>ions paraquat egales ou superieures a 200 g/L</w:t>
            </w:r>
          </w:p>
        </w:tc>
      </w:tr>
      <w:tr w:rsidR="00090AF5" w:rsidRPr="00020818" w:rsidTr="00090AF5">
        <w:tc>
          <w:tcPr>
            <w:tcW w:w="1298" w:type="dxa"/>
            <w:tcBorders>
              <w:top w:val="single" w:sz="4" w:space="0" w:color="auto"/>
              <w:bottom w:val="single" w:sz="4" w:space="0" w:color="auto"/>
              <w:right w:val="single" w:sz="4" w:space="0" w:color="auto"/>
            </w:tcBorders>
            <w:shd w:val="clear" w:color="auto" w:fill="auto"/>
            <w:vAlign w:val="center"/>
          </w:tcPr>
          <w:p w:rsidR="00090AF5" w:rsidRPr="00020818" w:rsidRDefault="00090AF5" w:rsidP="00020818">
            <w:pPr>
              <w:autoSpaceDE w:val="0"/>
              <w:autoSpaceDN w:val="0"/>
              <w:adjustRightInd w:val="0"/>
              <w:spacing w:before="40" w:after="40"/>
              <w:jc w:val="center"/>
              <w:rPr>
                <w:b/>
                <w:bCs/>
                <w:sz w:val="20"/>
                <w:szCs w:val="20"/>
                <w:lang w:val="fr-FR" w:eastAsia="en-GB"/>
              </w:rPr>
            </w:pPr>
            <w:r w:rsidRPr="00020818">
              <w:rPr>
                <w:b/>
                <w:bCs/>
                <w:sz w:val="20"/>
                <w:szCs w:val="20"/>
                <w:lang w:eastAsia="en-GB"/>
              </w:rPr>
              <w:t>PARTIE</w:t>
            </w:r>
          </w:p>
        </w:tc>
        <w:tc>
          <w:tcPr>
            <w:tcW w:w="6712" w:type="dxa"/>
            <w:tcBorders>
              <w:top w:val="single" w:sz="4" w:space="0" w:color="auto"/>
              <w:left w:val="single" w:sz="4" w:space="0" w:color="auto"/>
              <w:bottom w:val="single" w:sz="4" w:space="0" w:color="auto"/>
              <w:right w:val="single" w:sz="4" w:space="0" w:color="auto"/>
            </w:tcBorders>
            <w:shd w:val="clear" w:color="auto" w:fill="auto"/>
            <w:vAlign w:val="center"/>
          </w:tcPr>
          <w:p w:rsidR="00090AF5" w:rsidRPr="00020818" w:rsidRDefault="00090AF5" w:rsidP="00020818">
            <w:pPr>
              <w:autoSpaceDE w:val="0"/>
              <w:autoSpaceDN w:val="0"/>
              <w:adjustRightInd w:val="0"/>
              <w:spacing w:before="40" w:after="40"/>
              <w:jc w:val="center"/>
              <w:rPr>
                <w:b/>
                <w:bCs/>
                <w:sz w:val="20"/>
                <w:szCs w:val="20"/>
                <w:lang w:val="fr-FR" w:eastAsia="en-GB"/>
              </w:rPr>
            </w:pPr>
            <w:r w:rsidRPr="00020818">
              <w:rPr>
                <w:b/>
                <w:bCs/>
                <w:sz w:val="20"/>
                <w:szCs w:val="20"/>
                <w:lang w:eastAsia="en-GB"/>
              </w:rPr>
              <w:t>DECISION CONCERNANT L</w:t>
            </w:r>
            <w:r w:rsidR="000D310E" w:rsidRPr="00020818">
              <w:rPr>
                <w:b/>
                <w:bCs/>
                <w:sz w:val="20"/>
                <w:szCs w:val="20"/>
                <w:lang w:eastAsia="en-GB"/>
              </w:rPr>
              <w:t>’</w:t>
            </w:r>
            <w:r w:rsidRPr="00020818">
              <w:rPr>
                <w:b/>
                <w:bCs/>
                <w:sz w:val="20"/>
                <w:szCs w:val="20"/>
                <w:lang w:eastAsia="en-GB"/>
              </w:rPr>
              <w:t>IMPORTATION</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90AF5" w:rsidRPr="00020818" w:rsidRDefault="00090AF5" w:rsidP="00020818">
            <w:pPr>
              <w:autoSpaceDE w:val="0"/>
              <w:autoSpaceDN w:val="0"/>
              <w:adjustRightInd w:val="0"/>
              <w:spacing w:before="40" w:after="40"/>
              <w:jc w:val="center"/>
              <w:rPr>
                <w:b/>
                <w:sz w:val="20"/>
                <w:szCs w:val="20"/>
                <w:lang w:val="fr-FR" w:eastAsia="en-GB"/>
              </w:rPr>
            </w:pPr>
            <w:r w:rsidRPr="00020818">
              <w:rPr>
                <w:b/>
                <w:sz w:val="20"/>
                <w:szCs w:val="20"/>
                <w:lang w:eastAsia="en-GB"/>
              </w:rPr>
              <w:t>DATE DE RECEPTION</w:t>
            </w:r>
          </w:p>
        </w:tc>
      </w:tr>
      <w:tr w:rsidR="00090AF5" w:rsidRPr="00020818" w:rsidTr="00D47369">
        <w:trPr>
          <w:trHeight w:val="2807"/>
        </w:trPr>
        <w:tc>
          <w:tcPr>
            <w:tcW w:w="1298" w:type="dxa"/>
            <w:tcBorders>
              <w:top w:val="single" w:sz="4" w:space="0" w:color="auto"/>
              <w:bottom w:val="single" w:sz="4" w:space="0" w:color="auto"/>
              <w:right w:val="single" w:sz="4" w:space="0" w:color="auto"/>
            </w:tcBorders>
          </w:tcPr>
          <w:p w:rsidR="00090AF5" w:rsidRPr="00EE1BD5" w:rsidRDefault="00090AF5" w:rsidP="00020818">
            <w:pPr>
              <w:autoSpaceDE w:val="0"/>
              <w:autoSpaceDN w:val="0"/>
              <w:adjustRightInd w:val="0"/>
              <w:spacing w:before="40" w:after="40"/>
              <w:jc w:val="both"/>
              <w:rPr>
                <w:bCs/>
                <w:sz w:val="20"/>
                <w:szCs w:val="20"/>
                <w:lang w:val="fr-FR" w:eastAsia="en-GB"/>
              </w:rPr>
            </w:pPr>
            <w:r w:rsidRPr="00EE1BD5">
              <w:rPr>
                <w:bCs/>
                <w:sz w:val="20"/>
                <w:szCs w:val="20"/>
                <w:lang w:eastAsia="en-GB"/>
              </w:rPr>
              <w:t>Qatar</w:t>
            </w:r>
          </w:p>
        </w:tc>
        <w:tc>
          <w:tcPr>
            <w:tcW w:w="6712" w:type="dxa"/>
            <w:tcBorders>
              <w:top w:val="single" w:sz="4" w:space="0" w:color="auto"/>
              <w:left w:val="single" w:sz="4" w:space="0" w:color="auto"/>
              <w:bottom w:val="single" w:sz="4" w:space="0" w:color="auto"/>
              <w:right w:val="single" w:sz="4" w:space="0" w:color="auto"/>
            </w:tcBorders>
          </w:tcPr>
          <w:p w:rsidR="00090AF5" w:rsidRPr="00020818" w:rsidRDefault="00090AF5" w:rsidP="00020818">
            <w:pPr>
              <w:widowControl w:val="0"/>
              <w:autoSpaceDE w:val="0"/>
              <w:autoSpaceDN w:val="0"/>
              <w:adjustRightInd w:val="0"/>
              <w:spacing w:before="40" w:after="40"/>
              <w:jc w:val="both"/>
              <w:rPr>
                <w:sz w:val="20"/>
                <w:szCs w:val="20"/>
                <w:u w:val="single"/>
                <w:lang w:val="fr-FR"/>
              </w:rPr>
            </w:pPr>
            <w:r w:rsidRPr="00020818">
              <w:rPr>
                <w:sz w:val="20"/>
                <w:szCs w:val="20"/>
                <w:u w:val="single"/>
                <w:lang w:val="fr-CH"/>
              </w:rPr>
              <w:t>N</w:t>
            </w:r>
            <w:r w:rsidR="000D310E" w:rsidRPr="00020818">
              <w:rPr>
                <w:sz w:val="20"/>
                <w:szCs w:val="20"/>
                <w:u w:val="single"/>
                <w:lang w:val="fr-CH"/>
              </w:rPr>
              <w:t>’</w:t>
            </w:r>
            <w:r w:rsidRPr="00020818">
              <w:rPr>
                <w:sz w:val="20"/>
                <w:szCs w:val="20"/>
                <w:u w:val="single"/>
                <w:lang w:val="fr-CH"/>
              </w:rPr>
              <w:t>autorise pas</w:t>
            </w:r>
          </w:p>
          <w:p w:rsidR="00090AF5" w:rsidRDefault="00090AF5" w:rsidP="00020818">
            <w:pPr>
              <w:widowControl w:val="0"/>
              <w:autoSpaceDE w:val="0"/>
              <w:autoSpaceDN w:val="0"/>
              <w:adjustRightInd w:val="0"/>
              <w:spacing w:before="40" w:after="40"/>
              <w:jc w:val="both"/>
              <w:rPr>
                <w:sz w:val="20"/>
                <w:szCs w:val="20"/>
                <w:lang w:val="fr-CH"/>
              </w:rPr>
            </w:pPr>
          </w:p>
          <w:p w:rsidR="00020818" w:rsidRPr="00020818" w:rsidRDefault="00020818" w:rsidP="00020818">
            <w:pPr>
              <w:autoSpaceDE w:val="0"/>
              <w:autoSpaceDN w:val="0"/>
              <w:adjustRightInd w:val="0"/>
              <w:spacing w:before="40" w:after="40"/>
              <w:jc w:val="both"/>
              <w:rPr>
                <w:sz w:val="20"/>
                <w:szCs w:val="20"/>
                <w:shd w:val="clear" w:color="auto" w:fill="FFFFFF"/>
                <w:lang w:val="fr-CH"/>
              </w:rPr>
            </w:pPr>
            <w:r w:rsidRPr="00020818">
              <w:rPr>
                <w:rStyle w:val="longtext1"/>
                <w:u w:val="single"/>
                <w:shd w:val="clear" w:color="auto" w:fill="FFFFFF"/>
                <w:lang w:val="fr-CH"/>
              </w:rPr>
              <w:t>Mesures administratives</w:t>
            </w:r>
            <w:r w:rsidRPr="00020818">
              <w:rPr>
                <w:rStyle w:val="longtext1"/>
                <w:shd w:val="clear" w:color="auto" w:fill="FFFFFF"/>
                <w:lang w:val="fr-CH"/>
              </w:rPr>
              <w:t xml:space="preserve">: </w:t>
            </w:r>
          </w:p>
          <w:p w:rsidR="00090AF5" w:rsidRPr="00020818" w:rsidRDefault="00090AF5" w:rsidP="00020818">
            <w:pPr>
              <w:widowControl w:val="0"/>
              <w:autoSpaceDE w:val="0"/>
              <w:autoSpaceDN w:val="0"/>
              <w:adjustRightInd w:val="0"/>
              <w:spacing w:before="40" w:after="40"/>
              <w:jc w:val="both"/>
              <w:rPr>
                <w:sz w:val="20"/>
                <w:szCs w:val="20"/>
                <w:lang w:val="fr-CH"/>
              </w:rPr>
            </w:pPr>
            <w:r w:rsidRPr="00020818">
              <w:rPr>
                <w:sz w:val="20"/>
                <w:szCs w:val="20"/>
                <w:lang w:val="fr-CH"/>
              </w:rPr>
              <w:t>Le Ministère de l</w:t>
            </w:r>
            <w:r w:rsidR="000D310E" w:rsidRPr="00020818">
              <w:rPr>
                <w:sz w:val="20"/>
                <w:szCs w:val="20"/>
                <w:lang w:val="fr-CH"/>
              </w:rPr>
              <w:t>’</w:t>
            </w:r>
            <w:r w:rsidRPr="00020818">
              <w:rPr>
                <w:sz w:val="20"/>
                <w:szCs w:val="20"/>
                <w:lang w:val="fr-CH"/>
              </w:rPr>
              <w:t>environnement exécute toutes les taches et mesures pour protéger l</w:t>
            </w:r>
            <w:r w:rsidR="000D310E" w:rsidRPr="00020818">
              <w:rPr>
                <w:sz w:val="20"/>
                <w:szCs w:val="20"/>
                <w:lang w:val="fr-CH"/>
              </w:rPr>
              <w:t>’</w:t>
            </w:r>
            <w:r w:rsidRPr="00020818">
              <w:rPr>
                <w:sz w:val="20"/>
                <w:szCs w:val="20"/>
                <w:lang w:val="fr-CH"/>
              </w:rPr>
              <w:t>environnement dans le pays conformément à la loi No. 30 de 2002 Article (26), interdisant l</w:t>
            </w:r>
            <w:r w:rsidR="000D310E" w:rsidRPr="00020818">
              <w:rPr>
                <w:sz w:val="20"/>
                <w:szCs w:val="20"/>
                <w:lang w:val="fr-CH"/>
              </w:rPr>
              <w:t>’</w:t>
            </w:r>
            <w:r w:rsidRPr="00020818">
              <w:rPr>
                <w:sz w:val="20"/>
                <w:szCs w:val="20"/>
                <w:lang w:val="fr-CH"/>
              </w:rPr>
              <w:t>importation, la manipulation ou le transport de produits dangereux sans autorisation de l</w:t>
            </w:r>
            <w:r w:rsidR="000D310E" w:rsidRPr="00020818">
              <w:rPr>
                <w:sz w:val="20"/>
                <w:szCs w:val="20"/>
                <w:lang w:val="fr-CH"/>
              </w:rPr>
              <w:t>’</w:t>
            </w:r>
            <w:r w:rsidRPr="00020818">
              <w:rPr>
                <w:sz w:val="20"/>
                <w:szCs w:val="20"/>
                <w:lang w:val="fr-CH"/>
              </w:rPr>
              <w:t>Autorité administrative compétente, et à l</w:t>
            </w:r>
            <w:r w:rsidR="000D310E" w:rsidRPr="00020818">
              <w:rPr>
                <w:sz w:val="20"/>
                <w:szCs w:val="20"/>
                <w:lang w:val="fr-CH"/>
              </w:rPr>
              <w:t>’</w:t>
            </w:r>
            <w:r w:rsidRPr="00020818">
              <w:rPr>
                <w:sz w:val="20"/>
                <w:szCs w:val="20"/>
                <w:lang w:val="fr-CH"/>
              </w:rPr>
              <w:t>article (29) de la loi No. 30 de 2002 interdisant l</w:t>
            </w:r>
            <w:r w:rsidR="000D310E" w:rsidRPr="00020818">
              <w:rPr>
                <w:sz w:val="20"/>
                <w:szCs w:val="20"/>
                <w:lang w:val="fr-CH"/>
              </w:rPr>
              <w:t>’</w:t>
            </w:r>
            <w:r w:rsidRPr="00020818">
              <w:rPr>
                <w:sz w:val="20"/>
                <w:szCs w:val="20"/>
                <w:lang w:val="fr-CH"/>
              </w:rPr>
              <w:t>emploi de pesticides ou d</w:t>
            </w:r>
            <w:r w:rsidR="000D310E" w:rsidRPr="00020818">
              <w:rPr>
                <w:sz w:val="20"/>
                <w:szCs w:val="20"/>
                <w:lang w:val="fr-CH"/>
              </w:rPr>
              <w:t>’</w:t>
            </w:r>
            <w:r w:rsidRPr="00020818">
              <w:rPr>
                <w:sz w:val="20"/>
                <w:szCs w:val="20"/>
                <w:lang w:val="fr-CH"/>
              </w:rPr>
              <w:t>autres composés chimiques agricoles ou pour la santé publique, après avoirs pris en compte tous les freins et contrepoids définis par les règlements, afin de protéger, directement ou indirectement, les personnes, les animaux, les plantes, les cours d</w:t>
            </w:r>
            <w:r w:rsidR="000D310E" w:rsidRPr="00020818">
              <w:rPr>
                <w:sz w:val="20"/>
                <w:szCs w:val="20"/>
                <w:lang w:val="fr-CH"/>
              </w:rPr>
              <w:t>’</w:t>
            </w:r>
            <w:r w:rsidRPr="00020818">
              <w:rPr>
                <w:sz w:val="20"/>
                <w:szCs w:val="20"/>
                <w:lang w:val="fr-CH"/>
              </w:rPr>
              <w:t>eaux ou autres composants de l</w:t>
            </w:r>
            <w:r w:rsidR="000D310E" w:rsidRPr="00020818">
              <w:rPr>
                <w:sz w:val="20"/>
                <w:szCs w:val="20"/>
                <w:lang w:val="fr-CH"/>
              </w:rPr>
              <w:t>’</w:t>
            </w:r>
            <w:r w:rsidRPr="00020818">
              <w:rPr>
                <w:sz w:val="20"/>
                <w:szCs w:val="20"/>
                <w:lang w:val="fr-CH"/>
              </w:rPr>
              <w:t xml:space="preserve">environnement des impacts nocifs immédiats ou futures des pesticides ou des composés chimiques (*) Loi No. 24 de 2010 </w:t>
            </w:r>
            <w:proofErr w:type="gramStart"/>
            <w:r w:rsidRPr="00020818">
              <w:rPr>
                <w:sz w:val="20"/>
                <w:szCs w:val="20"/>
                <w:lang w:val="fr-CH"/>
              </w:rPr>
              <w:t>portant promulgation</w:t>
            </w:r>
            <w:proofErr w:type="gramEnd"/>
            <w:r w:rsidRPr="00020818">
              <w:rPr>
                <w:sz w:val="20"/>
                <w:szCs w:val="20"/>
                <w:lang w:val="fr-CH"/>
              </w:rPr>
              <w:t xml:space="preserve"> de la loi (Règlement) sur les pesticides dans les Etats du Conseil de coopération de l</w:t>
            </w:r>
            <w:r w:rsidR="000D310E" w:rsidRPr="00020818">
              <w:rPr>
                <w:sz w:val="20"/>
                <w:szCs w:val="20"/>
                <w:lang w:val="fr-CH"/>
              </w:rPr>
              <w:t>’</w:t>
            </w:r>
            <w:r w:rsidRPr="00020818">
              <w:rPr>
                <w:sz w:val="20"/>
                <w:szCs w:val="20"/>
                <w:lang w:val="fr-CH"/>
              </w:rPr>
              <w:t>Etat arabe du Golf.</w:t>
            </w:r>
          </w:p>
        </w:tc>
        <w:tc>
          <w:tcPr>
            <w:tcW w:w="1715" w:type="dxa"/>
            <w:tcBorders>
              <w:top w:val="single" w:sz="4" w:space="0" w:color="auto"/>
              <w:left w:val="single" w:sz="4" w:space="0" w:color="auto"/>
              <w:bottom w:val="single" w:sz="4" w:space="0" w:color="auto"/>
              <w:right w:val="single" w:sz="4" w:space="0" w:color="auto"/>
            </w:tcBorders>
          </w:tcPr>
          <w:p w:rsidR="00090AF5" w:rsidRPr="00020818" w:rsidRDefault="00090AF5" w:rsidP="00020818">
            <w:pPr>
              <w:autoSpaceDE w:val="0"/>
              <w:autoSpaceDN w:val="0"/>
              <w:adjustRightInd w:val="0"/>
              <w:spacing w:before="40" w:after="40"/>
              <w:jc w:val="center"/>
              <w:rPr>
                <w:sz w:val="20"/>
                <w:szCs w:val="20"/>
                <w:lang w:val="fr-FR" w:eastAsia="en-GB"/>
              </w:rPr>
            </w:pPr>
            <w:r w:rsidRPr="00020818">
              <w:rPr>
                <w:sz w:val="20"/>
                <w:szCs w:val="20"/>
                <w:lang w:eastAsia="en-GB"/>
              </w:rPr>
              <w:t>02-11-2015</w:t>
            </w:r>
          </w:p>
        </w:tc>
      </w:tr>
    </w:tbl>
    <w:p w:rsidR="00893B7A" w:rsidRPr="00ED711A" w:rsidRDefault="00893B7A" w:rsidP="00D47369">
      <w:pPr>
        <w:rPr>
          <w:lang w:val="en-GB"/>
        </w:rPr>
      </w:pPr>
    </w:p>
    <w:sectPr w:rsidR="00893B7A" w:rsidRPr="00ED711A" w:rsidSect="007F589F">
      <w:headerReference w:type="default" r:id="rId67"/>
      <w:pgSz w:w="11907" w:h="16839"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FD6" w:rsidRDefault="00636FD6">
      <w:r>
        <w:separator/>
      </w:r>
    </w:p>
  </w:endnote>
  <w:endnote w:type="continuationSeparator" w:id="0">
    <w:p w:rsidR="00636FD6" w:rsidRDefault="00636FD6">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ＭＳ 明朝">
    <w:altName w:val="MS Mincho"/>
    <w:charset w:val="4E"/>
    <w:family w:val="auto"/>
    <w:pitch w:val="variable"/>
    <w:sig w:usb0="00000000"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 w:name="ＭＳ ゴシック">
    <w:altName w:val="MS Mincho"/>
    <w:charset w:val="4E"/>
    <w:family w:val="auto"/>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40" w:rsidRPr="001F3F1A" w:rsidRDefault="00747640" w:rsidP="00C02E67">
    <w:pPr>
      <w:pStyle w:val="Footer"/>
      <w:pBdr>
        <w:top w:val="single" w:sz="4" w:space="1" w:color="auto"/>
      </w:pBdr>
      <w:tabs>
        <w:tab w:val="clear" w:pos="4320"/>
        <w:tab w:val="clear" w:pos="8640"/>
        <w:tab w:val="right" w:pos="0"/>
        <w:tab w:val="left" w:pos="8568"/>
      </w:tabs>
      <w:jc w:val="both"/>
      <w:rPr>
        <w:i/>
        <w:sz w:val="20"/>
        <w:szCs w:val="20"/>
      </w:rPr>
    </w:pPr>
    <w:r w:rsidRPr="00E46956">
      <w:rPr>
        <w:i/>
        <w:sz w:val="20"/>
        <w:szCs w:val="20"/>
      </w:rPr>
      <w:t xml:space="preserve">Circulaire PIC XLIV </w:t>
    </w:r>
    <w:r>
      <w:rPr>
        <w:i/>
        <w:sz w:val="20"/>
        <w:szCs w:val="20"/>
      </w:rPr>
      <w:t xml:space="preserve">(44) </w:t>
    </w:r>
    <w:r w:rsidRPr="002913FA">
      <w:rPr>
        <w:i/>
        <w:sz w:val="20"/>
        <w:szCs w:val="20"/>
      </w:rPr>
      <w:t xml:space="preserve">– </w:t>
    </w:r>
    <w:r>
      <w:rPr>
        <w:i/>
        <w:sz w:val="20"/>
        <w:szCs w:val="20"/>
      </w:rPr>
      <w:t>décembre 2016</w:t>
    </w:r>
    <w:r>
      <w:rPr>
        <w:sz w:val="20"/>
        <w:szCs w:val="20"/>
      </w:rPr>
      <w:tab/>
    </w:r>
    <w:r w:rsidR="00E526E5" w:rsidRPr="00E526E5">
      <w:fldChar w:fldCharType="begin"/>
    </w:r>
    <w:r>
      <w:instrText xml:space="preserve"> PAGE   \* MERGEFORMAT </w:instrText>
    </w:r>
    <w:r w:rsidR="00E526E5" w:rsidRPr="00E526E5">
      <w:fldChar w:fldCharType="separate"/>
    </w:r>
    <w:r w:rsidR="001F3C16" w:rsidRPr="001F3C16">
      <w:rPr>
        <w:noProof/>
        <w:sz w:val="20"/>
        <w:szCs w:val="20"/>
      </w:rPr>
      <w:t>52</w:t>
    </w:r>
    <w:r w:rsidR="00E526E5">
      <w:rPr>
        <w:noProof/>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40" w:rsidRDefault="00E526E5" w:rsidP="00BF20CC">
    <w:pPr>
      <w:pStyle w:val="Footer"/>
      <w:tabs>
        <w:tab w:val="clear" w:pos="4320"/>
        <w:tab w:val="clear" w:pos="8640"/>
        <w:tab w:val="right" w:pos="9639"/>
      </w:tabs>
    </w:pPr>
    <w:r w:rsidRPr="00E526E5">
      <w:fldChar w:fldCharType="begin"/>
    </w:r>
    <w:r w:rsidR="00747640">
      <w:instrText xml:space="preserve"> PAGE   \* MERGEFORMAT </w:instrText>
    </w:r>
    <w:r w:rsidRPr="00E526E5">
      <w:fldChar w:fldCharType="separate"/>
    </w:r>
    <w:r w:rsidR="00747640">
      <w:rPr>
        <w:noProof/>
        <w:sz w:val="20"/>
        <w:szCs w:val="20"/>
      </w:rPr>
      <w:t>22</w:t>
    </w:r>
    <w:r>
      <w:rPr>
        <w:noProof/>
        <w:sz w:val="20"/>
        <w:szCs w:val="20"/>
      </w:rPr>
      <w:fldChar w:fldCharType="end"/>
    </w:r>
    <w:r w:rsidR="00747640" w:rsidRPr="00455B36">
      <w:rPr>
        <w:sz w:val="20"/>
        <w:szCs w:val="20"/>
      </w:rPr>
      <w:tab/>
    </w:r>
    <w:r w:rsidR="00747640">
      <w:rPr>
        <w:i/>
        <w:sz w:val="20"/>
        <w:szCs w:val="20"/>
      </w:rPr>
      <w:t>PIC Circular X</w:t>
    </w:r>
    <w:r w:rsidR="00747640">
      <w:rPr>
        <w:i/>
        <w:sz w:val="20"/>
        <w:szCs w:val="20"/>
        <w:lang w:val="de-CH"/>
      </w:rPr>
      <w:t xml:space="preserve">L </w:t>
    </w:r>
    <w:r w:rsidR="00747640">
      <w:rPr>
        <w:i/>
        <w:sz w:val="20"/>
        <w:szCs w:val="20"/>
      </w:rPr>
      <w:t>(</w:t>
    </w:r>
    <w:r w:rsidR="00747640">
      <w:rPr>
        <w:i/>
        <w:sz w:val="20"/>
        <w:szCs w:val="20"/>
        <w:lang w:val="de-CH"/>
      </w:rPr>
      <w:t xml:space="preserve">December </w:t>
    </w:r>
    <w:r w:rsidR="00747640">
      <w:rPr>
        <w:i/>
        <w:sz w:val="20"/>
        <w:szCs w:val="20"/>
        <w:lang w:val="en-GB"/>
      </w:rPr>
      <w:t>2014</w:t>
    </w:r>
    <w:r w:rsidR="00747640">
      <w:rPr>
        <w:i/>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FD6" w:rsidRDefault="00636FD6">
      <w:r>
        <w:separator/>
      </w:r>
    </w:p>
  </w:footnote>
  <w:footnote w:type="continuationSeparator" w:id="0">
    <w:p w:rsidR="00636FD6" w:rsidRDefault="00636FD6">
      <w:r>
        <w:continuationSeparator/>
      </w:r>
    </w:p>
  </w:footnote>
  <w:footnote w:id="1">
    <w:p w:rsidR="00747640" w:rsidRPr="006E626D" w:rsidRDefault="00747640">
      <w:pPr>
        <w:pStyle w:val="FootnoteText"/>
        <w:rPr>
          <w:lang w:val="fr-CH"/>
        </w:rPr>
      </w:pPr>
      <w:r>
        <w:rPr>
          <w:rStyle w:val="FootnoteReference"/>
        </w:rPr>
        <w:footnoteRef/>
      </w:r>
      <w:r>
        <w:t xml:space="preserve"> </w:t>
      </w:r>
      <w:hyperlink r:id="rId1" w:history="1">
        <w:r w:rsidRPr="00CA1D2A">
          <w:rPr>
            <w:rStyle w:val="Hyperlink"/>
          </w:rPr>
          <w:t>http://www.pic.int/tabid/1817/language/fr-CH/Default.aspx</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40" w:rsidRPr="00D74544" w:rsidRDefault="00747640" w:rsidP="00D74544">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40" w:rsidRPr="00CA2689" w:rsidRDefault="00747640" w:rsidP="007B68CF">
    <w:pPr>
      <w:pStyle w:val="Header"/>
      <w:tabs>
        <w:tab w:val="clear" w:pos="4320"/>
        <w:tab w:val="clear" w:pos="8640"/>
        <w:tab w:val="right" w:pos="9639"/>
      </w:tabs>
      <w:rPr>
        <w:rFonts w:ascii="Arial" w:hAnsi="Arial" w:cs="Arial"/>
        <w:i/>
        <w:sz w:val="18"/>
        <w:szCs w:val="18"/>
      </w:rPr>
    </w:pPr>
    <w:r w:rsidRPr="00CA2689">
      <w:rPr>
        <w:rFonts w:ascii="Arial" w:hAnsi="Arial" w:cs="Arial"/>
        <w:sz w:val="18"/>
        <w:szCs w:val="18"/>
      </w:rPr>
      <w:t>Appendix VI</w:t>
    </w:r>
    <w:r w:rsidRPr="00CA2689">
      <w:rPr>
        <w:rFonts w:ascii="Arial" w:hAnsi="Arial" w:cs="Arial"/>
        <w:sz w:val="18"/>
        <w:szCs w:val="18"/>
      </w:rPr>
      <w:tab/>
      <w:t>Information exchange on chemicals recommended for inclusion in Annex III</w:t>
    </w:r>
  </w:p>
  <w:p w:rsidR="00747640" w:rsidRPr="00B84AB0" w:rsidRDefault="00747640" w:rsidP="007B68CF">
    <w:pPr>
      <w:pStyle w:val="Header"/>
      <w:pBdr>
        <w:top w:val="single" w:sz="4" w:space="1" w:color="auto"/>
      </w:pBdr>
      <w:rPr>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40" w:rsidRDefault="00747640" w:rsidP="003D6FFB">
    <w:pPr>
      <w:pStyle w:val="Header"/>
      <w:pBdr>
        <w:bottom w:val="single" w:sz="6" w:space="1" w:color="auto"/>
      </w:pBdr>
      <w:tabs>
        <w:tab w:val="clear" w:pos="4320"/>
        <w:tab w:val="clear" w:pos="8640"/>
        <w:tab w:val="right" w:pos="9630"/>
      </w:tabs>
      <w:jc w:val="right"/>
      <w:rPr>
        <w:sz w:val="20"/>
        <w:szCs w:val="20"/>
        <w:lang w:val="fr-CH"/>
      </w:rPr>
    </w:pPr>
    <w:r>
      <w:rPr>
        <w:sz w:val="20"/>
        <w:szCs w:val="20"/>
        <w:lang w:val="fr-CH"/>
      </w:rPr>
      <w:t>N</w:t>
    </w:r>
    <w:r w:rsidRPr="001264A6">
      <w:rPr>
        <w:sz w:val="20"/>
        <w:szCs w:val="20"/>
        <w:lang w:val="fr-CH"/>
      </w:rPr>
      <w:t xml:space="preserve">otifications de mesure de </w:t>
    </w:r>
    <w:r w:rsidR="001F3C16">
      <w:rPr>
        <w:sz w:val="20"/>
        <w:szCs w:val="20"/>
        <w:lang w:val="fr-CH"/>
      </w:rPr>
      <w:t>réglementation</w:t>
    </w:r>
    <w:r w:rsidRPr="001264A6">
      <w:rPr>
        <w:sz w:val="20"/>
        <w:szCs w:val="20"/>
        <w:lang w:val="fr-CH"/>
      </w:rPr>
      <w:t xml:space="preserve"> finale</w:t>
    </w:r>
  </w:p>
  <w:p w:rsidR="00747640" w:rsidRDefault="00747640" w:rsidP="00626042">
    <w:pPr>
      <w:pStyle w:val="Header"/>
      <w:pBdr>
        <w:bottom w:val="single" w:sz="6" w:space="1" w:color="auto"/>
      </w:pBdr>
      <w:tabs>
        <w:tab w:val="clear" w:pos="4320"/>
        <w:tab w:val="clear" w:pos="8640"/>
        <w:tab w:val="right" w:pos="9630"/>
      </w:tabs>
      <w:rPr>
        <w:sz w:val="20"/>
        <w:szCs w:val="20"/>
        <w:lang w:val="fr-CH"/>
      </w:rPr>
    </w:pPr>
    <w:r w:rsidRPr="001264A6">
      <w:rPr>
        <w:sz w:val="20"/>
        <w:szCs w:val="20"/>
        <w:lang w:val="fr-CH"/>
      </w:rPr>
      <w:t>Appendice V</w:t>
    </w:r>
    <w:r w:rsidRPr="001264A6">
      <w:rPr>
        <w:sz w:val="20"/>
        <w:szCs w:val="20"/>
        <w:lang w:val="fr-CH"/>
      </w:rPr>
      <w:tab/>
    </w:r>
    <w:r w:rsidRPr="003D6FFB">
      <w:rPr>
        <w:sz w:val="20"/>
        <w:szCs w:val="20"/>
        <w:lang w:val="fr-CH"/>
      </w:rPr>
      <w:t>pour les produits chimique</w:t>
    </w:r>
    <w:r>
      <w:rPr>
        <w:sz w:val="20"/>
        <w:szCs w:val="20"/>
        <w:lang w:val="fr-CH"/>
      </w:rPr>
      <w:t>s</w:t>
    </w:r>
    <w:r w:rsidRPr="003D6FFB">
      <w:rPr>
        <w:sz w:val="20"/>
        <w:szCs w:val="20"/>
        <w:lang w:val="fr-CH"/>
      </w:rPr>
      <w:t xml:space="preserve"> qui ne sont pas ins</w:t>
    </w:r>
    <w:r>
      <w:rPr>
        <w:sz w:val="20"/>
        <w:szCs w:val="20"/>
        <w:lang w:val="fr-CH"/>
      </w:rPr>
      <w:t>c</w:t>
    </w:r>
    <w:r w:rsidRPr="003D6FFB">
      <w:rPr>
        <w:sz w:val="20"/>
        <w:szCs w:val="20"/>
        <w:lang w:val="fr-CH"/>
      </w:rPr>
      <w:t>rits à l’annexe III</w:t>
    </w:r>
  </w:p>
  <w:p w:rsidR="00747640" w:rsidRPr="001264A6" w:rsidRDefault="00747640" w:rsidP="00913073">
    <w:pPr>
      <w:pStyle w:val="Header"/>
      <w:rPr>
        <w:szCs w:val="20"/>
        <w:lang w:val="fr-CH"/>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40" w:rsidRDefault="00BC7123" w:rsidP="001A4039">
    <w:pPr>
      <w:pStyle w:val="Header"/>
      <w:pBdr>
        <w:bottom w:val="single" w:sz="6" w:space="1" w:color="auto"/>
      </w:pBdr>
      <w:tabs>
        <w:tab w:val="clear" w:pos="4320"/>
        <w:tab w:val="clear" w:pos="8640"/>
        <w:tab w:val="right" w:pos="9072"/>
      </w:tabs>
      <w:jc w:val="right"/>
      <w:rPr>
        <w:sz w:val="20"/>
        <w:szCs w:val="20"/>
        <w:lang w:val="fr-CH"/>
      </w:rPr>
    </w:pPr>
    <w:r>
      <w:rPr>
        <w:sz w:val="20"/>
        <w:szCs w:val="20"/>
        <w:lang w:val="fr-CH"/>
      </w:rPr>
      <w:t>N</w:t>
    </w:r>
    <w:r w:rsidR="00747640" w:rsidRPr="001A4039">
      <w:rPr>
        <w:sz w:val="20"/>
        <w:szCs w:val="20"/>
        <w:lang w:val="fr-CH"/>
      </w:rPr>
      <w:t xml:space="preserve">otifications de mesure de </w:t>
    </w:r>
    <w:r w:rsidR="001F3C16">
      <w:rPr>
        <w:sz w:val="20"/>
        <w:szCs w:val="20"/>
        <w:lang w:val="fr-CH"/>
      </w:rPr>
      <w:t>réglementation</w:t>
    </w:r>
    <w:r w:rsidR="00747640" w:rsidRPr="001A4039">
      <w:rPr>
        <w:sz w:val="20"/>
        <w:szCs w:val="20"/>
        <w:lang w:val="fr-CH"/>
      </w:rPr>
      <w:t xml:space="preserve"> finale</w:t>
    </w:r>
  </w:p>
  <w:p w:rsidR="00747640" w:rsidRPr="003218B1" w:rsidRDefault="00747640" w:rsidP="001A4039">
    <w:pPr>
      <w:pStyle w:val="Header"/>
      <w:pBdr>
        <w:bottom w:val="single" w:sz="6" w:space="1" w:color="auto"/>
      </w:pBdr>
      <w:tabs>
        <w:tab w:val="clear" w:pos="4320"/>
        <w:tab w:val="clear" w:pos="8640"/>
        <w:tab w:val="right" w:pos="9630"/>
      </w:tabs>
      <w:rPr>
        <w:sz w:val="20"/>
        <w:szCs w:val="20"/>
        <w:lang w:val="fr-CH"/>
      </w:rPr>
    </w:pPr>
    <w:r w:rsidRPr="003218B1">
      <w:rPr>
        <w:sz w:val="20"/>
        <w:szCs w:val="20"/>
        <w:lang w:val="fr-CH"/>
      </w:rPr>
      <w:t>Appendice V</w:t>
    </w:r>
    <w:r w:rsidRPr="003218B1">
      <w:rPr>
        <w:sz w:val="20"/>
        <w:szCs w:val="20"/>
        <w:lang w:val="fr-CH"/>
      </w:rPr>
      <w:tab/>
    </w:r>
    <w:r w:rsidRPr="003D6FFB">
      <w:rPr>
        <w:sz w:val="20"/>
        <w:szCs w:val="20"/>
        <w:lang w:val="fr-CH"/>
      </w:rPr>
      <w:t>pour les produits chimique</w:t>
    </w:r>
    <w:r>
      <w:rPr>
        <w:sz w:val="20"/>
        <w:szCs w:val="20"/>
        <w:lang w:val="fr-CH"/>
      </w:rPr>
      <w:t>s</w:t>
    </w:r>
    <w:r w:rsidRPr="003D6FFB">
      <w:rPr>
        <w:sz w:val="20"/>
        <w:szCs w:val="20"/>
        <w:lang w:val="fr-CH"/>
      </w:rPr>
      <w:t xml:space="preserve"> qui ne sont pas ins</w:t>
    </w:r>
    <w:r>
      <w:rPr>
        <w:sz w:val="20"/>
        <w:szCs w:val="20"/>
        <w:lang w:val="fr-CH"/>
      </w:rPr>
      <w:t>c</w:t>
    </w:r>
    <w:r w:rsidRPr="003D6FFB">
      <w:rPr>
        <w:sz w:val="20"/>
        <w:szCs w:val="20"/>
        <w:lang w:val="fr-CH"/>
      </w:rPr>
      <w:t>rits à l’annexe III</w:t>
    </w:r>
  </w:p>
  <w:p w:rsidR="00747640" w:rsidRPr="003218B1" w:rsidRDefault="00747640" w:rsidP="001A4039">
    <w:pPr>
      <w:pStyle w:val="Header"/>
      <w:pBdr>
        <w:bottom w:val="single" w:sz="6" w:space="1" w:color="auto"/>
      </w:pBdr>
      <w:tabs>
        <w:tab w:val="clear" w:pos="4320"/>
        <w:tab w:val="clear" w:pos="8640"/>
        <w:tab w:val="right" w:pos="9630"/>
      </w:tabs>
      <w:rPr>
        <w:i/>
        <w:sz w:val="20"/>
        <w:szCs w:val="20"/>
        <w:lang w:val="fr-CH"/>
      </w:rPr>
    </w:pPr>
    <w:r w:rsidRPr="003218B1">
      <w:rPr>
        <w:i/>
        <w:sz w:val="20"/>
        <w:szCs w:val="20"/>
        <w:lang w:val="fr-CH"/>
      </w:rPr>
      <w:t>Part</w:t>
    </w:r>
    <w:r>
      <w:rPr>
        <w:i/>
        <w:sz w:val="20"/>
        <w:szCs w:val="20"/>
        <w:lang w:val="fr-CH"/>
      </w:rPr>
      <w:t>ie</w:t>
    </w:r>
    <w:r w:rsidRPr="003218B1">
      <w:rPr>
        <w:i/>
        <w:sz w:val="20"/>
        <w:szCs w:val="20"/>
        <w:lang w:val="fr-CH"/>
      </w:rPr>
      <w:t xml:space="preserve"> A</w:t>
    </w:r>
    <w:r w:rsidRPr="003218B1">
      <w:rPr>
        <w:sz w:val="20"/>
        <w:szCs w:val="20"/>
        <w:lang w:val="fr-CH"/>
      </w:rPr>
      <w:tab/>
    </w:r>
    <w:r>
      <w:rPr>
        <w:i/>
        <w:sz w:val="20"/>
        <w:szCs w:val="20"/>
        <w:lang w:val="fr-CH"/>
      </w:rPr>
      <w:t>v</w:t>
    </w:r>
    <w:r w:rsidRPr="003218B1">
      <w:rPr>
        <w:i/>
        <w:sz w:val="20"/>
        <w:szCs w:val="20"/>
        <w:lang w:val="fr-CH"/>
      </w:rPr>
      <w:t>erifié qu</w:t>
    </w:r>
    <w:r>
      <w:rPr>
        <w:i/>
        <w:sz w:val="20"/>
        <w:szCs w:val="20"/>
        <w:lang w:val="fr-CH"/>
      </w:rPr>
      <w:t>’</w:t>
    </w:r>
    <w:r w:rsidRPr="003218B1">
      <w:rPr>
        <w:i/>
        <w:sz w:val="20"/>
        <w:szCs w:val="20"/>
        <w:lang w:val="fr-CH"/>
      </w:rPr>
      <w:t>elles contiennent tous les re</w:t>
    </w:r>
    <w:r w:rsidR="001F3C16">
      <w:rPr>
        <w:i/>
        <w:sz w:val="20"/>
        <w:szCs w:val="20"/>
        <w:lang w:val="fr-CH"/>
      </w:rPr>
      <w:t>n</w:t>
    </w:r>
    <w:r w:rsidRPr="003218B1">
      <w:rPr>
        <w:i/>
        <w:sz w:val="20"/>
        <w:szCs w:val="20"/>
        <w:lang w:val="fr-CH"/>
      </w:rPr>
      <w:t xml:space="preserve">seignements </w:t>
    </w:r>
    <w:r w:rsidRPr="00E95423">
      <w:rPr>
        <w:i/>
        <w:sz w:val="20"/>
        <w:szCs w:val="20"/>
        <w:lang w:val="fr-CH"/>
      </w:rPr>
      <w:t>stipulés dans</w:t>
    </w:r>
    <w:r w:rsidRPr="003218B1">
      <w:rPr>
        <w:i/>
        <w:sz w:val="20"/>
        <w:szCs w:val="20"/>
        <w:lang w:val="fr-CH"/>
      </w:rPr>
      <w:t xml:space="preserve"> l</w:t>
    </w:r>
    <w:r>
      <w:rPr>
        <w:i/>
        <w:sz w:val="20"/>
        <w:szCs w:val="20"/>
        <w:lang w:val="fr-CH"/>
      </w:rPr>
      <w:t>’annexe I</w:t>
    </w:r>
  </w:p>
  <w:p w:rsidR="00747640" w:rsidRPr="003218B1" w:rsidRDefault="00747640" w:rsidP="00913073">
    <w:pPr>
      <w:pStyle w:val="Header"/>
      <w:tabs>
        <w:tab w:val="clear" w:pos="4320"/>
        <w:tab w:val="clear" w:pos="8640"/>
        <w:tab w:val="right" w:pos="9072"/>
      </w:tabs>
      <w:rPr>
        <w:b/>
        <w:sz w:val="20"/>
        <w:szCs w:val="20"/>
        <w:lang w:val="fr-CH"/>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40" w:rsidRDefault="00BC7123" w:rsidP="001F63B1">
    <w:pPr>
      <w:pStyle w:val="Header"/>
      <w:pBdr>
        <w:bottom w:val="single" w:sz="6" w:space="1" w:color="auto"/>
      </w:pBdr>
      <w:tabs>
        <w:tab w:val="clear" w:pos="4320"/>
        <w:tab w:val="clear" w:pos="8640"/>
        <w:tab w:val="right" w:pos="9072"/>
      </w:tabs>
      <w:jc w:val="right"/>
      <w:rPr>
        <w:sz w:val="20"/>
        <w:szCs w:val="20"/>
        <w:lang w:val="fr-CH"/>
      </w:rPr>
    </w:pPr>
    <w:r>
      <w:rPr>
        <w:sz w:val="20"/>
        <w:szCs w:val="20"/>
        <w:lang w:val="fr-CH"/>
      </w:rPr>
      <w:t>N</w:t>
    </w:r>
    <w:r w:rsidR="00747640" w:rsidRPr="001A4039">
      <w:rPr>
        <w:sz w:val="20"/>
        <w:szCs w:val="20"/>
        <w:lang w:val="fr-CH"/>
      </w:rPr>
      <w:t xml:space="preserve">otifications de mesure de </w:t>
    </w:r>
    <w:r w:rsidR="001F3C16">
      <w:rPr>
        <w:sz w:val="20"/>
        <w:szCs w:val="20"/>
        <w:lang w:val="fr-CH"/>
      </w:rPr>
      <w:t>réglementation</w:t>
    </w:r>
    <w:r w:rsidR="00747640" w:rsidRPr="001A4039">
      <w:rPr>
        <w:sz w:val="20"/>
        <w:szCs w:val="20"/>
        <w:lang w:val="fr-CH"/>
      </w:rPr>
      <w:t xml:space="preserve"> finale</w:t>
    </w:r>
  </w:p>
  <w:p w:rsidR="00747640" w:rsidRPr="003218B1" w:rsidRDefault="00747640" w:rsidP="001F63B1">
    <w:pPr>
      <w:pStyle w:val="Header"/>
      <w:pBdr>
        <w:bottom w:val="single" w:sz="6" w:space="1" w:color="auto"/>
      </w:pBdr>
      <w:tabs>
        <w:tab w:val="clear" w:pos="4320"/>
        <w:tab w:val="clear" w:pos="8640"/>
        <w:tab w:val="right" w:pos="9630"/>
      </w:tabs>
      <w:rPr>
        <w:sz w:val="20"/>
        <w:szCs w:val="20"/>
        <w:lang w:val="fr-CH"/>
      </w:rPr>
    </w:pPr>
    <w:r w:rsidRPr="003218B1">
      <w:rPr>
        <w:sz w:val="20"/>
        <w:szCs w:val="20"/>
        <w:lang w:val="fr-CH"/>
      </w:rPr>
      <w:t>Appendice V</w:t>
    </w:r>
    <w:r w:rsidRPr="003218B1">
      <w:rPr>
        <w:sz w:val="20"/>
        <w:szCs w:val="20"/>
        <w:lang w:val="fr-CH"/>
      </w:rPr>
      <w:tab/>
    </w:r>
    <w:r w:rsidRPr="003D6FFB">
      <w:rPr>
        <w:sz w:val="20"/>
        <w:szCs w:val="20"/>
        <w:lang w:val="fr-CH"/>
      </w:rPr>
      <w:t>pour les produits chimique</w:t>
    </w:r>
    <w:r w:rsidR="002E14BF">
      <w:rPr>
        <w:sz w:val="20"/>
        <w:szCs w:val="20"/>
        <w:lang w:val="fr-CH"/>
      </w:rPr>
      <w:t>s</w:t>
    </w:r>
    <w:r w:rsidRPr="003D6FFB">
      <w:rPr>
        <w:sz w:val="20"/>
        <w:szCs w:val="20"/>
        <w:lang w:val="fr-CH"/>
      </w:rPr>
      <w:t xml:space="preserve"> qui ne sont pas ins</w:t>
    </w:r>
    <w:r>
      <w:rPr>
        <w:sz w:val="20"/>
        <w:szCs w:val="20"/>
        <w:lang w:val="fr-CH"/>
      </w:rPr>
      <w:t>c</w:t>
    </w:r>
    <w:r w:rsidRPr="003D6FFB">
      <w:rPr>
        <w:sz w:val="20"/>
        <w:szCs w:val="20"/>
        <w:lang w:val="fr-CH"/>
      </w:rPr>
      <w:t>rits à l’annexe III</w:t>
    </w:r>
  </w:p>
  <w:p w:rsidR="00747640" w:rsidRPr="00A011E2" w:rsidRDefault="00747640" w:rsidP="001F63B1">
    <w:pPr>
      <w:pStyle w:val="Header"/>
      <w:pBdr>
        <w:bottom w:val="single" w:sz="6" w:space="1" w:color="auto"/>
      </w:pBdr>
      <w:tabs>
        <w:tab w:val="clear" w:pos="4320"/>
        <w:tab w:val="clear" w:pos="8640"/>
        <w:tab w:val="right" w:pos="9630"/>
      </w:tabs>
      <w:rPr>
        <w:i/>
        <w:sz w:val="20"/>
        <w:szCs w:val="20"/>
        <w:lang w:val="fr-CH"/>
      </w:rPr>
    </w:pPr>
    <w:r w:rsidRPr="003218B1">
      <w:rPr>
        <w:i/>
        <w:sz w:val="20"/>
        <w:szCs w:val="20"/>
        <w:lang w:val="fr-CH"/>
      </w:rPr>
      <w:t>Part</w:t>
    </w:r>
    <w:r>
      <w:rPr>
        <w:i/>
        <w:sz w:val="20"/>
        <w:szCs w:val="20"/>
        <w:lang w:val="fr-CH"/>
      </w:rPr>
      <w:t>ie</w:t>
    </w:r>
    <w:r w:rsidRPr="003218B1">
      <w:rPr>
        <w:i/>
        <w:sz w:val="20"/>
        <w:szCs w:val="20"/>
        <w:lang w:val="fr-CH"/>
      </w:rPr>
      <w:t xml:space="preserve"> </w:t>
    </w:r>
    <w:r>
      <w:rPr>
        <w:i/>
        <w:sz w:val="20"/>
        <w:szCs w:val="20"/>
        <w:lang w:val="fr-CH"/>
      </w:rPr>
      <w:t>B</w:t>
    </w:r>
    <w:r w:rsidRPr="003218B1">
      <w:rPr>
        <w:sz w:val="20"/>
        <w:szCs w:val="20"/>
        <w:lang w:val="fr-CH"/>
      </w:rPr>
      <w:tab/>
    </w:r>
    <w:r>
      <w:rPr>
        <w:i/>
        <w:sz w:val="20"/>
        <w:szCs w:val="20"/>
        <w:lang w:val="fr-CH"/>
      </w:rPr>
      <w:t>v</w:t>
    </w:r>
    <w:r w:rsidRPr="003218B1">
      <w:rPr>
        <w:i/>
        <w:sz w:val="20"/>
        <w:szCs w:val="20"/>
        <w:lang w:val="fr-CH"/>
      </w:rPr>
      <w:t>erifié qu</w:t>
    </w:r>
    <w:r>
      <w:rPr>
        <w:i/>
        <w:sz w:val="20"/>
        <w:szCs w:val="20"/>
        <w:lang w:val="fr-CH"/>
      </w:rPr>
      <w:t>’</w:t>
    </w:r>
    <w:r w:rsidRPr="003218B1">
      <w:rPr>
        <w:i/>
        <w:sz w:val="20"/>
        <w:szCs w:val="20"/>
        <w:lang w:val="fr-CH"/>
      </w:rPr>
      <w:t xml:space="preserve">elles </w:t>
    </w:r>
    <w:r>
      <w:rPr>
        <w:i/>
        <w:sz w:val="20"/>
        <w:szCs w:val="20"/>
        <w:lang w:val="fr-CH"/>
      </w:rPr>
      <w:t xml:space="preserve">ne </w:t>
    </w:r>
    <w:r w:rsidRPr="003218B1">
      <w:rPr>
        <w:i/>
        <w:sz w:val="20"/>
        <w:szCs w:val="20"/>
        <w:lang w:val="fr-CH"/>
      </w:rPr>
      <w:t xml:space="preserve">contiennent </w:t>
    </w:r>
    <w:r>
      <w:rPr>
        <w:i/>
        <w:sz w:val="20"/>
        <w:szCs w:val="20"/>
        <w:lang w:val="fr-CH"/>
      </w:rPr>
      <w:t xml:space="preserve">pas </w:t>
    </w:r>
    <w:r w:rsidRPr="003218B1">
      <w:rPr>
        <w:i/>
        <w:sz w:val="20"/>
        <w:szCs w:val="20"/>
        <w:lang w:val="fr-CH"/>
      </w:rPr>
      <w:t xml:space="preserve">tous les reseignements </w:t>
    </w:r>
    <w:r w:rsidRPr="00E95423">
      <w:rPr>
        <w:i/>
        <w:sz w:val="20"/>
        <w:szCs w:val="20"/>
        <w:lang w:val="fr-CH"/>
      </w:rPr>
      <w:t>stipulés dans</w:t>
    </w:r>
    <w:r w:rsidRPr="003218B1">
      <w:rPr>
        <w:i/>
        <w:sz w:val="20"/>
        <w:szCs w:val="20"/>
        <w:lang w:val="fr-CH"/>
      </w:rPr>
      <w:t xml:space="preserve"> l</w:t>
    </w:r>
    <w:r>
      <w:rPr>
        <w:i/>
        <w:sz w:val="20"/>
        <w:szCs w:val="20"/>
        <w:lang w:val="fr-CH"/>
      </w:rPr>
      <w:t>’annexe I</w:t>
    </w:r>
  </w:p>
  <w:p w:rsidR="00747640" w:rsidRPr="00A011E2" w:rsidRDefault="00747640" w:rsidP="00913073">
    <w:pPr>
      <w:pStyle w:val="Header"/>
      <w:tabs>
        <w:tab w:val="clear" w:pos="4320"/>
        <w:tab w:val="clear" w:pos="8640"/>
        <w:tab w:val="right" w:pos="9072"/>
      </w:tabs>
      <w:rPr>
        <w:b/>
        <w:sz w:val="20"/>
        <w:szCs w:val="20"/>
        <w:lang w:val="fr-CH"/>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40" w:rsidRPr="006029F8" w:rsidRDefault="00747640" w:rsidP="008E409F">
    <w:pPr>
      <w:pStyle w:val="Header"/>
      <w:pBdr>
        <w:bottom w:val="single" w:sz="6" w:space="1" w:color="auto"/>
      </w:pBdr>
      <w:tabs>
        <w:tab w:val="clear" w:pos="4320"/>
        <w:tab w:val="clear" w:pos="8640"/>
        <w:tab w:val="right" w:pos="9630"/>
      </w:tabs>
      <w:rPr>
        <w:sz w:val="20"/>
        <w:szCs w:val="20"/>
        <w:lang w:val="fr-CH"/>
      </w:rPr>
    </w:pPr>
    <w:r w:rsidRPr="006029F8">
      <w:rPr>
        <w:sz w:val="20"/>
        <w:szCs w:val="20"/>
        <w:lang w:val="fr-CH"/>
      </w:rPr>
      <w:t>Append</w:t>
    </w:r>
    <w:r>
      <w:rPr>
        <w:sz w:val="20"/>
        <w:szCs w:val="20"/>
        <w:lang w:val="fr-CH"/>
      </w:rPr>
      <w:t>ice</w:t>
    </w:r>
    <w:r w:rsidRPr="006029F8">
      <w:rPr>
        <w:sz w:val="20"/>
        <w:szCs w:val="20"/>
        <w:lang w:val="fr-CH"/>
      </w:rPr>
      <w:t xml:space="preserve"> VI</w:t>
    </w:r>
    <w:r w:rsidRPr="006029F8">
      <w:rPr>
        <w:sz w:val="20"/>
        <w:szCs w:val="20"/>
        <w:lang w:val="fr-CH"/>
      </w:rPr>
      <w:tab/>
    </w:r>
    <w:r>
      <w:rPr>
        <w:sz w:val="20"/>
        <w:szCs w:val="20"/>
        <w:lang w:val="fr-CH"/>
      </w:rPr>
      <w:t>E</w:t>
    </w:r>
    <w:r w:rsidRPr="00D70458">
      <w:rPr>
        <w:sz w:val="20"/>
        <w:szCs w:val="20"/>
        <w:lang w:val="fr-CH"/>
      </w:rPr>
      <w:t>change d</w:t>
    </w:r>
    <w:r>
      <w:rPr>
        <w:sz w:val="20"/>
        <w:szCs w:val="20"/>
        <w:lang w:val="fr-CH"/>
      </w:rPr>
      <w:t>’</w:t>
    </w:r>
    <w:r w:rsidRPr="00D70458">
      <w:rPr>
        <w:sz w:val="20"/>
        <w:szCs w:val="20"/>
        <w:lang w:val="fr-CH"/>
      </w:rPr>
      <w:t>information sur les produits chimiques recommandé pour l</w:t>
    </w:r>
    <w:r>
      <w:rPr>
        <w:sz w:val="20"/>
        <w:szCs w:val="20"/>
        <w:lang w:val="fr-CH"/>
      </w:rPr>
      <w:t>’</w:t>
    </w:r>
    <w:r w:rsidRPr="00D70458">
      <w:rPr>
        <w:sz w:val="20"/>
        <w:szCs w:val="20"/>
        <w:lang w:val="fr-CH"/>
      </w:rPr>
      <w:t>inscription à l</w:t>
    </w:r>
    <w:r>
      <w:rPr>
        <w:sz w:val="20"/>
        <w:szCs w:val="20"/>
        <w:lang w:val="fr-CH"/>
      </w:rPr>
      <w:t xml:space="preserve">’annexe III </w:t>
    </w:r>
  </w:p>
  <w:p w:rsidR="00747640" w:rsidRPr="006029F8" w:rsidRDefault="00747640" w:rsidP="007F589F">
    <w:pPr>
      <w:pStyle w:val="Header"/>
      <w:rPr>
        <w:szCs w:val="20"/>
        <w:lang w:val="fr-CH"/>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40" w:rsidRPr="00D70458" w:rsidRDefault="00747640" w:rsidP="00F904D0">
    <w:pPr>
      <w:pStyle w:val="Header"/>
      <w:pBdr>
        <w:bottom w:val="single" w:sz="6" w:space="1" w:color="auto"/>
      </w:pBdr>
      <w:tabs>
        <w:tab w:val="clear" w:pos="4320"/>
        <w:tab w:val="clear" w:pos="8640"/>
        <w:tab w:val="right" w:pos="9630"/>
      </w:tabs>
      <w:rPr>
        <w:sz w:val="20"/>
        <w:szCs w:val="20"/>
        <w:lang w:val="fr-CH"/>
      </w:rPr>
    </w:pPr>
    <w:r w:rsidRPr="00D70458">
      <w:rPr>
        <w:sz w:val="20"/>
        <w:szCs w:val="20"/>
        <w:lang w:val="fr-CH"/>
      </w:rPr>
      <w:t>Appendi</w:t>
    </w:r>
    <w:r>
      <w:rPr>
        <w:sz w:val="20"/>
        <w:szCs w:val="20"/>
        <w:lang w:val="fr-CH"/>
      </w:rPr>
      <w:t>ce</w:t>
    </w:r>
    <w:r w:rsidRPr="00D70458">
      <w:rPr>
        <w:sz w:val="20"/>
        <w:szCs w:val="20"/>
        <w:lang w:val="fr-CH"/>
      </w:rPr>
      <w:t xml:space="preserve"> VI</w:t>
    </w:r>
    <w:r w:rsidRPr="00D70458">
      <w:rPr>
        <w:sz w:val="20"/>
        <w:szCs w:val="20"/>
        <w:lang w:val="fr-CH"/>
      </w:rPr>
      <w:tab/>
    </w:r>
    <w:r>
      <w:rPr>
        <w:sz w:val="20"/>
        <w:szCs w:val="20"/>
        <w:lang w:val="fr-CH"/>
      </w:rPr>
      <w:t>E</w:t>
    </w:r>
    <w:r w:rsidRPr="00D70458">
      <w:rPr>
        <w:sz w:val="20"/>
        <w:szCs w:val="20"/>
        <w:lang w:val="fr-CH"/>
      </w:rPr>
      <w:t>change d</w:t>
    </w:r>
    <w:r>
      <w:rPr>
        <w:sz w:val="20"/>
        <w:szCs w:val="20"/>
        <w:lang w:val="fr-CH"/>
      </w:rPr>
      <w:t>’</w:t>
    </w:r>
    <w:r w:rsidRPr="00D70458">
      <w:rPr>
        <w:sz w:val="20"/>
        <w:szCs w:val="20"/>
        <w:lang w:val="fr-CH"/>
      </w:rPr>
      <w:t>information sur les produits chimiques recommandé pour l</w:t>
    </w:r>
    <w:r>
      <w:rPr>
        <w:sz w:val="20"/>
        <w:szCs w:val="20"/>
        <w:lang w:val="fr-CH"/>
      </w:rPr>
      <w:t>’</w:t>
    </w:r>
    <w:r w:rsidRPr="00D70458">
      <w:rPr>
        <w:sz w:val="20"/>
        <w:szCs w:val="20"/>
        <w:lang w:val="fr-CH"/>
      </w:rPr>
      <w:t>inscription à l</w:t>
    </w:r>
    <w:r>
      <w:rPr>
        <w:sz w:val="20"/>
        <w:szCs w:val="20"/>
        <w:lang w:val="fr-CH"/>
      </w:rPr>
      <w:t>’annexe III</w:t>
    </w:r>
  </w:p>
  <w:p w:rsidR="00747640" w:rsidRPr="00D70458" w:rsidRDefault="00747640" w:rsidP="00F904D0">
    <w:pPr>
      <w:pStyle w:val="Header"/>
      <w:pBdr>
        <w:bottom w:val="single" w:sz="6" w:space="1" w:color="auto"/>
      </w:pBdr>
      <w:tabs>
        <w:tab w:val="clear" w:pos="4320"/>
        <w:tab w:val="clear" w:pos="8640"/>
        <w:tab w:val="right" w:pos="9630"/>
      </w:tabs>
      <w:rPr>
        <w:sz w:val="20"/>
        <w:szCs w:val="20"/>
        <w:lang w:val="fr-CH"/>
      </w:rPr>
    </w:pPr>
    <w:r w:rsidRPr="00D70458">
      <w:rPr>
        <w:i/>
        <w:sz w:val="20"/>
        <w:szCs w:val="20"/>
        <w:lang w:val="fr-CH"/>
      </w:rPr>
      <w:t>Partie A</w:t>
    </w:r>
    <w:r w:rsidRPr="00D70458">
      <w:rPr>
        <w:sz w:val="20"/>
        <w:szCs w:val="20"/>
        <w:lang w:val="fr-CH"/>
      </w:rPr>
      <w:tab/>
    </w:r>
    <w:r w:rsidRPr="00D70458">
      <w:rPr>
        <w:i/>
        <w:sz w:val="20"/>
        <w:szCs w:val="20"/>
        <w:lang w:val="fr-CH"/>
      </w:rPr>
      <w:t xml:space="preserve">Informations fournies par les </w:t>
    </w:r>
    <w:r>
      <w:rPr>
        <w:i/>
        <w:sz w:val="20"/>
        <w:szCs w:val="20"/>
        <w:lang w:val="fr-CH"/>
      </w:rPr>
      <w:t>P</w:t>
    </w:r>
    <w:r w:rsidRPr="00D70458">
      <w:rPr>
        <w:i/>
        <w:sz w:val="20"/>
        <w:szCs w:val="20"/>
        <w:lang w:val="fr-CH"/>
      </w:rPr>
      <w:t>arties sur les decisions nationales</w:t>
    </w:r>
  </w:p>
  <w:p w:rsidR="00747640" w:rsidRPr="00D70458" w:rsidRDefault="00747640" w:rsidP="007F589F">
    <w:pPr>
      <w:pStyle w:val="Header"/>
      <w:rPr>
        <w:szCs w:val="20"/>
        <w:lang w:val="fr-CH"/>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40" w:rsidRPr="00D70458" w:rsidRDefault="00747640" w:rsidP="00F64250">
    <w:pPr>
      <w:pStyle w:val="Header"/>
      <w:pBdr>
        <w:bottom w:val="single" w:sz="6" w:space="1" w:color="auto"/>
      </w:pBdr>
      <w:tabs>
        <w:tab w:val="clear" w:pos="4320"/>
        <w:tab w:val="clear" w:pos="8640"/>
        <w:tab w:val="right" w:pos="9072"/>
      </w:tabs>
      <w:rPr>
        <w:sz w:val="20"/>
        <w:szCs w:val="20"/>
        <w:lang w:val="fr-CH"/>
      </w:rPr>
    </w:pPr>
    <w:r w:rsidRPr="00D70458">
      <w:rPr>
        <w:sz w:val="20"/>
        <w:szCs w:val="20"/>
        <w:lang w:val="fr-CH"/>
      </w:rPr>
      <w:t>Appendi</w:t>
    </w:r>
    <w:r>
      <w:rPr>
        <w:sz w:val="20"/>
        <w:szCs w:val="20"/>
        <w:lang w:val="fr-CH"/>
      </w:rPr>
      <w:t>ce</w:t>
    </w:r>
    <w:r w:rsidRPr="00D70458">
      <w:rPr>
        <w:sz w:val="20"/>
        <w:szCs w:val="20"/>
        <w:lang w:val="fr-CH"/>
      </w:rPr>
      <w:t xml:space="preserve"> VI</w:t>
    </w:r>
    <w:r w:rsidRPr="00D70458">
      <w:rPr>
        <w:sz w:val="20"/>
        <w:szCs w:val="20"/>
        <w:lang w:val="fr-CH"/>
      </w:rPr>
      <w:tab/>
    </w:r>
    <w:r>
      <w:rPr>
        <w:sz w:val="20"/>
        <w:szCs w:val="20"/>
        <w:lang w:val="fr-CH"/>
      </w:rPr>
      <w:t>E</w:t>
    </w:r>
    <w:r w:rsidRPr="00D70458">
      <w:rPr>
        <w:sz w:val="20"/>
        <w:szCs w:val="20"/>
        <w:lang w:val="fr-CH"/>
      </w:rPr>
      <w:t>change d</w:t>
    </w:r>
    <w:r>
      <w:rPr>
        <w:sz w:val="20"/>
        <w:szCs w:val="20"/>
        <w:lang w:val="fr-CH"/>
      </w:rPr>
      <w:t>’</w:t>
    </w:r>
    <w:r w:rsidRPr="00D70458">
      <w:rPr>
        <w:sz w:val="20"/>
        <w:szCs w:val="20"/>
        <w:lang w:val="fr-CH"/>
      </w:rPr>
      <w:t>information sur les produits chimiques recommandé pour l</w:t>
    </w:r>
    <w:r>
      <w:rPr>
        <w:sz w:val="20"/>
        <w:szCs w:val="20"/>
        <w:lang w:val="fr-CH"/>
      </w:rPr>
      <w:t>’</w:t>
    </w:r>
    <w:r w:rsidRPr="00D70458">
      <w:rPr>
        <w:sz w:val="20"/>
        <w:szCs w:val="20"/>
        <w:lang w:val="fr-CH"/>
      </w:rPr>
      <w:t>inscription à l</w:t>
    </w:r>
    <w:r>
      <w:rPr>
        <w:sz w:val="20"/>
        <w:szCs w:val="20"/>
        <w:lang w:val="fr-CH"/>
      </w:rPr>
      <w:t>’annexe III</w:t>
    </w:r>
  </w:p>
  <w:p w:rsidR="00747640" w:rsidRPr="008A7C9A" w:rsidRDefault="00747640" w:rsidP="00F64250">
    <w:pPr>
      <w:pStyle w:val="Header"/>
      <w:pBdr>
        <w:bottom w:val="single" w:sz="6" w:space="1" w:color="auto"/>
      </w:pBdr>
      <w:tabs>
        <w:tab w:val="clear" w:pos="4320"/>
        <w:tab w:val="clear" w:pos="8640"/>
        <w:tab w:val="right" w:pos="9072"/>
      </w:tabs>
      <w:rPr>
        <w:sz w:val="20"/>
        <w:szCs w:val="20"/>
        <w:lang w:val="fr-CH"/>
      </w:rPr>
    </w:pPr>
    <w:r w:rsidRPr="008A7C9A">
      <w:rPr>
        <w:i/>
        <w:sz w:val="20"/>
        <w:szCs w:val="20"/>
        <w:lang w:val="fr-CH"/>
      </w:rPr>
      <w:t>Partie B</w:t>
    </w:r>
    <w:r w:rsidRPr="008A7C9A">
      <w:rPr>
        <w:sz w:val="20"/>
        <w:szCs w:val="20"/>
        <w:lang w:val="fr-CH"/>
      </w:rPr>
      <w:tab/>
    </w:r>
    <w:r w:rsidRPr="00D70458">
      <w:rPr>
        <w:i/>
        <w:sz w:val="20"/>
        <w:szCs w:val="20"/>
        <w:lang w:val="fr-CH"/>
      </w:rPr>
      <w:t xml:space="preserve">Informations fournies par les </w:t>
    </w:r>
    <w:r>
      <w:rPr>
        <w:i/>
        <w:sz w:val="20"/>
        <w:szCs w:val="20"/>
        <w:lang w:val="fr-CH"/>
      </w:rPr>
      <w:t>P</w:t>
    </w:r>
    <w:r w:rsidRPr="00D70458">
      <w:rPr>
        <w:i/>
        <w:sz w:val="20"/>
        <w:szCs w:val="20"/>
        <w:lang w:val="fr-CH"/>
      </w:rPr>
      <w:t xml:space="preserve">arties sur les decisions </w:t>
    </w:r>
    <w:r w:rsidRPr="008A7C9A">
      <w:rPr>
        <w:i/>
        <w:sz w:val="20"/>
        <w:szCs w:val="20"/>
        <w:lang w:val="fr-CH"/>
      </w:rPr>
      <w:t>concernant l</w:t>
    </w:r>
    <w:r>
      <w:rPr>
        <w:i/>
        <w:sz w:val="20"/>
        <w:szCs w:val="20"/>
        <w:lang w:val="fr-CH"/>
      </w:rPr>
      <w:t>’</w:t>
    </w:r>
    <w:r w:rsidRPr="008A7C9A">
      <w:rPr>
        <w:i/>
        <w:sz w:val="20"/>
        <w:szCs w:val="20"/>
        <w:lang w:val="fr-CH"/>
      </w:rPr>
      <w:t>importation</w:t>
    </w:r>
  </w:p>
  <w:p w:rsidR="00747640" w:rsidRPr="008A7C9A" w:rsidRDefault="00747640" w:rsidP="007F589F">
    <w:pPr>
      <w:pStyle w:val="Header"/>
      <w:rPr>
        <w:szCs w:val="20"/>
        <w:lang w:val="fr-CH"/>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40" w:rsidRPr="0094645F" w:rsidRDefault="00747640" w:rsidP="0094645F">
    <w:pPr>
      <w:pStyle w:val="Header"/>
      <w:pBdr>
        <w:bottom w:val="single" w:sz="6" w:space="1" w:color="auto"/>
      </w:pBdr>
      <w:tabs>
        <w:tab w:val="clear" w:pos="4320"/>
        <w:tab w:val="clear" w:pos="8640"/>
        <w:tab w:val="right" w:pos="9072"/>
      </w:tabs>
      <w:rPr>
        <w:sz w:val="20"/>
        <w:szCs w:val="20"/>
        <w:lang w:val="fr-CH"/>
      </w:rPr>
    </w:pPr>
    <w:r>
      <w:rPr>
        <w:sz w:val="20"/>
        <w:szCs w:val="20"/>
        <w:lang w:val="fr-CH"/>
      </w:rPr>
      <w:t>Appendice</w:t>
    </w:r>
    <w:r w:rsidRPr="0094645F">
      <w:rPr>
        <w:sz w:val="20"/>
        <w:szCs w:val="20"/>
        <w:lang w:val="fr-CH"/>
      </w:rPr>
      <w:t xml:space="preserve"> I</w:t>
    </w:r>
    <w:r w:rsidRPr="0094645F">
      <w:rPr>
        <w:sz w:val="20"/>
        <w:szCs w:val="20"/>
        <w:lang w:val="fr-CH"/>
      </w:rPr>
      <w:tab/>
      <w:t>Synopsis des nou</w:t>
    </w:r>
    <w:r>
      <w:rPr>
        <w:sz w:val="20"/>
        <w:szCs w:val="20"/>
        <w:lang w:val="fr-CH"/>
      </w:rPr>
      <w:t>velles notifications de mesure</w:t>
    </w:r>
    <w:r w:rsidRPr="0094645F">
      <w:rPr>
        <w:sz w:val="20"/>
        <w:szCs w:val="20"/>
        <w:lang w:val="fr-CH"/>
      </w:rPr>
      <w:t xml:space="preserve"> </w:t>
    </w:r>
    <w:r>
      <w:rPr>
        <w:sz w:val="20"/>
        <w:szCs w:val="20"/>
        <w:lang w:val="fr-CH"/>
      </w:rPr>
      <w:t xml:space="preserve">de </w:t>
    </w:r>
    <w:r w:rsidRPr="0094645F">
      <w:rPr>
        <w:sz w:val="20"/>
        <w:szCs w:val="20"/>
        <w:lang w:val="fr-CH"/>
      </w:rPr>
      <w:t>réglementation</w:t>
    </w:r>
    <w:r>
      <w:rPr>
        <w:sz w:val="20"/>
        <w:szCs w:val="20"/>
        <w:lang w:val="fr-CH"/>
      </w:rPr>
      <w:t xml:space="preserve"> finale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40" w:rsidRPr="0094645F" w:rsidRDefault="00747640" w:rsidP="001800C2">
    <w:pPr>
      <w:pStyle w:val="Header"/>
      <w:pBdr>
        <w:bottom w:val="single" w:sz="6" w:space="1" w:color="auto"/>
      </w:pBdr>
      <w:tabs>
        <w:tab w:val="clear" w:pos="4320"/>
        <w:tab w:val="clear" w:pos="8640"/>
        <w:tab w:val="right" w:pos="9900"/>
      </w:tabs>
      <w:rPr>
        <w:sz w:val="20"/>
        <w:szCs w:val="20"/>
        <w:lang w:val="fr-CH"/>
      </w:rPr>
    </w:pPr>
    <w:r w:rsidRPr="0094645F">
      <w:rPr>
        <w:sz w:val="20"/>
        <w:szCs w:val="20"/>
        <w:lang w:val="fr-CH"/>
      </w:rPr>
      <w:t>Appendi</w:t>
    </w:r>
    <w:r>
      <w:rPr>
        <w:sz w:val="20"/>
        <w:szCs w:val="20"/>
        <w:lang w:val="fr-CH"/>
      </w:rPr>
      <w:t>ce</w:t>
    </w:r>
    <w:r w:rsidRPr="0094645F">
      <w:rPr>
        <w:sz w:val="20"/>
        <w:szCs w:val="20"/>
        <w:lang w:val="fr-CH"/>
      </w:rPr>
      <w:t xml:space="preserve"> I</w:t>
    </w:r>
    <w:r w:rsidRPr="0094645F">
      <w:rPr>
        <w:sz w:val="20"/>
        <w:szCs w:val="20"/>
        <w:lang w:val="fr-CH"/>
      </w:rPr>
      <w:tab/>
    </w:r>
    <w:r w:rsidRPr="00F77287">
      <w:rPr>
        <w:sz w:val="20"/>
        <w:szCs w:val="20"/>
        <w:lang w:val="fr-CH"/>
      </w:rPr>
      <w:t>Synopsis de</w:t>
    </w:r>
    <w:r>
      <w:rPr>
        <w:sz w:val="20"/>
        <w:szCs w:val="20"/>
        <w:lang w:val="fr-CH"/>
      </w:rPr>
      <w:t>s nouvelles notifications de me</w:t>
    </w:r>
    <w:r w:rsidRPr="00F77287">
      <w:rPr>
        <w:sz w:val="20"/>
        <w:szCs w:val="20"/>
        <w:lang w:val="fr-CH"/>
      </w:rPr>
      <w:t xml:space="preserve">sure </w:t>
    </w:r>
    <w:r>
      <w:rPr>
        <w:sz w:val="20"/>
        <w:szCs w:val="20"/>
        <w:lang w:val="fr-CH"/>
      </w:rPr>
      <w:t xml:space="preserve">de </w:t>
    </w:r>
    <w:r w:rsidRPr="00F77287">
      <w:rPr>
        <w:sz w:val="20"/>
        <w:szCs w:val="20"/>
        <w:lang w:val="fr-CH"/>
      </w:rPr>
      <w:t>réglementation finale</w:t>
    </w:r>
  </w:p>
  <w:p w:rsidR="00747640" w:rsidRPr="0094645F" w:rsidRDefault="00747640" w:rsidP="001800C2">
    <w:pPr>
      <w:pStyle w:val="Header"/>
      <w:pBdr>
        <w:bottom w:val="single" w:sz="6" w:space="1" w:color="auto"/>
      </w:pBdr>
      <w:tabs>
        <w:tab w:val="clear" w:pos="4320"/>
        <w:tab w:val="clear" w:pos="8640"/>
        <w:tab w:val="right" w:pos="9900"/>
      </w:tabs>
      <w:rPr>
        <w:i/>
        <w:sz w:val="20"/>
        <w:szCs w:val="20"/>
        <w:lang w:val="fr-CH"/>
      </w:rPr>
    </w:pPr>
    <w:r w:rsidRPr="0094645F">
      <w:rPr>
        <w:i/>
        <w:sz w:val="20"/>
        <w:szCs w:val="20"/>
        <w:lang w:val="fr-CH"/>
      </w:rPr>
      <w:t>Partie A</w:t>
    </w:r>
    <w:r w:rsidRPr="0094645F">
      <w:rPr>
        <w:sz w:val="20"/>
        <w:szCs w:val="20"/>
        <w:lang w:val="fr-CH"/>
      </w:rPr>
      <w:tab/>
    </w:r>
    <w:r w:rsidRPr="007B6C51">
      <w:rPr>
        <w:i/>
        <w:sz w:val="20"/>
        <w:szCs w:val="20"/>
        <w:lang w:val="fr-CH"/>
      </w:rPr>
      <w:t>verifi</w:t>
    </w:r>
    <w:r>
      <w:rPr>
        <w:i/>
        <w:sz w:val="20"/>
        <w:szCs w:val="20"/>
        <w:lang w:val="fr-CH"/>
      </w:rPr>
      <w:t>é</w:t>
    </w:r>
    <w:r w:rsidRPr="007B6C51">
      <w:rPr>
        <w:i/>
        <w:sz w:val="20"/>
        <w:szCs w:val="20"/>
        <w:lang w:val="fr-CH"/>
      </w:rPr>
      <w:t xml:space="preserve"> qu</w:t>
    </w:r>
    <w:r>
      <w:rPr>
        <w:i/>
        <w:sz w:val="20"/>
        <w:szCs w:val="20"/>
        <w:lang w:val="fr-CH"/>
      </w:rPr>
      <w:t>’</w:t>
    </w:r>
    <w:r w:rsidRPr="007B6C51">
      <w:rPr>
        <w:i/>
        <w:sz w:val="20"/>
        <w:szCs w:val="20"/>
        <w:lang w:val="fr-CH"/>
      </w:rPr>
      <w:t>elle</w:t>
    </w:r>
    <w:r>
      <w:rPr>
        <w:i/>
        <w:sz w:val="20"/>
        <w:szCs w:val="20"/>
        <w:lang w:val="fr-CH"/>
      </w:rPr>
      <w:t>s</w:t>
    </w:r>
    <w:r w:rsidRPr="007B6C51">
      <w:rPr>
        <w:i/>
        <w:sz w:val="20"/>
        <w:szCs w:val="20"/>
        <w:lang w:val="fr-CH"/>
      </w:rPr>
      <w:t xml:space="preserve"> contien</w:t>
    </w:r>
    <w:r>
      <w:rPr>
        <w:i/>
        <w:sz w:val="20"/>
        <w:szCs w:val="20"/>
        <w:lang w:val="fr-CH"/>
      </w:rPr>
      <w:t>nen</w:t>
    </w:r>
    <w:r w:rsidRPr="007B6C51">
      <w:rPr>
        <w:i/>
        <w:sz w:val="20"/>
        <w:szCs w:val="20"/>
        <w:lang w:val="fr-CH"/>
      </w:rPr>
      <w:t>t tous l</w:t>
    </w:r>
    <w:r>
      <w:rPr>
        <w:i/>
        <w:sz w:val="20"/>
        <w:szCs w:val="20"/>
        <w:lang w:val="fr-CH"/>
      </w:rPr>
      <w:t xml:space="preserve">es renseignements </w:t>
    </w:r>
    <w:r w:rsidRPr="00E95423">
      <w:rPr>
        <w:i/>
        <w:sz w:val="20"/>
        <w:szCs w:val="20"/>
        <w:lang w:val="fr-CH"/>
      </w:rPr>
      <w:t>stipulés dans</w:t>
    </w:r>
    <w:r>
      <w:rPr>
        <w:i/>
        <w:sz w:val="20"/>
        <w:szCs w:val="20"/>
        <w:lang w:val="fr-CH"/>
      </w:rPr>
      <w:t xml:space="preserve"> l’annexe I</w:t>
    </w:r>
  </w:p>
  <w:p w:rsidR="00747640" w:rsidRPr="0094645F" w:rsidRDefault="00747640" w:rsidP="00815FE5">
    <w:pPr>
      <w:pStyle w:val="Header"/>
      <w:tabs>
        <w:tab w:val="clear" w:pos="4320"/>
        <w:tab w:val="clear" w:pos="8640"/>
        <w:tab w:val="right" w:pos="9072"/>
      </w:tabs>
      <w:rPr>
        <w:b/>
        <w:sz w:val="20"/>
        <w:szCs w:val="20"/>
        <w:lang w:val="fr-CH"/>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40" w:rsidRPr="00433909" w:rsidRDefault="00747640" w:rsidP="00A84B0B">
    <w:pPr>
      <w:pStyle w:val="Header"/>
      <w:pBdr>
        <w:bottom w:val="single" w:sz="4" w:space="1" w:color="auto"/>
      </w:pBdr>
      <w:tabs>
        <w:tab w:val="clear" w:pos="4320"/>
        <w:tab w:val="clear" w:pos="8640"/>
        <w:tab w:val="right" w:pos="9072"/>
      </w:tabs>
      <w:rPr>
        <w:sz w:val="20"/>
        <w:szCs w:val="20"/>
        <w:lang w:val="en-GB"/>
      </w:rPr>
    </w:pPr>
    <w:r>
      <w:rPr>
        <w:sz w:val="20"/>
        <w:szCs w:val="20"/>
      </w:rPr>
      <w:t>Appendix II</w:t>
    </w:r>
    <w:r>
      <w:rPr>
        <w:sz w:val="20"/>
        <w:szCs w:val="20"/>
      </w:rPr>
      <w:tab/>
    </w:r>
  </w:p>
  <w:p w:rsidR="00747640" w:rsidRPr="00433909" w:rsidRDefault="00747640" w:rsidP="00A84B0B">
    <w:pPr>
      <w:pStyle w:val="Header"/>
      <w:tabs>
        <w:tab w:val="clear" w:pos="4320"/>
        <w:tab w:val="clear" w:pos="8640"/>
        <w:tab w:val="left" w:pos="4605"/>
        <w:tab w:val="right" w:pos="9072"/>
      </w:tabs>
      <w:rPr>
        <w:sz w:val="20"/>
        <w:szCs w:val="20"/>
        <w:lang w:val="en-GB"/>
      </w:rPr>
    </w:pPr>
    <w:r>
      <w:rPr>
        <w:sz w:val="20"/>
        <w:szCs w:val="20"/>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40" w:rsidRPr="004120EE" w:rsidRDefault="00747640" w:rsidP="005068F2">
    <w:pPr>
      <w:pStyle w:val="Header"/>
      <w:pBdr>
        <w:bottom w:val="single" w:sz="6" w:space="1" w:color="auto"/>
      </w:pBdr>
      <w:tabs>
        <w:tab w:val="clear" w:pos="4320"/>
        <w:tab w:val="clear" w:pos="8640"/>
        <w:tab w:val="right" w:pos="9072"/>
      </w:tabs>
      <w:rPr>
        <w:sz w:val="20"/>
        <w:szCs w:val="20"/>
        <w:lang w:val="fr-CH"/>
      </w:rPr>
    </w:pPr>
    <w:r w:rsidRPr="004120EE">
      <w:rPr>
        <w:sz w:val="20"/>
        <w:szCs w:val="20"/>
        <w:lang w:val="fr-CH"/>
      </w:rPr>
      <w:t>Appendi</w:t>
    </w:r>
    <w:r>
      <w:rPr>
        <w:sz w:val="20"/>
        <w:szCs w:val="20"/>
        <w:lang w:val="fr-CH"/>
      </w:rPr>
      <w:t>ce</w:t>
    </w:r>
    <w:r w:rsidRPr="004120EE">
      <w:rPr>
        <w:sz w:val="20"/>
        <w:szCs w:val="20"/>
        <w:lang w:val="fr-CH"/>
      </w:rPr>
      <w:t xml:space="preserve"> I</w:t>
    </w:r>
    <w:r w:rsidRPr="004120EE">
      <w:rPr>
        <w:sz w:val="20"/>
        <w:szCs w:val="20"/>
        <w:lang w:val="fr-CH"/>
      </w:rPr>
      <w:tab/>
      <w:t>Synopsis des nouvelles notifications de</w:t>
    </w:r>
    <w:r>
      <w:rPr>
        <w:sz w:val="20"/>
        <w:szCs w:val="20"/>
        <w:lang w:val="fr-CH"/>
      </w:rPr>
      <w:t xml:space="preserve"> mesure de réglementation finale</w:t>
    </w:r>
  </w:p>
  <w:p w:rsidR="00747640" w:rsidRPr="004120EE" w:rsidRDefault="00747640" w:rsidP="00884B4A">
    <w:pPr>
      <w:pStyle w:val="Header"/>
      <w:tabs>
        <w:tab w:val="clear" w:pos="4320"/>
        <w:tab w:val="clear" w:pos="8640"/>
        <w:tab w:val="right" w:pos="9072"/>
      </w:tabs>
      <w:rPr>
        <w:sz w:val="20"/>
        <w:szCs w:val="20"/>
        <w:u w:val="single"/>
        <w:lang w:val="fr-CH"/>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40" w:rsidRPr="007734B2" w:rsidRDefault="00747640" w:rsidP="007734B2">
    <w:pPr>
      <w:pStyle w:val="Header"/>
      <w:pBdr>
        <w:bottom w:val="single" w:sz="6" w:space="1" w:color="auto"/>
      </w:pBdr>
      <w:tabs>
        <w:tab w:val="clear" w:pos="4320"/>
        <w:tab w:val="clear" w:pos="8640"/>
        <w:tab w:val="right" w:pos="9072"/>
      </w:tabs>
      <w:jc w:val="right"/>
      <w:rPr>
        <w:sz w:val="20"/>
        <w:szCs w:val="20"/>
        <w:lang w:val="fr-CH"/>
      </w:rPr>
    </w:pPr>
    <w:r w:rsidRPr="007734B2">
      <w:rPr>
        <w:sz w:val="20"/>
        <w:szCs w:val="20"/>
        <w:lang w:val="fr-CH"/>
      </w:rPr>
      <w:t>Propositions visant à inclure des préparations pesticides</w:t>
    </w:r>
  </w:p>
  <w:p w:rsidR="00747640" w:rsidRPr="00B71998" w:rsidRDefault="00747640" w:rsidP="008A1D9E">
    <w:pPr>
      <w:pStyle w:val="Header"/>
      <w:pBdr>
        <w:bottom w:val="single" w:sz="6" w:space="1" w:color="auto"/>
      </w:pBdr>
      <w:tabs>
        <w:tab w:val="clear" w:pos="4320"/>
        <w:tab w:val="clear" w:pos="8640"/>
        <w:tab w:val="right" w:pos="9072"/>
      </w:tabs>
      <w:rPr>
        <w:b/>
        <w:sz w:val="20"/>
        <w:szCs w:val="20"/>
        <w:lang w:val="fr-CH"/>
      </w:rPr>
    </w:pPr>
    <w:r w:rsidRPr="00B71998">
      <w:rPr>
        <w:sz w:val="20"/>
        <w:szCs w:val="20"/>
        <w:lang w:val="fr-CH"/>
      </w:rPr>
      <w:t>Appendice II</w:t>
    </w:r>
    <w:r w:rsidRPr="00B71998">
      <w:rPr>
        <w:sz w:val="20"/>
        <w:szCs w:val="20"/>
        <w:lang w:val="fr-CH"/>
      </w:rPr>
      <w:tab/>
      <w:t>extrêmement dangereuses</w:t>
    </w:r>
    <w:r>
      <w:rPr>
        <w:sz w:val="20"/>
        <w:szCs w:val="20"/>
        <w:lang w:val="fr-CH"/>
      </w:rPr>
      <w:t xml:space="preserve"> dans la procedure PIC</w:t>
    </w:r>
  </w:p>
  <w:p w:rsidR="00747640" w:rsidRPr="00B71998" w:rsidRDefault="00747640">
    <w:pPr>
      <w:rPr>
        <w:lang w:val="fr-CH"/>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40" w:rsidRDefault="00747640" w:rsidP="000D7881">
    <w:pPr>
      <w:pStyle w:val="Header"/>
      <w:tabs>
        <w:tab w:val="clear" w:pos="4320"/>
        <w:tab w:val="clear" w:pos="8640"/>
        <w:tab w:val="right" w:pos="9600"/>
      </w:tabs>
      <w:rPr>
        <w:sz w:val="20"/>
        <w:szCs w:val="20"/>
      </w:rPr>
    </w:pPr>
    <w:r>
      <w:rPr>
        <w:sz w:val="20"/>
        <w:szCs w:val="20"/>
      </w:rPr>
      <w:t>Appendix IV</w:t>
    </w:r>
    <w:r>
      <w:rPr>
        <w:sz w:val="20"/>
        <w:szCs w:val="20"/>
      </w:rPr>
      <w:tab/>
    </w:r>
    <w:r w:rsidRPr="00B22DC6">
      <w:rPr>
        <w:sz w:val="20"/>
        <w:szCs w:val="20"/>
      </w:rPr>
      <w:t>List of import responses received from Parties</w:t>
    </w:r>
  </w:p>
  <w:p w:rsidR="00747640" w:rsidRPr="0015774B" w:rsidRDefault="00747640" w:rsidP="000D7881">
    <w:pPr>
      <w:pStyle w:val="Header"/>
      <w:tabs>
        <w:tab w:val="clear" w:pos="4320"/>
        <w:tab w:val="clear" w:pos="8640"/>
        <w:tab w:val="right" w:pos="9600"/>
      </w:tabs>
      <w:rPr>
        <w:i/>
        <w:sz w:val="20"/>
        <w:szCs w:val="20"/>
      </w:rPr>
    </w:pPr>
    <w:r>
      <w:rPr>
        <w:i/>
        <w:sz w:val="20"/>
        <w:szCs w:val="20"/>
      </w:rPr>
      <w:t>Part 1</w:t>
    </w:r>
    <w:r>
      <w:rPr>
        <w:i/>
        <w:sz w:val="20"/>
        <w:szCs w:val="20"/>
      </w:rPr>
      <w:tab/>
      <w:t>new import responses received</w:t>
    </w:r>
  </w:p>
  <w:p w:rsidR="00747640" w:rsidRPr="001F6737" w:rsidRDefault="00747640" w:rsidP="000D7881">
    <w:pPr>
      <w:pStyle w:val="Header"/>
      <w:pBdr>
        <w:top w:val="single" w:sz="4" w:space="1" w:color="auto"/>
      </w:pBdr>
      <w:tabs>
        <w:tab w:val="clear" w:pos="4320"/>
        <w:tab w:val="clear" w:pos="8640"/>
        <w:tab w:val="right" w:pos="9900"/>
      </w:tabs>
      <w:rPr>
        <w:sz w:val="20"/>
        <w:szCs w:val="20"/>
        <w:u w:val="single"/>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40" w:rsidRPr="009358E1" w:rsidRDefault="00747640" w:rsidP="00DC1648">
    <w:pPr>
      <w:pStyle w:val="Header"/>
      <w:pBdr>
        <w:bottom w:val="single" w:sz="6" w:space="1" w:color="auto"/>
      </w:pBdr>
      <w:tabs>
        <w:tab w:val="clear" w:pos="4320"/>
        <w:tab w:val="clear" w:pos="8640"/>
        <w:tab w:val="right" w:pos="9630"/>
      </w:tabs>
      <w:rPr>
        <w:sz w:val="20"/>
        <w:szCs w:val="20"/>
        <w:lang w:val="fr-CH"/>
      </w:rPr>
    </w:pPr>
    <w:r w:rsidRPr="009358E1">
      <w:rPr>
        <w:sz w:val="20"/>
        <w:szCs w:val="20"/>
        <w:lang w:val="fr-CH"/>
      </w:rPr>
      <w:t>Appendice III</w:t>
    </w:r>
    <w:r w:rsidRPr="009358E1">
      <w:rPr>
        <w:sz w:val="20"/>
        <w:szCs w:val="20"/>
        <w:lang w:val="fr-CH"/>
      </w:rPr>
      <w:tab/>
      <w:t xml:space="preserve">Produits chimiques soumis à la </w:t>
    </w:r>
    <w:r>
      <w:rPr>
        <w:sz w:val="20"/>
        <w:szCs w:val="20"/>
        <w:lang w:val="fr-CH"/>
      </w:rPr>
      <w:t>p</w:t>
    </w:r>
    <w:r w:rsidRPr="009358E1">
      <w:rPr>
        <w:sz w:val="20"/>
        <w:szCs w:val="20"/>
        <w:lang w:val="fr-CH"/>
      </w:rPr>
      <w:t xml:space="preserve">rocedure </w:t>
    </w:r>
    <w:r>
      <w:rPr>
        <w:sz w:val="20"/>
        <w:szCs w:val="20"/>
        <w:lang w:val="fr-CH"/>
      </w:rPr>
      <w:t>PIC</w:t>
    </w:r>
  </w:p>
  <w:p w:rsidR="00747640" w:rsidRPr="009358E1" w:rsidRDefault="00747640" w:rsidP="008A1D9E">
    <w:pPr>
      <w:pStyle w:val="Header"/>
      <w:tabs>
        <w:tab w:val="clear" w:pos="4320"/>
        <w:tab w:val="clear" w:pos="8640"/>
        <w:tab w:val="right" w:pos="9072"/>
      </w:tabs>
      <w:rPr>
        <w:i/>
        <w:sz w:val="20"/>
        <w:szCs w:val="20"/>
        <w:lang w:val="fr-CH"/>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40" w:rsidRPr="009358E1" w:rsidRDefault="00747640" w:rsidP="00F144C1">
    <w:pPr>
      <w:pStyle w:val="Header"/>
      <w:pBdr>
        <w:bottom w:val="single" w:sz="6" w:space="1" w:color="auto"/>
      </w:pBdr>
      <w:tabs>
        <w:tab w:val="clear" w:pos="4320"/>
        <w:tab w:val="clear" w:pos="8640"/>
        <w:tab w:val="right" w:pos="9630"/>
      </w:tabs>
      <w:rPr>
        <w:sz w:val="20"/>
        <w:szCs w:val="20"/>
        <w:lang w:val="fr-CH"/>
      </w:rPr>
    </w:pPr>
    <w:r w:rsidRPr="009358E1">
      <w:rPr>
        <w:sz w:val="20"/>
        <w:szCs w:val="20"/>
        <w:lang w:val="fr-CH"/>
      </w:rPr>
      <w:t>Appendice</w:t>
    </w:r>
    <w:r>
      <w:rPr>
        <w:sz w:val="20"/>
        <w:szCs w:val="20"/>
        <w:lang w:val="fr-CH"/>
      </w:rPr>
      <w:t xml:space="preserve"> IV</w:t>
    </w:r>
    <w:r w:rsidRPr="009358E1">
      <w:rPr>
        <w:sz w:val="20"/>
        <w:szCs w:val="20"/>
        <w:lang w:val="fr-CH"/>
      </w:rPr>
      <w:tab/>
    </w:r>
    <w:r w:rsidRPr="003C616B">
      <w:rPr>
        <w:sz w:val="20"/>
        <w:szCs w:val="20"/>
        <w:lang w:val="fr-CH"/>
      </w:rPr>
      <w:t>Toutes les decisions concernant l’importation</w:t>
    </w:r>
    <w:r>
      <w:rPr>
        <w:sz w:val="20"/>
        <w:szCs w:val="20"/>
        <w:lang w:val="fr-CH"/>
      </w:rPr>
      <w:t xml:space="preserve"> re</w:t>
    </w:r>
    <w:r w:rsidRPr="003C616B">
      <w:rPr>
        <w:sz w:val="20"/>
        <w:szCs w:val="20"/>
        <w:lang w:val="fr-CH"/>
      </w:rPr>
      <w:t>çu</w:t>
    </w:r>
    <w:r>
      <w:rPr>
        <w:sz w:val="20"/>
        <w:szCs w:val="20"/>
        <w:lang w:val="fr-CH"/>
      </w:rPr>
      <w:t>es des Parties</w:t>
    </w:r>
  </w:p>
  <w:p w:rsidR="00747640" w:rsidRPr="009358E1" w:rsidRDefault="00747640" w:rsidP="008A1D9E">
    <w:pPr>
      <w:pStyle w:val="Header"/>
      <w:tabs>
        <w:tab w:val="clear" w:pos="4320"/>
        <w:tab w:val="clear" w:pos="8640"/>
        <w:tab w:val="right" w:pos="9072"/>
      </w:tabs>
      <w:rPr>
        <w:i/>
        <w:sz w:val="20"/>
        <w:szCs w:val="20"/>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7A5"/>
    <w:multiLevelType w:val="hybridMultilevel"/>
    <w:tmpl w:val="A5FE7360"/>
    <w:lvl w:ilvl="0" w:tplc="B1F0F470">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1175CD"/>
    <w:multiLevelType w:val="hybridMultilevel"/>
    <w:tmpl w:val="0DAE1078"/>
    <w:lvl w:ilvl="0" w:tplc="B1F0F470">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203007"/>
    <w:multiLevelType w:val="multilevel"/>
    <w:tmpl w:val="71CE4636"/>
    <w:styleLink w:val="Elenco31"/>
    <w:lvl w:ilvl="0">
      <w:numFmt w:val="bullet"/>
      <w:lvlText w:val="•"/>
      <w:lvlJc w:val="left"/>
      <w:pPr>
        <w:tabs>
          <w:tab w:val="num" w:pos="357"/>
        </w:tabs>
        <w:ind w:left="357" w:hanging="357"/>
      </w:pPr>
      <w:rPr>
        <w:rFonts w:ascii="Arial" w:eastAsia="Arial" w:hAnsi="Arial" w:cs="Arial"/>
        <w:position w:val="0"/>
        <w:sz w:val="22"/>
        <w:szCs w:val="22"/>
        <w:lang w:val="fr-FR"/>
      </w:rPr>
    </w:lvl>
    <w:lvl w:ilvl="1">
      <w:start w:val="1"/>
      <w:numFmt w:val="bullet"/>
      <w:lvlText w:val="o"/>
      <w:lvlJc w:val="left"/>
      <w:pPr>
        <w:tabs>
          <w:tab w:val="num" w:pos="1800"/>
        </w:tabs>
        <w:ind w:left="1800" w:hanging="360"/>
      </w:pPr>
      <w:rPr>
        <w:rFonts w:ascii="Arial" w:eastAsia="Arial" w:hAnsi="Arial" w:cs="Arial"/>
        <w:position w:val="0"/>
        <w:sz w:val="24"/>
        <w:szCs w:val="24"/>
        <w:lang w:val="en-US"/>
      </w:rPr>
    </w:lvl>
    <w:lvl w:ilvl="2">
      <w:start w:val="1"/>
      <w:numFmt w:val="bullet"/>
      <w:lvlText w:val="▪"/>
      <w:lvlJc w:val="left"/>
      <w:pPr>
        <w:tabs>
          <w:tab w:val="num" w:pos="2520"/>
        </w:tabs>
        <w:ind w:left="2520" w:hanging="360"/>
      </w:pPr>
      <w:rPr>
        <w:rFonts w:ascii="Arial" w:eastAsia="Arial" w:hAnsi="Arial" w:cs="Arial"/>
        <w:position w:val="0"/>
        <w:sz w:val="24"/>
        <w:szCs w:val="24"/>
        <w:lang w:val="en-US"/>
      </w:rPr>
    </w:lvl>
    <w:lvl w:ilvl="3">
      <w:start w:val="1"/>
      <w:numFmt w:val="bullet"/>
      <w:lvlText w:val="•"/>
      <w:lvlJc w:val="left"/>
      <w:pPr>
        <w:tabs>
          <w:tab w:val="num" w:pos="3240"/>
        </w:tabs>
        <w:ind w:left="3240" w:hanging="360"/>
      </w:pPr>
      <w:rPr>
        <w:rFonts w:ascii="Arial" w:eastAsia="Arial" w:hAnsi="Arial" w:cs="Arial"/>
        <w:position w:val="0"/>
        <w:sz w:val="24"/>
        <w:szCs w:val="24"/>
        <w:lang w:val="en-US"/>
      </w:rPr>
    </w:lvl>
    <w:lvl w:ilvl="4">
      <w:start w:val="1"/>
      <w:numFmt w:val="bullet"/>
      <w:lvlText w:val="o"/>
      <w:lvlJc w:val="left"/>
      <w:pPr>
        <w:tabs>
          <w:tab w:val="num" w:pos="3960"/>
        </w:tabs>
        <w:ind w:left="3960" w:hanging="360"/>
      </w:pPr>
      <w:rPr>
        <w:rFonts w:ascii="Arial" w:eastAsia="Arial" w:hAnsi="Arial" w:cs="Arial"/>
        <w:position w:val="0"/>
        <w:sz w:val="24"/>
        <w:szCs w:val="24"/>
        <w:lang w:val="en-US"/>
      </w:rPr>
    </w:lvl>
    <w:lvl w:ilvl="5">
      <w:start w:val="1"/>
      <w:numFmt w:val="bullet"/>
      <w:lvlText w:val="▪"/>
      <w:lvlJc w:val="left"/>
      <w:pPr>
        <w:tabs>
          <w:tab w:val="num" w:pos="4680"/>
        </w:tabs>
        <w:ind w:left="4680" w:hanging="360"/>
      </w:pPr>
      <w:rPr>
        <w:rFonts w:ascii="Arial" w:eastAsia="Arial" w:hAnsi="Arial" w:cs="Arial"/>
        <w:position w:val="0"/>
        <w:sz w:val="24"/>
        <w:szCs w:val="24"/>
        <w:lang w:val="en-US"/>
      </w:rPr>
    </w:lvl>
    <w:lvl w:ilvl="6">
      <w:start w:val="1"/>
      <w:numFmt w:val="bullet"/>
      <w:lvlText w:val="•"/>
      <w:lvlJc w:val="left"/>
      <w:pPr>
        <w:tabs>
          <w:tab w:val="num" w:pos="5400"/>
        </w:tabs>
        <w:ind w:left="5400" w:hanging="360"/>
      </w:pPr>
      <w:rPr>
        <w:rFonts w:ascii="Arial" w:eastAsia="Arial" w:hAnsi="Arial" w:cs="Arial"/>
        <w:position w:val="0"/>
        <w:sz w:val="24"/>
        <w:szCs w:val="24"/>
        <w:lang w:val="en-US"/>
      </w:rPr>
    </w:lvl>
    <w:lvl w:ilvl="7">
      <w:start w:val="1"/>
      <w:numFmt w:val="bullet"/>
      <w:lvlText w:val="o"/>
      <w:lvlJc w:val="left"/>
      <w:pPr>
        <w:tabs>
          <w:tab w:val="num" w:pos="6120"/>
        </w:tabs>
        <w:ind w:left="6120" w:hanging="360"/>
      </w:pPr>
      <w:rPr>
        <w:rFonts w:ascii="Arial" w:eastAsia="Arial" w:hAnsi="Arial" w:cs="Arial"/>
        <w:position w:val="0"/>
        <w:sz w:val="24"/>
        <w:szCs w:val="24"/>
        <w:lang w:val="en-US"/>
      </w:rPr>
    </w:lvl>
    <w:lvl w:ilvl="8">
      <w:start w:val="1"/>
      <w:numFmt w:val="bullet"/>
      <w:lvlText w:val="▪"/>
      <w:lvlJc w:val="left"/>
      <w:pPr>
        <w:tabs>
          <w:tab w:val="num" w:pos="6840"/>
        </w:tabs>
        <w:ind w:left="6840" w:hanging="360"/>
      </w:pPr>
      <w:rPr>
        <w:rFonts w:ascii="Arial" w:eastAsia="Arial" w:hAnsi="Arial" w:cs="Arial"/>
        <w:position w:val="0"/>
        <w:sz w:val="24"/>
        <w:szCs w:val="24"/>
        <w:lang w:val="en-US"/>
      </w:rPr>
    </w:lvl>
  </w:abstractNum>
  <w:abstractNum w:abstractNumId="3">
    <w:nsid w:val="13DD2E89"/>
    <w:multiLevelType w:val="multilevel"/>
    <w:tmpl w:val="1292C2D8"/>
    <w:styleLink w:val="List0"/>
    <w:lvl w:ilvl="0">
      <w:numFmt w:val="bullet"/>
      <w:lvlText w:val="•"/>
      <w:lvlJc w:val="left"/>
      <w:pPr>
        <w:tabs>
          <w:tab w:val="num" w:pos="357"/>
        </w:tabs>
        <w:ind w:left="357" w:hanging="357"/>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4">
    <w:nsid w:val="1E944CF3"/>
    <w:multiLevelType w:val="hybridMultilevel"/>
    <w:tmpl w:val="B0588B30"/>
    <w:lvl w:ilvl="0" w:tplc="B1F0F470">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132E91"/>
    <w:multiLevelType w:val="multilevel"/>
    <w:tmpl w:val="56F8C2DA"/>
    <w:styleLink w:val="List41"/>
    <w:lvl w:ilvl="0">
      <w:numFmt w:val="bullet"/>
      <w:lvlText w:val="•"/>
      <w:lvlJc w:val="left"/>
      <w:pPr>
        <w:tabs>
          <w:tab w:val="num" w:pos="357"/>
        </w:tabs>
        <w:ind w:left="357" w:hanging="357"/>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6">
    <w:nsid w:val="211B4B9C"/>
    <w:multiLevelType w:val="multilevel"/>
    <w:tmpl w:val="C166ECC4"/>
    <w:styleLink w:val="Elenco41"/>
    <w:lvl w:ilvl="0">
      <w:numFmt w:val="bullet"/>
      <w:lvlText w:val="•"/>
      <w:lvlJc w:val="left"/>
      <w:pPr>
        <w:tabs>
          <w:tab w:val="num" w:pos="357"/>
        </w:tabs>
        <w:ind w:left="357" w:hanging="357"/>
      </w:pPr>
      <w:rPr>
        <w:rFonts w:ascii="Arial" w:eastAsia="Arial" w:hAnsi="Arial" w:cs="Arial"/>
        <w:position w:val="0"/>
        <w:sz w:val="22"/>
        <w:szCs w:val="22"/>
        <w:lang w:val="fr-FR"/>
      </w:rPr>
    </w:lvl>
    <w:lvl w:ilvl="1">
      <w:start w:val="1"/>
      <w:numFmt w:val="bullet"/>
      <w:lvlText w:val="o"/>
      <w:lvlJc w:val="left"/>
      <w:pPr>
        <w:tabs>
          <w:tab w:val="num" w:pos="1800"/>
        </w:tabs>
        <w:ind w:left="1800" w:hanging="360"/>
      </w:pPr>
      <w:rPr>
        <w:rFonts w:ascii="Arial" w:eastAsia="Arial" w:hAnsi="Arial" w:cs="Arial"/>
        <w:position w:val="0"/>
        <w:sz w:val="24"/>
        <w:szCs w:val="24"/>
        <w:lang w:val="en-US"/>
      </w:rPr>
    </w:lvl>
    <w:lvl w:ilvl="2">
      <w:start w:val="1"/>
      <w:numFmt w:val="bullet"/>
      <w:lvlText w:val="▪"/>
      <w:lvlJc w:val="left"/>
      <w:pPr>
        <w:tabs>
          <w:tab w:val="num" w:pos="2520"/>
        </w:tabs>
        <w:ind w:left="2520" w:hanging="360"/>
      </w:pPr>
      <w:rPr>
        <w:rFonts w:ascii="Arial" w:eastAsia="Arial" w:hAnsi="Arial" w:cs="Arial"/>
        <w:position w:val="0"/>
        <w:sz w:val="24"/>
        <w:szCs w:val="24"/>
        <w:lang w:val="en-US"/>
      </w:rPr>
    </w:lvl>
    <w:lvl w:ilvl="3">
      <w:start w:val="1"/>
      <w:numFmt w:val="bullet"/>
      <w:lvlText w:val="•"/>
      <w:lvlJc w:val="left"/>
      <w:pPr>
        <w:tabs>
          <w:tab w:val="num" w:pos="3240"/>
        </w:tabs>
        <w:ind w:left="3240" w:hanging="360"/>
      </w:pPr>
      <w:rPr>
        <w:rFonts w:ascii="Arial" w:eastAsia="Arial" w:hAnsi="Arial" w:cs="Arial"/>
        <w:position w:val="0"/>
        <w:sz w:val="24"/>
        <w:szCs w:val="24"/>
        <w:lang w:val="en-US"/>
      </w:rPr>
    </w:lvl>
    <w:lvl w:ilvl="4">
      <w:start w:val="1"/>
      <w:numFmt w:val="bullet"/>
      <w:lvlText w:val="o"/>
      <w:lvlJc w:val="left"/>
      <w:pPr>
        <w:tabs>
          <w:tab w:val="num" w:pos="3960"/>
        </w:tabs>
        <w:ind w:left="3960" w:hanging="360"/>
      </w:pPr>
      <w:rPr>
        <w:rFonts w:ascii="Arial" w:eastAsia="Arial" w:hAnsi="Arial" w:cs="Arial"/>
        <w:position w:val="0"/>
        <w:sz w:val="24"/>
        <w:szCs w:val="24"/>
        <w:lang w:val="en-US"/>
      </w:rPr>
    </w:lvl>
    <w:lvl w:ilvl="5">
      <w:start w:val="1"/>
      <w:numFmt w:val="bullet"/>
      <w:lvlText w:val="▪"/>
      <w:lvlJc w:val="left"/>
      <w:pPr>
        <w:tabs>
          <w:tab w:val="num" w:pos="4680"/>
        </w:tabs>
        <w:ind w:left="4680" w:hanging="360"/>
      </w:pPr>
      <w:rPr>
        <w:rFonts w:ascii="Arial" w:eastAsia="Arial" w:hAnsi="Arial" w:cs="Arial"/>
        <w:position w:val="0"/>
        <w:sz w:val="24"/>
        <w:szCs w:val="24"/>
        <w:lang w:val="en-US"/>
      </w:rPr>
    </w:lvl>
    <w:lvl w:ilvl="6">
      <w:start w:val="1"/>
      <w:numFmt w:val="bullet"/>
      <w:lvlText w:val="•"/>
      <w:lvlJc w:val="left"/>
      <w:pPr>
        <w:tabs>
          <w:tab w:val="num" w:pos="5400"/>
        </w:tabs>
        <w:ind w:left="5400" w:hanging="360"/>
      </w:pPr>
      <w:rPr>
        <w:rFonts w:ascii="Arial" w:eastAsia="Arial" w:hAnsi="Arial" w:cs="Arial"/>
        <w:position w:val="0"/>
        <w:sz w:val="24"/>
        <w:szCs w:val="24"/>
        <w:lang w:val="en-US"/>
      </w:rPr>
    </w:lvl>
    <w:lvl w:ilvl="7">
      <w:start w:val="1"/>
      <w:numFmt w:val="bullet"/>
      <w:lvlText w:val="o"/>
      <w:lvlJc w:val="left"/>
      <w:pPr>
        <w:tabs>
          <w:tab w:val="num" w:pos="6120"/>
        </w:tabs>
        <w:ind w:left="6120" w:hanging="360"/>
      </w:pPr>
      <w:rPr>
        <w:rFonts w:ascii="Arial" w:eastAsia="Arial" w:hAnsi="Arial" w:cs="Arial"/>
        <w:position w:val="0"/>
        <w:sz w:val="24"/>
        <w:szCs w:val="24"/>
        <w:lang w:val="en-US"/>
      </w:rPr>
    </w:lvl>
    <w:lvl w:ilvl="8">
      <w:start w:val="1"/>
      <w:numFmt w:val="bullet"/>
      <w:lvlText w:val="▪"/>
      <w:lvlJc w:val="left"/>
      <w:pPr>
        <w:tabs>
          <w:tab w:val="num" w:pos="6840"/>
        </w:tabs>
        <w:ind w:left="6840" w:hanging="360"/>
      </w:pPr>
      <w:rPr>
        <w:rFonts w:ascii="Arial" w:eastAsia="Arial" w:hAnsi="Arial" w:cs="Arial"/>
        <w:position w:val="0"/>
        <w:sz w:val="24"/>
        <w:szCs w:val="24"/>
        <w:lang w:val="en-US"/>
      </w:rPr>
    </w:lvl>
  </w:abstractNum>
  <w:abstractNum w:abstractNumId="7">
    <w:nsid w:val="27680303"/>
    <w:multiLevelType w:val="hybridMultilevel"/>
    <w:tmpl w:val="5D086852"/>
    <w:lvl w:ilvl="0" w:tplc="B1F0F470">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696489"/>
    <w:multiLevelType w:val="hybridMultilevel"/>
    <w:tmpl w:val="C3DC88F4"/>
    <w:lvl w:ilvl="0" w:tplc="F8E616D2">
      <w:start w:val="215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E47DCE"/>
    <w:multiLevelType w:val="multilevel"/>
    <w:tmpl w:val="401607EC"/>
    <w:styleLink w:val="Elenco21"/>
    <w:lvl w:ilvl="0">
      <w:numFmt w:val="bullet"/>
      <w:lvlText w:val="•"/>
      <w:lvlJc w:val="left"/>
      <w:pPr>
        <w:tabs>
          <w:tab w:val="num" w:pos="357"/>
        </w:tabs>
        <w:ind w:left="357" w:hanging="357"/>
      </w:pPr>
      <w:rPr>
        <w:rFonts w:ascii="Arial" w:eastAsia="Arial" w:hAnsi="Arial" w:cs="Arial"/>
        <w:position w:val="0"/>
        <w:sz w:val="22"/>
        <w:szCs w:val="22"/>
        <w:lang w:val="fr-FR"/>
      </w:rPr>
    </w:lvl>
    <w:lvl w:ilvl="1">
      <w:start w:val="1"/>
      <w:numFmt w:val="bullet"/>
      <w:lvlText w:val="o"/>
      <w:lvlJc w:val="left"/>
      <w:pPr>
        <w:tabs>
          <w:tab w:val="num" w:pos="1800"/>
        </w:tabs>
        <w:ind w:left="1800" w:hanging="360"/>
      </w:pPr>
      <w:rPr>
        <w:rFonts w:ascii="Arial" w:eastAsia="Arial" w:hAnsi="Arial" w:cs="Arial"/>
        <w:position w:val="0"/>
        <w:sz w:val="24"/>
        <w:szCs w:val="24"/>
        <w:lang w:val="en-US"/>
      </w:rPr>
    </w:lvl>
    <w:lvl w:ilvl="2">
      <w:start w:val="1"/>
      <w:numFmt w:val="bullet"/>
      <w:lvlText w:val="▪"/>
      <w:lvlJc w:val="left"/>
      <w:pPr>
        <w:tabs>
          <w:tab w:val="num" w:pos="2520"/>
        </w:tabs>
        <w:ind w:left="2520" w:hanging="360"/>
      </w:pPr>
      <w:rPr>
        <w:rFonts w:ascii="Arial" w:eastAsia="Arial" w:hAnsi="Arial" w:cs="Arial"/>
        <w:position w:val="0"/>
        <w:sz w:val="24"/>
        <w:szCs w:val="24"/>
        <w:lang w:val="en-US"/>
      </w:rPr>
    </w:lvl>
    <w:lvl w:ilvl="3">
      <w:start w:val="1"/>
      <w:numFmt w:val="bullet"/>
      <w:lvlText w:val="•"/>
      <w:lvlJc w:val="left"/>
      <w:pPr>
        <w:tabs>
          <w:tab w:val="num" w:pos="3240"/>
        </w:tabs>
        <w:ind w:left="3240" w:hanging="360"/>
      </w:pPr>
      <w:rPr>
        <w:rFonts w:ascii="Arial" w:eastAsia="Arial" w:hAnsi="Arial" w:cs="Arial"/>
        <w:position w:val="0"/>
        <w:sz w:val="24"/>
        <w:szCs w:val="24"/>
        <w:lang w:val="en-US"/>
      </w:rPr>
    </w:lvl>
    <w:lvl w:ilvl="4">
      <w:start w:val="1"/>
      <w:numFmt w:val="bullet"/>
      <w:lvlText w:val="o"/>
      <w:lvlJc w:val="left"/>
      <w:pPr>
        <w:tabs>
          <w:tab w:val="num" w:pos="3960"/>
        </w:tabs>
        <w:ind w:left="3960" w:hanging="360"/>
      </w:pPr>
      <w:rPr>
        <w:rFonts w:ascii="Arial" w:eastAsia="Arial" w:hAnsi="Arial" w:cs="Arial"/>
        <w:position w:val="0"/>
        <w:sz w:val="24"/>
        <w:szCs w:val="24"/>
        <w:lang w:val="en-US"/>
      </w:rPr>
    </w:lvl>
    <w:lvl w:ilvl="5">
      <w:start w:val="1"/>
      <w:numFmt w:val="bullet"/>
      <w:lvlText w:val="▪"/>
      <w:lvlJc w:val="left"/>
      <w:pPr>
        <w:tabs>
          <w:tab w:val="num" w:pos="4680"/>
        </w:tabs>
        <w:ind w:left="4680" w:hanging="360"/>
      </w:pPr>
      <w:rPr>
        <w:rFonts w:ascii="Arial" w:eastAsia="Arial" w:hAnsi="Arial" w:cs="Arial"/>
        <w:position w:val="0"/>
        <w:sz w:val="24"/>
        <w:szCs w:val="24"/>
        <w:lang w:val="en-US"/>
      </w:rPr>
    </w:lvl>
    <w:lvl w:ilvl="6">
      <w:start w:val="1"/>
      <w:numFmt w:val="bullet"/>
      <w:lvlText w:val="•"/>
      <w:lvlJc w:val="left"/>
      <w:pPr>
        <w:tabs>
          <w:tab w:val="num" w:pos="5400"/>
        </w:tabs>
        <w:ind w:left="5400" w:hanging="360"/>
      </w:pPr>
      <w:rPr>
        <w:rFonts w:ascii="Arial" w:eastAsia="Arial" w:hAnsi="Arial" w:cs="Arial"/>
        <w:position w:val="0"/>
        <w:sz w:val="24"/>
        <w:szCs w:val="24"/>
        <w:lang w:val="en-US"/>
      </w:rPr>
    </w:lvl>
    <w:lvl w:ilvl="7">
      <w:start w:val="1"/>
      <w:numFmt w:val="bullet"/>
      <w:lvlText w:val="o"/>
      <w:lvlJc w:val="left"/>
      <w:pPr>
        <w:tabs>
          <w:tab w:val="num" w:pos="6120"/>
        </w:tabs>
        <w:ind w:left="6120" w:hanging="360"/>
      </w:pPr>
      <w:rPr>
        <w:rFonts w:ascii="Arial" w:eastAsia="Arial" w:hAnsi="Arial" w:cs="Arial"/>
        <w:position w:val="0"/>
        <w:sz w:val="24"/>
        <w:szCs w:val="24"/>
        <w:lang w:val="en-US"/>
      </w:rPr>
    </w:lvl>
    <w:lvl w:ilvl="8">
      <w:start w:val="1"/>
      <w:numFmt w:val="bullet"/>
      <w:lvlText w:val="▪"/>
      <w:lvlJc w:val="left"/>
      <w:pPr>
        <w:tabs>
          <w:tab w:val="num" w:pos="6840"/>
        </w:tabs>
        <w:ind w:left="6840" w:hanging="360"/>
      </w:pPr>
      <w:rPr>
        <w:rFonts w:ascii="Arial" w:eastAsia="Arial" w:hAnsi="Arial" w:cs="Arial"/>
        <w:position w:val="0"/>
        <w:sz w:val="24"/>
        <w:szCs w:val="24"/>
        <w:lang w:val="en-US"/>
      </w:rPr>
    </w:lvl>
  </w:abstractNum>
  <w:abstractNum w:abstractNumId="10">
    <w:nsid w:val="39215F21"/>
    <w:multiLevelType w:val="multilevel"/>
    <w:tmpl w:val="704815A2"/>
    <w:styleLink w:val="Elenco51"/>
    <w:lvl w:ilvl="0">
      <w:numFmt w:val="bullet"/>
      <w:lvlText w:val="•"/>
      <w:lvlJc w:val="left"/>
      <w:pPr>
        <w:tabs>
          <w:tab w:val="num" w:pos="357"/>
        </w:tabs>
        <w:ind w:left="357" w:hanging="357"/>
      </w:pPr>
      <w:rPr>
        <w:rFonts w:ascii="Arial" w:eastAsia="Arial" w:hAnsi="Arial" w:cs="Arial"/>
        <w:position w:val="0"/>
        <w:sz w:val="22"/>
        <w:szCs w:val="22"/>
        <w:lang w:val="fr-FR"/>
      </w:rPr>
    </w:lvl>
    <w:lvl w:ilvl="1">
      <w:start w:val="1"/>
      <w:numFmt w:val="bullet"/>
      <w:lvlText w:val="o"/>
      <w:lvlJc w:val="left"/>
      <w:pPr>
        <w:tabs>
          <w:tab w:val="num" w:pos="1800"/>
        </w:tabs>
        <w:ind w:left="1800" w:hanging="360"/>
      </w:pPr>
      <w:rPr>
        <w:rFonts w:ascii="Arial" w:eastAsia="Arial" w:hAnsi="Arial" w:cs="Arial"/>
        <w:position w:val="0"/>
        <w:sz w:val="24"/>
        <w:szCs w:val="24"/>
        <w:lang w:val="en-US"/>
      </w:rPr>
    </w:lvl>
    <w:lvl w:ilvl="2">
      <w:start w:val="1"/>
      <w:numFmt w:val="bullet"/>
      <w:lvlText w:val="▪"/>
      <w:lvlJc w:val="left"/>
      <w:pPr>
        <w:tabs>
          <w:tab w:val="num" w:pos="2520"/>
        </w:tabs>
        <w:ind w:left="2520" w:hanging="360"/>
      </w:pPr>
      <w:rPr>
        <w:rFonts w:ascii="Arial" w:eastAsia="Arial" w:hAnsi="Arial" w:cs="Arial"/>
        <w:position w:val="0"/>
        <w:sz w:val="24"/>
        <w:szCs w:val="24"/>
        <w:lang w:val="en-US"/>
      </w:rPr>
    </w:lvl>
    <w:lvl w:ilvl="3">
      <w:start w:val="1"/>
      <w:numFmt w:val="bullet"/>
      <w:lvlText w:val="•"/>
      <w:lvlJc w:val="left"/>
      <w:pPr>
        <w:tabs>
          <w:tab w:val="num" w:pos="3240"/>
        </w:tabs>
        <w:ind w:left="3240" w:hanging="360"/>
      </w:pPr>
      <w:rPr>
        <w:rFonts w:ascii="Arial" w:eastAsia="Arial" w:hAnsi="Arial" w:cs="Arial"/>
        <w:position w:val="0"/>
        <w:sz w:val="24"/>
        <w:szCs w:val="24"/>
        <w:lang w:val="en-US"/>
      </w:rPr>
    </w:lvl>
    <w:lvl w:ilvl="4">
      <w:start w:val="1"/>
      <w:numFmt w:val="bullet"/>
      <w:lvlText w:val="o"/>
      <w:lvlJc w:val="left"/>
      <w:pPr>
        <w:tabs>
          <w:tab w:val="num" w:pos="3960"/>
        </w:tabs>
        <w:ind w:left="3960" w:hanging="360"/>
      </w:pPr>
      <w:rPr>
        <w:rFonts w:ascii="Arial" w:eastAsia="Arial" w:hAnsi="Arial" w:cs="Arial"/>
        <w:position w:val="0"/>
        <w:sz w:val="24"/>
        <w:szCs w:val="24"/>
        <w:lang w:val="en-US"/>
      </w:rPr>
    </w:lvl>
    <w:lvl w:ilvl="5">
      <w:start w:val="1"/>
      <w:numFmt w:val="bullet"/>
      <w:lvlText w:val="▪"/>
      <w:lvlJc w:val="left"/>
      <w:pPr>
        <w:tabs>
          <w:tab w:val="num" w:pos="4680"/>
        </w:tabs>
        <w:ind w:left="4680" w:hanging="360"/>
      </w:pPr>
      <w:rPr>
        <w:rFonts w:ascii="Arial" w:eastAsia="Arial" w:hAnsi="Arial" w:cs="Arial"/>
        <w:position w:val="0"/>
        <w:sz w:val="24"/>
        <w:szCs w:val="24"/>
        <w:lang w:val="en-US"/>
      </w:rPr>
    </w:lvl>
    <w:lvl w:ilvl="6">
      <w:start w:val="1"/>
      <w:numFmt w:val="bullet"/>
      <w:lvlText w:val="•"/>
      <w:lvlJc w:val="left"/>
      <w:pPr>
        <w:tabs>
          <w:tab w:val="num" w:pos="5400"/>
        </w:tabs>
        <w:ind w:left="5400" w:hanging="360"/>
      </w:pPr>
      <w:rPr>
        <w:rFonts w:ascii="Arial" w:eastAsia="Arial" w:hAnsi="Arial" w:cs="Arial"/>
        <w:position w:val="0"/>
        <w:sz w:val="24"/>
        <w:szCs w:val="24"/>
        <w:lang w:val="en-US"/>
      </w:rPr>
    </w:lvl>
    <w:lvl w:ilvl="7">
      <w:start w:val="1"/>
      <w:numFmt w:val="bullet"/>
      <w:lvlText w:val="o"/>
      <w:lvlJc w:val="left"/>
      <w:pPr>
        <w:tabs>
          <w:tab w:val="num" w:pos="6120"/>
        </w:tabs>
        <w:ind w:left="6120" w:hanging="360"/>
      </w:pPr>
      <w:rPr>
        <w:rFonts w:ascii="Arial" w:eastAsia="Arial" w:hAnsi="Arial" w:cs="Arial"/>
        <w:position w:val="0"/>
        <w:sz w:val="24"/>
        <w:szCs w:val="24"/>
        <w:lang w:val="en-US"/>
      </w:rPr>
    </w:lvl>
    <w:lvl w:ilvl="8">
      <w:start w:val="1"/>
      <w:numFmt w:val="bullet"/>
      <w:lvlText w:val="▪"/>
      <w:lvlJc w:val="left"/>
      <w:pPr>
        <w:tabs>
          <w:tab w:val="num" w:pos="6840"/>
        </w:tabs>
        <w:ind w:left="6840" w:hanging="360"/>
      </w:pPr>
      <w:rPr>
        <w:rFonts w:ascii="Arial" w:eastAsia="Arial" w:hAnsi="Arial" w:cs="Arial"/>
        <w:position w:val="0"/>
        <w:sz w:val="24"/>
        <w:szCs w:val="24"/>
        <w:lang w:val="en-US"/>
      </w:rPr>
    </w:lvl>
  </w:abstractNum>
  <w:abstractNum w:abstractNumId="11">
    <w:nsid w:val="40931BA9"/>
    <w:multiLevelType w:val="hybridMultilevel"/>
    <w:tmpl w:val="968ABB90"/>
    <w:lvl w:ilvl="0" w:tplc="B1F0F470">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E4B5C8D"/>
    <w:multiLevelType w:val="hybridMultilevel"/>
    <w:tmpl w:val="93C0C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037904"/>
    <w:multiLevelType w:val="hybridMultilevel"/>
    <w:tmpl w:val="C846A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FE3B92"/>
    <w:multiLevelType w:val="multilevel"/>
    <w:tmpl w:val="148E122A"/>
    <w:styleLink w:val="List51"/>
    <w:lvl w:ilvl="0">
      <w:numFmt w:val="bullet"/>
      <w:lvlText w:val="•"/>
      <w:lvlJc w:val="left"/>
      <w:pPr>
        <w:tabs>
          <w:tab w:val="num" w:pos="357"/>
        </w:tabs>
        <w:ind w:left="357" w:hanging="357"/>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15">
    <w:nsid w:val="60416B24"/>
    <w:multiLevelType w:val="hybridMultilevel"/>
    <w:tmpl w:val="2382B6DA"/>
    <w:lvl w:ilvl="0" w:tplc="B1F0F470">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4112F90"/>
    <w:multiLevelType w:val="multilevel"/>
    <w:tmpl w:val="A87AC3AA"/>
    <w:styleLink w:val="List6"/>
    <w:lvl w:ilvl="0">
      <w:numFmt w:val="bullet"/>
      <w:lvlText w:val="•"/>
      <w:lvlJc w:val="left"/>
      <w:pPr>
        <w:tabs>
          <w:tab w:val="num" w:pos="357"/>
        </w:tabs>
        <w:ind w:left="357" w:hanging="357"/>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17">
    <w:nsid w:val="68F83329"/>
    <w:multiLevelType w:val="multilevel"/>
    <w:tmpl w:val="BDEC77FA"/>
    <w:styleLink w:val="List21"/>
    <w:lvl w:ilvl="0">
      <w:numFmt w:val="bullet"/>
      <w:lvlText w:val="•"/>
      <w:lvlJc w:val="left"/>
      <w:pPr>
        <w:tabs>
          <w:tab w:val="num" w:pos="357"/>
        </w:tabs>
        <w:ind w:left="357" w:hanging="357"/>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18">
    <w:nsid w:val="69680C63"/>
    <w:multiLevelType w:val="multilevel"/>
    <w:tmpl w:val="C6C2B1C8"/>
    <w:styleLink w:val="List8"/>
    <w:lvl w:ilvl="0">
      <w:numFmt w:val="bullet"/>
      <w:lvlText w:val="•"/>
      <w:lvlJc w:val="left"/>
      <w:pPr>
        <w:tabs>
          <w:tab w:val="num" w:pos="357"/>
        </w:tabs>
        <w:ind w:left="357" w:hanging="357"/>
      </w:pPr>
      <w:rPr>
        <w:rFonts w:ascii="Arial" w:eastAsia="Arial" w:hAnsi="Arial" w:cs="Arial"/>
        <w:position w:val="0"/>
        <w:sz w:val="22"/>
        <w:szCs w:val="22"/>
        <w:lang w:val="fr-FR"/>
      </w:rPr>
    </w:lvl>
    <w:lvl w:ilvl="1">
      <w:start w:val="1"/>
      <w:numFmt w:val="bullet"/>
      <w:lvlText w:val="o"/>
      <w:lvlJc w:val="left"/>
      <w:pPr>
        <w:tabs>
          <w:tab w:val="num" w:pos="1800"/>
        </w:tabs>
        <w:ind w:left="1800" w:hanging="360"/>
      </w:pPr>
      <w:rPr>
        <w:rFonts w:ascii="Arial" w:eastAsia="Arial" w:hAnsi="Arial" w:cs="Arial"/>
        <w:position w:val="0"/>
        <w:sz w:val="24"/>
        <w:szCs w:val="24"/>
        <w:lang w:val="en-US"/>
      </w:rPr>
    </w:lvl>
    <w:lvl w:ilvl="2">
      <w:start w:val="1"/>
      <w:numFmt w:val="bullet"/>
      <w:lvlText w:val="▪"/>
      <w:lvlJc w:val="left"/>
      <w:pPr>
        <w:tabs>
          <w:tab w:val="num" w:pos="2520"/>
        </w:tabs>
        <w:ind w:left="2520" w:hanging="360"/>
      </w:pPr>
      <w:rPr>
        <w:rFonts w:ascii="Arial" w:eastAsia="Arial" w:hAnsi="Arial" w:cs="Arial"/>
        <w:position w:val="0"/>
        <w:sz w:val="24"/>
        <w:szCs w:val="24"/>
        <w:lang w:val="en-US"/>
      </w:rPr>
    </w:lvl>
    <w:lvl w:ilvl="3">
      <w:start w:val="1"/>
      <w:numFmt w:val="bullet"/>
      <w:lvlText w:val="•"/>
      <w:lvlJc w:val="left"/>
      <w:pPr>
        <w:tabs>
          <w:tab w:val="num" w:pos="3240"/>
        </w:tabs>
        <w:ind w:left="3240" w:hanging="360"/>
      </w:pPr>
      <w:rPr>
        <w:rFonts w:ascii="Arial" w:eastAsia="Arial" w:hAnsi="Arial" w:cs="Arial"/>
        <w:position w:val="0"/>
        <w:sz w:val="24"/>
        <w:szCs w:val="24"/>
        <w:lang w:val="en-US"/>
      </w:rPr>
    </w:lvl>
    <w:lvl w:ilvl="4">
      <w:start w:val="1"/>
      <w:numFmt w:val="bullet"/>
      <w:lvlText w:val="o"/>
      <w:lvlJc w:val="left"/>
      <w:pPr>
        <w:tabs>
          <w:tab w:val="num" w:pos="3960"/>
        </w:tabs>
        <w:ind w:left="3960" w:hanging="360"/>
      </w:pPr>
      <w:rPr>
        <w:rFonts w:ascii="Arial" w:eastAsia="Arial" w:hAnsi="Arial" w:cs="Arial"/>
        <w:position w:val="0"/>
        <w:sz w:val="24"/>
        <w:szCs w:val="24"/>
        <w:lang w:val="en-US"/>
      </w:rPr>
    </w:lvl>
    <w:lvl w:ilvl="5">
      <w:start w:val="1"/>
      <w:numFmt w:val="bullet"/>
      <w:lvlText w:val="▪"/>
      <w:lvlJc w:val="left"/>
      <w:pPr>
        <w:tabs>
          <w:tab w:val="num" w:pos="4680"/>
        </w:tabs>
        <w:ind w:left="4680" w:hanging="360"/>
      </w:pPr>
      <w:rPr>
        <w:rFonts w:ascii="Arial" w:eastAsia="Arial" w:hAnsi="Arial" w:cs="Arial"/>
        <w:position w:val="0"/>
        <w:sz w:val="24"/>
        <w:szCs w:val="24"/>
        <w:lang w:val="en-US"/>
      </w:rPr>
    </w:lvl>
    <w:lvl w:ilvl="6">
      <w:start w:val="1"/>
      <w:numFmt w:val="bullet"/>
      <w:lvlText w:val="•"/>
      <w:lvlJc w:val="left"/>
      <w:pPr>
        <w:tabs>
          <w:tab w:val="num" w:pos="5400"/>
        </w:tabs>
        <w:ind w:left="5400" w:hanging="360"/>
      </w:pPr>
      <w:rPr>
        <w:rFonts w:ascii="Arial" w:eastAsia="Arial" w:hAnsi="Arial" w:cs="Arial"/>
        <w:position w:val="0"/>
        <w:sz w:val="24"/>
        <w:szCs w:val="24"/>
        <w:lang w:val="en-US"/>
      </w:rPr>
    </w:lvl>
    <w:lvl w:ilvl="7">
      <w:start w:val="1"/>
      <w:numFmt w:val="bullet"/>
      <w:lvlText w:val="o"/>
      <w:lvlJc w:val="left"/>
      <w:pPr>
        <w:tabs>
          <w:tab w:val="num" w:pos="6120"/>
        </w:tabs>
        <w:ind w:left="6120" w:hanging="360"/>
      </w:pPr>
      <w:rPr>
        <w:rFonts w:ascii="Arial" w:eastAsia="Arial" w:hAnsi="Arial" w:cs="Arial"/>
        <w:position w:val="0"/>
        <w:sz w:val="24"/>
        <w:szCs w:val="24"/>
        <w:lang w:val="en-US"/>
      </w:rPr>
    </w:lvl>
    <w:lvl w:ilvl="8">
      <w:start w:val="1"/>
      <w:numFmt w:val="bullet"/>
      <w:lvlText w:val="▪"/>
      <w:lvlJc w:val="left"/>
      <w:pPr>
        <w:tabs>
          <w:tab w:val="num" w:pos="6840"/>
        </w:tabs>
        <w:ind w:left="6840" w:hanging="360"/>
      </w:pPr>
      <w:rPr>
        <w:rFonts w:ascii="Arial" w:eastAsia="Arial" w:hAnsi="Arial" w:cs="Arial"/>
        <w:position w:val="0"/>
        <w:sz w:val="24"/>
        <w:szCs w:val="24"/>
        <w:lang w:val="en-US"/>
      </w:rPr>
    </w:lvl>
  </w:abstractNum>
  <w:abstractNum w:abstractNumId="19">
    <w:nsid w:val="75E80653"/>
    <w:multiLevelType w:val="multilevel"/>
    <w:tmpl w:val="8DF20684"/>
    <w:styleLink w:val="List31"/>
    <w:lvl w:ilvl="0">
      <w:numFmt w:val="bullet"/>
      <w:lvlText w:val="•"/>
      <w:lvlJc w:val="left"/>
      <w:pPr>
        <w:tabs>
          <w:tab w:val="num" w:pos="357"/>
        </w:tabs>
        <w:ind w:left="357" w:hanging="357"/>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20">
    <w:nsid w:val="7B2103F7"/>
    <w:multiLevelType w:val="multilevel"/>
    <w:tmpl w:val="7E9CA456"/>
    <w:styleLink w:val="List1"/>
    <w:lvl w:ilvl="0">
      <w:numFmt w:val="bullet"/>
      <w:lvlText w:val="•"/>
      <w:lvlJc w:val="left"/>
      <w:pPr>
        <w:tabs>
          <w:tab w:val="num" w:pos="357"/>
        </w:tabs>
        <w:ind w:left="357" w:hanging="357"/>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21">
    <w:nsid w:val="7CD30054"/>
    <w:multiLevelType w:val="hybridMultilevel"/>
    <w:tmpl w:val="B334503E"/>
    <w:lvl w:ilvl="0" w:tplc="B388DDA2">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D1B4017"/>
    <w:multiLevelType w:val="multilevel"/>
    <w:tmpl w:val="02002DA8"/>
    <w:styleLink w:val="List7"/>
    <w:lvl w:ilvl="0">
      <w:numFmt w:val="bullet"/>
      <w:lvlText w:val="•"/>
      <w:lvlJc w:val="left"/>
      <w:pPr>
        <w:tabs>
          <w:tab w:val="num" w:pos="357"/>
        </w:tabs>
        <w:ind w:left="357" w:hanging="357"/>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0"/>
  </w:num>
  <w:num w:numId="4">
    <w:abstractNumId w:val="17"/>
  </w:num>
  <w:num w:numId="5">
    <w:abstractNumId w:val="19"/>
  </w:num>
  <w:num w:numId="6">
    <w:abstractNumId w:val="5"/>
  </w:num>
  <w:num w:numId="7">
    <w:abstractNumId w:val="14"/>
    <w:lvlOverride w:ilvl="0">
      <w:lvl w:ilvl="0">
        <w:numFmt w:val="bullet"/>
        <w:lvlText w:val="•"/>
        <w:lvlJc w:val="left"/>
        <w:pPr>
          <w:tabs>
            <w:tab w:val="num" w:pos="357"/>
          </w:tabs>
          <w:ind w:left="357" w:hanging="357"/>
        </w:pPr>
        <w:rPr>
          <w:rFonts w:ascii="Symbol" w:hAnsi="Symbol" w:hint="default"/>
          <w:position w:val="0"/>
          <w:sz w:val="22"/>
          <w:szCs w:val="22"/>
        </w:rPr>
      </w:lvl>
    </w:lvlOverride>
  </w:num>
  <w:num w:numId="8">
    <w:abstractNumId w:val="16"/>
  </w:num>
  <w:num w:numId="9">
    <w:abstractNumId w:val="22"/>
  </w:num>
  <w:num w:numId="10">
    <w:abstractNumId w:val="13"/>
  </w:num>
  <w:num w:numId="11">
    <w:abstractNumId w:val="2"/>
  </w:num>
  <w:num w:numId="12">
    <w:abstractNumId w:val="6"/>
  </w:num>
  <w:num w:numId="13">
    <w:abstractNumId w:val="9"/>
  </w:num>
  <w:num w:numId="14">
    <w:abstractNumId w:val="10"/>
  </w:num>
  <w:num w:numId="15">
    <w:abstractNumId w:val="18"/>
  </w:num>
  <w:num w:numId="16">
    <w:abstractNumId w:val="8"/>
  </w:num>
  <w:num w:numId="17">
    <w:abstractNumId w:val="12"/>
  </w:num>
  <w:num w:numId="18">
    <w:abstractNumId w:val="14"/>
  </w:num>
  <w:num w:numId="19">
    <w:abstractNumId w:val="4"/>
  </w:num>
  <w:num w:numId="20">
    <w:abstractNumId w:val="11"/>
  </w:num>
  <w:num w:numId="21">
    <w:abstractNumId w:val="0"/>
  </w:num>
  <w:num w:numId="22">
    <w:abstractNumId w:val="1"/>
  </w:num>
  <w:num w:numId="23">
    <w:abstractNumId w:val="7"/>
  </w:num>
  <w:num w:numId="24">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de-CH" w:vendorID="64" w:dllVersion="131078" w:nlCheck="1" w:checkStyle="1"/>
  <w:activeWritingStyle w:appName="MSWord" w:lang="es-CO" w:vendorID="64" w:dllVersion="131078" w:nlCheck="1" w:checkStyle="1"/>
  <w:proofState w:grammar="clean"/>
  <w:stylePaneFormatFilter w:val="3701"/>
  <w:doNotTrackMoves/>
  <w:defaultTabStop w:val="720"/>
  <w:hyphenationZone w:val="425"/>
  <w:drawingGridHorizontalSpacing w:val="120"/>
  <w:displayHorizontalDrawingGridEvery w:val="2"/>
  <w:noPunctuationKerning/>
  <w:characterSpacingControl w:val="doNotCompress"/>
  <w:hdrShapeDefaults>
    <o:shapedefaults v:ext="edit" spidmax="69634"/>
  </w:hdrShapeDefaults>
  <w:footnotePr>
    <w:footnote w:id="-1"/>
    <w:footnote w:id="0"/>
  </w:footnotePr>
  <w:endnotePr>
    <w:endnote w:id="-1"/>
    <w:endnote w:id="0"/>
  </w:endnotePr>
  <w:compat>
    <w:applyBreakingRules/>
    <w:useFELayout/>
  </w:compat>
  <w:rsids>
    <w:rsidRoot w:val="004C37B7"/>
    <w:rsid w:val="00004744"/>
    <w:rsid w:val="0000488F"/>
    <w:rsid w:val="000049DE"/>
    <w:rsid w:val="00005302"/>
    <w:rsid w:val="00006599"/>
    <w:rsid w:val="00006808"/>
    <w:rsid w:val="000075E7"/>
    <w:rsid w:val="000102C6"/>
    <w:rsid w:val="000105F6"/>
    <w:rsid w:val="00013E9A"/>
    <w:rsid w:val="000156AC"/>
    <w:rsid w:val="00020818"/>
    <w:rsid w:val="000212A2"/>
    <w:rsid w:val="000221C4"/>
    <w:rsid w:val="00034CEF"/>
    <w:rsid w:val="00035068"/>
    <w:rsid w:val="000361DA"/>
    <w:rsid w:val="000465EC"/>
    <w:rsid w:val="00047601"/>
    <w:rsid w:val="00052F91"/>
    <w:rsid w:val="00055895"/>
    <w:rsid w:val="00055AA0"/>
    <w:rsid w:val="00055FC2"/>
    <w:rsid w:val="0006056D"/>
    <w:rsid w:val="00061ABE"/>
    <w:rsid w:val="00070064"/>
    <w:rsid w:val="00070F4E"/>
    <w:rsid w:val="000710BA"/>
    <w:rsid w:val="00072C07"/>
    <w:rsid w:val="000763A3"/>
    <w:rsid w:val="00077731"/>
    <w:rsid w:val="00082483"/>
    <w:rsid w:val="0008475C"/>
    <w:rsid w:val="00090AF5"/>
    <w:rsid w:val="00093814"/>
    <w:rsid w:val="00095377"/>
    <w:rsid w:val="00096B23"/>
    <w:rsid w:val="00096EA8"/>
    <w:rsid w:val="000A3BAB"/>
    <w:rsid w:val="000B28CD"/>
    <w:rsid w:val="000B4832"/>
    <w:rsid w:val="000B5F4D"/>
    <w:rsid w:val="000B61BD"/>
    <w:rsid w:val="000B7A9A"/>
    <w:rsid w:val="000C04E5"/>
    <w:rsid w:val="000C1507"/>
    <w:rsid w:val="000C265B"/>
    <w:rsid w:val="000C2DB7"/>
    <w:rsid w:val="000C4D01"/>
    <w:rsid w:val="000D02B5"/>
    <w:rsid w:val="000D310E"/>
    <w:rsid w:val="000D3160"/>
    <w:rsid w:val="000D3F3F"/>
    <w:rsid w:val="000D5363"/>
    <w:rsid w:val="000D6A9B"/>
    <w:rsid w:val="000D7881"/>
    <w:rsid w:val="000D7FEC"/>
    <w:rsid w:val="000E196B"/>
    <w:rsid w:val="000E371F"/>
    <w:rsid w:val="000E75ED"/>
    <w:rsid w:val="000E79BD"/>
    <w:rsid w:val="000F5DEA"/>
    <w:rsid w:val="0010017F"/>
    <w:rsid w:val="00100E8A"/>
    <w:rsid w:val="0010154F"/>
    <w:rsid w:val="00101598"/>
    <w:rsid w:val="00111288"/>
    <w:rsid w:val="00112021"/>
    <w:rsid w:val="0011310A"/>
    <w:rsid w:val="001143B0"/>
    <w:rsid w:val="00116323"/>
    <w:rsid w:val="00120241"/>
    <w:rsid w:val="00120D70"/>
    <w:rsid w:val="001234DE"/>
    <w:rsid w:val="001264A6"/>
    <w:rsid w:val="00127F46"/>
    <w:rsid w:val="00136158"/>
    <w:rsid w:val="00140232"/>
    <w:rsid w:val="00141241"/>
    <w:rsid w:val="00142C36"/>
    <w:rsid w:val="0014496E"/>
    <w:rsid w:val="00154401"/>
    <w:rsid w:val="0015567E"/>
    <w:rsid w:val="00156C06"/>
    <w:rsid w:val="00160AED"/>
    <w:rsid w:val="00161106"/>
    <w:rsid w:val="00161844"/>
    <w:rsid w:val="00177B51"/>
    <w:rsid w:val="001800C2"/>
    <w:rsid w:val="00185258"/>
    <w:rsid w:val="00190450"/>
    <w:rsid w:val="00191177"/>
    <w:rsid w:val="00192E0B"/>
    <w:rsid w:val="00194609"/>
    <w:rsid w:val="00197CD2"/>
    <w:rsid w:val="001A06CE"/>
    <w:rsid w:val="001A0B26"/>
    <w:rsid w:val="001A2BAF"/>
    <w:rsid w:val="001A4039"/>
    <w:rsid w:val="001A54D0"/>
    <w:rsid w:val="001B4736"/>
    <w:rsid w:val="001B53B1"/>
    <w:rsid w:val="001C155B"/>
    <w:rsid w:val="001C337C"/>
    <w:rsid w:val="001C4C4E"/>
    <w:rsid w:val="001C5D83"/>
    <w:rsid w:val="001C61B3"/>
    <w:rsid w:val="001D0827"/>
    <w:rsid w:val="001E038C"/>
    <w:rsid w:val="001E12AC"/>
    <w:rsid w:val="001E16B1"/>
    <w:rsid w:val="001E1EB1"/>
    <w:rsid w:val="001E2973"/>
    <w:rsid w:val="001E37A1"/>
    <w:rsid w:val="001E3C98"/>
    <w:rsid w:val="001E64AB"/>
    <w:rsid w:val="001E7963"/>
    <w:rsid w:val="001E7FFD"/>
    <w:rsid w:val="001F2410"/>
    <w:rsid w:val="001F3C16"/>
    <w:rsid w:val="001F3F1A"/>
    <w:rsid w:val="001F46B4"/>
    <w:rsid w:val="001F5B82"/>
    <w:rsid w:val="001F63B1"/>
    <w:rsid w:val="002010DB"/>
    <w:rsid w:val="00204BD3"/>
    <w:rsid w:val="00212854"/>
    <w:rsid w:val="00212EFC"/>
    <w:rsid w:val="00221276"/>
    <w:rsid w:val="00226B29"/>
    <w:rsid w:val="002309C3"/>
    <w:rsid w:val="0023239D"/>
    <w:rsid w:val="002333E0"/>
    <w:rsid w:val="00241503"/>
    <w:rsid w:val="00243D1D"/>
    <w:rsid w:val="00247980"/>
    <w:rsid w:val="00254A9B"/>
    <w:rsid w:val="00256D52"/>
    <w:rsid w:val="00260A59"/>
    <w:rsid w:val="00262058"/>
    <w:rsid w:val="002754CE"/>
    <w:rsid w:val="00275841"/>
    <w:rsid w:val="002770B3"/>
    <w:rsid w:val="00284410"/>
    <w:rsid w:val="002906A9"/>
    <w:rsid w:val="00290F9F"/>
    <w:rsid w:val="002913FA"/>
    <w:rsid w:val="00293307"/>
    <w:rsid w:val="0029756D"/>
    <w:rsid w:val="002A319D"/>
    <w:rsid w:val="002B10F4"/>
    <w:rsid w:val="002B4E81"/>
    <w:rsid w:val="002B649C"/>
    <w:rsid w:val="002C0256"/>
    <w:rsid w:val="002C0CA6"/>
    <w:rsid w:val="002C729F"/>
    <w:rsid w:val="002D022E"/>
    <w:rsid w:val="002D72B8"/>
    <w:rsid w:val="002E14BF"/>
    <w:rsid w:val="002E21B7"/>
    <w:rsid w:val="002E3CA1"/>
    <w:rsid w:val="002E4A84"/>
    <w:rsid w:val="002E55D8"/>
    <w:rsid w:val="002E7F9D"/>
    <w:rsid w:val="002F0E0B"/>
    <w:rsid w:val="002F16F6"/>
    <w:rsid w:val="002F4C4A"/>
    <w:rsid w:val="002F60A9"/>
    <w:rsid w:val="002F6416"/>
    <w:rsid w:val="002F6AD3"/>
    <w:rsid w:val="003031E7"/>
    <w:rsid w:val="00303E0C"/>
    <w:rsid w:val="00311491"/>
    <w:rsid w:val="00313217"/>
    <w:rsid w:val="003154A2"/>
    <w:rsid w:val="003173B4"/>
    <w:rsid w:val="003177A0"/>
    <w:rsid w:val="003218B1"/>
    <w:rsid w:val="00321B54"/>
    <w:rsid w:val="00326678"/>
    <w:rsid w:val="00331C99"/>
    <w:rsid w:val="003323AE"/>
    <w:rsid w:val="00340526"/>
    <w:rsid w:val="00340E2B"/>
    <w:rsid w:val="0034316D"/>
    <w:rsid w:val="003440FB"/>
    <w:rsid w:val="00345C5A"/>
    <w:rsid w:val="00351F9B"/>
    <w:rsid w:val="0035407A"/>
    <w:rsid w:val="00357A79"/>
    <w:rsid w:val="0036459D"/>
    <w:rsid w:val="003658B0"/>
    <w:rsid w:val="0036633A"/>
    <w:rsid w:val="00372C16"/>
    <w:rsid w:val="00376E2A"/>
    <w:rsid w:val="00383AB4"/>
    <w:rsid w:val="00384500"/>
    <w:rsid w:val="00385B91"/>
    <w:rsid w:val="00394548"/>
    <w:rsid w:val="0039532D"/>
    <w:rsid w:val="00397D3D"/>
    <w:rsid w:val="003A38CA"/>
    <w:rsid w:val="003A5497"/>
    <w:rsid w:val="003A7988"/>
    <w:rsid w:val="003B19EE"/>
    <w:rsid w:val="003B24A2"/>
    <w:rsid w:val="003B2EE5"/>
    <w:rsid w:val="003B4454"/>
    <w:rsid w:val="003B4B59"/>
    <w:rsid w:val="003B4BE4"/>
    <w:rsid w:val="003C2F73"/>
    <w:rsid w:val="003C4CFD"/>
    <w:rsid w:val="003C616B"/>
    <w:rsid w:val="003D0453"/>
    <w:rsid w:val="003D0950"/>
    <w:rsid w:val="003D0CCC"/>
    <w:rsid w:val="003D5448"/>
    <w:rsid w:val="003D640C"/>
    <w:rsid w:val="003D6FFB"/>
    <w:rsid w:val="003E3787"/>
    <w:rsid w:val="003F660E"/>
    <w:rsid w:val="00405547"/>
    <w:rsid w:val="00405CAE"/>
    <w:rsid w:val="00406935"/>
    <w:rsid w:val="00406C1E"/>
    <w:rsid w:val="004120EE"/>
    <w:rsid w:val="004135EF"/>
    <w:rsid w:val="00413717"/>
    <w:rsid w:val="00415CAF"/>
    <w:rsid w:val="00425C92"/>
    <w:rsid w:val="004265FC"/>
    <w:rsid w:val="004300EE"/>
    <w:rsid w:val="0043160B"/>
    <w:rsid w:val="0043482A"/>
    <w:rsid w:val="00440E3F"/>
    <w:rsid w:val="00443BF9"/>
    <w:rsid w:val="004528C8"/>
    <w:rsid w:val="00455B54"/>
    <w:rsid w:val="004632B4"/>
    <w:rsid w:val="00465416"/>
    <w:rsid w:val="00467195"/>
    <w:rsid w:val="00471361"/>
    <w:rsid w:val="0047574B"/>
    <w:rsid w:val="00482271"/>
    <w:rsid w:val="004828B8"/>
    <w:rsid w:val="0048365F"/>
    <w:rsid w:val="00486745"/>
    <w:rsid w:val="00491AC1"/>
    <w:rsid w:val="004974F9"/>
    <w:rsid w:val="004A3BA5"/>
    <w:rsid w:val="004A43EC"/>
    <w:rsid w:val="004A7CD8"/>
    <w:rsid w:val="004B32C8"/>
    <w:rsid w:val="004B488E"/>
    <w:rsid w:val="004B706E"/>
    <w:rsid w:val="004C1DFA"/>
    <w:rsid w:val="004C36C7"/>
    <w:rsid w:val="004C37B7"/>
    <w:rsid w:val="004C40E5"/>
    <w:rsid w:val="004C4AB1"/>
    <w:rsid w:val="004C72B4"/>
    <w:rsid w:val="004D07D2"/>
    <w:rsid w:val="004D1D88"/>
    <w:rsid w:val="004E17D6"/>
    <w:rsid w:val="004E5E2F"/>
    <w:rsid w:val="004F5AE9"/>
    <w:rsid w:val="00500C32"/>
    <w:rsid w:val="00501424"/>
    <w:rsid w:val="00501957"/>
    <w:rsid w:val="00505FBA"/>
    <w:rsid w:val="005068F2"/>
    <w:rsid w:val="00507E74"/>
    <w:rsid w:val="00510BDA"/>
    <w:rsid w:val="00516C64"/>
    <w:rsid w:val="00517EDF"/>
    <w:rsid w:val="00520DFB"/>
    <w:rsid w:val="005235CD"/>
    <w:rsid w:val="00524CA0"/>
    <w:rsid w:val="005323D7"/>
    <w:rsid w:val="005332A2"/>
    <w:rsid w:val="005336D1"/>
    <w:rsid w:val="005357D0"/>
    <w:rsid w:val="005378C4"/>
    <w:rsid w:val="00537932"/>
    <w:rsid w:val="0054666A"/>
    <w:rsid w:val="00551D3D"/>
    <w:rsid w:val="005531A7"/>
    <w:rsid w:val="00554E44"/>
    <w:rsid w:val="00560B84"/>
    <w:rsid w:val="0056393E"/>
    <w:rsid w:val="00566C21"/>
    <w:rsid w:val="00571847"/>
    <w:rsid w:val="005719FD"/>
    <w:rsid w:val="0057557C"/>
    <w:rsid w:val="00585DC5"/>
    <w:rsid w:val="005913FF"/>
    <w:rsid w:val="00591932"/>
    <w:rsid w:val="00592907"/>
    <w:rsid w:val="005935C1"/>
    <w:rsid w:val="005A2FB9"/>
    <w:rsid w:val="005A313C"/>
    <w:rsid w:val="005A5BDB"/>
    <w:rsid w:val="005A7C67"/>
    <w:rsid w:val="005B4A64"/>
    <w:rsid w:val="005C5CA6"/>
    <w:rsid w:val="005D18AF"/>
    <w:rsid w:val="005D2E47"/>
    <w:rsid w:val="005D521A"/>
    <w:rsid w:val="005D5C7D"/>
    <w:rsid w:val="005D70A2"/>
    <w:rsid w:val="005E06A1"/>
    <w:rsid w:val="005E7E6B"/>
    <w:rsid w:val="005F09D2"/>
    <w:rsid w:val="005F241A"/>
    <w:rsid w:val="005F4E6C"/>
    <w:rsid w:val="005F63D0"/>
    <w:rsid w:val="006024C6"/>
    <w:rsid w:val="006029F8"/>
    <w:rsid w:val="00602DC1"/>
    <w:rsid w:val="00603EC3"/>
    <w:rsid w:val="00606312"/>
    <w:rsid w:val="00616F52"/>
    <w:rsid w:val="00621C4A"/>
    <w:rsid w:val="006224DF"/>
    <w:rsid w:val="006233C5"/>
    <w:rsid w:val="00623E55"/>
    <w:rsid w:val="00626042"/>
    <w:rsid w:val="00630A3A"/>
    <w:rsid w:val="00635584"/>
    <w:rsid w:val="00636FD6"/>
    <w:rsid w:val="006504BC"/>
    <w:rsid w:val="00650D8E"/>
    <w:rsid w:val="00650FEE"/>
    <w:rsid w:val="006514D0"/>
    <w:rsid w:val="00653A04"/>
    <w:rsid w:val="0065567A"/>
    <w:rsid w:val="006574A1"/>
    <w:rsid w:val="00664116"/>
    <w:rsid w:val="006647D2"/>
    <w:rsid w:val="00672487"/>
    <w:rsid w:val="00676B7C"/>
    <w:rsid w:val="00676EE7"/>
    <w:rsid w:val="00677B7D"/>
    <w:rsid w:val="006845FC"/>
    <w:rsid w:val="00684E37"/>
    <w:rsid w:val="00690811"/>
    <w:rsid w:val="00692F80"/>
    <w:rsid w:val="00696A3F"/>
    <w:rsid w:val="006972FD"/>
    <w:rsid w:val="00697338"/>
    <w:rsid w:val="0069743A"/>
    <w:rsid w:val="00697CA4"/>
    <w:rsid w:val="006A08BC"/>
    <w:rsid w:val="006B4AEA"/>
    <w:rsid w:val="006C3C95"/>
    <w:rsid w:val="006C70B7"/>
    <w:rsid w:val="006C7C7F"/>
    <w:rsid w:val="006D213A"/>
    <w:rsid w:val="006D375F"/>
    <w:rsid w:val="006D547C"/>
    <w:rsid w:val="006E0A02"/>
    <w:rsid w:val="006E59AF"/>
    <w:rsid w:val="006E626D"/>
    <w:rsid w:val="006F0F15"/>
    <w:rsid w:val="006F7665"/>
    <w:rsid w:val="006F7D20"/>
    <w:rsid w:val="006F7FF4"/>
    <w:rsid w:val="0070218D"/>
    <w:rsid w:val="00703090"/>
    <w:rsid w:val="007050FD"/>
    <w:rsid w:val="00707D8E"/>
    <w:rsid w:val="00713577"/>
    <w:rsid w:val="00715468"/>
    <w:rsid w:val="00716324"/>
    <w:rsid w:val="00717ABF"/>
    <w:rsid w:val="00717EB7"/>
    <w:rsid w:val="00724A67"/>
    <w:rsid w:val="00724B3B"/>
    <w:rsid w:val="007266DF"/>
    <w:rsid w:val="0072706B"/>
    <w:rsid w:val="007300B4"/>
    <w:rsid w:val="00732CC4"/>
    <w:rsid w:val="00732E07"/>
    <w:rsid w:val="00733210"/>
    <w:rsid w:val="0073567E"/>
    <w:rsid w:val="00737717"/>
    <w:rsid w:val="00737F59"/>
    <w:rsid w:val="00743999"/>
    <w:rsid w:val="00747077"/>
    <w:rsid w:val="007473A1"/>
    <w:rsid w:val="00747640"/>
    <w:rsid w:val="007516BF"/>
    <w:rsid w:val="007538BF"/>
    <w:rsid w:val="0075486E"/>
    <w:rsid w:val="00757B3E"/>
    <w:rsid w:val="00762526"/>
    <w:rsid w:val="00762CB2"/>
    <w:rsid w:val="00764B45"/>
    <w:rsid w:val="00767F5F"/>
    <w:rsid w:val="00772191"/>
    <w:rsid w:val="007734B2"/>
    <w:rsid w:val="00774BA7"/>
    <w:rsid w:val="00776445"/>
    <w:rsid w:val="00777736"/>
    <w:rsid w:val="0078339F"/>
    <w:rsid w:val="007844BA"/>
    <w:rsid w:val="00787665"/>
    <w:rsid w:val="00787F75"/>
    <w:rsid w:val="00793A7F"/>
    <w:rsid w:val="00795B03"/>
    <w:rsid w:val="00796B82"/>
    <w:rsid w:val="007973B8"/>
    <w:rsid w:val="007A0B37"/>
    <w:rsid w:val="007A15FF"/>
    <w:rsid w:val="007A284F"/>
    <w:rsid w:val="007A3DC4"/>
    <w:rsid w:val="007A6A27"/>
    <w:rsid w:val="007B1D81"/>
    <w:rsid w:val="007B252C"/>
    <w:rsid w:val="007B68CF"/>
    <w:rsid w:val="007B6C51"/>
    <w:rsid w:val="007B7106"/>
    <w:rsid w:val="007B7E30"/>
    <w:rsid w:val="007C26DA"/>
    <w:rsid w:val="007C6511"/>
    <w:rsid w:val="007E15AB"/>
    <w:rsid w:val="007E204B"/>
    <w:rsid w:val="007E44F3"/>
    <w:rsid w:val="007F2D69"/>
    <w:rsid w:val="007F589F"/>
    <w:rsid w:val="007F747C"/>
    <w:rsid w:val="00801548"/>
    <w:rsid w:val="008112D2"/>
    <w:rsid w:val="00814E51"/>
    <w:rsid w:val="00814F26"/>
    <w:rsid w:val="00815FE5"/>
    <w:rsid w:val="008171AD"/>
    <w:rsid w:val="008177A3"/>
    <w:rsid w:val="00825ECC"/>
    <w:rsid w:val="00826C50"/>
    <w:rsid w:val="0083438C"/>
    <w:rsid w:val="0083782A"/>
    <w:rsid w:val="008405ED"/>
    <w:rsid w:val="00840724"/>
    <w:rsid w:val="00841091"/>
    <w:rsid w:val="00841110"/>
    <w:rsid w:val="00843EC7"/>
    <w:rsid w:val="00845A2D"/>
    <w:rsid w:val="0084712C"/>
    <w:rsid w:val="008531E2"/>
    <w:rsid w:val="008541D9"/>
    <w:rsid w:val="00860E7E"/>
    <w:rsid w:val="0087160A"/>
    <w:rsid w:val="0087377E"/>
    <w:rsid w:val="008754A4"/>
    <w:rsid w:val="008756AE"/>
    <w:rsid w:val="00876EE2"/>
    <w:rsid w:val="00881D70"/>
    <w:rsid w:val="00883CB2"/>
    <w:rsid w:val="00884B4A"/>
    <w:rsid w:val="0088500B"/>
    <w:rsid w:val="00885F1C"/>
    <w:rsid w:val="0088793F"/>
    <w:rsid w:val="00893B7A"/>
    <w:rsid w:val="0089410F"/>
    <w:rsid w:val="008A1461"/>
    <w:rsid w:val="008A1A3F"/>
    <w:rsid w:val="008A1D9E"/>
    <w:rsid w:val="008A31A8"/>
    <w:rsid w:val="008A5737"/>
    <w:rsid w:val="008A7C9A"/>
    <w:rsid w:val="008B11CF"/>
    <w:rsid w:val="008B7086"/>
    <w:rsid w:val="008B793F"/>
    <w:rsid w:val="008B7BD0"/>
    <w:rsid w:val="008C0F9A"/>
    <w:rsid w:val="008C14DB"/>
    <w:rsid w:val="008C15A2"/>
    <w:rsid w:val="008C1FD5"/>
    <w:rsid w:val="008C2A9E"/>
    <w:rsid w:val="008C5B27"/>
    <w:rsid w:val="008C6A38"/>
    <w:rsid w:val="008C72C3"/>
    <w:rsid w:val="008D22CC"/>
    <w:rsid w:val="008D54BA"/>
    <w:rsid w:val="008D5585"/>
    <w:rsid w:val="008D7884"/>
    <w:rsid w:val="008D7CC0"/>
    <w:rsid w:val="008D7F6B"/>
    <w:rsid w:val="008E16A7"/>
    <w:rsid w:val="008E1D89"/>
    <w:rsid w:val="008E2EB9"/>
    <w:rsid w:val="008E409F"/>
    <w:rsid w:val="008F040F"/>
    <w:rsid w:val="008F293E"/>
    <w:rsid w:val="00907206"/>
    <w:rsid w:val="009077EC"/>
    <w:rsid w:val="00913073"/>
    <w:rsid w:val="009147EA"/>
    <w:rsid w:val="009157E8"/>
    <w:rsid w:val="00917215"/>
    <w:rsid w:val="00920B95"/>
    <w:rsid w:val="009252ED"/>
    <w:rsid w:val="00931C02"/>
    <w:rsid w:val="00934C02"/>
    <w:rsid w:val="009358E1"/>
    <w:rsid w:val="00945675"/>
    <w:rsid w:val="00946052"/>
    <w:rsid w:val="0094645F"/>
    <w:rsid w:val="00946FD4"/>
    <w:rsid w:val="00947A9A"/>
    <w:rsid w:val="009531BC"/>
    <w:rsid w:val="00954307"/>
    <w:rsid w:val="00954A7A"/>
    <w:rsid w:val="00960E55"/>
    <w:rsid w:val="00961A5C"/>
    <w:rsid w:val="00964BEA"/>
    <w:rsid w:val="00966F37"/>
    <w:rsid w:val="00967303"/>
    <w:rsid w:val="00967A29"/>
    <w:rsid w:val="009726E5"/>
    <w:rsid w:val="00976420"/>
    <w:rsid w:val="00977A38"/>
    <w:rsid w:val="009805D5"/>
    <w:rsid w:val="00985981"/>
    <w:rsid w:val="009902AD"/>
    <w:rsid w:val="00990C95"/>
    <w:rsid w:val="009923A0"/>
    <w:rsid w:val="009A5378"/>
    <w:rsid w:val="009B2233"/>
    <w:rsid w:val="009B2CBE"/>
    <w:rsid w:val="009B4C31"/>
    <w:rsid w:val="009B62B4"/>
    <w:rsid w:val="009B6994"/>
    <w:rsid w:val="009C326A"/>
    <w:rsid w:val="009C5DF5"/>
    <w:rsid w:val="009D0E70"/>
    <w:rsid w:val="009D0E79"/>
    <w:rsid w:val="009E1C4D"/>
    <w:rsid w:val="009E4489"/>
    <w:rsid w:val="009E51CA"/>
    <w:rsid w:val="009E6696"/>
    <w:rsid w:val="009F476A"/>
    <w:rsid w:val="009F7589"/>
    <w:rsid w:val="00A011E2"/>
    <w:rsid w:val="00A05A91"/>
    <w:rsid w:val="00A1245D"/>
    <w:rsid w:val="00A1409D"/>
    <w:rsid w:val="00A20176"/>
    <w:rsid w:val="00A23AB1"/>
    <w:rsid w:val="00A24899"/>
    <w:rsid w:val="00A25A64"/>
    <w:rsid w:val="00A25D55"/>
    <w:rsid w:val="00A25F17"/>
    <w:rsid w:val="00A26BAA"/>
    <w:rsid w:val="00A27FE0"/>
    <w:rsid w:val="00A30EBA"/>
    <w:rsid w:val="00A3160D"/>
    <w:rsid w:val="00A332F9"/>
    <w:rsid w:val="00A376B7"/>
    <w:rsid w:val="00A41402"/>
    <w:rsid w:val="00A45004"/>
    <w:rsid w:val="00A5074D"/>
    <w:rsid w:val="00A51191"/>
    <w:rsid w:val="00A53AB3"/>
    <w:rsid w:val="00A56E9C"/>
    <w:rsid w:val="00A573CF"/>
    <w:rsid w:val="00A63724"/>
    <w:rsid w:val="00A64FFE"/>
    <w:rsid w:val="00A7090C"/>
    <w:rsid w:val="00A71602"/>
    <w:rsid w:val="00A72575"/>
    <w:rsid w:val="00A72BEB"/>
    <w:rsid w:val="00A72F0A"/>
    <w:rsid w:val="00A73C92"/>
    <w:rsid w:val="00A73D6F"/>
    <w:rsid w:val="00A74A0F"/>
    <w:rsid w:val="00A775DE"/>
    <w:rsid w:val="00A84B0B"/>
    <w:rsid w:val="00A87376"/>
    <w:rsid w:val="00A91A0E"/>
    <w:rsid w:val="00A9331E"/>
    <w:rsid w:val="00A97FB1"/>
    <w:rsid w:val="00AB0917"/>
    <w:rsid w:val="00AB2735"/>
    <w:rsid w:val="00AB5E69"/>
    <w:rsid w:val="00AC0F6A"/>
    <w:rsid w:val="00AC1519"/>
    <w:rsid w:val="00AC1AAC"/>
    <w:rsid w:val="00AD2F5D"/>
    <w:rsid w:val="00AD3133"/>
    <w:rsid w:val="00AD7073"/>
    <w:rsid w:val="00AD7A07"/>
    <w:rsid w:val="00AE1BA0"/>
    <w:rsid w:val="00AE1C2F"/>
    <w:rsid w:val="00AE681A"/>
    <w:rsid w:val="00AE78BF"/>
    <w:rsid w:val="00AF3CC4"/>
    <w:rsid w:val="00AF3E27"/>
    <w:rsid w:val="00AF726A"/>
    <w:rsid w:val="00B004A1"/>
    <w:rsid w:val="00B03078"/>
    <w:rsid w:val="00B04122"/>
    <w:rsid w:val="00B047DB"/>
    <w:rsid w:val="00B053DA"/>
    <w:rsid w:val="00B10617"/>
    <w:rsid w:val="00B12AF9"/>
    <w:rsid w:val="00B13973"/>
    <w:rsid w:val="00B1420E"/>
    <w:rsid w:val="00B14899"/>
    <w:rsid w:val="00B1614A"/>
    <w:rsid w:val="00B26E9E"/>
    <w:rsid w:val="00B27D3E"/>
    <w:rsid w:val="00B377B8"/>
    <w:rsid w:val="00B40473"/>
    <w:rsid w:val="00B418AE"/>
    <w:rsid w:val="00B45C9A"/>
    <w:rsid w:val="00B537D6"/>
    <w:rsid w:val="00B56575"/>
    <w:rsid w:val="00B578E3"/>
    <w:rsid w:val="00B62FA5"/>
    <w:rsid w:val="00B64706"/>
    <w:rsid w:val="00B652B8"/>
    <w:rsid w:val="00B6706C"/>
    <w:rsid w:val="00B71998"/>
    <w:rsid w:val="00B71D0E"/>
    <w:rsid w:val="00B81127"/>
    <w:rsid w:val="00B81D12"/>
    <w:rsid w:val="00B82CEB"/>
    <w:rsid w:val="00B845B1"/>
    <w:rsid w:val="00B90E23"/>
    <w:rsid w:val="00B91448"/>
    <w:rsid w:val="00B95253"/>
    <w:rsid w:val="00BA5BD8"/>
    <w:rsid w:val="00BA7EC0"/>
    <w:rsid w:val="00BB0EE4"/>
    <w:rsid w:val="00BB13B8"/>
    <w:rsid w:val="00BB1421"/>
    <w:rsid w:val="00BB3C8F"/>
    <w:rsid w:val="00BB768B"/>
    <w:rsid w:val="00BC03F4"/>
    <w:rsid w:val="00BC0DC7"/>
    <w:rsid w:val="00BC3EAE"/>
    <w:rsid w:val="00BC45CD"/>
    <w:rsid w:val="00BC5E0F"/>
    <w:rsid w:val="00BC7123"/>
    <w:rsid w:val="00BC73C4"/>
    <w:rsid w:val="00BC7753"/>
    <w:rsid w:val="00BD0D30"/>
    <w:rsid w:val="00BD3BEA"/>
    <w:rsid w:val="00BE33A6"/>
    <w:rsid w:val="00BE3D62"/>
    <w:rsid w:val="00BE79A9"/>
    <w:rsid w:val="00BF0D2E"/>
    <w:rsid w:val="00BF20CC"/>
    <w:rsid w:val="00C02E67"/>
    <w:rsid w:val="00C042B0"/>
    <w:rsid w:val="00C13239"/>
    <w:rsid w:val="00C178F3"/>
    <w:rsid w:val="00C30876"/>
    <w:rsid w:val="00C41237"/>
    <w:rsid w:val="00C431A2"/>
    <w:rsid w:val="00C447F2"/>
    <w:rsid w:val="00C542A8"/>
    <w:rsid w:val="00C5712F"/>
    <w:rsid w:val="00C63513"/>
    <w:rsid w:val="00C64CB8"/>
    <w:rsid w:val="00C66F05"/>
    <w:rsid w:val="00C70213"/>
    <w:rsid w:val="00C710D9"/>
    <w:rsid w:val="00C73924"/>
    <w:rsid w:val="00C75B2A"/>
    <w:rsid w:val="00C81A2B"/>
    <w:rsid w:val="00C834AE"/>
    <w:rsid w:val="00C85427"/>
    <w:rsid w:val="00C9495F"/>
    <w:rsid w:val="00C94A27"/>
    <w:rsid w:val="00C96650"/>
    <w:rsid w:val="00CA1A98"/>
    <w:rsid w:val="00CA2689"/>
    <w:rsid w:val="00CB6073"/>
    <w:rsid w:val="00CC2CF1"/>
    <w:rsid w:val="00CD068A"/>
    <w:rsid w:val="00CE0CEB"/>
    <w:rsid w:val="00CE4C2A"/>
    <w:rsid w:val="00CE5C4E"/>
    <w:rsid w:val="00CE734F"/>
    <w:rsid w:val="00CF1D76"/>
    <w:rsid w:val="00CF2EF9"/>
    <w:rsid w:val="00CF3DD1"/>
    <w:rsid w:val="00CF5372"/>
    <w:rsid w:val="00CF5656"/>
    <w:rsid w:val="00D049EB"/>
    <w:rsid w:val="00D04DE8"/>
    <w:rsid w:val="00D05204"/>
    <w:rsid w:val="00D1008B"/>
    <w:rsid w:val="00D10157"/>
    <w:rsid w:val="00D12550"/>
    <w:rsid w:val="00D15A4E"/>
    <w:rsid w:val="00D217BC"/>
    <w:rsid w:val="00D2299D"/>
    <w:rsid w:val="00D23F0F"/>
    <w:rsid w:val="00D23FE5"/>
    <w:rsid w:val="00D277F4"/>
    <w:rsid w:val="00D40013"/>
    <w:rsid w:val="00D41870"/>
    <w:rsid w:val="00D47369"/>
    <w:rsid w:val="00D476AF"/>
    <w:rsid w:val="00D508BD"/>
    <w:rsid w:val="00D5167E"/>
    <w:rsid w:val="00D56D2C"/>
    <w:rsid w:val="00D60DC0"/>
    <w:rsid w:val="00D62217"/>
    <w:rsid w:val="00D6424D"/>
    <w:rsid w:val="00D70458"/>
    <w:rsid w:val="00D72385"/>
    <w:rsid w:val="00D74544"/>
    <w:rsid w:val="00D75ACD"/>
    <w:rsid w:val="00D77E8A"/>
    <w:rsid w:val="00D95932"/>
    <w:rsid w:val="00D95BCD"/>
    <w:rsid w:val="00DA0971"/>
    <w:rsid w:val="00DA09E3"/>
    <w:rsid w:val="00DA23FB"/>
    <w:rsid w:val="00DB5643"/>
    <w:rsid w:val="00DC1648"/>
    <w:rsid w:val="00DC17AC"/>
    <w:rsid w:val="00DC19D5"/>
    <w:rsid w:val="00DC28A2"/>
    <w:rsid w:val="00DC4BFA"/>
    <w:rsid w:val="00DC5D4A"/>
    <w:rsid w:val="00DC6E87"/>
    <w:rsid w:val="00DD0BA5"/>
    <w:rsid w:val="00DD0BA8"/>
    <w:rsid w:val="00DE1ACA"/>
    <w:rsid w:val="00DE2517"/>
    <w:rsid w:val="00DE26FF"/>
    <w:rsid w:val="00DE65F4"/>
    <w:rsid w:val="00DF7F2D"/>
    <w:rsid w:val="00E008DD"/>
    <w:rsid w:val="00E015D1"/>
    <w:rsid w:val="00E04ED8"/>
    <w:rsid w:val="00E071B4"/>
    <w:rsid w:val="00E1049A"/>
    <w:rsid w:val="00E15251"/>
    <w:rsid w:val="00E16B07"/>
    <w:rsid w:val="00E16ED1"/>
    <w:rsid w:val="00E17728"/>
    <w:rsid w:val="00E207ED"/>
    <w:rsid w:val="00E2122D"/>
    <w:rsid w:val="00E23A72"/>
    <w:rsid w:val="00E27219"/>
    <w:rsid w:val="00E2786C"/>
    <w:rsid w:val="00E36298"/>
    <w:rsid w:val="00E3774D"/>
    <w:rsid w:val="00E40841"/>
    <w:rsid w:val="00E408C6"/>
    <w:rsid w:val="00E46640"/>
    <w:rsid w:val="00E46956"/>
    <w:rsid w:val="00E51441"/>
    <w:rsid w:val="00E51E2A"/>
    <w:rsid w:val="00E526E5"/>
    <w:rsid w:val="00E56603"/>
    <w:rsid w:val="00E57D40"/>
    <w:rsid w:val="00E61CF1"/>
    <w:rsid w:val="00E6273F"/>
    <w:rsid w:val="00E64788"/>
    <w:rsid w:val="00E67006"/>
    <w:rsid w:val="00E705A9"/>
    <w:rsid w:val="00E70CA7"/>
    <w:rsid w:val="00E72384"/>
    <w:rsid w:val="00E72822"/>
    <w:rsid w:val="00E73256"/>
    <w:rsid w:val="00E85D79"/>
    <w:rsid w:val="00E90D35"/>
    <w:rsid w:val="00E93393"/>
    <w:rsid w:val="00E95423"/>
    <w:rsid w:val="00E96712"/>
    <w:rsid w:val="00E96E58"/>
    <w:rsid w:val="00E976A1"/>
    <w:rsid w:val="00EA13B5"/>
    <w:rsid w:val="00EA16E3"/>
    <w:rsid w:val="00EA3EE7"/>
    <w:rsid w:val="00EA4CAB"/>
    <w:rsid w:val="00EA56F1"/>
    <w:rsid w:val="00EB09BA"/>
    <w:rsid w:val="00EB1151"/>
    <w:rsid w:val="00EB7447"/>
    <w:rsid w:val="00EC1F67"/>
    <w:rsid w:val="00EC2C20"/>
    <w:rsid w:val="00EC2EEF"/>
    <w:rsid w:val="00EC3F3E"/>
    <w:rsid w:val="00EC6368"/>
    <w:rsid w:val="00EC76D2"/>
    <w:rsid w:val="00ED00E2"/>
    <w:rsid w:val="00ED4934"/>
    <w:rsid w:val="00ED562C"/>
    <w:rsid w:val="00ED5E63"/>
    <w:rsid w:val="00ED711A"/>
    <w:rsid w:val="00EE1BD5"/>
    <w:rsid w:val="00EE4716"/>
    <w:rsid w:val="00EF204E"/>
    <w:rsid w:val="00EF2456"/>
    <w:rsid w:val="00EF720B"/>
    <w:rsid w:val="00F02205"/>
    <w:rsid w:val="00F0241B"/>
    <w:rsid w:val="00F03248"/>
    <w:rsid w:val="00F04914"/>
    <w:rsid w:val="00F108EC"/>
    <w:rsid w:val="00F11988"/>
    <w:rsid w:val="00F13C0C"/>
    <w:rsid w:val="00F144C1"/>
    <w:rsid w:val="00F162CC"/>
    <w:rsid w:val="00F220E5"/>
    <w:rsid w:val="00F22B9C"/>
    <w:rsid w:val="00F251A3"/>
    <w:rsid w:val="00F303ED"/>
    <w:rsid w:val="00F34FA6"/>
    <w:rsid w:val="00F376AB"/>
    <w:rsid w:val="00F4201C"/>
    <w:rsid w:val="00F473F4"/>
    <w:rsid w:val="00F47632"/>
    <w:rsid w:val="00F47DA3"/>
    <w:rsid w:val="00F50EE2"/>
    <w:rsid w:val="00F5136E"/>
    <w:rsid w:val="00F5510F"/>
    <w:rsid w:val="00F55A38"/>
    <w:rsid w:val="00F56719"/>
    <w:rsid w:val="00F5728E"/>
    <w:rsid w:val="00F57BF6"/>
    <w:rsid w:val="00F60553"/>
    <w:rsid w:val="00F64250"/>
    <w:rsid w:val="00F64C4C"/>
    <w:rsid w:val="00F67625"/>
    <w:rsid w:val="00F701DC"/>
    <w:rsid w:val="00F7122F"/>
    <w:rsid w:val="00F720B6"/>
    <w:rsid w:val="00F73396"/>
    <w:rsid w:val="00F77287"/>
    <w:rsid w:val="00F904D0"/>
    <w:rsid w:val="00F92B98"/>
    <w:rsid w:val="00F93887"/>
    <w:rsid w:val="00F93E96"/>
    <w:rsid w:val="00F94B63"/>
    <w:rsid w:val="00FA59A5"/>
    <w:rsid w:val="00FB0C18"/>
    <w:rsid w:val="00FB14B7"/>
    <w:rsid w:val="00FB4AF1"/>
    <w:rsid w:val="00FC5980"/>
    <w:rsid w:val="00FD2012"/>
    <w:rsid w:val="00FD2F8A"/>
    <w:rsid w:val="00FD6CF1"/>
    <w:rsid w:val="00FE61ED"/>
    <w:rsid w:val="00FE6357"/>
    <w:rsid w:val="00FE6D6F"/>
    <w:rsid w:val="00FF15EB"/>
    <w:rsid w:val="00FF270D"/>
    <w:rsid w:val="00FF2E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7F"/>
    <w:rPr>
      <w:rFonts w:eastAsia="Times New Roman"/>
      <w:sz w:val="24"/>
      <w:szCs w:val="24"/>
      <w:lang w:val="en-US" w:eastAsia="it-IT"/>
    </w:rPr>
  </w:style>
  <w:style w:type="paragraph" w:styleId="Heading1">
    <w:name w:val="heading 1"/>
    <w:basedOn w:val="Normal"/>
    <w:next w:val="Normal"/>
    <w:link w:val="Heading1Char"/>
    <w:qFormat/>
    <w:rsid w:val="00082EF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082EF8"/>
    <w:pPr>
      <w:widowControl w:val="0"/>
      <w:autoSpaceDE w:val="0"/>
      <w:autoSpaceDN w:val="0"/>
      <w:adjustRightInd w:val="0"/>
      <w:outlineLvl w:val="1"/>
    </w:pPr>
    <w:rPr>
      <w:rFonts w:ascii="Microsoft Sans Serif" w:hAnsi="Microsoft Sans Serif"/>
      <w:lang w:eastAsia="en-US"/>
    </w:rPr>
  </w:style>
  <w:style w:type="paragraph" w:styleId="Heading3">
    <w:name w:val="heading 3"/>
    <w:basedOn w:val="Normal"/>
    <w:next w:val="Normal"/>
    <w:link w:val="Heading3Char"/>
    <w:qFormat/>
    <w:rsid w:val="00F52ECD"/>
    <w:pPr>
      <w:widowControl w:val="0"/>
      <w:autoSpaceDE w:val="0"/>
      <w:autoSpaceDN w:val="0"/>
      <w:adjustRightInd w:val="0"/>
      <w:outlineLvl w:val="2"/>
    </w:pPr>
    <w:rPr>
      <w:lang w:eastAsia="en-US"/>
    </w:rPr>
  </w:style>
  <w:style w:type="paragraph" w:styleId="Heading4">
    <w:name w:val="heading 4"/>
    <w:basedOn w:val="Normal"/>
    <w:next w:val="Normal"/>
    <w:link w:val="Heading4Char"/>
    <w:qFormat/>
    <w:rsid w:val="004C37B7"/>
    <w:pPr>
      <w:keepNext/>
      <w:ind w:right="-576"/>
      <w:outlineLvl w:val="3"/>
    </w:pPr>
    <w:rPr>
      <w:b/>
      <w:snapToGrid w:val="0"/>
      <w:sz w:val="18"/>
      <w:szCs w:val="20"/>
      <w:lang w:val="en-GB" w:eastAsia="en-US"/>
    </w:rPr>
  </w:style>
  <w:style w:type="paragraph" w:styleId="Heading5">
    <w:name w:val="heading 5"/>
    <w:basedOn w:val="Normal"/>
    <w:next w:val="Normal"/>
    <w:link w:val="Heading5Char"/>
    <w:qFormat/>
    <w:rsid w:val="00F52ECD"/>
    <w:pPr>
      <w:keepNext/>
      <w:tabs>
        <w:tab w:val="left" w:pos="426"/>
      </w:tabs>
      <w:ind w:left="720" w:right="720"/>
      <w:jc w:val="center"/>
      <w:outlineLvl w:val="4"/>
    </w:pPr>
    <w:rPr>
      <w:b/>
      <w:sz w:val="22"/>
      <w:szCs w:val="20"/>
      <w:lang w:eastAsia="en-US"/>
    </w:rPr>
  </w:style>
  <w:style w:type="paragraph" w:styleId="Heading8">
    <w:name w:val="heading 8"/>
    <w:basedOn w:val="Normal"/>
    <w:next w:val="Normal"/>
    <w:link w:val="Heading8Char"/>
    <w:unhideWhenUsed/>
    <w:qFormat/>
    <w:rsid w:val="00A011E2"/>
    <w:pPr>
      <w:keepNext/>
      <w:jc w:val="center"/>
      <w:outlineLvl w:val="7"/>
    </w:pPr>
    <w:rPr>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4C37B7"/>
    <w:pPr>
      <w:ind w:right="-720" w:firstLine="360"/>
      <w:jc w:val="both"/>
    </w:pPr>
    <w:rPr>
      <w:snapToGrid w:val="0"/>
      <w:sz w:val="22"/>
      <w:szCs w:val="20"/>
      <w:lang w:val="en-GB" w:eastAsia="en-US"/>
    </w:rPr>
  </w:style>
  <w:style w:type="paragraph" w:styleId="BodyText2">
    <w:name w:val="Body Text 2"/>
    <w:basedOn w:val="Normal"/>
    <w:link w:val="BodyText2Char"/>
    <w:rsid w:val="004C37B7"/>
    <w:pPr>
      <w:ind w:right="-720"/>
      <w:jc w:val="both"/>
    </w:pPr>
    <w:rPr>
      <w:snapToGrid w:val="0"/>
      <w:sz w:val="22"/>
      <w:szCs w:val="20"/>
      <w:lang w:val="en-GB" w:eastAsia="en-US"/>
    </w:rPr>
  </w:style>
  <w:style w:type="paragraph" w:styleId="BodyText3">
    <w:name w:val="Body Text 3"/>
    <w:basedOn w:val="Normal"/>
    <w:link w:val="BodyText3Char"/>
    <w:rsid w:val="004C37B7"/>
    <w:pPr>
      <w:ind w:right="283"/>
      <w:jc w:val="both"/>
    </w:pPr>
    <w:rPr>
      <w:color w:val="000000"/>
      <w:sz w:val="22"/>
    </w:rPr>
  </w:style>
  <w:style w:type="character" w:styleId="Hyperlink">
    <w:name w:val="Hyperlink"/>
    <w:uiPriority w:val="99"/>
    <w:rsid w:val="004C37B7"/>
    <w:rPr>
      <w:color w:val="0000FF"/>
      <w:u w:val="single"/>
    </w:rPr>
  </w:style>
  <w:style w:type="paragraph" w:styleId="NormalWeb">
    <w:name w:val="Normal (Web)"/>
    <w:basedOn w:val="Normal"/>
    <w:rsid w:val="004C37B7"/>
    <w:pPr>
      <w:spacing w:before="100" w:beforeAutospacing="1" w:after="100" w:afterAutospacing="1"/>
    </w:pPr>
    <w:rPr>
      <w:rFonts w:eastAsia="SimSun"/>
      <w:lang w:eastAsia="zh-CN"/>
    </w:rPr>
  </w:style>
  <w:style w:type="paragraph" w:customStyle="1" w:styleId="NormalWeb9">
    <w:name w:val="Normal (Web)9"/>
    <w:basedOn w:val="Normal"/>
    <w:rsid w:val="004C37B7"/>
    <w:rPr>
      <w:rFonts w:eastAsia="SimSun"/>
      <w:color w:val="333333"/>
      <w:sz w:val="17"/>
      <w:szCs w:val="17"/>
      <w:lang w:eastAsia="zh-CN"/>
    </w:rPr>
  </w:style>
  <w:style w:type="character" w:styleId="Emphasis">
    <w:name w:val="Emphasis"/>
    <w:uiPriority w:val="20"/>
    <w:qFormat/>
    <w:rsid w:val="004C37B7"/>
    <w:rPr>
      <w:i/>
      <w:iCs/>
    </w:rPr>
  </w:style>
  <w:style w:type="paragraph" w:styleId="TOC1">
    <w:name w:val="toc 1"/>
    <w:basedOn w:val="Normal"/>
    <w:next w:val="Normal"/>
    <w:autoRedefine/>
    <w:uiPriority w:val="39"/>
    <w:qFormat/>
    <w:rsid w:val="00BC3EAE"/>
    <w:pPr>
      <w:tabs>
        <w:tab w:val="left" w:pos="900"/>
        <w:tab w:val="right" w:leader="dot" w:pos="9540"/>
      </w:tabs>
      <w:spacing w:after="60"/>
      <w:ind w:right="29"/>
    </w:pPr>
    <w:rPr>
      <w:rFonts w:eastAsia="MS Mincho"/>
      <w:b/>
      <w:bCs/>
      <w:noProof/>
      <w:snapToGrid w:val="0"/>
      <w:sz w:val="22"/>
      <w:szCs w:val="22"/>
      <w:lang w:val="en-GB" w:eastAsia="ja-JP"/>
    </w:rPr>
  </w:style>
  <w:style w:type="paragraph" w:styleId="TOC2">
    <w:name w:val="toc 2"/>
    <w:basedOn w:val="Normal"/>
    <w:next w:val="Normal"/>
    <w:autoRedefine/>
    <w:qFormat/>
    <w:rsid w:val="00B10617"/>
    <w:pPr>
      <w:tabs>
        <w:tab w:val="left" w:pos="880"/>
        <w:tab w:val="right" w:leader="dot" w:pos="9540"/>
      </w:tabs>
      <w:ind w:left="878" w:right="71" w:hanging="878"/>
    </w:pPr>
    <w:rPr>
      <w:rFonts w:ascii="Arial" w:hAnsi="Arial" w:cs="Arial"/>
      <w:b/>
      <w:bCs/>
      <w:noProof/>
      <w:snapToGrid w:val="0"/>
      <w:sz w:val="20"/>
      <w:szCs w:val="20"/>
      <w:lang w:val="en-GB"/>
    </w:rPr>
  </w:style>
  <w:style w:type="paragraph" w:customStyle="1" w:styleId="main">
    <w:name w:val="main"/>
    <w:basedOn w:val="Normal"/>
    <w:autoRedefine/>
    <w:rsid w:val="00FA4BEE"/>
    <w:pPr>
      <w:widowControl w:val="0"/>
      <w:tabs>
        <w:tab w:val="left" w:pos="720"/>
      </w:tabs>
      <w:spacing w:line="360" w:lineRule="auto"/>
    </w:pPr>
    <w:rPr>
      <w:snapToGrid w:val="0"/>
      <w:sz w:val="20"/>
      <w:szCs w:val="20"/>
      <w:lang w:val="en-GB" w:eastAsia="en-US"/>
    </w:rPr>
  </w:style>
  <w:style w:type="paragraph" w:styleId="BalloonText">
    <w:name w:val="Balloon Text"/>
    <w:basedOn w:val="Normal"/>
    <w:link w:val="BalloonTextChar"/>
    <w:uiPriority w:val="99"/>
    <w:rsid w:val="00DF05F8"/>
    <w:rPr>
      <w:rFonts w:ascii="Tahoma" w:hAnsi="Tahoma"/>
      <w:sz w:val="16"/>
      <w:szCs w:val="16"/>
    </w:rPr>
  </w:style>
  <w:style w:type="table" w:styleId="TableGrid">
    <w:name w:val="Table Grid"/>
    <w:basedOn w:val="TableNormal"/>
    <w:rsid w:val="006648B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648B5"/>
    <w:pPr>
      <w:tabs>
        <w:tab w:val="center" w:pos="4320"/>
        <w:tab w:val="right" w:pos="8640"/>
      </w:tabs>
    </w:pPr>
  </w:style>
  <w:style w:type="paragraph" w:styleId="Footer">
    <w:name w:val="footer"/>
    <w:basedOn w:val="Normal"/>
    <w:link w:val="FooterChar"/>
    <w:rsid w:val="006648B5"/>
    <w:pPr>
      <w:tabs>
        <w:tab w:val="center" w:pos="4320"/>
        <w:tab w:val="right" w:pos="8640"/>
      </w:tabs>
    </w:pPr>
  </w:style>
  <w:style w:type="character" w:styleId="PageNumber">
    <w:name w:val="page number"/>
    <w:basedOn w:val="DefaultParagraphFont"/>
    <w:rsid w:val="006648B5"/>
  </w:style>
  <w:style w:type="paragraph" w:customStyle="1" w:styleId="H1PIC">
    <w:name w:val="H1 PIC"/>
    <w:basedOn w:val="Normal"/>
    <w:link w:val="H1PICChar"/>
    <w:rsid w:val="006648B5"/>
    <w:pPr>
      <w:tabs>
        <w:tab w:val="left" w:pos="9240"/>
      </w:tabs>
      <w:outlineLvl w:val="0"/>
    </w:pPr>
    <w:rPr>
      <w:b/>
      <w:snapToGrid w:val="0"/>
      <w:color w:val="000000"/>
      <w:sz w:val="22"/>
      <w:szCs w:val="22"/>
      <w:lang w:val="en-GB"/>
    </w:rPr>
  </w:style>
  <w:style w:type="paragraph" w:styleId="DocumentMap">
    <w:name w:val="Document Map"/>
    <w:basedOn w:val="Normal"/>
    <w:link w:val="DocumentMapChar"/>
    <w:rsid w:val="000B3D54"/>
    <w:pPr>
      <w:shd w:val="clear" w:color="auto" w:fill="000080"/>
    </w:pPr>
    <w:rPr>
      <w:rFonts w:ascii="Tahoma" w:hAnsi="Tahoma" w:cs="Tahoma"/>
      <w:sz w:val="20"/>
      <w:szCs w:val="20"/>
    </w:rPr>
  </w:style>
  <w:style w:type="paragraph" w:styleId="CommentText">
    <w:name w:val="annotation text"/>
    <w:basedOn w:val="Normal"/>
    <w:link w:val="CommentTextChar"/>
    <w:rsid w:val="00F52ECD"/>
    <w:rPr>
      <w:sz w:val="20"/>
      <w:szCs w:val="20"/>
    </w:rPr>
  </w:style>
  <w:style w:type="paragraph" w:styleId="CommentSubject">
    <w:name w:val="annotation subject"/>
    <w:basedOn w:val="CommentText"/>
    <w:next w:val="CommentText"/>
    <w:link w:val="CommentSubjectChar"/>
    <w:rsid w:val="00F52ECD"/>
    <w:rPr>
      <w:b/>
      <w:bCs/>
    </w:rPr>
  </w:style>
  <w:style w:type="character" w:styleId="FollowedHyperlink">
    <w:name w:val="FollowedHyperlink"/>
    <w:uiPriority w:val="99"/>
    <w:rsid w:val="00F52ECD"/>
    <w:rPr>
      <w:color w:val="800080"/>
      <w:u w:val="single"/>
    </w:rPr>
  </w:style>
  <w:style w:type="paragraph" w:styleId="TOC3">
    <w:name w:val="toc 3"/>
    <w:basedOn w:val="Normal"/>
    <w:next w:val="Normal"/>
    <w:autoRedefine/>
    <w:qFormat/>
    <w:rsid w:val="00F52ECD"/>
    <w:pPr>
      <w:ind w:left="480"/>
    </w:pPr>
    <w:rPr>
      <w:lang w:eastAsia="en-US"/>
    </w:rPr>
  </w:style>
  <w:style w:type="paragraph" w:styleId="TOC4">
    <w:name w:val="toc 4"/>
    <w:basedOn w:val="Normal"/>
    <w:next w:val="Normal"/>
    <w:autoRedefine/>
    <w:rsid w:val="00F52ECD"/>
    <w:pPr>
      <w:ind w:left="720"/>
    </w:pPr>
    <w:rPr>
      <w:lang w:eastAsia="en-US"/>
    </w:rPr>
  </w:style>
  <w:style w:type="paragraph" w:styleId="TOC5">
    <w:name w:val="toc 5"/>
    <w:basedOn w:val="Normal"/>
    <w:next w:val="Normal"/>
    <w:autoRedefine/>
    <w:rsid w:val="00F52ECD"/>
    <w:pPr>
      <w:ind w:left="960"/>
    </w:pPr>
    <w:rPr>
      <w:lang w:eastAsia="en-US"/>
    </w:rPr>
  </w:style>
  <w:style w:type="paragraph" w:styleId="TOC6">
    <w:name w:val="toc 6"/>
    <w:basedOn w:val="Normal"/>
    <w:next w:val="Normal"/>
    <w:autoRedefine/>
    <w:rsid w:val="00F52ECD"/>
    <w:pPr>
      <w:ind w:left="1200"/>
    </w:pPr>
    <w:rPr>
      <w:lang w:eastAsia="en-US"/>
    </w:rPr>
  </w:style>
  <w:style w:type="paragraph" w:styleId="TOC7">
    <w:name w:val="toc 7"/>
    <w:basedOn w:val="Normal"/>
    <w:next w:val="Normal"/>
    <w:autoRedefine/>
    <w:rsid w:val="00F52ECD"/>
    <w:pPr>
      <w:ind w:left="1440"/>
    </w:pPr>
    <w:rPr>
      <w:lang w:eastAsia="en-US"/>
    </w:rPr>
  </w:style>
  <w:style w:type="paragraph" w:styleId="TOC8">
    <w:name w:val="toc 8"/>
    <w:basedOn w:val="Normal"/>
    <w:next w:val="Normal"/>
    <w:autoRedefine/>
    <w:rsid w:val="00F52ECD"/>
    <w:pPr>
      <w:ind w:left="1680"/>
    </w:pPr>
    <w:rPr>
      <w:lang w:eastAsia="en-US"/>
    </w:rPr>
  </w:style>
  <w:style w:type="paragraph" w:styleId="TOC9">
    <w:name w:val="toc 9"/>
    <w:basedOn w:val="Normal"/>
    <w:next w:val="Normal"/>
    <w:autoRedefine/>
    <w:rsid w:val="00F52ECD"/>
    <w:pPr>
      <w:ind w:left="1920"/>
    </w:pPr>
    <w:rPr>
      <w:lang w:eastAsia="en-US"/>
    </w:rPr>
  </w:style>
  <w:style w:type="paragraph" w:customStyle="1" w:styleId="ICRtext">
    <w:name w:val="ICR text"/>
    <w:basedOn w:val="Normal"/>
    <w:rsid w:val="00F52ECD"/>
    <w:pPr>
      <w:widowControl w:val="0"/>
      <w:autoSpaceDE w:val="0"/>
      <w:autoSpaceDN w:val="0"/>
      <w:adjustRightInd w:val="0"/>
    </w:pPr>
    <w:rPr>
      <w:rFonts w:ascii="MS Sans Serif" w:hAnsi="MS Sans Serif" w:cs="MS Sans Serif"/>
      <w:sz w:val="17"/>
      <w:szCs w:val="17"/>
      <w:lang w:val="es-ES" w:eastAsia="en-US"/>
    </w:rPr>
  </w:style>
  <w:style w:type="paragraph" w:styleId="BodyText">
    <w:name w:val="Body Text"/>
    <w:basedOn w:val="Normal"/>
    <w:link w:val="BodyTextChar"/>
    <w:rsid w:val="00F52ECD"/>
    <w:pPr>
      <w:spacing w:after="120"/>
    </w:pPr>
    <w:rPr>
      <w:lang w:eastAsia="en-US"/>
    </w:rPr>
  </w:style>
  <w:style w:type="paragraph" w:styleId="FootnoteText">
    <w:name w:val="footnote text"/>
    <w:basedOn w:val="Normal"/>
    <w:link w:val="FootnoteTextChar"/>
    <w:uiPriority w:val="99"/>
    <w:rsid w:val="00F52ECD"/>
    <w:rPr>
      <w:sz w:val="20"/>
      <w:szCs w:val="20"/>
    </w:rPr>
  </w:style>
  <w:style w:type="paragraph" w:customStyle="1" w:styleId="H2PIC">
    <w:name w:val="H2 PIC"/>
    <w:basedOn w:val="BodyTextIndent3"/>
    <w:link w:val="H2PICChar"/>
    <w:rsid w:val="00F52ECD"/>
    <w:pPr>
      <w:ind w:right="0" w:firstLine="0"/>
      <w:outlineLvl w:val="1"/>
    </w:pPr>
    <w:rPr>
      <w:b/>
      <w:color w:val="000000"/>
      <w:szCs w:val="22"/>
    </w:rPr>
  </w:style>
  <w:style w:type="paragraph" w:customStyle="1" w:styleId="H1PICSection">
    <w:name w:val="H1 PIC Section"/>
    <w:basedOn w:val="Normal"/>
    <w:rsid w:val="00F52ECD"/>
    <w:pPr>
      <w:ind w:right="-108"/>
      <w:jc w:val="center"/>
      <w:outlineLvl w:val="0"/>
    </w:pPr>
    <w:rPr>
      <w:b/>
      <w:sz w:val="48"/>
      <w:szCs w:val="48"/>
      <w:lang w:val="en-GB"/>
    </w:rPr>
  </w:style>
  <w:style w:type="paragraph" w:customStyle="1" w:styleId="Arial85">
    <w:name w:val="Arial85"/>
    <w:basedOn w:val="Normal"/>
    <w:link w:val="Arial85Char"/>
    <w:rsid w:val="00F52ECD"/>
    <w:pPr>
      <w:keepLines/>
      <w:tabs>
        <w:tab w:val="left" w:pos="3980"/>
      </w:tabs>
      <w:spacing w:after="120"/>
    </w:pPr>
    <w:rPr>
      <w:rFonts w:ascii="Microsoft Sans Serif" w:eastAsia="SimSun" w:hAnsi="Microsoft Sans Serif"/>
      <w:sz w:val="17"/>
      <w:szCs w:val="22"/>
      <w:lang w:val="en-GB"/>
    </w:rPr>
  </w:style>
  <w:style w:type="character" w:customStyle="1" w:styleId="Arial85Char">
    <w:name w:val="Arial85 Char"/>
    <w:link w:val="Arial85"/>
    <w:rsid w:val="00F52ECD"/>
    <w:rPr>
      <w:rFonts w:ascii="Microsoft Sans Serif" w:hAnsi="Microsoft Sans Serif"/>
      <w:sz w:val="17"/>
      <w:szCs w:val="22"/>
      <w:lang w:val="en-GB" w:eastAsia="it-IT" w:bidi="ar-SA"/>
    </w:rPr>
  </w:style>
  <w:style w:type="table" w:customStyle="1" w:styleId="TableNormal1">
    <w:name w:val="Table Normal1"/>
    <w:next w:val="TableNormal"/>
    <w:rsid w:val="00E123B6"/>
    <w:rPr>
      <w:lang w:val="it-IT" w:eastAsia="it-IT"/>
    </w:rPr>
    <w:tblPr>
      <w:tblInd w:w="0" w:type="dxa"/>
      <w:tblCellMar>
        <w:top w:w="0" w:type="dxa"/>
        <w:left w:w="108" w:type="dxa"/>
        <w:bottom w:w="0" w:type="dxa"/>
        <w:right w:w="108" w:type="dxa"/>
      </w:tblCellMar>
    </w:tblPr>
  </w:style>
  <w:style w:type="character" w:styleId="CommentReference">
    <w:name w:val="annotation reference"/>
    <w:rsid w:val="00786E45"/>
    <w:rPr>
      <w:sz w:val="16"/>
      <w:szCs w:val="16"/>
    </w:rPr>
  </w:style>
  <w:style w:type="paragraph" w:customStyle="1" w:styleId="xl65">
    <w:name w:val="xl65"/>
    <w:basedOn w:val="Normal"/>
    <w:rsid w:val="00665A9C"/>
    <w:pPr>
      <w:spacing w:before="100" w:beforeAutospacing="1" w:after="100" w:afterAutospacing="1"/>
    </w:pPr>
    <w:rPr>
      <w:lang w:eastAsia="en-US"/>
    </w:rPr>
  </w:style>
  <w:style w:type="character" w:customStyle="1" w:styleId="Heading1Char">
    <w:name w:val="Heading 1 Char"/>
    <w:link w:val="Heading1"/>
    <w:rsid w:val="00EA582D"/>
    <w:rPr>
      <w:rFonts w:ascii="Arial" w:eastAsia="Times New Roman" w:hAnsi="Arial" w:cs="Arial"/>
      <w:b/>
      <w:bCs/>
      <w:kern w:val="32"/>
      <w:sz w:val="32"/>
      <w:szCs w:val="32"/>
    </w:rPr>
  </w:style>
  <w:style w:type="character" w:customStyle="1" w:styleId="HeaderChar">
    <w:name w:val="Header Char"/>
    <w:link w:val="Header"/>
    <w:rsid w:val="00EA582D"/>
    <w:rPr>
      <w:rFonts w:eastAsia="Times New Roman"/>
      <w:sz w:val="24"/>
      <w:szCs w:val="24"/>
    </w:rPr>
  </w:style>
  <w:style w:type="character" w:customStyle="1" w:styleId="FooterChar">
    <w:name w:val="Footer Char"/>
    <w:link w:val="Footer"/>
    <w:rsid w:val="00EA582D"/>
    <w:rPr>
      <w:rFonts w:eastAsia="Times New Roman"/>
      <w:sz w:val="24"/>
      <w:szCs w:val="24"/>
    </w:rPr>
  </w:style>
  <w:style w:type="paragraph" w:customStyle="1" w:styleId="xl66">
    <w:name w:val="xl66"/>
    <w:basedOn w:val="Normal"/>
    <w:rsid w:val="00FA1662"/>
    <w:pPr>
      <w:spacing w:before="100" w:beforeAutospacing="1" w:after="100" w:afterAutospacing="1"/>
    </w:pPr>
    <w:rPr>
      <w:sz w:val="20"/>
      <w:szCs w:val="20"/>
      <w:lang w:eastAsia="en-US"/>
    </w:rPr>
  </w:style>
  <w:style w:type="paragraph" w:customStyle="1" w:styleId="ColorfulShading-Accent11">
    <w:name w:val="Colorful Shading - Accent 11"/>
    <w:hidden/>
    <w:uiPriority w:val="99"/>
    <w:semiHidden/>
    <w:rsid w:val="0049208E"/>
    <w:rPr>
      <w:rFonts w:eastAsia="Times New Roman"/>
      <w:sz w:val="24"/>
      <w:szCs w:val="24"/>
      <w:lang w:val="en-US" w:eastAsia="it-IT"/>
    </w:rPr>
  </w:style>
  <w:style w:type="character" w:customStyle="1" w:styleId="Heading2Char">
    <w:name w:val="Heading 2 Char"/>
    <w:link w:val="Heading2"/>
    <w:uiPriority w:val="99"/>
    <w:rsid w:val="004316B2"/>
    <w:rPr>
      <w:rFonts w:ascii="Microsoft Sans Serif" w:eastAsia="Times New Roman" w:hAnsi="Microsoft Sans Serif"/>
      <w:sz w:val="24"/>
      <w:szCs w:val="24"/>
      <w:lang w:val="en-US" w:eastAsia="en-US"/>
    </w:rPr>
  </w:style>
  <w:style w:type="character" w:customStyle="1" w:styleId="BodyText3Char">
    <w:name w:val="Body Text 3 Char"/>
    <w:link w:val="BodyText3"/>
    <w:locked/>
    <w:rsid w:val="00F6420E"/>
    <w:rPr>
      <w:rFonts w:eastAsia="Times New Roman"/>
      <w:color w:val="000000"/>
      <w:sz w:val="22"/>
      <w:szCs w:val="24"/>
      <w:lang w:eastAsia="it-IT"/>
    </w:rPr>
  </w:style>
  <w:style w:type="character" w:customStyle="1" w:styleId="FootnoteTextChar">
    <w:name w:val="Footnote Text Char"/>
    <w:link w:val="FootnoteText"/>
    <w:uiPriority w:val="99"/>
    <w:locked/>
    <w:rsid w:val="00F6420E"/>
    <w:rPr>
      <w:rFonts w:eastAsia="Times New Roman"/>
      <w:lang w:val="en-US" w:eastAsia="it-IT"/>
    </w:rPr>
  </w:style>
  <w:style w:type="character" w:styleId="FootnoteReference">
    <w:name w:val="footnote reference"/>
    <w:uiPriority w:val="99"/>
    <w:unhideWhenUsed/>
    <w:rsid w:val="00F6420E"/>
    <w:rPr>
      <w:rFonts w:cs="Times New Roman"/>
      <w:vertAlign w:val="superscript"/>
    </w:rPr>
  </w:style>
  <w:style w:type="character" w:styleId="EndnoteReference">
    <w:name w:val="endnote reference"/>
    <w:rsid w:val="00C92DD7"/>
    <w:rPr>
      <w:vertAlign w:val="superscript"/>
    </w:rPr>
  </w:style>
  <w:style w:type="character" w:customStyle="1" w:styleId="CommentTextChar">
    <w:name w:val="Comment Text Char"/>
    <w:link w:val="CommentText"/>
    <w:locked/>
    <w:rsid w:val="00272ECF"/>
    <w:rPr>
      <w:rFonts w:eastAsia="Times New Roman"/>
      <w:lang w:val="en-US" w:eastAsia="it-IT"/>
    </w:rPr>
  </w:style>
  <w:style w:type="paragraph" w:customStyle="1" w:styleId="REGUL">
    <w:name w:val="REGUL"/>
    <w:basedOn w:val="Normal"/>
    <w:link w:val="REGULChar"/>
    <w:qFormat/>
    <w:rsid w:val="00316F9D"/>
    <w:pPr>
      <w:widowControl w:val="0"/>
      <w:autoSpaceDE w:val="0"/>
      <w:autoSpaceDN w:val="0"/>
      <w:adjustRightInd w:val="0"/>
    </w:pPr>
    <w:rPr>
      <w:rFonts w:ascii="Microsoft Sans Serif" w:hAnsi="Microsoft Sans Serif"/>
      <w:color w:val="365F91"/>
      <w:sz w:val="17"/>
      <w:szCs w:val="17"/>
    </w:rPr>
  </w:style>
  <w:style w:type="character" w:customStyle="1" w:styleId="BalloonTextChar">
    <w:name w:val="Balloon Text Char"/>
    <w:link w:val="BalloonText"/>
    <w:uiPriority w:val="99"/>
    <w:rsid w:val="00E015D1"/>
    <w:rPr>
      <w:rFonts w:ascii="Tahoma" w:eastAsia="Times New Roman" w:hAnsi="Tahoma" w:cs="Tahoma"/>
      <w:sz w:val="16"/>
      <w:szCs w:val="16"/>
      <w:lang w:val="en-US" w:eastAsia="it-IT"/>
    </w:rPr>
  </w:style>
  <w:style w:type="character" w:customStyle="1" w:styleId="REGULChar">
    <w:name w:val="REGUL Char"/>
    <w:link w:val="REGUL"/>
    <w:rsid w:val="00316F9D"/>
    <w:rPr>
      <w:rFonts w:ascii="Microsoft Sans Serif" w:eastAsia="Times New Roman" w:hAnsi="Microsoft Sans Serif" w:cs="Microsoft Sans Serif"/>
      <w:color w:val="365F91"/>
      <w:sz w:val="17"/>
      <w:szCs w:val="17"/>
      <w:lang w:val="en-US" w:eastAsia="it-IT"/>
    </w:rPr>
  </w:style>
  <w:style w:type="paragraph" w:styleId="Revision">
    <w:name w:val="Revision"/>
    <w:hidden/>
    <w:uiPriority w:val="99"/>
    <w:semiHidden/>
    <w:rsid w:val="00945675"/>
    <w:rPr>
      <w:rFonts w:eastAsia="Times New Roman"/>
      <w:sz w:val="24"/>
      <w:szCs w:val="24"/>
      <w:lang w:val="en-US" w:eastAsia="it-IT"/>
    </w:rPr>
  </w:style>
  <w:style w:type="character" w:styleId="Strong">
    <w:name w:val="Strong"/>
    <w:basedOn w:val="DefaultParagraphFont"/>
    <w:uiPriority w:val="22"/>
    <w:qFormat/>
    <w:rsid w:val="00B537D6"/>
    <w:rPr>
      <w:b/>
      <w:bCs/>
    </w:rPr>
  </w:style>
  <w:style w:type="character" w:customStyle="1" w:styleId="Heading3Char">
    <w:name w:val="Heading 3 Char"/>
    <w:basedOn w:val="DefaultParagraphFont"/>
    <w:link w:val="Heading3"/>
    <w:rsid w:val="00A23AB1"/>
    <w:rPr>
      <w:rFonts w:eastAsia="Times New Roman"/>
      <w:sz w:val="24"/>
      <w:szCs w:val="24"/>
      <w:lang w:val="en-US" w:eastAsia="en-US"/>
    </w:rPr>
  </w:style>
  <w:style w:type="character" w:customStyle="1" w:styleId="DocumentMapChar">
    <w:name w:val="Document Map Char"/>
    <w:basedOn w:val="DefaultParagraphFont"/>
    <w:link w:val="DocumentMap"/>
    <w:rsid w:val="00A23AB1"/>
    <w:rPr>
      <w:rFonts w:ascii="Tahoma" w:eastAsia="Times New Roman" w:hAnsi="Tahoma" w:cs="Tahoma"/>
      <w:shd w:val="clear" w:color="auto" w:fill="000080"/>
      <w:lang w:val="en-US" w:eastAsia="it-IT"/>
    </w:rPr>
  </w:style>
  <w:style w:type="character" w:customStyle="1" w:styleId="CommentSubjectChar">
    <w:name w:val="Comment Subject Char"/>
    <w:basedOn w:val="CommentTextChar"/>
    <w:link w:val="CommentSubject"/>
    <w:rsid w:val="00005302"/>
    <w:rPr>
      <w:rFonts w:eastAsia="Times New Roman"/>
      <w:b/>
      <w:bCs/>
      <w:lang w:val="en-US" w:eastAsia="it-IT"/>
    </w:rPr>
  </w:style>
  <w:style w:type="character" w:customStyle="1" w:styleId="Heading4Char">
    <w:name w:val="Heading 4 Char"/>
    <w:basedOn w:val="DefaultParagraphFont"/>
    <w:link w:val="Heading4"/>
    <w:rsid w:val="00AC1AAC"/>
    <w:rPr>
      <w:rFonts w:eastAsia="Times New Roman"/>
      <w:b/>
      <w:snapToGrid w:val="0"/>
      <w:sz w:val="18"/>
      <w:lang w:eastAsia="en-US"/>
    </w:rPr>
  </w:style>
  <w:style w:type="character" w:customStyle="1" w:styleId="Heading5Char">
    <w:name w:val="Heading 5 Char"/>
    <w:basedOn w:val="DefaultParagraphFont"/>
    <w:link w:val="Heading5"/>
    <w:rsid w:val="00AC1AAC"/>
    <w:rPr>
      <w:rFonts w:eastAsia="Times New Roman"/>
      <w:b/>
      <w:sz w:val="22"/>
      <w:lang w:val="en-US" w:eastAsia="en-US"/>
    </w:rPr>
  </w:style>
  <w:style w:type="character" w:customStyle="1" w:styleId="BodyTextIndent3Char">
    <w:name w:val="Body Text Indent 3 Char"/>
    <w:basedOn w:val="DefaultParagraphFont"/>
    <w:link w:val="BodyTextIndent3"/>
    <w:rsid w:val="00AC1AAC"/>
    <w:rPr>
      <w:rFonts w:eastAsia="Times New Roman"/>
      <w:snapToGrid w:val="0"/>
      <w:sz w:val="22"/>
      <w:lang w:eastAsia="en-US"/>
    </w:rPr>
  </w:style>
  <w:style w:type="character" w:customStyle="1" w:styleId="BodyText2Char">
    <w:name w:val="Body Text 2 Char"/>
    <w:basedOn w:val="DefaultParagraphFont"/>
    <w:link w:val="BodyText2"/>
    <w:rsid w:val="00AC1AAC"/>
    <w:rPr>
      <w:rFonts w:eastAsia="Times New Roman"/>
      <w:snapToGrid w:val="0"/>
      <w:sz w:val="22"/>
      <w:lang w:eastAsia="en-US"/>
    </w:rPr>
  </w:style>
  <w:style w:type="character" w:customStyle="1" w:styleId="BodyTextChar">
    <w:name w:val="Body Text Char"/>
    <w:basedOn w:val="DefaultParagraphFont"/>
    <w:link w:val="BodyText"/>
    <w:rsid w:val="00AC1AAC"/>
    <w:rPr>
      <w:rFonts w:eastAsia="Times New Roman"/>
      <w:sz w:val="24"/>
      <w:szCs w:val="24"/>
      <w:lang w:val="en-US" w:eastAsia="en-US"/>
    </w:rPr>
  </w:style>
  <w:style w:type="paragraph" w:styleId="ListParagraph">
    <w:name w:val="List Paragraph"/>
    <w:basedOn w:val="Normal"/>
    <w:uiPriority w:val="34"/>
    <w:qFormat/>
    <w:rsid w:val="005935C1"/>
    <w:pPr>
      <w:ind w:left="720"/>
      <w:contextualSpacing/>
    </w:pPr>
  </w:style>
  <w:style w:type="character" w:customStyle="1" w:styleId="apple-converted-space">
    <w:name w:val="apple-converted-space"/>
    <w:basedOn w:val="DefaultParagraphFont"/>
    <w:rsid w:val="00004744"/>
  </w:style>
  <w:style w:type="paragraph" w:styleId="BlockText">
    <w:name w:val="Block Text"/>
    <w:rsid w:val="004828B8"/>
    <w:pPr>
      <w:pBdr>
        <w:top w:val="nil"/>
        <w:left w:val="nil"/>
        <w:bottom w:val="nil"/>
        <w:right w:val="nil"/>
        <w:between w:val="nil"/>
        <w:bar w:val="nil"/>
      </w:pBdr>
      <w:ind w:left="720" w:right="720"/>
      <w:jc w:val="both"/>
    </w:pPr>
    <w:rPr>
      <w:rFonts w:eastAsia="Arial Unicode MS" w:hAnsi="Arial Unicode MS" w:cs="Arial Unicode MS"/>
      <w:color w:val="000000"/>
      <w:sz w:val="22"/>
      <w:szCs w:val="22"/>
      <w:u w:color="000000"/>
      <w:bdr w:val="nil"/>
      <w:lang w:val="en-US"/>
    </w:rPr>
  </w:style>
  <w:style w:type="paragraph" w:customStyle="1" w:styleId="CorpoA">
    <w:name w:val="Corpo A"/>
    <w:rsid w:val="004828B8"/>
    <w:pPr>
      <w:pBdr>
        <w:top w:val="nil"/>
        <w:left w:val="nil"/>
        <w:bottom w:val="nil"/>
        <w:right w:val="nil"/>
        <w:between w:val="nil"/>
        <w:bar w:val="nil"/>
      </w:pBdr>
    </w:pPr>
    <w:rPr>
      <w:rFonts w:eastAsia="Times New Roman"/>
      <w:color w:val="000000"/>
      <w:sz w:val="24"/>
      <w:szCs w:val="24"/>
      <w:u w:color="000000"/>
      <w:bdr w:val="nil"/>
    </w:rPr>
  </w:style>
  <w:style w:type="character" w:customStyle="1" w:styleId="Hyperlink0">
    <w:name w:val="Hyperlink.0"/>
    <w:basedOn w:val="DefaultParagraphFont"/>
    <w:rsid w:val="004828B8"/>
    <w:rPr>
      <w:rFonts w:ascii="Arial" w:eastAsia="Arial" w:hAnsi="Arial" w:cs="Arial"/>
      <w:sz w:val="24"/>
      <w:szCs w:val="24"/>
      <w:u w:val="single" w:color="0000FF"/>
      <w:lang w:val="fr-FR"/>
    </w:rPr>
  </w:style>
  <w:style w:type="character" w:customStyle="1" w:styleId="Hyperlink1">
    <w:name w:val="Hyperlink.1"/>
    <w:basedOn w:val="DefaultParagraphFont"/>
    <w:rsid w:val="004828B8"/>
    <w:rPr>
      <w:rFonts w:ascii="Arial" w:eastAsia="Arial" w:hAnsi="Arial" w:cs="Arial"/>
      <w:u w:val="single" w:color="0000FF"/>
      <w:lang w:val="fr-FR"/>
    </w:rPr>
  </w:style>
  <w:style w:type="paragraph" w:customStyle="1" w:styleId="CorpoAA">
    <w:name w:val="Corpo A A"/>
    <w:rsid w:val="0054666A"/>
    <w:pPr>
      <w:pBdr>
        <w:top w:val="nil"/>
        <w:left w:val="nil"/>
        <w:bottom w:val="nil"/>
        <w:right w:val="nil"/>
        <w:between w:val="nil"/>
        <w:bar w:val="nil"/>
      </w:pBdr>
    </w:pPr>
    <w:rPr>
      <w:rFonts w:eastAsia="Times New Roman"/>
      <w:color w:val="000000"/>
      <w:sz w:val="24"/>
      <w:szCs w:val="24"/>
      <w:u w:color="000000"/>
      <w:bdr w:val="nil"/>
      <w:lang w:val="it-IT"/>
    </w:rPr>
  </w:style>
  <w:style w:type="numbering" w:customStyle="1" w:styleId="List0">
    <w:name w:val="List 0"/>
    <w:basedOn w:val="NoList"/>
    <w:rsid w:val="00947A9A"/>
    <w:pPr>
      <w:numPr>
        <w:numId w:val="2"/>
      </w:numPr>
    </w:pPr>
  </w:style>
  <w:style w:type="numbering" w:customStyle="1" w:styleId="List1">
    <w:name w:val="List 1"/>
    <w:basedOn w:val="NoList"/>
    <w:rsid w:val="00947A9A"/>
    <w:pPr>
      <w:numPr>
        <w:numId w:val="3"/>
      </w:numPr>
    </w:pPr>
  </w:style>
  <w:style w:type="numbering" w:customStyle="1" w:styleId="List21">
    <w:name w:val="List 21"/>
    <w:basedOn w:val="NoList"/>
    <w:rsid w:val="00947A9A"/>
    <w:pPr>
      <w:numPr>
        <w:numId w:val="4"/>
      </w:numPr>
    </w:pPr>
  </w:style>
  <w:style w:type="numbering" w:customStyle="1" w:styleId="List31">
    <w:name w:val="List 31"/>
    <w:basedOn w:val="NoList"/>
    <w:rsid w:val="00947A9A"/>
    <w:pPr>
      <w:numPr>
        <w:numId w:val="5"/>
      </w:numPr>
    </w:pPr>
  </w:style>
  <w:style w:type="numbering" w:customStyle="1" w:styleId="List41">
    <w:name w:val="List 41"/>
    <w:basedOn w:val="NoList"/>
    <w:rsid w:val="00947A9A"/>
    <w:pPr>
      <w:numPr>
        <w:numId w:val="6"/>
      </w:numPr>
    </w:pPr>
  </w:style>
  <w:style w:type="numbering" w:customStyle="1" w:styleId="List51">
    <w:name w:val="List 51"/>
    <w:basedOn w:val="NoList"/>
    <w:rsid w:val="00947A9A"/>
    <w:pPr>
      <w:numPr>
        <w:numId w:val="18"/>
      </w:numPr>
    </w:pPr>
  </w:style>
  <w:style w:type="numbering" w:customStyle="1" w:styleId="List6">
    <w:name w:val="List 6"/>
    <w:basedOn w:val="NoList"/>
    <w:rsid w:val="00947A9A"/>
    <w:pPr>
      <w:numPr>
        <w:numId w:val="8"/>
      </w:numPr>
    </w:pPr>
  </w:style>
  <w:style w:type="numbering" w:customStyle="1" w:styleId="List7">
    <w:name w:val="List 7"/>
    <w:basedOn w:val="NoList"/>
    <w:rsid w:val="00947A9A"/>
    <w:pPr>
      <w:numPr>
        <w:numId w:val="9"/>
      </w:numPr>
    </w:pPr>
  </w:style>
  <w:style w:type="character" w:customStyle="1" w:styleId="Heading8Char">
    <w:name w:val="Heading 8 Char"/>
    <w:basedOn w:val="DefaultParagraphFont"/>
    <w:link w:val="Heading8"/>
    <w:rsid w:val="00A011E2"/>
    <w:rPr>
      <w:rFonts w:eastAsia="Times New Roman"/>
      <w:b/>
      <w:bCs/>
      <w:lang w:eastAsia="en-US"/>
    </w:rPr>
  </w:style>
  <w:style w:type="paragraph" w:styleId="Title">
    <w:name w:val="Title"/>
    <w:basedOn w:val="Normal"/>
    <w:next w:val="Normal"/>
    <w:link w:val="TitleChar"/>
    <w:qFormat/>
    <w:rsid w:val="00A011E2"/>
    <w:pPr>
      <w:shd w:val="clear" w:color="auto" w:fill="A6A6A6"/>
      <w:spacing w:before="240" w:after="60"/>
      <w:outlineLvl w:val="0"/>
    </w:pPr>
    <w:rPr>
      <w:rFonts w:ascii="Arial" w:hAnsi="Arial"/>
      <w:b/>
      <w:bCs/>
      <w:kern w:val="28"/>
      <w:sz w:val="28"/>
      <w:szCs w:val="32"/>
      <w:lang w:val="fr-FR"/>
    </w:rPr>
  </w:style>
  <w:style w:type="character" w:customStyle="1" w:styleId="TitleChar">
    <w:name w:val="Title Char"/>
    <w:basedOn w:val="DefaultParagraphFont"/>
    <w:link w:val="Title"/>
    <w:rsid w:val="00A011E2"/>
    <w:rPr>
      <w:rFonts w:ascii="Arial" w:eastAsia="Times New Roman" w:hAnsi="Arial"/>
      <w:b/>
      <w:bCs/>
      <w:kern w:val="28"/>
      <w:sz w:val="28"/>
      <w:szCs w:val="32"/>
      <w:shd w:val="clear" w:color="auto" w:fill="A6A6A6"/>
      <w:lang w:val="fr-FR" w:eastAsia="it-IT"/>
    </w:rPr>
  </w:style>
  <w:style w:type="paragraph" w:styleId="TOCHeading">
    <w:name w:val="TOC Heading"/>
    <w:basedOn w:val="Heading1"/>
    <w:next w:val="Normal"/>
    <w:uiPriority w:val="39"/>
    <w:semiHidden/>
    <w:unhideWhenUsed/>
    <w:qFormat/>
    <w:rsid w:val="00A011E2"/>
    <w:pPr>
      <w:keepLines/>
      <w:shd w:val="clear" w:color="auto" w:fill="A6A6A6"/>
      <w:spacing w:before="480" w:after="0" w:line="276" w:lineRule="auto"/>
      <w:ind w:hanging="360"/>
      <w:outlineLvl w:val="9"/>
    </w:pPr>
    <w:rPr>
      <w:rFonts w:ascii="Cambria" w:hAnsi="Cambria"/>
      <w:i/>
      <w:color w:val="365F91"/>
      <w:kern w:val="0"/>
      <w:sz w:val="28"/>
      <w:szCs w:val="28"/>
      <w:lang w:eastAsia="en-US"/>
    </w:rPr>
  </w:style>
  <w:style w:type="paragraph" w:customStyle="1" w:styleId="TEXTE">
    <w:name w:val="TEXTE"/>
    <w:basedOn w:val="Normal"/>
    <w:rsid w:val="00A011E2"/>
    <w:pPr>
      <w:ind w:left="720" w:right="567"/>
    </w:pPr>
    <w:rPr>
      <w:rFonts w:ascii="CG Times" w:hAnsi="CG Times"/>
      <w:lang w:eastAsia="en-US"/>
    </w:rPr>
  </w:style>
  <w:style w:type="character" w:customStyle="1" w:styleId="H1PICChar">
    <w:name w:val="H1 PIC Char"/>
    <w:link w:val="H1PIC"/>
    <w:locked/>
    <w:rsid w:val="00A011E2"/>
    <w:rPr>
      <w:rFonts w:eastAsia="Times New Roman"/>
      <w:b/>
      <w:snapToGrid w:val="0"/>
      <w:color w:val="000000"/>
      <w:sz w:val="22"/>
      <w:szCs w:val="22"/>
      <w:lang w:eastAsia="it-IT"/>
    </w:rPr>
  </w:style>
  <w:style w:type="character" w:customStyle="1" w:styleId="H2PICChar">
    <w:name w:val="H2 PIC Char"/>
    <w:link w:val="H2PIC"/>
    <w:locked/>
    <w:rsid w:val="00A011E2"/>
    <w:rPr>
      <w:rFonts w:eastAsia="Times New Roman"/>
      <w:b/>
      <w:snapToGrid w:val="0"/>
      <w:color w:val="000000"/>
      <w:sz w:val="22"/>
      <w:szCs w:val="22"/>
      <w:lang w:eastAsia="en-US"/>
    </w:rPr>
  </w:style>
  <w:style w:type="character" w:customStyle="1" w:styleId="NormalArialChar">
    <w:name w:val="Normal+ Arial Char"/>
    <w:aliases w:val="8.5 pt Char,Bold Char"/>
    <w:link w:val="NormalArial"/>
    <w:locked/>
    <w:rsid w:val="00A011E2"/>
    <w:rPr>
      <w:sz w:val="22"/>
      <w:szCs w:val="22"/>
      <w:lang w:val="es-ES_tradnl" w:eastAsia="it-IT"/>
    </w:rPr>
  </w:style>
  <w:style w:type="paragraph" w:customStyle="1" w:styleId="NormalArial">
    <w:name w:val="Normal+ Arial"/>
    <w:aliases w:val="8.5 pt,Bold"/>
    <w:basedOn w:val="Normal"/>
    <w:link w:val="NormalArialChar"/>
    <w:rsid w:val="00A011E2"/>
    <w:pPr>
      <w:widowControl w:val="0"/>
      <w:tabs>
        <w:tab w:val="left" w:pos="0"/>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7" w:lineRule="exact"/>
    </w:pPr>
    <w:rPr>
      <w:rFonts w:eastAsia="SimSun"/>
      <w:sz w:val="22"/>
      <w:szCs w:val="22"/>
      <w:lang w:val="es-ES_tradnl"/>
    </w:rPr>
  </w:style>
  <w:style w:type="character" w:customStyle="1" w:styleId="MSSharif8-5Char">
    <w:name w:val="MSSharif8-5 Char"/>
    <w:link w:val="MSSharif8-5"/>
    <w:locked/>
    <w:rsid w:val="00A011E2"/>
    <w:rPr>
      <w:rFonts w:ascii="Microsoft Sans Serif" w:hAnsi="Microsoft Sans Serif" w:cs="Microsoft Sans Serif"/>
      <w:sz w:val="17"/>
      <w:szCs w:val="24"/>
      <w:lang w:val="en-US" w:eastAsia="it-IT"/>
    </w:rPr>
  </w:style>
  <w:style w:type="paragraph" w:customStyle="1" w:styleId="MSSharif8-5">
    <w:name w:val="MSSharif8-5"/>
    <w:link w:val="MSSharif8-5Char"/>
    <w:rsid w:val="00A011E2"/>
    <w:rPr>
      <w:rFonts w:ascii="Microsoft Sans Serif" w:hAnsi="Microsoft Sans Serif" w:cs="Microsoft Sans Serif"/>
      <w:sz w:val="17"/>
      <w:szCs w:val="24"/>
      <w:lang w:val="en-US" w:eastAsia="it-IT"/>
    </w:rPr>
  </w:style>
  <w:style w:type="paragraph" w:customStyle="1" w:styleId="ChemTitle">
    <w:name w:val="ChemTitle"/>
    <w:basedOn w:val="Normal"/>
    <w:rsid w:val="00A011E2"/>
    <w:pPr>
      <w:shd w:val="clear" w:color="auto" w:fill="A6A6A6"/>
    </w:pPr>
    <w:rPr>
      <w:rFonts w:ascii="Arial" w:hAnsi="Arial" w:cs="Arial"/>
      <w:b/>
      <w:sz w:val="28"/>
      <w:lang w:val="fr-FR"/>
    </w:rPr>
  </w:style>
  <w:style w:type="paragraph" w:customStyle="1" w:styleId="Paragrafoelenco">
    <w:name w:val="Paragrafo elenco"/>
    <w:basedOn w:val="Normal"/>
    <w:qFormat/>
    <w:rsid w:val="00A011E2"/>
    <w:pPr>
      <w:ind w:left="708"/>
    </w:pPr>
    <w:rPr>
      <w:lang w:val="fr-FR"/>
    </w:rPr>
  </w:style>
  <w:style w:type="paragraph" w:customStyle="1" w:styleId="xl67">
    <w:name w:val="xl67"/>
    <w:basedOn w:val="Normal"/>
    <w:rsid w:val="00A011E2"/>
    <w:pPr>
      <w:spacing w:before="100" w:beforeAutospacing="1" w:after="100" w:afterAutospacing="1"/>
      <w:jc w:val="center"/>
    </w:pPr>
    <w:rPr>
      <w:rFonts w:ascii="Arial" w:hAnsi="Arial" w:cs="Arial"/>
      <w:sz w:val="18"/>
      <w:szCs w:val="18"/>
      <w:lang w:val="en-GB" w:eastAsia="en-GB"/>
    </w:rPr>
  </w:style>
  <w:style w:type="paragraph" w:customStyle="1" w:styleId="xl68">
    <w:name w:val="xl68"/>
    <w:basedOn w:val="Normal"/>
    <w:rsid w:val="00A011E2"/>
    <w:pPr>
      <w:spacing w:before="100" w:beforeAutospacing="1" w:after="100" w:afterAutospacing="1"/>
    </w:pPr>
    <w:rPr>
      <w:rFonts w:ascii="Arial" w:hAnsi="Arial" w:cs="Arial"/>
      <w:sz w:val="18"/>
      <w:szCs w:val="18"/>
      <w:lang w:val="en-GB" w:eastAsia="en-GB"/>
    </w:rPr>
  </w:style>
  <w:style w:type="paragraph" w:customStyle="1" w:styleId="Default">
    <w:name w:val="Default"/>
    <w:rsid w:val="00A011E2"/>
    <w:pPr>
      <w:autoSpaceDE w:val="0"/>
      <w:autoSpaceDN w:val="0"/>
      <w:adjustRightInd w:val="0"/>
    </w:pPr>
    <w:rPr>
      <w:rFonts w:ascii="Arial" w:eastAsia="Calibri" w:hAnsi="Arial" w:cs="Arial"/>
      <w:color w:val="000000"/>
      <w:sz w:val="24"/>
      <w:szCs w:val="24"/>
      <w:lang w:val="fr-CH" w:eastAsia="en-US"/>
    </w:rPr>
  </w:style>
  <w:style w:type="character" w:customStyle="1" w:styleId="tabcellChar">
    <w:name w:val="tabcell Char"/>
    <w:basedOn w:val="DefaultParagraphFont"/>
    <w:link w:val="tabcell"/>
    <w:locked/>
    <w:rsid w:val="00A011E2"/>
    <w:rPr>
      <w:rFonts w:ascii="Calibri" w:hAnsi="Calibri"/>
      <w:b/>
      <w:color w:val="000000"/>
      <w:sz w:val="24"/>
      <w:szCs w:val="24"/>
      <w:lang w:val="fr-CH"/>
    </w:rPr>
  </w:style>
  <w:style w:type="paragraph" w:customStyle="1" w:styleId="tabcell">
    <w:name w:val="tabcell"/>
    <w:basedOn w:val="Normal"/>
    <w:link w:val="tabcellChar"/>
    <w:qFormat/>
    <w:rsid w:val="00A011E2"/>
    <w:rPr>
      <w:rFonts w:ascii="Calibri" w:eastAsia="SimSun" w:hAnsi="Calibri"/>
      <w:b/>
      <w:color w:val="000000"/>
      <w:lang w:val="fr-CH" w:eastAsia="en-GB"/>
    </w:rPr>
  </w:style>
  <w:style w:type="character" w:customStyle="1" w:styleId="tabtabChar">
    <w:name w:val="tabtab Char"/>
    <w:basedOn w:val="DefaultParagraphFont"/>
    <w:link w:val="tabtab"/>
    <w:locked/>
    <w:rsid w:val="00A011E2"/>
    <w:rPr>
      <w:rFonts w:ascii="Calibri" w:hAnsi="Calibri"/>
      <w:b/>
      <w:color w:val="000000"/>
      <w:sz w:val="24"/>
      <w:szCs w:val="24"/>
      <w:lang w:val="fr-CH"/>
    </w:rPr>
  </w:style>
  <w:style w:type="paragraph" w:customStyle="1" w:styleId="tabtab">
    <w:name w:val="tabtab"/>
    <w:basedOn w:val="Normal"/>
    <w:link w:val="tabtabChar"/>
    <w:qFormat/>
    <w:rsid w:val="00A011E2"/>
    <w:rPr>
      <w:rFonts w:ascii="Calibri" w:eastAsia="SimSun" w:hAnsi="Calibri"/>
      <w:b/>
      <w:color w:val="000000"/>
      <w:lang w:val="fr-CH" w:eastAsia="en-GB"/>
    </w:rPr>
  </w:style>
  <w:style w:type="character" w:customStyle="1" w:styleId="mesureChar">
    <w:name w:val="mesure Char"/>
    <w:basedOn w:val="DefaultParagraphFont"/>
    <w:link w:val="mesure"/>
    <w:locked/>
    <w:rsid w:val="00A011E2"/>
    <w:rPr>
      <w:rFonts w:ascii="Microsoft Sans Serif" w:hAnsi="Microsoft Sans Serif" w:cs="Microsoft Sans Serif"/>
      <w:sz w:val="17"/>
      <w:szCs w:val="17"/>
      <w:lang w:val="fr-CH"/>
    </w:rPr>
  </w:style>
  <w:style w:type="paragraph" w:customStyle="1" w:styleId="mesure">
    <w:name w:val="mesure"/>
    <w:basedOn w:val="Normal"/>
    <w:link w:val="mesureChar"/>
    <w:qFormat/>
    <w:rsid w:val="00A011E2"/>
    <w:pPr>
      <w:widowControl w:val="0"/>
      <w:autoSpaceDE w:val="0"/>
      <w:autoSpaceDN w:val="0"/>
      <w:adjustRightInd w:val="0"/>
    </w:pPr>
    <w:rPr>
      <w:rFonts w:ascii="Microsoft Sans Serif" w:eastAsia="SimSun" w:hAnsi="Microsoft Sans Serif" w:cs="Microsoft Sans Serif"/>
      <w:sz w:val="17"/>
      <w:szCs w:val="17"/>
      <w:lang w:val="fr-CH" w:eastAsia="en-GB"/>
    </w:rPr>
  </w:style>
  <w:style w:type="paragraph" w:customStyle="1" w:styleId="xl63">
    <w:name w:val="xl63"/>
    <w:basedOn w:val="Normal"/>
    <w:rsid w:val="00A011E2"/>
    <w:pPr>
      <w:spacing w:before="100" w:beforeAutospacing="1" w:after="100" w:afterAutospacing="1"/>
    </w:pPr>
    <w:rPr>
      <w:lang w:eastAsia="en-US"/>
    </w:rPr>
  </w:style>
  <w:style w:type="paragraph" w:customStyle="1" w:styleId="Intestazioneepidipagina">
    <w:name w:val="Intestazione e piè di pagina"/>
    <w:rsid w:val="00A011E2"/>
    <w:pPr>
      <w:tabs>
        <w:tab w:val="right" w:pos="9020"/>
      </w:tabs>
    </w:pPr>
    <w:rPr>
      <w:rFonts w:ascii="Helvetica" w:eastAsia="Arial Unicode MS" w:hAnsi="Arial Unicode MS" w:cs="Arial Unicode MS"/>
      <w:color w:val="000000"/>
      <w:sz w:val="24"/>
      <w:szCs w:val="24"/>
      <w:lang w:val="it-IT" w:eastAsia="it-IT"/>
    </w:rPr>
  </w:style>
  <w:style w:type="character" w:customStyle="1" w:styleId="mediumtext1">
    <w:name w:val="medium_text1"/>
    <w:rsid w:val="00A011E2"/>
    <w:rPr>
      <w:sz w:val="24"/>
      <w:szCs w:val="24"/>
    </w:rPr>
  </w:style>
  <w:style w:type="character" w:customStyle="1" w:styleId="longtext1">
    <w:name w:val="long_text1"/>
    <w:rsid w:val="00A011E2"/>
    <w:rPr>
      <w:sz w:val="20"/>
      <w:szCs w:val="20"/>
    </w:rPr>
  </w:style>
  <w:style w:type="character" w:customStyle="1" w:styleId="longtext">
    <w:name w:val="long_text"/>
    <w:basedOn w:val="DefaultParagraphFont"/>
    <w:rsid w:val="00A011E2"/>
  </w:style>
  <w:style w:type="character" w:customStyle="1" w:styleId="hps">
    <w:name w:val="hps"/>
    <w:basedOn w:val="DefaultParagraphFont"/>
    <w:rsid w:val="00A011E2"/>
  </w:style>
  <w:style w:type="character" w:customStyle="1" w:styleId="Hyperlink3">
    <w:name w:val="Hyperlink.3"/>
    <w:basedOn w:val="DefaultParagraphFont"/>
    <w:rsid w:val="00A011E2"/>
    <w:rPr>
      <w:color w:val="0000FF"/>
      <w:sz w:val="22"/>
      <w:szCs w:val="22"/>
      <w:u w:val="single" w:color="0000FF"/>
      <w:lang w:val="en-US"/>
    </w:rPr>
  </w:style>
  <w:style w:type="character" w:customStyle="1" w:styleId="Nessuno">
    <w:name w:val="Nessuno"/>
    <w:rsid w:val="00A011E2"/>
  </w:style>
  <w:style w:type="character" w:customStyle="1" w:styleId="Hyperlink2">
    <w:name w:val="Hyperlink.2"/>
    <w:basedOn w:val="Nessuno"/>
    <w:rsid w:val="00A011E2"/>
    <w:rPr>
      <w:rFonts w:ascii="Arial" w:eastAsia="Arial" w:hAnsi="Arial" w:cs="Arial" w:hint="default"/>
      <w:caps w:val="0"/>
      <w:smallCaps w:val="0"/>
      <w:outline w:val="0"/>
      <w:shadow w:val="0"/>
      <w:emboss w:val="0"/>
      <w:imprint w:val="0"/>
      <w:color w:val="0000FF"/>
      <w:spacing w:val="0"/>
      <w:kern w:val="0"/>
      <w:position w:val="0"/>
      <w:sz w:val="24"/>
      <w:szCs w:val="24"/>
      <w:u w:val="single" w:color="0000FF"/>
      <w:vertAlign w:val="baseline"/>
      <w:lang w:val="fr-FR"/>
    </w:rPr>
  </w:style>
  <w:style w:type="numbering" w:customStyle="1" w:styleId="Elenco31">
    <w:name w:val="Elenco 31"/>
    <w:rsid w:val="00A011E2"/>
    <w:pPr>
      <w:numPr>
        <w:numId w:val="11"/>
      </w:numPr>
    </w:pPr>
  </w:style>
  <w:style w:type="numbering" w:customStyle="1" w:styleId="Elenco41">
    <w:name w:val="Elenco 41"/>
    <w:rsid w:val="00A011E2"/>
    <w:pPr>
      <w:numPr>
        <w:numId w:val="12"/>
      </w:numPr>
    </w:pPr>
  </w:style>
  <w:style w:type="numbering" w:customStyle="1" w:styleId="Elenco21">
    <w:name w:val="Elenco 21"/>
    <w:rsid w:val="00A011E2"/>
    <w:pPr>
      <w:numPr>
        <w:numId w:val="13"/>
      </w:numPr>
    </w:pPr>
  </w:style>
  <w:style w:type="numbering" w:customStyle="1" w:styleId="Elenco51">
    <w:name w:val="Elenco 51"/>
    <w:rsid w:val="00A011E2"/>
    <w:pPr>
      <w:numPr>
        <w:numId w:val="14"/>
      </w:numPr>
    </w:pPr>
  </w:style>
  <w:style w:type="numbering" w:customStyle="1" w:styleId="List8">
    <w:name w:val="List 8"/>
    <w:rsid w:val="00A011E2"/>
    <w:pPr>
      <w:numPr>
        <w:numId w:val="15"/>
      </w:numPr>
    </w:pPr>
  </w:style>
  <w:style w:type="numbering" w:customStyle="1" w:styleId="Stileimportato1">
    <w:name w:val="Stile importato 1"/>
    <w:rsid w:val="00D1008B"/>
  </w:style>
  <w:style w:type="numbering" w:customStyle="1" w:styleId="Stileimportato2">
    <w:name w:val="Stile importato 2"/>
    <w:rsid w:val="00D1008B"/>
  </w:style>
  <w:style w:type="numbering" w:customStyle="1" w:styleId="Stileimportato3">
    <w:name w:val="Stile importato 3"/>
    <w:rsid w:val="00D1008B"/>
  </w:style>
  <w:style w:type="numbering" w:customStyle="1" w:styleId="Stileimportato4">
    <w:name w:val="Stile importato 4"/>
    <w:rsid w:val="00D1008B"/>
  </w:style>
  <w:style w:type="numbering" w:customStyle="1" w:styleId="Stileimportato5">
    <w:name w:val="Stile importato 5"/>
    <w:rsid w:val="00D1008B"/>
  </w:style>
  <w:style w:type="numbering" w:customStyle="1" w:styleId="Stileimportato6">
    <w:name w:val="Stile importato 6"/>
    <w:rsid w:val="00D1008B"/>
  </w:style>
  <w:style w:type="numbering" w:customStyle="1" w:styleId="Stileimportato7">
    <w:name w:val="Stile importato 7"/>
    <w:rsid w:val="00D1008B"/>
  </w:style>
  <w:style w:type="numbering" w:customStyle="1" w:styleId="Stileimportato8">
    <w:name w:val="Stile importato 8"/>
    <w:rsid w:val="00D1008B"/>
  </w:style>
  <w:style w:type="numbering" w:customStyle="1" w:styleId="Stileimportato9">
    <w:name w:val="Stile importato 9"/>
    <w:rsid w:val="00D1008B"/>
  </w:style>
</w:styles>
</file>

<file path=word/webSettings.xml><?xml version="1.0" encoding="utf-8"?>
<w:webSettings xmlns:r="http://schemas.openxmlformats.org/officeDocument/2006/relationships" xmlns:w="http://schemas.openxmlformats.org/wordprocessingml/2006/main">
  <w:divs>
    <w:div w:id="3897758">
      <w:bodyDiv w:val="1"/>
      <w:marLeft w:val="0"/>
      <w:marRight w:val="0"/>
      <w:marTop w:val="0"/>
      <w:marBottom w:val="0"/>
      <w:divBdr>
        <w:top w:val="none" w:sz="0" w:space="0" w:color="auto"/>
        <w:left w:val="none" w:sz="0" w:space="0" w:color="auto"/>
        <w:bottom w:val="none" w:sz="0" w:space="0" w:color="auto"/>
        <w:right w:val="none" w:sz="0" w:space="0" w:color="auto"/>
      </w:divBdr>
    </w:div>
    <w:div w:id="9383344">
      <w:bodyDiv w:val="1"/>
      <w:marLeft w:val="0"/>
      <w:marRight w:val="0"/>
      <w:marTop w:val="0"/>
      <w:marBottom w:val="0"/>
      <w:divBdr>
        <w:top w:val="none" w:sz="0" w:space="0" w:color="auto"/>
        <w:left w:val="none" w:sz="0" w:space="0" w:color="auto"/>
        <w:bottom w:val="none" w:sz="0" w:space="0" w:color="auto"/>
        <w:right w:val="none" w:sz="0" w:space="0" w:color="auto"/>
      </w:divBdr>
    </w:div>
    <w:div w:id="12390872">
      <w:bodyDiv w:val="1"/>
      <w:marLeft w:val="0"/>
      <w:marRight w:val="0"/>
      <w:marTop w:val="0"/>
      <w:marBottom w:val="0"/>
      <w:divBdr>
        <w:top w:val="none" w:sz="0" w:space="0" w:color="auto"/>
        <w:left w:val="none" w:sz="0" w:space="0" w:color="auto"/>
        <w:bottom w:val="none" w:sz="0" w:space="0" w:color="auto"/>
        <w:right w:val="none" w:sz="0" w:space="0" w:color="auto"/>
      </w:divBdr>
    </w:div>
    <w:div w:id="18088317">
      <w:bodyDiv w:val="1"/>
      <w:marLeft w:val="0"/>
      <w:marRight w:val="0"/>
      <w:marTop w:val="0"/>
      <w:marBottom w:val="0"/>
      <w:divBdr>
        <w:top w:val="none" w:sz="0" w:space="0" w:color="auto"/>
        <w:left w:val="none" w:sz="0" w:space="0" w:color="auto"/>
        <w:bottom w:val="none" w:sz="0" w:space="0" w:color="auto"/>
        <w:right w:val="none" w:sz="0" w:space="0" w:color="auto"/>
      </w:divBdr>
    </w:div>
    <w:div w:id="28917710">
      <w:bodyDiv w:val="1"/>
      <w:marLeft w:val="0"/>
      <w:marRight w:val="0"/>
      <w:marTop w:val="0"/>
      <w:marBottom w:val="0"/>
      <w:divBdr>
        <w:top w:val="none" w:sz="0" w:space="0" w:color="auto"/>
        <w:left w:val="none" w:sz="0" w:space="0" w:color="auto"/>
        <w:bottom w:val="none" w:sz="0" w:space="0" w:color="auto"/>
        <w:right w:val="none" w:sz="0" w:space="0" w:color="auto"/>
      </w:divBdr>
    </w:div>
    <w:div w:id="37054642">
      <w:bodyDiv w:val="1"/>
      <w:marLeft w:val="0"/>
      <w:marRight w:val="0"/>
      <w:marTop w:val="0"/>
      <w:marBottom w:val="0"/>
      <w:divBdr>
        <w:top w:val="none" w:sz="0" w:space="0" w:color="auto"/>
        <w:left w:val="none" w:sz="0" w:space="0" w:color="auto"/>
        <w:bottom w:val="none" w:sz="0" w:space="0" w:color="auto"/>
        <w:right w:val="none" w:sz="0" w:space="0" w:color="auto"/>
      </w:divBdr>
    </w:div>
    <w:div w:id="45956869">
      <w:bodyDiv w:val="1"/>
      <w:marLeft w:val="0"/>
      <w:marRight w:val="0"/>
      <w:marTop w:val="0"/>
      <w:marBottom w:val="0"/>
      <w:divBdr>
        <w:top w:val="none" w:sz="0" w:space="0" w:color="auto"/>
        <w:left w:val="none" w:sz="0" w:space="0" w:color="auto"/>
        <w:bottom w:val="none" w:sz="0" w:space="0" w:color="auto"/>
        <w:right w:val="none" w:sz="0" w:space="0" w:color="auto"/>
      </w:divBdr>
    </w:div>
    <w:div w:id="61149339">
      <w:bodyDiv w:val="1"/>
      <w:marLeft w:val="0"/>
      <w:marRight w:val="0"/>
      <w:marTop w:val="0"/>
      <w:marBottom w:val="0"/>
      <w:divBdr>
        <w:top w:val="none" w:sz="0" w:space="0" w:color="auto"/>
        <w:left w:val="none" w:sz="0" w:space="0" w:color="auto"/>
        <w:bottom w:val="none" w:sz="0" w:space="0" w:color="auto"/>
        <w:right w:val="none" w:sz="0" w:space="0" w:color="auto"/>
      </w:divBdr>
    </w:div>
    <w:div w:id="74019257">
      <w:bodyDiv w:val="1"/>
      <w:marLeft w:val="0"/>
      <w:marRight w:val="0"/>
      <w:marTop w:val="0"/>
      <w:marBottom w:val="0"/>
      <w:divBdr>
        <w:top w:val="none" w:sz="0" w:space="0" w:color="auto"/>
        <w:left w:val="none" w:sz="0" w:space="0" w:color="auto"/>
        <w:bottom w:val="none" w:sz="0" w:space="0" w:color="auto"/>
        <w:right w:val="none" w:sz="0" w:space="0" w:color="auto"/>
      </w:divBdr>
    </w:div>
    <w:div w:id="86733515">
      <w:bodyDiv w:val="1"/>
      <w:marLeft w:val="0"/>
      <w:marRight w:val="0"/>
      <w:marTop w:val="0"/>
      <w:marBottom w:val="0"/>
      <w:divBdr>
        <w:top w:val="none" w:sz="0" w:space="0" w:color="auto"/>
        <w:left w:val="none" w:sz="0" w:space="0" w:color="auto"/>
        <w:bottom w:val="none" w:sz="0" w:space="0" w:color="auto"/>
        <w:right w:val="none" w:sz="0" w:space="0" w:color="auto"/>
      </w:divBdr>
    </w:div>
    <w:div w:id="93014669">
      <w:bodyDiv w:val="1"/>
      <w:marLeft w:val="0"/>
      <w:marRight w:val="0"/>
      <w:marTop w:val="0"/>
      <w:marBottom w:val="0"/>
      <w:divBdr>
        <w:top w:val="none" w:sz="0" w:space="0" w:color="auto"/>
        <w:left w:val="none" w:sz="0" w:space="0" w:color="auto"/>
        <w:bottom w:val="none" w:sz="0" w:space="0" w:color="auto"/>
        <w:right w:val="none" w:sz="0" w:space="0" w:color="auto"/>
      </w:divBdr>
    </w:div>
    <w:div w:id="98961086">
      <w:bodyDiv w:val="1"/>
      <w:marLeft w:val="0"/>
      <w:marRight w:val="0"/>
      <w:marTop w:val="0"/>
      <w:marBottom w:val="0"/>
      <w:divBdr>
        <w:top w:val="none" w:sz="0" w:space="0" w:color="auto"/>
        <w:left w:val="none" w:sz="0" w:space="0" w:color="auto"/>
        <w:bottom w:val="none" w:sz="0" w:space="0" w:color="auto"/>
        <w:right w:val="none" w:sz="0" w:space="0" w:color="auto"/>
      </w:divBdr>
    </w:div>
    <w:div w:id="100806762">
      <w:bodyDiv w:val="1"/>
      <w:marLeft w:val="0"/>
      <w:marRight w:val="0"/>
      <w:marTop w:val="0"/>
      <w:marBottom w:val="0"/>
      <w:divBdr>
        <w:top w:val="none" w:sz="0" w:space="0" w:color="auto"/>
        <w:left w:val="none" w:sz="0" w:space="0" w:color="auto"/>
        <w:bottom w:val="none" w:sz="0" w:space="0" w:color="auto"/>
        <w:right w:val="none" w:sz="0" w:space="0" w:color="auto"/>
      </w:divBdr>
    </w:div>
    <w:div w:id="105200809">
      <w:bodyDiv w:val="1"/>
      <w:marLeft w:val="0"/>
      <w:marRight w:val="0"/>
      <w:marTop w:val="0"/>
      <w:marBottom w:val="0"/>
      <w:divBdr>
        <w:top w:val="none" w:sz="0" w:space="0" w:color="auto"/>
        <w:left w:val="none" w:sz="0" w:space="0" w:color="auto"/>
        <w:bottom w:val="none" w:sz="0" w:space="0" w:color="auto"/>
        <w:right w:val="none" w:sz="0" w:space="0" w:color="auto"/>
      </w:divBdr>
    </w:div>
    <w:div w:id="107430399">
      <w:bodyDiv w:val="1"/>
      <w:marLeft w:val="0"/>
      <w:marRight w:val="0"/>
      <w:marTop w:val="0"/>
      <w:marBottom w:val="0"/>
      <w:divBdr>
        <w:top w:val="none" w:sz="0" w:space="0" w:color="auto"/>
        <w:left w:val="none" w:sz="0" w:space="0" w:color="auto"/>
        <w:bottom w:val="none" w:sz="0" w:space="0" w:color="auto"/>
        <w:right w:val="none" w:sz="0" w:space="0" w:color="auto"/>
      </w:divBdr>
    </w:div>
    <w:div w:id="116682266">
      <w:bodyDiv w:val="1"/>
      <w:marLeft w:val="0"/>
      <w:marRight w:val="0"/>
      <w:marTop w:val="0"/>
      <w:marBottom w:val="0"/>
      <w:divBdr>
        <w:top w:val="none" w:sz="0" w:space="0" w:color="auto"/>
        <w:left w:val="none" w:sz="0" w:space="0" w:color="auto"/>
        <w:bottom w:val="none" w:sz="0" w:space="0" w:color="auto"/>
        <w:right w:val="none" w:sz="0" w:space="0" w:color="auto"/>
      </w:divBdr>
    </w:div>
    <w:div w:id="127823140">
      <w:bodyDiv w:val="1"/>
      <w:marLeft w:val="0"/>
      <w:marRight w:val="0"/>
      <w:marTop w:val="0"/>
      <w:marBottom w:val="0"/>
      <w:divBdr>
        <w:top w:val="none" w:sz="0" w:space="0" w:color="auto"/>
        <w:left w:val="none" w:sz="0" w:space="0" w:color="auto"/>
        <w:bottom w:val="none" w:sz="0" w:space="0" w:color="auto"/>
        <w:right w:val="none" w:sz="0" w:space="0" w:color="auto"/>
      </w:divBdr>
    </w:div>
    <w:div w:id="131020046">
      <w:bodyDiv w:val="1"/>
      <w:marLeft w:val="0"/>
      <w:marRight w:val="0"/>
      <w:marTop w:val="0"/>
      <w:marBottom w:val="0"/>
      <w:divBdr>
        <w:top w:val="none" w:sz="0" w:space="0" w:color="auto"/>
        <w:left w:val="none" w:sz="0" w:space="0" w:color="auto"/>
        <w:bottom w:val="none" w:sz="0" w:space="0" w:color="auto"/>
        <w:right w:val="none" w:sz="0" w:space="0" w:color="auto"/>
      </w:divBdr>
    </w:div>
    <w:div w:id="142897601">
      <w:bodyDiv w:val="1"/>
      <w:marLeft w:val="0"/>
      <w:marRight w:val="0"/>
      <w:marTop w:val="0"/>
      <w:marBottom w:val="0"/>
      <w:divBdr>
        <w:top w:val="none" w:sz="0" w:space="0" w:color="auto"/>
        <w:left w:val="none" w:sz="0" w:space="0" w:color="auto"/>
        <w:bottom w:val="none" w:sz="0" w:space="0" w:color="auto"/>
        <w:right w:val="none" w:sz="0" w:space="0" w:color="auto"/>
      </w:divBdr>
    </w:div>
    <w:div w:id="144322825">
      <w:bodyDiv w:val="1"/>
      <w:marLeft w:val="0"/>
      <w:marRight w:val="0"/>
      <w:marTop w:val="0"/>
      <w:marBottom w:val="0"/>
      <w:divBdr>
        <w:top w:val="none" w:sz="0" w:space="0" w:color="auto"/>
        <w:left w:val="none" w:sz="0" w:space="0" w:color="auto"/>
        <w:bottom w:val="none" w:sz="0" w:space="0" w:color="auto"/>
        <w:right w:val="none" w:sz="0" w:space="0" w:color="auto"/>
      </w:divBdr>
    </w:div>
    <w:div w:id="154957852">
      <w:bodyDiv w:val="1"/>
      <w:marLeft w:val="0"/>
      <w:marRight w:val="0"/>
      <w:marTop w:val="0"/>
      <w:marBottom w:val="0"/>
      <w:divBdr>
        <w:top w:val="none" w:sz="0" w:space="0" w:color="auto"/>
        <w:left w:val="none" w:sz="0" w:space="0" w:color="auto"/>
        <w:bottom w:val="none" w:sz="0" w:space="0" w:color="auto"/>
        <w:right w:val="none" w:sz="0" w:space="0" w:color="auto"/>
      </w:divBdr>
    </w:div>
    <w:div w:id="155417295">
      <w:bodyDiv w:val="1"/>
      <w:marLeft w:val="0"/>
      <w:marRight w:val="0"/>
      <w:marTop w:val="0"/>
      <w:marBottom w:val="0"/>
      <w:divBdr>
        <w:top w:val="none" w:sz="0" w:space="0" w:color="auto"/>
        <w:left w:val="none" w:sz="0" w:space="0" w:color="auto"/>
        <w:bottom w:val="none" w:sz="0" w:space="0" w:color="auto"/>
        <w:right w:val="none" w:sz="0" w:space="0" w:color="auto"/>
      </w:divBdr>
    </w:div>
    <w:div w:id="157841992">
      <w:bodyDiv w:val="1"/>
      <w:marLeft w:val="0"/>
      <w:marRight w:val="0"/>
      <w:marTop w:val="0"/>
      <w:marBottom w:val="0"/>
      <w:divBdr>
        <w:top w:val="none" w:sz="0" w:space="0" w:color="auto"/>
        <w:left w:val="none" w:sz="0" w:space="0" w:color="auto"/>
        <w:bottom w:val="none" w:sz="0" w:space="0" w:color="auto"/>
        <w:right w:val="none" w:sz="0" w:space="0" w:color="auto"/>
      </w:divBdr>
    </w:div>
    <w:div w:id="181284005">
      <w:bodyDiv w:val="1"/>
      <w:marLeft w:val="0"/>
      <w:marRight w:val="0"/>
      <w:marTop w:val="0"/>
      <w:marBottom w:val="0"/>
      <w:divBdr>
        <w:top w:val="none" w:sz="0" w:space="0" w:color="auto"/>
        <w:left w:val="none" w:sz="0" w:space="0" w:color="auto"/>
        <w:bottom w:val="none" w:sz="0" w:space="0" w:color="auto"/>
        <w:right w:val="none" w:sz="0" w:space="0" w:color="auto"/>
      </w:divBdr>
    </w:div>
    <w:div w:id="195431145">
      <w:bodyDiv w:val="1"/>
      <w:marLeft w:val="0"/>
      <w:marRight w:val="0"/>
      <w:marTop w:val="0"/>
      <w:marBottom w:val="0"/>
      <w:divBdr>
        <w:top w:val="none" w:sz="0" w:space="0" w:color="auto"/>
        <w:left w:val="none" w:sz="0" w:space="0" w:color="auto"/>
        <w:bottom w:val="none" w:sz="0" w:space="0" w:color="auto"/>
        <w:right w:val="none" w:sz="0" w:space="0" w:color="auto"/>
      </w:divBdr>
    </w:div>
    <w:div w:id="202254028">
      <w:bodyDiv w:val="1"/>
      <w:marLeft w:val="0"/>
      <w:marRight w:val="0"/>
      <w:marTop w:val="0"/>
      <w:marBottom w:val="0"/>
      <w:divBdr>
        <w:top w:val="none" w:sz="0" w:space="0" w:color="auto"/>
        <w:left w:val="none" w:sz="0" w:space="0" w:color="auto"/>
        <w:bottom w:val="none" w:sz="0" w:space="0" w:color="auto"/>
        <w:right w:val="none" w:sz="0" w:space="0" w:color="auto"/>
      </w:divBdr>
    </w:div>
    <w:div w:id="204024112">
      <w:bodyDiv w:val="1"/>
      <w:marLeft w:val="0"/>
      <w:marRight w:val="0"/>
      <w:marTop w:val="0"/>
      <w:marBottom w:val="0"/>
      <w:divBdr>
        <w:top w:val="none" w:sz="0" w:space="0" w:color="auto"/>
        <w:left w:val="none" w:sz="0" w:space="0" w:color="auto"/>
        <w:bottom w:val="none" w:sz="0" w:space="0" w:color="auto"/>
        <w:right w:val="none" w:sz="0" w:space="0" w:color="auto"/>
      </w:divBdr>
    </w:div>
    <w:div w:id="216168025">
      <w:bodyDiv w:val="1"/>
      <w:marLeft w:val="0"/>
      <w:marRight w:val="0"/>
      <w:marTop w:val="0"/>
      <w:marBottom w:val="0"/>
      <w:divBdr>
        <w:top w:val="none" w:sz="0" w:space="0" w:color="auto"/>
        <w:left w:val="none" w:sz="0" w:space="0" w:color="auto"/>
        <w:bottom w:val="none" w:sz="0" w:space="0" w:color="auto"/>
        <w:right w:val="none" w:sz="0" w:space="0" w:color="auto"/>
      </w:divBdr>
    </w:div>
    <w:div w:id="220337292">
      <w:bodyDiv w:val="1"/>
      <w:marLeft w:val="0"/>
      <w:marRight w:val="0"/>
      <w:marTop w:val="0"/>
      <w:marBottom w:val="0"/>
      <w:divBdr>
        <w:top w:val="none" w:sz="0" w:space="0" w:color="auto"/>
        <w:left w:val="none" w:sz="0" w:space="0" w:color="auto"/>
        <w:bottom w:val="none" w:sz="0" w:space="0" w:color="auto"/>
        <w:right w:val="none" w:sz="0" w:space="0" w:color="auto"/>
      </w:divBdr>
    </w:div>
    <w:div w:id="221134485">
      <w:bodyDiv w:val="1"/>
      <w:marLeft w:val="0"/>
      <w:marRight w:val="0"/>
      <w:marTop w:val="0"/>
      <w:marBottom w:val="0"/>
      <w:divBdr>
        <w:top w:val="none" w:sz="0" w:space="0" w:color="auto"/>
        <w:left w:val="none" w:sz="0" w:space="0" w:color="auto"/>
        <w:bottom w:val="none" w:sz="0" w:space="0" w:color="auto"/>
        <w:right w:val="none" w:sz="0" w:space="0" w:color="auto"/>
      </w:divBdr>
    </w:div>
    <w:div w:id="225380279">
      <w:bodyDiv w:val="1"/>
      <w:marLeft w:val="0"/>
      <w:marRight w:val="0"/>
      <w:marTop w:val="0"/>
      <w:marBottom w:val="0"/>
      <w:divBdr>
        <w:top w:val="none" w:sz="0" w:space="0" w:color="auto"/>
        <w:left w:val="none" w:sz="0" w:space="0" w:color="auto"/>
        <w:bottom w:val="none" w:sz="0" w:space="0" w:color="auto"/>
        <w:right w:val="none" w:sz="0" w:space="0" w:color="auto"/>
      </w:divBdr>
    </w:div>
    <w:div w:id="226192573">
      <w:bodyDiv w:val="1"/>
      <w:marLeft w:val="0"/>
      <w:marRight w:val="0"/>
      <w:marTop w:val="0"/>
      <w:marBottom w:val="0"/>
      <w:divBdr>
        <w:top w:val="none" w:sz="0" w:space="0" w:color="auto"/>
        <w:left w:val="none" w:sz="0" w:space="0" w:color="auto"/>
        <w:bottom w:val="none" w:sz="0" w:space="0" w:color="auto"/>
        <w:right w:val="none" w:sz="0" w:space="0" w:color="auto"/>
      </w:divBdr>
    </w:div>
    <w:div w:id="233046812">
      <w:bodyDiv w:val="1"/>
      <w:marLeft w:val="0"/>
      <w:marRight w:val="0"/>
      <w:marTop w:val="0"/>
      <w:marBottom w:val="0"/>
      <w:divBdr>
        <w:top w:val="none" w:sz="0" w:space="0" w:color="auto"/>
        <w:left w:val="none" w:sz="0" w:space="0" w:color="auto"/>
        <w:bottom w:val="none" w:sz="0" w:space="0" w:color="auto"/>
        <w:right w:val="none" w:sz="0" w:space="0" w:color="auto"/>
      </w:divBdr>
    </w:div>
    <w:div w:id="238635204">
      <w:bodyDiv w:val="1"/>
      <w:marLeft w:val="0"/>
      <w:marRight w:val="0"/>
      <w:marTop w:val="0"/>
      <w:marBottom w:val="0"/>
      <w:divBdr>
        <w:top w:val="none" w:sz="0" w:space="0" w:color="auto"/>
        <w:left w:val="none" w:sz="0" w:space="0" w:color="auto"/>
        <w:bottom w:val="none" w:sz="0" w:space="0" w:color="auto"/>
        <w:right w:val="none" w:sz="0" w:space="0" w:color="auto"/>
      </w:divBdr>
    </w:div>
    <w:div w:id="247080040">
      <w:bodyDiv w:val="1"/>
      <w:marLeft w:val="0"/>
      <w:marRight w:val="0"/>
      <w:marTop w:val="0"/>
      <w:marBottom w:val="0"/>
      <w:divBdr>
        <w:top w:val="none" w:sz="0" w:space="0" w:color="auto"/>
        <w:left w:val="none" w:sz="0" w:space="0" w:color="auto"/>
        <w:bottom w:val="none" w:sz="0" w:space="0" w:color="auto"/>
        <w:right w:val="none" w:sz="0" w:space="0" w:color="auto"/>
      </w:divBdr>
    </w:div>
    <w:div w:id="256135854">
      <w:bodyDiv w:val="1"/>
      <w:marLeft w:val="0"/>
      <w:marRight w:val="0"/>
      <w:marTop w:val="0"/>
      <w:marBottom w:val="0"/>
      <w:divBdr>
        <w:top w:val="none" w:sz="0" w:space="0" w:color="auto"/>
        <w:left w:val="none" w:sz="0" w:space="0" w:color="auto"/>
        <w:bottom w:val="none" w:sz="0" w:space="0" w:color="auto"/>
        <w:right w:val="none" w:sz="0" w:space="0" w:color="auto"/>
      </w:divBdr>
    </w:div>
    <w:div w:id="277839871">
      <w:bodyDiv w:val="1"/>
      <w:marLeft w:val="0"/>
      <w:marRight w:val="0"/>
      <w:marTop w:val="0"/>
      <w:marBottom w:val="0"/>
      <w:divBdr>
        <w:top w:val="none" w:sz="0" w:space="0" w:color="auto"/>
        <w:left w:val="none" w:sz="0" w:space="0" w:color="auto"/>
        <w:bottom w:val="none" w:sz="0" w:space="0" w:color="auto"/>
        <w:right w:val="none" w:sz="0" w:space="0" w:color="auto"/>
      </w:divBdr>
    </w:div>
    <w:div w:id="282344519">
      <w:bodyDiv w:val="1"/>
      <w:marLeft w:val="0"/>
      <w:marRight w:val="0"/>
      <w:marTop w:val="0"/>
      <w:marBottom w:val="0"/>
      <w:divBdr>
        <w:top w:val="none" w:sz="0" w:space="0" w:color="auto"/>
        <w:left w:val="none" w:sz="0" w:space="0" w:color="auto"/>
        <w:bottom w:val="none" w:sz="0" w:space="0" w:color="auto"/>
        <w:right w:val="none" w:sz="0" w:space="0" w:color="auto"/>
      </w:divBdr>
    </w:div>
    <w:div w:id="286668745">
      <w:bodyDiv w:val="1"/>
      <w:marLeft w:val="0"/>
      <w:marRight w:val="0"/>
      <w:marTop w:val="0"/>
      <w:marBottom w:val="0"/>
      <w:divBdr>
        <w:top w:val="none" w:sz="0" w:space="0" w:color="auto"/>
        <w:left w:val="none" w:sz="0" w:space="0" w:color="auto"/>
        <w:bottom w:val="none" w:sz="0" w:space="0" w:color="auto"/>
        <w:right w:val="none" w:sz="0" w:space="0" w:color="auto"/>
      </w:divBdr>
    </w:div>
    <w:div w:id="297492342">
      <w:bodyDiv w:val="1"/>
      <w:marLeft w:val="0"/>
      <w:marRight w:val="0"/>
      <w:marTop w:val="0"/>
      <w:marBottom w:val="0"/>
      <w:divBdr>
        <w:top w:val="none" w:sz="0" w:space="0" w:color="auto"/>
        <w:left w:val="none" w:sz="0" w:space="0" w:color="auto"/>
        <w:bottom w:val="none" w:sz="0" w:space="0" w:color="auto"/>
        <w:right w:val="none" w:sz="0" w:space="0" w:color="auto"/>
      </w:divBdr>
    </w:div>
    <w:div w:id="311524823">
      <w:bodyDiv w:val="1"/>
      <w:marLeft w:val="0"/>
      <w:marRight w:val="0"/>
      <w:marTop w:val="0"/>
      <w:marBottom w:val="0"/>
      <w:divBdr>
        <w:top w:val="none" w:sz="0" w:space="0" w:color="auto"/>
        <w:left w:val="none" w:sz="0" w:space="0" w:color="auto"/>
        <w:bottom w:val="none" w:sz="0" w:space="0" w:color="auto"/>
        <w:right w:val="none" w:sz="0" w:space="0" w:color="auto"/>
      </w:divBdr>
    </w:div>
    <w:div w:id="312027835">
      <w:bodyDiv w:val="1"/>
      <w:marLeft w:val="0"/>
      <w:marRight w:val="0"/>
      <w:marTop w:val="0"/>
      <w:marBottom w:val="0"/>
      <w:divBdr>
        <w:top w:val="none" w:sz="0" w:space="0" w:color="auto"/>
        <w:left w:val="none" w:sz="0" w:space="0" w:color="auto"/>
        <w:bottom w:val="none" w:sz="0" w:space="0" w:color="auto"/>
        <w:right w:val="none" w:sz="0" w:space="0" w:color="auto"/>
      </w:divBdr>
    </w:div>
    <w:div w:id="323633532">
      <w:bodyDiv w:val="1"/>
      <w:marLeft w:val="0"/>
      <w:marRight w:val="0"/>
      <w:marTop w:val="0"/>
      <w:marBottom w:val="0"/>
      <w:divBdr>
        <w:top w:val="none" w:sz="0" w:space="0" w:color="auto"/>
        <w:left w:val="none" w:sz="0" w:space="0" w:color="auto"/>
        <w:bottom w:val="none" w:sz="0" w:space="0" w:color="auto"/>
        <w:right w:val="none" w:sz="0" w:space="0" w:color="auto"/>
      </w:divBdr>
    </w:div>
    <w:div w:id="324363765">
      <w:bodyDiv w:val="1"/>
      <w:marLeft w:val="0"/>
      <w:marRight w:val="0"/>
      <w:marTop w:val="0"/>
      <w:marBottom w:val="0"/>
      <w:divBdr>
        <w:top w:val="none" w:sz="0" w:space="0" w:color="auto"/>
        <w:left w:val="none" w:sz="0" w:space="0" w:color="auto"/>
        <w:bottom w:val="none" w:sz="0" w:space="0" w:color="auto"/>
        <w:right w:val="none" w:sz="0" w:space="0" w:color="auto"/>
      </w:divBdr>
    </w:div>
    <w:div w:id="333843305">
      <w:bodyDiv w:val="1"/>
      <w:marLeft w:val="0"/>
      <w:marRight w:val="0"/>
      <w:marTop w:val="0"/>
      <w:marBottom w:val="0"/>
      <w:divBdr>
        <w:top w:val="none" w:sz="0" w:space="0" w:color="auto"/>
        <w:left w:val="none" w:sz="0" w:space="0" w:color="auto"/>
        <w:bottom w:val="none" w:sz="0" w:space="0" w:color="auto"/>
        <w:right w:val="none" w:sz="0" w:space="0" w:color="auto"/>
      </w:divBdr>
    </w:div>
    <w:div w:id="334118188">
      <w:bodyDiv w:val="1"/>
      <w:marLeft w:val="0"/>
      <w:marRight w:val="0"/>
      <w:marTop w:val="0"/>
      <w:marBottom w:val="0"/>
      <w:divBdr>
        <w:top w:val="none" w:sz="0" w:space="0" w:color="auto"/>
        <w:left w:val="none" w:sz="0" w:space="0" w:color="auto"/>
        <w:bottom w:val="none" w:sz="0" w:space="0" w:color="auto"/>
        <w:right w:val="none" w:sz="0" w:space="0" w:color="auto"/>
      </w:divBdr>
    </w:div>
    <w:div w:id="335771507">
      <w:bodyDiv w:val="1"/>
      <w:marLeft w:val="0"/>
      <w:marRight w:val="0"/>
      <w:marTop w:val="0"/>
      <w:marBottom w:val="0"/>
      <w:divBdr>
        <w:top w:val="none" w:sz="0" w:space="0" w:color="auto"/>
        <w:left w:val="none" w:sz="0" w:space="0" w:color="auto"/>
        <w:bottom w:val="none" w:sz="0" w:space="0" w:color="auto"/>
        <w:right w:val="none" w:sz="0" w:space="0" w:color="auto"/>
      </w:divBdr>
    </w:div>
    <w:div w:id="336658805">
      <w:bodyDiv w:val="1"/>
      <w:marLeft w:val="0"/>
      <w:marRight w:val="0"/>
      <w:marTop w:val="0"/>
      <w:marBottom w:val="0"/>
      <w:divBdr>
        <w:top w:val="none" w:sz="0" w:space="0" w:color="auto"/>
        <w:left w:val="none" w:sz="0" w:space="0" w:color="auto"/>
        <w:bottom w:val="none" w:sz="0" w:space="0" w:color="auto"/>
        <w:right w:val="none" w:sz="0" w:space="0" w:color="auto"/>
      </w:divBdr>
    </w:div>
    <w:div w:id="349185216">
      <w:bodyDiv w:val="1"/>
      <w:marLeft w:val="0"/>
      <w:marRight w:val="0"/>
      <w:marTop w:val="0"/>
      <w:marBottom w:val="0"/>
      <w:divBdr>
        <w:top w:val="none" w:sz="0" w:space="0" w:color="auto"/>
        <w:left w:val="none" w:sz="0" w:space="0" w:color="auto"/>
        <w:bottom w:val="none" w:sz="0" w:space="0" w:color="auto"/>
        <w:right w:val="none" w:sz="0" w:space="0" w:color="auto"/>
      </w:divBdr>
    </w:div>
    <w:div w:id="357389335">
      <w:bodyDiv w:val="1"/>
      <w:marLeft w:val="0"/>
      <w:marRight w:val="0"/>
      <w:marTop w:val="0"/>
      <w:marBottom w:val="0"/>
      <w:divBdr>
        <w:top w:val="none" w:sz="0" w:space="0" w:color="auto"/>
        <w:left w:val="none" w:sz="0" w:space="0" w:color="auto"/>
        <w:bottom w:val="none" w:sz="0" w:space="0" w:color="auto"/>
        <w:right w:val="none" w:sz="0" w:space="0" w:color="auto"/>
      </w:divBdr>
    </w:div>
    <w:div w:id="362901680">
      <w:bodyDiv w:val="1"/>
      <w:marLeft w:val="0"/>
      <w:marRight w:val="0"/>
      <w:marTop w:val="0"/>
      <w:marBottom w:val="0"/>
      <w:divBdr>
        <w:top w:val="none" w:sz="0" w:space="0" w:color="auto"/>
        <w:left w:val="none" w:sz="0" w:space="0" w:color="auto"/>
        <w:bottom w:val="none" w:sz="0" w:space="0" w:color="auto"/>
        <w:right w:val="none" w:sz="0" w:space="0" w:color="auto"/>
      </w:divBdr>
    </w:div>
    <w:div w:id="363214201">
      <w:bodyDiv w:val="1"/>
      <w:marLeft w:val="0"/>
      <w:marRight w:val="0"/>
      <w:marTop w:val="0"/>
      <w:marBottom w:val="0"/>
      <w:divBdr>
        <w:top w:val="none" w:sz="0" w:space="0" w:color="auto"/>
        <w:left w:val="none" w:sz="0" w:space="0" w:color="auto"/>
        <w:bottom w:val="none" w:sz="0" w:space="0" w:color="auto"/>
        <w:right w:val="none" w:sz="0" w:space="0" w:color="auto"/>
      </w:divBdr>
    </w:div>
    <w:div w:id="382411582">
      <w:bodyDiv w:val="1"/>
      <w:marLeft w:val="0"/>
      <w:marRight w:val="0"/>
      <w:marTop w:val="0"/>
      <w:marBottom w:val="0"/>
      <w:divBdr>
        <w:top w:val="none" w:sz="0" w:space="0" w:color="auto"/>
        <w:left w:val="none" w:sz="0" w:space="0" w:color="auto"/>
        <w:bottom w:val="none" w:sz="0" w:space="0" w:color="auto"/>
        <w:right w:val="none" w:sz="0" w:space="0" w:color="auto"/>
      </w:divBdr>
    </w:div>
    <w:div w:id="389308780">
      <w:bodyDiv w:val="1"/>
      <w:marLeft w:val="0"/>
      <w:marRight w:val="0"/>
      <w:marTop w:val="0"/>
      <w:marBottom w:val="0"/>
      <w:divBdr>
        <w:top w:val="none" w:sz="0" w:space="0" w:color="auto"/>
        <w:left w:val="none" w:sz="0" w:space="0" w:color="auto"/>
        <w:bottom w:val="none" w:sz="0" w:space="0" w:color="auto"/>
        <w:right w:val="none" w:sz="0" w:space="0" w:color="auto"/>
      </w:divBdr>
    </w:div>
    <w:div w:id="397283879">
      <w:bodyDiv w:val="1"/>
      <w:marLeft w:val="0"/>
      <w:marRight w:val="0"/>
      <w:marTop w:val="0"/>
      <w:marBottom w:val="0"/>
      <w:divBdr>
        <w:top w:val="none" w:sz="0" w:space="0" w:color="auto"/>
        <w:left w:val="none" w:sz="0" w:space="0" w:color="auto"/>
        <w:bottom w:val="none" w:sz="0" w:space="0" w:color="auto"/>
        <w:right w:val="none" w:sz="0" w:space="0" w:color="auto"/>
      </w:divBdr>
    </w:div>
    <w:div w:id="402066197">
      <w:bodyDiv w:val="1"/>
      <w:marLeft w:val="0"/>
      <w:marRight w:val="0"/>
      <w:marTop w:val="0"/>
      <w:marBottom w:val="0"/>
      <w:divBdr>
        <w:top w:val="none" w:sz="0" w:space="0" w:color="auto"/>
        <w:left w:val="none" w:sz="0" w:space="0" w:color="auto"/>
        <w:bottom w:val="none" w:sz="0" w:space="0" w:color="auto"/>
        <w:right w:val="none" w:sz="0" w:space="0" w:color="auto"/>
      </w:divBdr>
    </w:div>
    <w:div w:id="419107295">
      <w:bodyDiv w:val="1"/>
      <w:marLeft w:val="0"/>
      <w:marRight w:val="0"/>
      <w:marTop w:val="0"/>
      <w:marBottom w:val="0"/>
      <w:divBdr>
        <w:top w:val="none" w:sz="0" w:space="0" w:color="auto"/>
        <w:left w:val="none" w:sz="0" w:space="0" w:color="auto"/>
        <w:bottom w:val="none" w:sz="0" w:space="0" w:color="auto"/>
        <w:right w:val="none" w:sz="0" w:space="0" w:color="auto"/>
      </w:divBdr>
    </w:div>
    <w:div w:id="424300537">
      <w:bodyDiv w:val="1"/>
      <w:marLeft w:val="0"/>
      <w:marRight w:val="0"/>
      <w:marTop w:val="0"/>
      <w:marBottom w:val="0"/>
      <w:divBdr>
        <w:top w:val="none" w:sz="0" w:space="0" w:color="auto"/>
        <w:left w:val="none" w:sz="0" w:space="0" w:color="auto"/>
        <w:bottom w:val="none" w:sz="0" w:space="0" w:color="auto"/>
        <w:right w:val="none" w:sz="0" w:space="0" w:color="auto"/>
      </w:divBdr>
    </w:div>
    <w:div w:id="437259242">
      <w:bodyDiv w:val="1"/>
      <w:marLeft w:val="0"/>
      <w:marRight w:val="0"/>
      <w:marTop w:val="0"/>
      <w:marBottom w:val="0"/>
      <w:divBdr>
        <w:top w:val="none" w:sz="0" w:space="0" w:color="auto"/>
        <w:left w:val="none" w:sz="0" w:space="0" w:color="auto"/>
        <w:bottom w:val="none" w:sz="0" w:space="0" w:color="auto"/>
        <w:right w:val="none" w:sz="0" w:space="0" w:color="auto"/>
      </w:divBdr>
    </w:div>
    <w:div w:id="441847693">
      <w:bodyDiv w:val="1"/>
      <w:marLeft w:val="0"/>
      <w:marRight w:val="0"/>
      <w:marTop w:val="0"/>
      <w:marBottom w:val="0"/>
      <w:divBdr>
        <w:top w:val="none" w:sz="0" w:space="0" w:color="auto"/>
        <w:left w:val="none" w:sz="0" w:space="0" w:color="auto"/>
        <w:bottom w:val="none" w:sz="0" w:space="0" w:color="auto"/>
        <w:right w:val="none" w:sz="0" w:space="0" w:color="auto"/>
      </w:divBdr>
    </w:div>
    <w:div w:id="461506605">
      <w:bodyDiv w:val="1"/>
      <w:marLeft w:val="0"/>
      <w:marRight w:val="0"/>
      <w:marTop w:val="0"/>
      <w:marBottom w:val="0"/>
      <w:divBdr>
        <w:top w:val="none" w:sz="0" w:space="0" w:color="auto"/>
        <w:left w:val="none" w:sz="0" w:space="0" w:color="auto"/>
        <w:bottom w:val="none" w:sz="0" w:space="0" w:color="auto"/>
        <w:right w:val="none" w:sz="0" w:space="0" w:color="auto"/>
      </w:divBdr>
    </w:div>
    <w:div w:id="461655825">
      <w:bodyDiv w:val="1"/>
      <w:marLeft w:val="0"/>
      <w:marRight w:val="0"/>
      <w:marTop w:val="0"/>
      <w:marBottom w:val="0"/>
      <w:divBdr>
        <w:top w:val="none" w:sz="0" w:space="0" w:color="auto"/>
        <w:left w:val="none" w:sz="0" w:space="0" w:color="auto"/>
        <w:bottom w:val="none" w:sz="0" w:space="0" w:color="auto"/>
        <w:right w:val="none" w:sz="0" w:space="0" w:color="auto"/>
      </w:divBdr>
    </w:div>
    <w:div w:id="486827258">
      <w:bodyDiv w:val="1"/>
      <w:marLeft w:val="0"/>
      <w:marRight w:val="0"/>
      <w:marTop w:val="0"/>
      <w:marBottom w:val="0"/>
      <w:divBdr>
        <w:top w:val="none" w:sz="0" w:space="0" w:color="auto"/>
        <w:left w:val="none" w:sz="0" w:space="0" w:color="auto"/>
        <w:bottom w:val="none" w:sz="0" w:space="0" w:color="auto"/>
        <w:right w:val="none" w:sz="0" w:space="0" w:color="auto"/>
      </w:divBdr>
    </w:div>
    <w:div w:id="488448687">
      <w:bodyDiv w:val="1"/>
      <w:marLeft w:val="0"/>
      <w:marRight w:val="0"/>
      <w:marTop w:val="0"/>
      <w:marBottom w:val="0"/>
      <w:divBdr>
        <w:top w:val="none" w:sz="0" w:space="0" w:color="auto"/>
        <w:left w:val="none" w:sz="0" w:space="0" w:color="auto"/>
        <w:bottom w:val="none" w:sz="0" w:space="0" w:color="auto"/>
        <w:right w:val="none" w:sz="0" w:space="0" w:color="auto"/>
      </w:divBdr>
    </w:div>
    <w:div w:id="497885812">
      <w:bodyDiv w:val="1"/>
      <w:marLeft w:val="0"/>
      <w:marRight w:val="0"/>
      <w:marTop w:val="0"/>
      <w:marBottom w:val="0"/>
      <w:divBdr>
        <w:top w:val="none" w:sz="0" w:space="0" w:color="auto"/>
        <w:left w:val="none" w:sz="0" w:space="0" w:color="auto"/>
        <w:bottom w:val="none" w:sz="0" w:space="0" w:color="auto"/>
        <w:right w:val="none" w:sz="0" w:space="0" w:color="auto"/>
      </w:divBdr>
    </w:div>
    <w:div w:id="499540732">
      <w:bodyDiv w:val="1"/>
      <w:marLeft w:val="0"/>
      <w:marRight w:val="0"/>
      <w:marTop w:val="0"/>
      <w:marBottom w:val="0"/>
      <w:divBdr>
        <w:top w:val="none" w:sz="0" w:space="0" w:color="auto"/>
        <w:left w:val="none" w:sz="0" w:space="0" w:color="auto"/>
        <w:bottom w:val="none" w:sz="0" w:space="0" w:color="auto"/>
        <w:right w:val="none" w:sz="0" w:space="0" w:color="auto"/>
      </w:divBdr>
    </w:div>
    <w:div w:id="505092441">
      <w:bodyDiv w:val="1"/>
      <w:marLeft w:val="0"/>
      <w:marRight w:val="0"/>
      <w:marTop w:val="0"/>
      <w:marBottom w:val="0"/>
      <w:divBdr>
        <w:top w:val="none" w:sz="0" w:space="0" w:color="auto"/>
        <w:left w:val="none" w:sz="0" w:space="0" w:color="auto"/>
        <w:bottom w:val="none" w:sz="0" w:space="0" w:color="auto"/>
        <w:right w:val="none" w:sz="0" w:space="0" w:color="auto"/>
      </w:divBdr>
    </w:div>
    <w:div w:id="508369117">
      <w:bodyDiv w:val="1"/>
      <w:marLeft w:val="0"/>
      <w:marRight w:val="0"/>
      <w:marTop w:val="0"/>
      <w:marBottom w:val="0"/>
      <w:divBdr>
        <w:top w:val="none" w:sz="0" w:space="0" w:color="auto"/>
        <w:left w:val="none" w:sz="0" w:space="0" w:color="auto"/>
        <w:bottom w:val="none" w:sz="0" w:space="0" w:color="auto"/>
        <w:right w:val="none" w:sz="0" w:space="0" w:color="auto"/>
      </w:divBdr>
    </w:div>
    <w:div w:id="511531537">
      <w:bodyDiv w:val="1"/>
      <w:marLeft w:val="0"/>
      <w:marRight w:val="0"/>
      <w:marTop w:val="0"/>
      <w:marBottom w:val="0"/>
      <w:divBdr>
        <w:top w:val="none" w:sz="0" w:space="0" w:color="auto"/>
        <w:left w:val="none" w:sz="0" w:space="0" w:color="auto"/>
        <w:bottom w:val="none" w:sz="0" w:space="0" w:color="auto"/>
        <w:right w:val="none" w:sz="0" w:space="0" w:color="auto"/>
      </w:divBdr>
    </w:div>
    <w:div w:id="521629643">
      <w:bodyDiv w:val="1"/>
      <w:marLeft w:val="0"/>
      <w:marRight w:val="0"/>
      <w:marTop w:val="0"/>
      <w:marBottom w:val="0"/>
      <w:divBdr>
        <w:top w:val="none" w:sz="0" w:space="0" w:color="auto"/>
        <w:left w:val="none" w:sz="0" w:space="0" w:color="auto"/>
        <w:bottom w:val="none" w:sz="0" w:space="0" w:color="auto"/>
        <w:right w:val="none" w:sz="0" w:space="0" w:color="auto"/>
      </w:divBdr>
    </w:div>
    <w:div w:id="529074797">
      <w:bodyDiv w:val="1"/>
      <w:marLeft w:val="0"/>
      <w:marRight w:val="0"/>
      <w:marTop w:val="0"/>
      <w:marBottom w:val="0"/>
      <w:divBdr>
        <w:top w:val="none" w:sz="0" w:space="0" w:color="auto"/>
        <w:left w:val="none" w:sz="0" w:space="0" w:color="auto"/>
        <w:bottom w:val="none" w:sz="0" w:space="0" w:color="auto"/>
        <w:right w:val="none" w:sz="0" w:space="0" w:color="auto"/>
      </w:divBdr>
      <w:divsChild>
        <w:div w:id="524517202">
          <w:marLeft w:val="0"/>
          <w:marRight w:val="0"/>
          <w:marTop w:val="0"/>
          <w:marBottom w:val="0"/>
          <w:divBdr>
            <w:top w:val="none" w:sz="0" w:space="0" w:color="auto"/>
            <w:left w:val="none" w:sz="0" w:space="0" w:color="auto"/>
            <w:bottom w:val="none" w:sz="0" w:space="0" w:color="auto"/>
            <w:right w:val="none" w:sz="0" w:space="0" w:color="auto"/>
          </w:divBdr>
          <w:divsChild>
            <w:div w:id="442308994">
              <w:marLeft w:val="0"/>
              <w:marRight w:val="0"/>
              <w:marTop w:val="0"/>
              <w:marBottom w:val="0"/>
              <w:divBdr>
                <w:top w:val="none" w:sz="0" w:space="0" w:color="auto"/>
                <w:left w:val="none" w:sz="0" w:space="0" w:color="auto"/>
                <w:bottom w:val="none" w:sz="0" w:space="0" w:color="auto"/>
                <w:right w:val="none" w:sz="0" w:space="0" w:color="auto"/>
              </w:divBdr>
              <w:divsChild>
                <w:div w:id="1192576409">
                  <w:marLeft w:val="0"/>
                  <w:marRight w:val="0"/>
                  <w:marTop w:val="0"/>
                  <w:marBottom w:val="0"/>
                  <w:divBdr>
                    <w:top w:val="none" w:sz="0" w:space="0" w:color="auto"/>
                    <w:left w:val="none" w:sz="0" w:space="0" w:color="auto"/>
                    <w:bottom w:val="none" w:sz="0" w:space="0" w:color="auto"/>
                    <w:right w:val="none" w:sz="0" w:space="0" w:color="auto"/>
                  </w:divBdr>
                  <w:divsChild>
                    <w:div w:id="1312905701">
                      <w:marLeft w:val="0"/>
                      <w:marRight w:val="0"/>
                      <w:marTop w:val="0"/>
                      <w:marBottom w:val="0"/>
                      <w:divBdr>
                        <w:top w:val="none" w:sz="0" w:space="0" w:color="auto"/>
                        <w:left w:val="none" w:sz="0" w:space="0" w:color="auto"/>
                        <w:bottom w:val="none" w:sz="0" w:space="0" w:color="auto"/>
                        <w:right w:val="none" w:sz="0" w:space="0" w:color="auto"/>
                      </w:divBdr>
                      <w:divsChild>
                        <w:div w:id="590629275">
                          <w:marLeft w:val="0"/>
                          <w:marRight w:val="0"/>
                          <w:marTop w:val="0"/>
                          <w:marBottom w:val="0"/>
                          <w:divBdr>
                            <w:top w:val="none" w:sz="0" w:space="0" w:color="auto"/>
                            <w:left w:val="none" w:sz="0" w:space="0" w:color="auto"/>
                            <w:bottom w:val="none" w:sz="0" w:space="0" w:color="auto"/>
                            <w:right w:val="none" w:sz="0" w:space="0" w:color="auto"/>
                          </w:divBdr>
                          <w:divsChild>
                            <w:div w:id="717315520">
                              <w:marLeft w:val="0"/>
                              <w:marRight w:val="0"/>
                              <w:marTop w:val="0"/>
                              <w:marBottom w:val="0"/>
                              <w:divBdr>
                                <w:top w:val="none" w:sz="0" w:space="0" w:color="auto"/>
                                <w:left w:val="none" w:sz="0" w:space="0" w:color="auto"/>
                                <w:bottom w:val="none" w:sz="0" w:space="0" w:color="auto"/>
                                <w:right w:val="none" w:sz="0" w:space="0" w:color="auto"/>
                              </w:divBdr>
                              <w:divsChild>
                                <w:div w:id="1759012041">
                                  <w:marLeft w:val="0"/>
                                  <w:marRight w:val="0"/>
                                  <w:marTop w:val="0"/>
                                  <w:marBottom w:val="0"/>
                                  <w:divBdr>
                                    <w:top w:val="none" w:sz="0" w:space="0" w:color="auto"/>
                                    <w:left w:val="none" w:sz="0" w:space="0" w:color="auto"/>
                                    <w:bottom w:val="none" w:sz="0" w:space="0" w:color="auto"/>
                                    <w:right w:val="none" w:sz="0" w:space="0" w:color="auto"/>
                                  </w:divBdr>
                                  <w:divsChild>
                                    <w:div w:id="834958303">
                                      <w:marLeft w:val="0"/>
                                      <w:marRight w:val="0"/>
                                      <w:marTop w:val="0"/>
                                      <w:marBottom w:val="0"/>
                                      <w:divBdr>
                                        <w:top w:val="single" w:sz="6" w:space="0" w:color="F5F5F5"/>
                                        <w:left w:val="single" w:sz="6" w:space="0" w:color="F5F5F5"/>
                                        <w:bottom w:val="single" w:sz="6" w:space="0" w:color="F5F5F5"/>
                                        <w:right w:val="single" w:sz="6" w:space="0" w:color="F5F5F5"/>
                                      </w:divBdr>
                                      <w:divsChild>
                                        <w:div w:id="52774458">
                                          <w:marLeft w:val="0"/>
                                          <w:marRight w:val="0"/>
                                          <w:marTop w:val="0"/>
                                          <w:marBottom w:val="0"/>
                                          <w:divBdr>
                                            <w:top w:val="none" w:sz="0" w:space="0" w:color="auto"/>
                                            <w:left w:val="none" w:sz="0" w:space="0" w:color="auto"/>
                                            <w:bottom w:val="none" w:sz="0" w:space="0" w:color="auto"/>
                                            <w:right w:val="none" w:sz="0" w:space="0" w:color="auto"/>
                                          </w:divBdr>
                                          <w:divsChild>
                                            <w:div w:id="11192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3373383">
      <w:bodyDiv w:val="1"/>
      <w:marLeft w:val="0"/>
      <w:marRight w:val="0"/>
      <w:marTop w:val="0"/>
      <w:marBottom w:val="0"/>
      <w:divBdr>
        <w:top w:val="none" w:sz="0" w:space="0" w:color="auto"/>
        <w:left w:val="none" w:sz="0" w:space="0" w:color="auto"/>
        <w:bottom w:val="none" w:sz="0" w:space="0" w:color="auto"/>
        <w:right w:val="none" w:sz="0" w:space="0" w:color="auto"/>
      </w:divBdr>
    </w:div>
    <w:div w:id="546995380">
      <w:bodyDiv w:val="1"/>
      <w:marLeft w:val="0"/>
      <w:marRight w:val="0"/>
      <w:marTop w:val="0"/>
      <w:marBottom w:val="0"/>
      <w:divBdr>
        <w:top w:val="none" w:sz="0" w:space="0" w:color="auto"/>
        <w:left w:val="none" w:sz="0" w:space="0" w:color="auto"/>
        <w:bottom w:val="none" w:sz="0" w:space="0" w:color="auto"/>
        <w:right w:val="none" w:sz="0" w:space="0" w:color="auto"/>
      </w:divBdr>
    </w:div>
    <w:div w:id="553930836">
      <w:bodyDiv w:val="1"/>
      <w:marLeft w:val="0"/>
      <w:marRight w:val="0"/>
      <w:marTop w:val="0"/>
      <w:marBottom w:val="0"/>
      <w:divBdr>
        <w:top w:val="none" w:sz="0" w:space="0" w:color="auto"/>
        <w:left w:val="none" w:sz="0" w:space="0" w:color="auto"/>
        <w:bottom w:val="none" w:sz="0" w:space="0" w:color="auto"/>
        <w:right w:val="none" w:sz="0" w:space="0" w:color="auto"/>
      </w:divBdr>
    </w:div>
    <w:div w:id="557522825">
      <w:bodyDiv w:val="1"/>
      <w:marLeft w:val="0"/>
      <w:marRight w:val="0"/>
      <w:marTop w:val="0"/>
      <w:marBottom w:val="0"/>
      <w:divBdr>
        <w:top w:val="none" w:sz="0" w:space="0" w:color="auto"/>
        <w:left w:val="none" w:sz="0" w:space="0" w:color="auto"/>
        <w:bottom w:val="none" w:sz="0" w:space="0" w:color="auto"/>
        <w:right w:val="none" w:sz="0" w:space="0" w:color="auto"/>
      </w:divBdr>
    </w:div>
    <w:div w:id="562986569">
      <w:bodyDiv w:val="1"/>
      <w:marLeft w:val="0"/>
      <w:marRight w:val="0"/>
      <w:marTop w:val="0"/>
      <w:marBottom w:val="0"/>
      <w:divBdr>
        <w:top w:val="none" w:sz="0" w:space="0" w:color="auto"/>
        <w:left w:val="none" w:sz="0" w:space="0" w:color="auto"/>
        <w:bottom w:val="none" w:sz="0" w:space="0" w:color="auto"/>
        <w:right w:val="none" w:sz="0" w:space="0" w:color="auto"/>
      </w:divBdr>
    </w:div>
    <w:div w:id="576866097">
      <w:bodyDiv w:val="1"/>
      <w:marLeft w:val="0"/>
      <w:marRight w:val="0"/>
      <w:marTop w:val="0"/>
      <w:marBottom w:val="0"/>
      <w:divBdr>
        <w:top w:val="none" w:sz="0" w:space="0" w:color="auto"/>
        <w:left w:val="none" w:sz="0" w:space="0" w:color="auto"/>
        <w:bottom w:val="none" w:sz="0" w:space="0" w:color="auto"/>
        <w:right w:val="none" w:sz="0" w:space="0" w:color="auto"/>
      </w:divBdr>
    </w:div>
    <w:div w:id="578175048">
      <w:bodyDiv w:val="1"/>
      <w:marLeft w:val="0"/>
      <w:marRight w:val="0"/>
      <w:marTop w:val="0"/>
      <w:marBottom w:val="0"/>
      <w:divBdr>
        <w:top w:val="none" w:sz="0" w:space="0" w:color="auto"/>
        <w:left w:val="none" w:sz="0" w:space="0" w:color="auto"/>
        <w:bottom w:val="none" w:sz="0" w:space="0" w:color="auto"/>
        <w:right w:val="none" w:sz="0" w:space="0" w:color="auto"/>
      </w:divBdr>
    </w:div>
    <w:div w:id="598486068">
      <w:bodyDiv w:val="1"/>
      <w:marLeft w:val="0"/>
      <w:marRight w:val="0"/>
      <w:marTop w:val="0"/>
      <w:marBottom w:val="0"/>
      <w:divBdr>
        <w:top w:val="none" w:sz="0" w:space="0" w:color="auto"/>
        <w:left w:val="none" w:sz="0" w:space="0" w:color="auto"/>
        <w:bottom w:val="none" w:sz="0" w:space="0" w:color="auto"/>
        <w:right w:val="none" w:sz="0" w:space="0" w:color="auto"/>
      </w:divBdr>
    </w:div>
    <w:div w:id="611322840">
      <w:bodyDiv w:val="1"/>
      <w:marLeft w:val="0"/>
      <w:marRight w:val="0"/>
      <w:marTop w:val="0"/>
      <w:marBottom w:val="0"/>
      <w:divBdr>
        <w:top w:val="none" w:sz="0" w:space="0" w:color="auto"/>
        <w:left w:val="none" w:sz="0" w:space="0" w:color="auto"/>
        <w:bottom w:val="none" w:sz="0" w:space="0" w:color="auto"/>
        <w:right w:val="none" w:sz="0" w:space="0" w:color="auto"/>
      </w:divBdr>
    </w:div>
    <w:div w:id="636378500">
      <w:bodyDiv w:val="1"/>
      <w:marLeft w:val="0"/>
      <w:marRight w:val="0"/>
      <w:marTop w:val="0"/>
      <w:marBottom w:val="0"/>
      <w:divBdr>
        <w:top w:val="none" w:sz="0" w:space="0" w:color="auto"/>
        <w:left w:val="none" w:sz="0" w:space="0" w:color="auto"/>
        <w:bottom w:val="none" w:sz="0" w:space="0" w:color="auto"/>
        <w:right w:val="none" w:sz="0" w:space="0" w:color="auto"/>
      </w:divBdr>
    </w:div>
    <w:div w:id="637539704">
      <w:bodyDiv w:val="1"/>
      <w:marLeft w:val="0"/>
      <w:marRight w:val="0"/>
      <w:marTop w:val="0"/>
      <w:marBottom w:val="0"/>
      <w:divBdr>
        <w:top w:val="none" w:sz="0" w:space="0" w:color="auto"/>
        <w:left w:val="none" w:sz="0" w:space="0" w:color="auto"/>
        <w:bottom w:val="none" w:sz="0" w:space="0" w:color="auto"/>
        <w:right w:val="none" w:sz="0" w:space="0" w:color="auto"/>
      </w:divBdr>
    </w:div>
    <w:div w:id="637539896">
      <w:bodyDiv w:val="1"/>
      <w:marLeft w:val="0"/>
      <w:marRight w:val="0"/>
      <w:marTop w:val="0"/>
      <w:marBottom w:val="0"/>
      <w:divBdr>
        <w:top w:val="none" w:sz="0" w:space="0" w:color="auto"/>
        <w:left w:val="none" w:sz="0" w:space="0" w:color="auto"/>
        <w:bottom w:val="none" w:sz="0" w:space="0" w:color="auto"/>
        <w:right w:val="none" w:sz="0" w:space="0" w:color="auto"/>
      </w:divBdr>
    </w:div>
    <w:div w:id="650864197">
      <w:bodyDiv w:val="1"/>
      <w:marLeft w:val="0"/>
      <w:marRight w:val="0"/>
      <w:marTop w:val="0"/>
      <w:marBottom w:val="0"/>
      <w:divBdr>
        <w:top w:val="none" w:sz="0" w:space="0" w:color="auto"/>
        <w:left w:val="none" w:sz="0" w:space="0" w:color="auto"/>
        <w:bottom w:val="none" w:sz="0" w:space="0" w:color="auto"/>
        <w:right w:val="none" w:sz="0" w:space="0" w:color="auto"/>
      </w:divBdr>
    </w:div>
    <w:div w:id="661851963">
      <w:bodyDiv w:val="1"/>
      <w:marLeft w:val="0"/>
      <w:marRight w:val="0"/>
      <w:marTop w:val="0"/>
      <w:marBottom w:val="0"/>
      <w:divBdr>
        <w:top w:val="none" w:sz="0" w:space="0" w:color="auto"/>
        <w:left w:val="none" w:sz="0" w:space="0" w:color="auto"/>
        <w:bottom w:val="none" w:sz="0" w:space="0" w:color="auto"/>
        <w:right w:val="none" w:sz="0" w:space="0" w:color="auto"/>
      </w:divBdr>
    </w:div>
    <w:div w:id="662011870">
      <w:bodyDiv w:val="1"/>
      <w:marLeft w:val="0"/>
      <w:marRight w:val="0"/>
      <w:marTop w:val="0"/>
      <w:marBottom w:val="0"/>
      <w:divBdr>
        <w:top w:val="none" w:sz="0" w:space="0" w:color="auto"/>
        <w:left w:val="none" w:sz="0" w:space="0" w:color="auto"/>
        <w:bottom w:val="none" w:sz="0" w:space="0" w:color="auto"/>
        <w:right w:val="none" w:sz="0" w:space="0" w:color="auto"/>
      </w:divBdr>
    </w:div>
    <w:div w:id="664557562">
      <w:bodyDiv w:val="1"/>
      <w:marLeft w:val="0"/>
      <w:marRight w:val="0"/>
      <w:marTop w:val="0"/>
      <w:marBottom w:val="0"/>
      <w:divBdr>
        <w:top w:val="none" w:sz="0" w:space="0" w:color="auto"/>
        <w:left w:val="none" w:sz="0" w:space="0" w:color="auto"/>
        <w:bottom w:val="none" w:sz="0" w:space="0" w:color="auto"/>
        <w:right w:val="none" w:sz="0" w:space="0" w:color="auto"/>
      </w:divBdr>
    </w:div>
    <w:div w:id="684526564">
      <w:bodyDiv w:val="1"/>
      <w:marLeft w:val="0"/>
      <w:marRight w:val="0"/>
      <w:marTop w:val="0"/>
      <w:marBottom w:val="0"/>
      <w:divBdr>
        <w:top w:val="none" w:sz="0" w:space="0" w:color="auto"/>
        <w:left w:val="none" w:sz="0" w:space="0" w:color="auto"/>
        <w:bottom w:val="none" w:sz="0" w:space="0" w:color="auto"/>
        <w:right w:val="none" w:sz="0" w:space="0" w:color="auto"/>
      </w:divBdr>
    </w:div>
    <w:div w:id="688288493">
      <w:bodyDiv w:val="1"/>
      <w:marLeft w:val="0"/>
      <w:marRight w:val="0"/>
      <w:marTop w:val="0"/>
      <w:marBottom w:val="0"/>
      <w:divBdr>
        <w:top w:val="none" w:sz="0" w:space="0" w:color="auto"/>
        <w:left w:val="none" w:sz="0" w:space="0" w:color="auto"/>
        <w:bottom w:val="none" w:sz="0" w:space="0" w:color="auto"/>
        <w:right w:val="none" w:sz="0" w:space="0" w:color="auto"/>
      </w:divBdr>
    </w:div>
    <w:div w:id="690108828">
      <w:bodyDiv w:val="1"/>
      <w:marLeft w:val="0"/>
      <w:marRight w:val="0"/>
      <w:marTop w:val="0"/>
      <w:marBottom w:val="0"/>
      <w:divBdr>
        <w:top w:val="none" w:sz="0" w:space="0" w:color="auto"/>
        <w:left w:val="none" w:sz="0" w:space="0" w:color="auto"/>
        <w:bottom w:val="none" w:sz="0" w:space="0" w:color="auto"/>
        <w:right w:val="none" w:sz="0" w:space="0" w:color="auto"/>
      </w:divBdr>
    </w:div>
    <w:div w:id="707606367">
      <w:bodyDiv w:val="1"/>
      <w:marLeft w:val="0"/>
      <w:marRight w:val="0"/>
      <w:marTop w:val="0"/>
      <w:marBottom w:val="0"/>
      <w:divBdr>
        <w:top w:val="none" w:sz="0" w:space="0" w:color="auto"/>
        <w:left w:val="none" w:sz="0" w:space="0" w:color="auto"/>
        <w:bottom w:val="none" w:sz="0" w:space="0" w:color="auto"/>
        <w:right w:val="none" w:sz="0" w:space="0" w:color="auto"/>
      </w:divBdr>
    </w:div>
    <w:div w:id="708602440">
      <w:bodyDiv w:val="1"/>
      <w:marLeft w:val="0"/>
      <w:marRight w:val="0"/>
      <w:marTop w:val="0"/>
      <w:marBottom w:val="0"/>
      <w:divBdr>
        <w:top w:val="none" w:sz="0" w:space="0" w:color="auto"/>
        <w:left w:val="none" w:sz="0" w:space="0" w:color="auto"/>
        <w:bottom w:val="none" w:sz="0" w:space="0" w:color="auto"/>
        <w:right w:val="none" w:sz="0" w:space="0" w:color="auto"/>
      </w:divBdr>
    </w:div>
    <w:div w:id="717163859">
      <w:bodyDiv w:val="1"/>
      <w:marLeft w:val="0"/>
      <w:marRight w:val="0"/>
      <w:marTop w:val="0"/>
      <w:marBottom w:val="0"/>
      <w:divBdr>
        <w:top w:val="none" w:sz="0" w:space="0" w:color="auto"/>
        <w:left w:val="none" w:sz="0" w:space="0" w:color="auto"/>
        <w:bottom w:val="none" w:sz="0" w:space="0" w:color="auto"/>
        <w:right w:val="none" w:sz="0" w:space="0" w:color="auto"/>
      </w:divBdr>
    </w:div>
    <w:div w:id="717357064">
      <w:bodyDiv w:val="1"/>
      <w:marLeft w:val="0"/>
      <w:marRight w:val="0"/>
      <w:marTop w:val="0"/>
      <w:marBottom w:val="0"/>
      <w:divBdr>
        <w:top w:val="none" w:sz="0" w:space="0" w:color="auto"/>
        <w:left w:val="none" w:sz="0" w:space="0" w:color="auto"/>
        <w:bottom w:val="none" w:sz="0" w:space="0" w:color="auto"/>
        <w:right w:val="none" w:sz="0" w:space="0" w:color="auto"/>
      </w:divBdr>
    </w:div>
    <w:div w:id="726807318">
      <w:bodyDiv w:val="1"/>
      <w:marLeft w:val="0"/>
      <w:marRight w:val="0"/>
      <w:marTop w:val="0"/>
      <w:marBottom w:val="0"/>
      <w:divBdr>
        <w:top w:val="none" w:sz="0" w:space="0" w:color="auto"/>
        <w:left w:val="none" w:sz="0" w:space="0" w:color="auto"/>
        <w:bottom w:val="none" w:sz="0" w:space="0" w:color="auto"/>
        <w:right w:val="none" w:sz="0" w:space="0" w:color="auto"/>
      </w:divBdr>
    </w:div>
    <w:div w:id="728263367">
      <w:bodyDiv w:val="1"/>
      <w:marLeft w:val="0"/>
      <w:marRight w:val="0"/>
      <w:marTop w:val="0"/>
      <w:marBottom w:val="0"/>
      <w:divBdr>
        <w:top w:val="none" w:sz="0" w:space="0" w:color="auto"/>
        <w:left w:val="none" w:sz="0" w:space="0" w:color="auto"/>
        <w:bottom w:val="none" w:sz="0" w:space="0" w:color="auto"/>
        <w:right w:val="none" w:sz="0" w:space="0" w:color="auto"/>
      </w:divBdr>
    </w:div>
    <w:div w:id="735052519">
      <w:bodyDiv w:val="1"/>
      <w:marLeft w:val="0"/>
      <w:marRight w:val="0"/>
      <w:marTop w:val="0"/>
      <w:marBottom w:val="0"/>
      <w:divBdr>
        <w:top w:val="none" w:sz="0" w:space="0" w:color="auto"/>
        <w:left w:val="none" w:sz="0" w:space="0" w:color="auto"/>
        <w:bottom w:val="none" w:sz="0" w:space="0" w:color="auto"/>
        <w:right w:val="none" w:sz="0" w:space="0" w:color="auto"/>
      </w:divBdr>
    </w:div>
    <w:div w:id="735324453">
      <w:bodyDiv w:val="1"/>
      <w:marLeft w:val="0"/>
      <w:marRight w:val="0"/>
      <w:marTop w:val="0"/>
      <w:marBottom w:val="0"/>
      <w:divBdr>
        <w:top w:val="none" w:sz="0" w:space="0" w:color="auto"/>
        <w:left w:val="none" w:sz="0" w:space="0" w:color="auto"/>
        <w:bottom w:val="none" w:sz="0" w:space="0" w:color="auto"/>
        <w:right w:val="none" w:sz="0" w:space="0" w:color="auto"/>
      </w:divBdr>
    </w:div>
    <w:div w:id="743524454">
      <w:bodyDiv w:val="1"/>
      <w:marLeft w:val="0"/>
      <w:marRight w:val="0"/>
      <w:marTop w:val="0"/>
      <w:marBottom w:val="0"/>
      <w:divBdr>
        <w:top w:val="none" w:sz="0" w:space="0" w:color="auto"/>
        <w:left w:val="none" w:sz="0" w:space="0" w:color="auto"/>
        <w:bottom w:val="none" w:sz="0" w:space="0" w:color="auto"/>
        <w:right w:val="none" w:sz="0" w:space="0" w:color="auto"/>
      </w:divBdr>
    </w:div>
    <w:div w:id="745420816">
      <w:bodyDiv w:val="1"/>
      <w:marLeft w:val="0"/>
      <w:marRight w:val="0"/>
      <w:marTop w:val="0"/>
      <w:marBottom w:val="0"/>
      <w:divBdr>
        <w:top w:val="none" w:sz="0" w:space="0" w:color="auto"/>
        <w:left w:val="none" w:sz="0" w:space="0" w:color="auto"/>
        <w:bottom w:val="none" w:sz="0" w:space="0" w:color="auto"/>
        <w:right w:val="none" w:sz="0" w:space="0" w:color="auto"/>
      </w:divBdr>
    </w:div>
    <w:div w:id="750275662">
      <w:bodyDiv w:val="1"/>
      <w:marLeft w:val="0"/>
      <w:marRight w:val="0"/>
      <w:marTop w:val="0"/>
      <w:marBottom w:val="0"/>
      <w:divBdr>
        <w:top w:val="none" w:sz="0" w:space="0" w:color="auto"/>
        <w:left w:val="none" w:sz="0" w:space="0" w:color="auto"/>
        <w:bottom w:val="none" w:sz="0" w:space="0" w:color="auto"/>
        <w:right w:val="none" w:sz="0" w:space="0" w:color="auto"/>
      </w:divBdr>
    </w:div>
    <w:div w:id="750350312">
      <w:bodyDiv w:val="1"/>
      <w:marLeft w:val="0"/>
      <w:marRight w:val="0"/>
      <w:marTop w:val="0"/>
      <w:marBottom w:val="0"/>
      <w:divBdr>
        <w:top w:val="none" w:sz="0" w:space="0" w:color="auto"/>
        <w:left w:val="none" w:sz="0" w:space="0" w:color="auto"/>
        <w:bottom w:val="none" w:sz="0" w:space="0" w:color="auto"/>
        <w:right w:val="none" w:sz="0" w:space="0" w:color="auto"/>
      </w:divBdr>
    </w:div>
    <w:div w:id="762337856">
      <w:bodyDiv w:val="1"/>
      <w:marLeft w:val="0"/>
      <w:marRight w:val="0"/>
      <w:marTop w:val="0"/>
      <w:marBottom w:val="0"/>
      <w:divBdr>
        <w:top w:val="none" w:sz="0" w:space="0" w:color="auto"/>
        <w:left w:val="none" w:sz="0" w:space="0" w:color="auto"/>
        <w:bottom w:val="none" w:sz="0" w:space="0" w:color="auto"/>
        <w:right w:val="none" w:sz="0" w:space="0" w:color="auto"/>
      </w:divBdr>
    </w:div>
    <w:div w:id="763110046">
      <w:bodyDiv w:val="1"/>
      <w:marLeft w:val="0"/>
      <w:marRight w:val="0"/>
      <w:marTop w:val="0"/>
      <w:marBottom w:val="0"/>
      <w:divBdr>
        <w:top w:val="none" w:sz="0" w:space="0" w:color="auto"/>
        <w:left w:val="none" w:sz="0" w:space="0" w:color="auto"/>
        <w:bottom w:val="none" w:sz="0" w:space="0" w:color="auto"/>
        <w:right w:val="none" w:sz="0" w:space="0" w:color="auto"/>
      </w:divBdr>
    </w:div>
    <w:div w:id="780032332">
      <w:bodyDiv w:val="1"/>
      <w:marLeft w:val="0"/>
      <w:marRight w:val="0"/>
      <w:marTop w:val="0"/>
      <w:marBottom w:val="0"/>
      <w:divBdr>
        <w:top w:val="none" w:sz="0" w:space="0" w:color="auto"/>
        <w:left w:val="none" w:sz="0" w:space="0" w:color="auto"/>
        <w:bottom w:val="none" w:sz="0" w:space="0" w:color="auto"/>
        <w:right w:val="none" w:sz="0" w:space="0" w:color="auto"/>
      </w:divBdr>
    </w:div>
    <w:div w:id="783694733">
      <w:bodyDiv w:val="1"/>
      <w:marLeft w:val="0"/>
      <w:marRight w:val="0"/>
      <w:marTop w:val="0"/>
      <w:marBottom w:val="0"/>
      <w:divBdr>
        <w:top w:val="none" w:sz="0" w:space="0" w:color="auto"/>
        <w:left w:val="none" w:sz="0" w:space="0" w:color="auto"/>
        <w:bottom w:val="none" w:sz="0" w:space="0" w:color="auto"/>
        <w:right w:val="none" w:sz="0" w:space="0" w:color="auto"/>
      </w:divBdr>
    </w:div>
    <w:div w:id="783767472">
      <w:bodyDiv w:val="1"/>
      <w:marLeft w:val="0"/>
      <w:marRight w:val="0"/>
      <w:marTop w:val="0"/>
      <w:marBottom w:val="0"/>
      <w:divBdr>
        <w:top w:val="none" w:sz="0" w:space="0" w:color="auto"/>
        <w:left w:val="none" w:sz="0" w:space="0" w:color="auto"/>
        <w:bottom w:val="none" w:sz="0" w:space="0" w:color="auto"/>
        <w:right w:val="none" w:sz="0" w:space="0" w:color="auto"/>
      </w:divBdr>
    </w:div>
    <w:div w:id="786970581">
      <w:bodyDiv w:val="1"/>
      <w:marLeft w:val="0"/>
      <w:marRight w:val="0"/>
      <w:marTop w:val="0"/>
      <w:marBottom w:val="0"/>
      <w:divBdr>
        <w:top w:val="none" w:sz="0" w:space="0" w:color="auto"/>
        <w:left w:val="none" w:sz="0" w:space="0" w:color="auto"/>
        <w:bottom w:val="none" w:sz="0" w:space="0" w:color="auto"/>
        <w:right w:val="none" w:sz="0" w:space="0" w:color="auto"/>
      </w:divBdr>
    </w:div>
    <w:div w:id="794249726">
      <w:bodyDiv w:val="1"/>
      <w:marLeft w:val="0"/>
      <w:marRight w:val="0"/>
      <w:marTop w:val="0"/>
      <w:marBottom w:val="0"/>
      <w:divBdr>
        <w:top w:val="none" w:sz="0" w:space="0" w:color="auto"/>
        <w:left w:val="none" w:sz="0" w:space="0" w:color="auto"/>
        <w:bottom w:val="none" w:sz="0" w:space="0" w:color="auto"/>
        <w:right w:val="none" w:sz="0" w:space="0" w:color="auto"/>
      </w:divBdr>
    </w:div>
    <w:div w:id="808791994">
      <w:bodyDiv w:val="1"/>
      <w:marLeft w:val="0"/>
      <w:marRight w:val="0"/>
      <w:marTop w:val="0"/>
      <w:marBottom w:val="0"/>
      <w:divBdr>
        <w:top w:val="none" w:sz="0" w:space="0" w:color="auto"/>
        <w:left w:val="none" w:sz="0" w:space="0" w:color="auto"/>
        <w:bottom w:val="none" w:sz="0" w:space="0" w:color="auto"/>
        <w:right w:val="none" w:sz="0" w:space="0" w:color="auto"/>
      </w:divBdr>
    </w:div>
    <w:div w:id="816841669">
      <w:bodyDiv w:val="1"/>
      <w:marLeft w:val="0"/>
      <w:marRight w:val="0"/>
      <w:marTop w:val="0"/>
      <w:marBottom w:val="0"/>
      <w:divBdr>
        <w:top w:val="none" w:sz="0" w:space="0" w:color="auto"/>
        <w:left w:val="none" w:sz="0" w:space="0" w:color="auto"/>
        <w:bottom w:val="none" w:sz="0" w:space="0" w:color="auto"/>
        <w:right w:val="none" w:sz="0" w:space="0" w:color="auto"/>
      </w:divBdr>
    </w:div>
    <w:div w:id="823350745">
      <w:bodyDiv w:val="1"/>
      <w:marLeft w:val="0"/>
      <w:marRight w:val="0"/>
      <w:marTop w:val="0"/>
      <w:marBottom w:val="0"/>
      <w:divBdr>
        <w:top w:val="none" w:sz="0" w:space="0" w:color="auto"/>
        <w:left w:val="none" w:sz="0" w:space="0" w:color="auto"/>
        <w:bottom w:val="none" w:sz="0" w:space="0" w:color="auto"/>
        <w:right w:val="none" w:sz="0" w:space="0" w:color="auto"/>
      </w:divBdr>
    </w:div>
    <w:div w:id="834685140">
      <w:bodyDiv w:val="1"/>
      <w:marLeft w:val="0"/>
      <w:marRight w:val="0"/>
      <w:marTop w:val="0"/>
      <w:marBottom w:val="0"/>
      <w:divBdr>
        <w:top w:val="none" w:sz="0" w:space="0" w:color="auto"/>
        <w:left w:val="none" w:sz="0" w:space="0" w:color="auto"/>
        <w:bottom w:val="none" w:sz="0" w:space="0" w:color="auto"/>
        <w:right w:val="none" w:sz="0" w:space="0" w:color="auto"/>
      </w:divBdr>
    </w:div>
    <w:div w:id="835875999">
      <w:bodyDiv w:val="1"/>
      <w:marLeft w:val="0"/>
      <w:marRight w:val="0"/>
      <w:marTop w:val="0"/>
      <w:marBottom w:val="0"/>
      <w:divBdr>
        <w:top w:val="none" w:sz="0" w:space="0" w:color="auto"/>
        <w:left w:val="none" w:sz="0" w:space="0" w:color="auto"/>
        <w:bottom w:val="none" w:sz="0" w:space="0" w:color="auto"/>
        <w:right w:val="none" w:sz="0" w:space="0" w:color="auto"/>
      </w:divBdr>
    </w:div>
    <w:div w:id="838423095">
      <w:bodyDiv w:val="1"/>
      <w:marLeft w:val="0"/>
      <w:marRight w:val="0"/>
      <w:marTop w:val="0"/>
      <w:marBottom w:val="0"/>
      <w:divBdr>
        <w:top w:val="none" w:sz="0" w:space="0" w:color="auto"/>
        <w:left w:val="none" w:sz="0" w:space="0" w:color="auto"/>
        <w:bottom w:val="none" w:sz="0" w:space="0" w:color="auto"/>
        <w:right w:val="none" w:sz="0" w:space="0" w:color="auto"/>
      </w:divBdr>
    </w:div>
    <w:div w:id="840390666">
      <w:bodyDiv w:val="1"/>
      <w:marLeft w:val="0"/>
      <w:marRight w:val="0"/>
      <w:marTop w:val="0"/>
      <w:marBottom w:val="0"/>
      <w:divBdr>
        <w:top w:val="none" w:sz="0" w:space="0" w:color="auto"/>
        <w:left w:val="none" w:sz="0" w:space="0" w:color="auto"/>
        <w:bottom w:val="none" w:sz="0" w:space="0" w:color="auto"/>
        <w:right w:val="none" w:sz="0" w:space="0" w:color="auto"/>
      </w:divBdr>
    </w:div>
    <w:div w:id="842474930">
      <w:bodyDiv w:val="1"/>
      <w:marLeft w:val="0"/>
      <w:marRight w:val="0"/>
      <w:marTop w:val="0"/>
      <w:marBottom w:val="0"/>
      <w:divBdr>
        <w:top w:val="none" w:sz="0" w:space="0" w:color="auto"/>
        <w:left w:val="none" w:sz="0" w:space="0" w:color="auto"/>
        <w:bottom w:val="none" w:sz="0" w:space="0" w:color="auto"/>
        <w:right w:val="none" w:sz="0" w:space="0" w:color="auto"/>
      </w:divBdr>
    </w:div>
    <w:div w:id="846209940">
      <w:bodyDiv w:val="1"/>
      <w:marLeft w:val="0"/>
      <w:marRight w:val="0"/>
      <w:marTop w:val="0"/>
      <w:marBottom w:val="0"/>
      <w:divBdr>
        <w:top w:val="none" w:sz="0" w:space="0" w:color="auto"/>
        <w:left w:val="none" w:sz="0" w:space="0" w:color="auto"/>
        <w:bottom w:val="none" w:sz="0" w:space="0" w:color="auto"/>
        <w:right w:val="none" w:sz="0" w:space="0" w:color="auto"/>
      </w:divBdr>
    </w:div>
    <w:div w:id="858855166">
      <w:bodyDiv w:val="1"/>
      <w:marLeft w:val="0"/>
      <w:marRight w:val="0"/>
      <w:marTop w:val="0"/>
      <w:marBottom w:val="0"/>
      <w:divBdr>
        <w:top w:val="none" w:sz="0" w:space="0" w:color="auto"/>
        <w:left w:val="none" w:sz="0" w:space="0" w:color="auto"/>
        <w:bottom w:val="none" w:sz="0" w:space="0" w:color="auto"/>
        <w:right w:val="none" w:sz="0" w:space="0" w:color="auto"/>
      </w:divBdr>
    </w:div>
    <w:div w:id="861281536">
      <w:bodyDiv w:val="1"/>
      <w:marLeft w:val="0"/>
      <w:marRight w:val="0"/>
      <w:marTop w:val="0"/>
      <w:marBottom w:val="0"/>
      <w:divBdr>
        <w:top w:val="none" w:sz="0" w:space="0" w:color="auto"/>
        <w:left w:val="none" w:sz="0" w:space="0" w:color="auto"/>
        <w:bottom w:val="none" w:sz="0" w:space="0" w:color="auto"/>
        <w:right w:val="none" w:sz="0" w:space="0" w:color="auto"/>
      </w:divBdr>
    </w:div>
    <w:div w:id="880558402">
      <w:bodyDiv w:val="1"/>
      <w:marLeft w:val="0"/>
      <w:marRight w:val="0"/>
      <w:marTop w:val="0"/>
      <w:marBottom w:val="0"/>
      <w:divBdr>
        <w:top w:val="none" w:sz="0" w:space="0" w:color="auto"/>
        <w:left w:val="none" w:sz="0" w:space="0" w:color="auto"/>
        <w:bottom w:val="none" w:sz="0" w:space="0" w:color="auto"/>
        <w:right w:val="none" w:sz="0" w:space="0" w:color="auto"/>
      </w:divBdr>
    </w:div>
    <w:div w:id="885410504">
      <w:bodyDiv w:val="1"/>
      <w:marLeft w:val="0"/>
      <w:marRight w:val="0"/>
      <w:marTop w:val="0"/>
      <w:marBottom w:val="0"/>
      <w:divBdr>
        <w:top w:val="none" w:sz="0" w:space="0" w:color="auto"/>
        <w:left w:val="none" w:sz="0" w:space="0" w:color="auto"/>
        <w:bottom w:val="none" w:sz="0" w:space="0" w:color="auto"/>
        <w:right w:val="none" w:sz="0" w:space="0" w:color="auto"/>
      </w:divBdr>
    </w:div>
    <w:div w:id="890456225">
      <w:bodyDiv w:val="1"/>
      <w:marLeft w:val="0"/>
      <w:marRight w:val="0"/>
      <w:marTop w:val="0"/>
      <w:marBottom w:val="0"/>
      <w:divBdr>
        <w:top w:val="none" w:sz="0" w:space="0" w:color="auto"/>
        <w:left w:val="none" w:sz="0" w:space="0" w:color="auto"/>
        <w:bottom w:val="none" w:sz="0" w:space="0" w:color="auto"/>
        <w:right w:val="none" w:sz="0" w:space="0" w:color="auto"/>
      </w:divBdr>
    </w:div>
    <w:div w:id="902331863">
      <w:bodyDiv w:val="1"/>
      <w:marLeft w:val="0"/>
      <w:marRight w:val="0"/>
      <w:marTop w:val="0"/>
      <w:marBottom w:val="0"/>
      <w:divBdr>
        <w:top w:val="none" w:sz="0" w:space="0" w:color="auto"/>
        <w:left w:val="none" w:sz="0" w:space="0" w:color="auto"/>
        <w:bottom w:val="none" w:sz="0" w:space="0" w:color="auto"/>
        <w:right w:val="none" w:sz="0" w:space="0" w:color="auto"/>
      </w:divBdr>
    </w:div>
    <w:div w:id="905803998">
      <w:bodyDiv w:val="1"/>
      <w:marLeft w:val="0"/>
      <w:marRight w:val="0"/>
      <w:marTop w:val="0"/>
      <w:marBottom w:val="0"/>
      <w:divBdr>
        <w:top w:val="none" w:sz="0" w:space="0" w:color="auto"/>
        <w:left w:val="none" w:sz="0" w:space="0" w:color="auto"/>
        <w:bottom w:val="none" w:sz="0" w:space="0" w:color="auto"/>
        <w:right w:val="none" w:sz="0" w:space="0" w:color="auto"/>
      </w:divBdr>
    </w:div>
    <w:div w:id="921840516">
      <w:bodyDiv w:val="1"/>
      <w:marLeft w:val="0"/>
      <w:marRight w:val="0"/>
      <w:marTop w:val="0"/>
      <w:marBottom w:val="0"/>
      <w:divBdr>
        <w:top w:val="none" w:sz="0" w:space="0" w:color="auto"/>
        <w:left w:val="none" w:sz="0" w:space="0" w:color="auto"/>
        <w:bottom w:val="none" w:sz="0" w:space="0" w:color="auto"/>
        <w:right w:val="none" w:sz="0" w:space="0" w:color="auto"/>
      </w:divBdr>
    </w:div>
    <w:div w:id="938027710">
      <w:bodyDiv w:val="1"/>
      <w:marLeft w:val="0"/>
      <w:marRight w:val="0"/>
      <w:marTop w:val="0"/>
      <w:marBottom w:val="0"/>
      <w:divBdr>
        <w:top w:val="none" w:sz="0" w:space="0" w:color="auto"/>
        <w:left w:val="none" w:sz="0" w:space="0" w:color="auto"/>
        <w:bottom w:val="none" w:sz="0" w:space="0" w:color="auto"/>
        <w:right w:val="none" w:sz="0" w:space="0" w:color="auto"/>
      </w:divBdr>
    </w:div>
    <w:div w:id="947349237">
      <w:bodyDiv w:val="1"/>
      <w:marLeft w:val="0"/>
      <w:marRight w:val="0"/>
      <w:marTop w:val="0"/>
      <w:marBottom w:val="0"/>
      <w:divBdr>
        <w:top w:val="none" w:sz="0" w:space="0" w:color="auto"/>
        <w:left w:val="none" w:sz="0" w:space="0" w:color="auto"/>
        <w:bottom w:val="none" w:sz="0" w:space="0" w:color="auto"/>
        <w:right w:val="none" w:sz="0" w:space="0" w:color="auto"/>
      </w:divBdr>
    </w:div>
    <w:div w:id="955216294">
      <w:bodyDiv w:val="1"/>
      <w:marLeft w:val="0"/>
      <w:marRight w:val="0"/>
      <w:marTop w:val="0"/>
      <w:marBottom w:val="0"/>
      <w:divBdr>
        <w:top w:val="none" w:sz="0" w:space="0" w:color="auto"/>
        <w:left w:val="none" w:sz="0" w:space="0" w:color="auto"/>
        <w:bottom w:val="none" w:sz="0" w:space="0" w:color="auto"/>
        <w:right w:val="none" w:sz="0" w:space="0" w:color="auto"/>
      </w:divBdr>
    </w:div>
    <w:div w:id="971717313">
      <w:bodyDiv w:val="1"/>
      <w:marLeft w:val="0"/>
      <w:marRight w:val="0"/>
      <w:marTop w:val="0"/>
      <w:marBottom w:val="0"/>
      <w:divBdr>
        <w:top w:val="none" w:sz="0" w:space="0" w:color="auto"/>
        <w:left w:val="none" w:sz="0" w:space="0" w:color="auto"/>
        <w:bottom w:val="none" w:sz="0" w:space="0" w:color="auto"/>
        <w:right w:val="none" w:sz="0" w:space="0" w:color="auto"/>
      </w:divBdr>
    </w:div>
    <w:div w:id="974915887">
      <w:bodyDiv w:val="1"/>
      <w:marLeft w:val="0"/>
      <w:marRight w:val="0"/>
      <w:marTop w:val="0"/>
      <w:marBottom w:val="0"/>
      <w:divBdr>
        <w:top w:val="none" w:sz="0" w:space="0" w:color="auto"/>
        <w:left w:val="none" w:sz="0" w:space="0" w:color="auto"/>
        <w:bottom w:val="none" w:sz="0" w:space="0" w:color="auto"/>
        <w:right w:val="none" w:sz="0" w:space="0" w:color="auto"/>
      </w:divBdr>
    </w:div>
    <w:div w:id="978725159">
      <w:bodyDiv w:val="1"/>
      <w:marLeft w:val="0"/>
      <w:marRight w:val="0"/>
      <w:marTop w:val="0"/>
      <w:marBottom w:val="0"/>
      <w:divBdr>
        <w:top w:val="none" w:sz="0" w:space="0" w:color="auto"/>
        <w:left w:val="none" w:sz="0" w:space="0" w:color="auto"/>
        <w:bottom w:val="none" w:sz="0" w:space="0" w:color="auto"/>
        <w:right w:val="none" w:sz="0" w:space="0" w:color="auto"/>
      </w:divBdr>
    </w:div>
    <w:div w:id="979112114">
      <w:bodyDiv w:val="1"/>
      <w:marLeft w:val="0"/>
      <w:marRight w:val="0"/>
      <w:marTop w:val="0"/>
      <w:marBottom w:val="0"/>
      <w:divBdr>
        <w:top w:val="none" w:sz="0" w:space="0" w:color="auto"/>
        <w:left w:val="none" w:sz="0" w:space="0" w:color="auto"/>
        <w:bottom w:val="none" w:sz="0" w:space="0" w:color="auto"/>
        <w:right w:val="none" w:sz="0" w:space="0" w:color="auto"/>
      </w:divBdr>
    </w:div>
    <w:div w:id="997727541">
      <w:bodyDiv w:val="1"/>
      <w:marLeft w:val="0"/>
      <w:marRight w:val="0"/>
      <w:marTop w:val="0"/>
      <w:marBottom w:val="0"/>
      <w:divBdr>
        <w:top w:val="none" w:sz="0" w:space="0" w:color="auto"/>
        <w:left w:val="none" w:sz="0" w:space="0" w:color="auto"/>
        <w:bottom w:val="none" w:sz="0" w:space="0" w:color="auto"/>
        <w:right w:val="none" w:sz="0" w:space="0" w:color="auto"/>
      </w:divBdr>
    </w:div>
    <w:div w:id="1006979237">
      <w:bodyDiv w:val="1"/>
      <w:marLeft w:val="0"/>
      <w:marRight w:val="0"/>
      <w:marTop w:val="0"/>
      <w:marBottom w:val="0"/>
      <w:divBdr>
        <w:top w:val="none" w:sz="0" w:space="0" w:color="auto"/>
        <w:left w:val="none" w:sz="0" w:space="0" w:color="auto"/>
        <w:bottom w:val="none" w:sz="0" w:space="0" w:color="auto"/>
        <w:right w:val="none" w:sz="0" w:space="0" w:color="auto"/>
      </w:divBdr>
    </w:div>
    <w:div w:id="1026709560">
      <w:bodyDiv w:val="1"/>
      <w:marLeft w:val="0"/>
      <w:marRight w:val="0"/>
      <w:marTop w:val="0"/>
      <w:marBottom w:val="0"/>
      <w:divBdr>
        <w:top w:val="none" w:sz="0" w:space="0" w:color="auto"/>
        <w:left w:val="none" w:sz="0" w:space="0" w:color="auto"/>
        <w:bottom w:val="none" w:sz="0" w:space="0" w:color="auto"/>
        <w:right w:val="none" w:sz="0" w:space="0" w:color="auto"/>
      </w:divBdr>
    </w:div>
    <w:div w:id="1032262765">
      <w:bodyDiv w:val="1"/>
      <w:marLeft w:val="0"/>
      <w:marRight w:val="0"/>
      <w:marTop w:val="0"/>
      <w:marBottom w:val="0"/>
      <w:divBdr>
        <w:top w:val="none" w:sz="0" w:space="0" w:color="auto"/>
        <w:left w:val="none" w:sz="0" w:space="0" w:color="auto"/>
        <w:bottom w:val="none" w:sz="0" w:space="0" w:color="auto"/>
        <w:right w:val="none" w:sz="0" w:space="0" w:color="auto"/>
      </w:divBdr>
    </w:div>
    <w:div w:id="1039865020">
      <w:bodyDiv w:val="1"/>
      <w:marLeft w:val="0"/>
      <w:marRight w:val="0"/>
      <w:marTop w:val="0"/>
      <w:marBottom w:val="0"/>
      <w:divBdr>
        <w:top w:val="none" w:sz="0" w:space="0" w:color="auto"/>
        <w:left w:val="none" w:sz="0" w:space="0" w:color="auto"/>
        <w:bottom w:val="none" w:sz="0" w:space="0" w:color="auto"/>
        <w:right w:val="none" w:sz="0" w:space="0" w:color="auto"/>
      </w:divBdr>
    </w:div>
    <w:div w:id="1041439936">
      <w:bodyDiv w:val="1"/>
      <w:marLeft w:val="0"/>
      <w:marRight w:val="0"/>
      <w:marTop w:val="0"/>
      <w:marBottom w:val="0"/>
      <w:divBdr>
        <w:top w:val="none" w:sz="0" w:space="0" w:color="auto"/>
        <w:left w:val="none" w:sz="0" w:space="0" w:color="auto"/>
        <w:bottom w:val="none" w:sz="0" w:space="0" w:color="auto"/>
        <w:right w:val="none" w:sz="0" w:space="0" w:color="auto"/>
      </w:divBdr>
    </w:div>
    <w:div w:id="1042440245">
      <w:bodyDiv w:val="1"/>
      <w:marLeft w:val="0"/>
      <w:marRight w:val="0"/>
      <w:marTop w:val="0"/>
      <w:marBottom w:val="0"/>
      <w:divBdr>
        <w:top w:val="none" w:sz="0" w:space="0" w:color="auto"/>
        <w:left w:val="none" w:sz="0" w:space="0" w:color="auto"/>
        <w:bottom w:val="none" w:sz="0" w:space="0" w:color="auto"/>
        <w:right w:val="none" w:sz="0" w:space="0" w:color="auto"/>
      </w:divBdr>
    </w:div>
    <w:div w:id="1046292176">
      <w:bodyDiv w:val="1"/>
      <w:marLeft w:val="0"/>
      <w:marRight w:val="0"/>
      <w:marTop w:val="0"/>
      <w:marBottom w:val="0"/>
      <w:divBdr>
        <w:top w:val="none" w:sz="0" w:space="0" w:color="auto"/>
        <w:left w:val="none" w:sz="0" w:space="0" w:color="auto"/>
        <w:bottom w:val="none" w:sz="0" w:space="0" w:color="auto"/>
        <w:right w:val="none" w:sz="0" w:space="0" w:color="auto"/>
      </w:divBdr>
    </w:div>
    <w:div w:id="1074007461">
      <w:bodyDiv w:val="1"/>
      <w:marLeft w:val="0"/>
      <w:marRight w:val="0"/>
      <w:marTop w:val="0"/>
      <w:marBottom w:val="0"/>
      <w:divBdr>
        <w:top w:val="none" w:sz="0" w:space="0" w:color="auto"/>
        <w:left w:val="none" w:sz="0" w:space="0" w:color="auto"/>
        <w:bottom w:val="none" w:sz="0" w:space="0" w:color="auto"/>
        <w:right w:val="none" w:sz="0" w:space="0" w:color="auto"/>
      </w:divBdr>
    </w:div>
    <w:div w:id="1082876613">
      <w:bodyDiv w:val="1"/>
      <w:marLeft w:val="0"/>
      <w:marRight w:val="0"/>
      <w:marTop w:val="0"/>
      <w:marBottom w:val="0"/>
      <w:divBdr>
        <w:top w:val="none" w:sz="0" w:space="0" w:color="auto"/>
        <w:left w:val="none" w:sz="0" w:space="0" w:color="auto"/>
        <w:bottom w:val="none" w:sz="0" w:space="0" w:color="auto"/>
        <w:right w:val="none" w:sz="0" w:space="0" w:color="auto"/>
      </w:divBdr>
    </w:div>
    <w:div w:id="1094669724">
      <w:bodyDiv w:val="1"/>
      <w:marLeft w:val="0"/>
      <w:marRight w:val="0"/>
      <w:marTop w:val="0"/>
      <w:marBottom w:val="0"/>
      <w:divBdr>
        <w:top w:val="none" w:sz="0" w:space="0" w:color="auto"/>
        <w:left w:val="none" w:sz="0" w:space="0" w:color="auto"/>
        <w:bottom w:val="none" w:sz="0" w:space="0" w:color="auto"/>
        <w:right w:val="none" w:sz="0" w:space="0" w:color="auto"/>
      </w:divBdr>
    </w:div>
    <w:div w:id="1097216928">
      <w:bodyDiv w:val="1"/>
      <w:marLeft w:val="0"/>
      <w:marRight w:val="0"/>
      <w:marTop w:val="0"/>
      <w:marBottom w:val="0"/>
      <w:divBdr>
        <w:top w:val="none" w:sz="0" w:space="0" w:color="auto"/>
        <w:left w:val="none" w:sz="0" w:space="0" w:color="auto"/>
        <w:bottom w:val="none" w:sz="0" w:space="0" w:color="auto"/>
        <w:right w:val="none" w:sz="0" w:space="0" w:color="auto"/>
      </w:divBdr>
    </w:div>
    <w:div w:id="1100107191">
      <w:bodyDiv w:val="1"/>
      <w:marLeft w:val="0"/>
      <w:marRight w:val="0"/>
      <w:marTop w:val="0"/>
      <w:marBottom w:val="0"/>
      <w:divBdr>
        <w:top w:val="none" w:sz="0" w:space="0" w:color="auto"/>
        <w:left w:val="none" w:sz="0" w:space="0" w:color="auto"/>
        <w:bottom w:val="none" w:sz="0" w:space="0" w:color="auto"/>
        <w:right w:val="none" w:sz="0" w:space="0" w:color="auto"/>
      </w:divBdr>
    </w:div>
    <w:div w:id="1100637144">
      <w:bodyDiv w:val="1"/>
      <w:marLeft w:val="0"/>
      <w:marRight w:val="0"/>
      <w:marTop w:val="0"/>
      <w:marBottom w:val="0"/>
      <w:divBdr>
        <w:top w:val="none" w:sz="0" w:space="0" w:color="auto"/>
        <w:left w:val="none" w:sz="0" w:space="0" w:color="auto"/>
        <w:bottom w:val="none" w:sz="0" w:space="0" w:color="auto"/>
        <w:right w:val="none" w:sz="0" w:space="0" w:color="auto"/>
      </w:divBdr>
    </w:div>
    <w:div w:id="1101024931">
      <w:bodyDiv w:val="1"/>
      <w:marLeft w:val="0"/>
      <w:marRight w:val="0"/>
      <w:marTop w:val="0"/>
      <w:marBottom w:val="0"/>
      <w:divBdr>
        <w:top w:val="none" w:sz="0" w:space="0" w:color="auto"/>
        <w:left w:val="none" w:sz="0" w:space="0" w:color="auto"/>
        <w:bottom w:val="none" w:sz="0" w:space="0" w:color="auto"/>
        <w:right w:val="none" w:sz="0" w:space="0" w:color="auto"/>
      </w:divBdr>
    </w:div>
    <w:div w:id="1103376175">
      <w:bodyDiv w:val="1"/>
      <w:marLeft w:val="0"/>
      <w:marRight w:val="0"/>
      <w:marTop w:val="0"/>
      <w:marBottom w:val="0"/>
      <w:divBdr>
        <w:top w:val="none" w:sz="0" w:space="0" w:color="auto"/>
        <w:left w:val="none" w:sz="0" w:space="0" w:color="auto"/>
        <w:bottom w:val="none" w:sz="0" w:space="0" w:color="auto"/>
        <w:right w:val="none" w:sz="0" w:space="0" w:color="auto"/>
      </w:divBdr>
    </w:div>
    <w:div w:id="1106004765">
      <w:bodyDiv w:val="1"/>
      <w:marLeft w:val="0"/>
      <w:marRight w:val="0"/>
      <w:marTop w:val="0"/>
      <w:marBottom w:val="0"/>
      <w:divBdr>
        <w:top w:val="none" w:sz="0" w:space="0" w:color="auto"/>
        <w:left w:val="none" w:sz="0" w:space="0" w:color="auto"/>
        <w:bottom w:val="none" w:sz="0" w:space="0" w:color="auto"/>
        <w:right w:val="none" w:sz="0" w:space="0" w:color="auto"/>
      </w:divBdr>
    </w:div>
    <w:div w:id="1110735988">
      <w:bodyDiv w:val="1"/>
      <w:marLeft w:val="0"/>
      <w:marRight w:val="0"/>
      <w:marTop w:val="0"/>
      <w:marBottom w:val="0"/>
      <w:divBdr>
        <w:top w:val="none" w:sz="0" w:space="0" w:color="auto"/>
        <w:left w:val="none" w:sz="0" w:space="0" w:color="auto"/>
        <w:bottom w:val="none" w:sz="0" w:space="0" w:color="auto"/>
        <w:right w:val="none" w:sz="0" w:space="0" w:color="auto"/>
      </w:divBdr>
    </w:div>
    <w:div w:id="1114053128">
      <w:bodyDiv w:val="1"/>
      <w:marLeft w:val="0"/>
      <w:marRight w:val="0"/>
      <w:marTop w:val="0"/>
      <w:marBottom w:val="0"/>
      <w:divBdr>
        <w:top w:val="none" w:sz="0" w:space="0" w:color="auto"/>
        <w:left w:val="none" w:sz="0" w:space="0" w:color="auto"/>
        <w:bottom w:val="none" w:sz="0" w:space="0" w:color="auto"/>
        <w:right w:val="none" w:sz="0" w:space="0" w:color="auto"/>
      </w:divBdr>
    </w:div>
    <w:div w:id="1117989941">
      <w:bodyDiv w:val="1"/>
      <w:marLeft w:val="0"/>
      <w:marRight w:val="0"/>
      <w:marTop w:val="0"/>
      <w:marBottom w:val="0"/>
      <w:divBdr>
        <w:top w:val="none" w:sz="0" w:space="0" w:color="auto"/>
        <w:left w:val="none" w:sz="0" w:space="0" w:color="auto"/>
        <w:bottom w:val="none" w:sz="0" w:space="0" w:color="auto"/>
        <w:right w:val="none" w:sz="0" w:space="0" w:color="auto"/>
      </w:divBdr>
    </w:div>
    <w:div w:id="1123188449">
      <w:bodyDiv w:val="1"/>
      <w:marLeft w:val="0"/>
      <w:marRight w:val="0"/>
      <w:marTop w:val="0"/>
      <w:marBottom w:val="0"/>
      <w:divBdr>
        <w:top w:val="none" w:sz="0" w:space="0" w:color="auto"/>
        <w:left w:val="none" w:sz="0" w:space="0" w:color="auto"/>
        <w:bottom w:val="none" w:sz="0" w:space="0" w:color="auto"/>
        <w:right w:val="none" w:sz="0" w:space="0" w:color="auto"/>
      </w:divBdr>
    </w:div>
    <w:div w:id="1129199756">
      <w:bodyDiv w:val="1"/>
      <w:marLeft w:val="0"/>
      <w:marRight w:val="0"/>
      <w:marTop w:val="0"/>
      <w:marBottom w:val="0"/>
      <w:divBdr>
        <w:top w:val="none" w:sz="0" w:space="0" w:color="auto"/>
        <w:left w:val="none" w:sz="0" w:space="0" w:color="auto"/>
        <w:bottom w:val="none" w:sz="0" w:space="0" w:color="auto"/>
        <w:right w:val="none" w:sz="0" w:space="0" w:color="auto"/>
      </w:divBdr>
    </w:div>
    <w:div w:id="1131948059">
      <w:bodyDiv w:val="1"/>
      <w:marLeft w:val="0"/>
      <w:marRight w:val="0"/>
      <w:marTop w:val="0"/>
      <w:marBottom w:val="0"/>
      <w:divBdr>
        <w:top w:val="none" w:sz="0" w:space="0" w:color="auto"/>
        <w:left w:val="none" w:sz="0" w:space="0" w:color="auto"/>
        <w:bottom w:val="none" w:sz="0" w:space="0" w:color="auto"/>
        <w:right w:val="none" w:sz="0" w:space="0" w:color="auto"/>
      </w:divBdr>
    </w:div>
    <w:div w:id="1134981288">
      <w:bodyDiv w:val="1"/>
      <w:marLeft w:val="0"/>
      <w:marRight w:val="0"/>
      <w:marTop w:val="0"/>
      <w:marBottom w:val="0"/>
      <w:divBdr>
        <w:top w:val="none" w:sz="0" w:space="0" w:color="auto"/>
        <w:left w:val="none" w:sz="0" w:space="0" w:color="auto"/>
        <w:bottom w:val="none" w:sz="0" w:space="0" w:color="auto"/>
        <w:right w:val="none" w:sz="0" w:space="0" w:color="auto"/>
      </w:divBdr>
    </w:div>
    <w:div w:id="1136607102">
      <w:bodyDiv w:val="1"/>
      <w:marLeft w:val="0"/>
      <w:marRight w:val="0"/>
      <w:marTop w:val="0"/>
      <w:marBottom w:val="0"/>
      <w:divBdr>
        <w:top w:val="none" w:sz="0" w:space="0" w:color="auto"/>
        <w:left w:val="none" w:sz="0" w:space="0" w:color="auto"/>
        <w:bottom w:val="none" w:sz="0" w:space="0" w:color="auto"/>
        <w:right w:val="none" w:sz="0" w:space="0" w:color="auto"/>
      </w:divBdr>
    </w:div>
    <w:div w:id="1137257640">
      <w:bodyDiv w:val="1"/>
      <w:marLeft w:val="0"/>
      <w:marRight w:val="0"/>
      <w:marTop w:val="0"/>
      <w:marBottom w:val="0"/>
      <w:divBdr>
        <w:top w:val="none" w:sz="0" w:space="0" w:color="auto"/>
        <w:left w:val="none" w:sz="0" w:space="0" w:color="auto"/>
        <w:bottom w:val="none" w:sz="0" w:space="0" w:color="auto"/>
        <w:right w:val="none" w:sz="0" w:space="0" w:color="auto"/>
      </w:divBdr>
    </w:div>
    <w:div w:id="1142575532">
      <w:bodyDiv w:val="1"/>
      <w:marLeft w:val="0"/>
      <w:marRight w:val="0"/>
      <w:marTop w:val="0"/>
      <w:marBottom w:val="0"/>
      <w:divBdr>
        <w:top w:val="none" w:sz="0" w:space="0" w:color="auto"/>
        <w:left w:val="none" w:sz="0" w:space="0" w:color="auto"/>
        <w:bottom w:val="none" w:sz="0" w:space="0" w:color="auto"/>
        <w:right w:val="none" w:sz="0" w:space="0" w:color="auto"/>
      </w:divBdr>
    </w:div>
    <w:div w:id="1144539550">
      <w:bodyDiv w:val="1"/>
      <w:marLeft w:val="0"/>
      <w:marRight w:val="0"/>
      <w:marTop w:val="0"/>
      <w:marBottom w:val="0"/>
      <w:divBdr>
        <w:top w:val="none" w:sz="0" w:space="0" w:color="auto"/>
        <w:left w:val="none" w:sz="0" w:space="0" w:color="auto"/>
        <w:bottom w:val="none" w:sz="0" w:space="0" w:color="auto"/>
        <w:right w:val="none" w:sz="0" w:space="0" w:color="auto"/>
      </w:divBdr>
    </w:div>
    <w:div w:id="1144590232">
      <w:bodyDiv w:val="1"/>
      <w:marLeft w:val="0"/>
      <w:marRight w:val="0"/>
      <w:marTop w:val="0"/>
      <w:marBottom w:val="0"/>
      <w:divBdr>
        <w:top w:val="none" w:sz="0" w:space="0" w:color="auto"/>
        <w:left w:val="none" w:sz="0" w:space="0" w:color="auto"/>
        <w:bottom w:val="none" w:sz="0" w:space="0" w:color="auto"/>
        <w:right w:val="none" w:sz="0" w:space="0" w:color="auto"/>
      </w:divBdr>
    </w:div>
    <w:div w:id="1178693467">
      <w:bodyDiv w:val="1"/>
      <w:marLeft w:val="0"/>
      <w:marRight w:val="0"/>
      <w:marTop w:val="0"/>
      <w:marBottom w:val="0"/>
      <w:divBdr>
        <w:top w:val="none" w:sz="0" w:space="0" w:color="auto"/>
        <w:left w:val="none" w:sz="0" w:space="0" w:color="auto"/>
        <w:bottom w:val="none" w:sz="0" w:space="0" w:color="auto"/>
        <w:right w:val="none" w:sz="0" w:space="0" w:color="auto"/>
      </w:divBdr>
    </w:div>
    <w:div w:id="1180504108">
      <w:bodyDiv w:val="1"/>
      <w:marLeft w:val="0"/>
      <w:marRight w:val="0"/>
      <w:marTop w:val="0"/>
      <w:marBottom w:val="0"/>
      <w:divBdr>
        <w:top w:val="none" w:sz="0" w:space="0" w:color="auto"/>
        <w:left w:val="none" w:sz="0" w:space="0" w:color="auto"/>
        <w:bottom w:val="none" w:sz="0" w:space="0" w:color="auto"/>
        <w:right w:val="none" w:sz="0" w:space="0" w:color="auto"/>
      </w:divBdr>
    </w:div>
    <w:div w:id="1181237758">
      <w:bodyDiv w:val="1"/>
      <w:marLeft w:val="0"/>
      <w:marRight w:val="0"/>
      <w:marTop w:val="0"/>
      <w:marBottom w:val="0"/>
      <w:divBdr>
        <w:top w:val="none" w:sz="0" w:space="0" w:color="auto"/>
        <w:left w:val="none" w:sz="0" w:space="0" w:color="auto"/>
        <w:bottom w:val="none" w:sz="0" w:space="0" w:color="auto"/>
        <w:right w:val="none" w:sz="0" w:space="0" w:color="auto"/>
      </w:divBdr>
    </w:div>
    <w:div w:id="1198279446">
      <w:bodyDiv w:val="1"/>
      <w:marLeft w:val="0"/>
      <w:marRight w:val="0"/>
      <w:marTop w:val="0"/>
      <w:marBottom w:val="0"/>
      <w:divBdr>
        <w:top w:val="none" w:sz="0" w:space="0" w:color="auto"/>
        <w:left w:val="none" w:sz="0" w:space="0" w:color="auto"/>
        <w:bottom w:val="none" w:sz="0" w:space="0" w:color="auto"/>
        <w:right w:val="none" w:sz="0" w:space="0" w:color="auto"/>
      </w:divBdr>
    </w:div>
    <w:div w:id="1203906998">
      <w:bodyDiv w:val="1"/>
      <w:marLeft w:val="0"/>
      <w:marRight w:val="0"/>
      <w:marTop w:val="0"/>
      <w:marBottom w:val="0"/>
      <w:divBdr>
        <w:top w:val="none" w:sz="0" w:space="0" w:color="auto"/>
        <w:left w:val="none" w:sz="0" w:space="0" w:color="auto"/>
        <w:bottom w:val="none" w:sz="0" w:space="0" w:color="auto"/>
        <w:right w:val="none" w:sz="0" w:space="0" w:color="auto"/>
      </w:divBdr>
    </w:div>
    <w:div w:id="1215656152">
      <w:bodyDiv w:val="1"/>
      <w:marLeft w:val="0"/>
      <w:marRight w:val="0"/>
      <w:marTop w:val="0"/>
      <w:marBottom w:val="0"/>
      <w:divBdr>
        <w:top w:val="none" w:sz="0" w:space="0" w:color="auto"/>
        <w:left w:val="none" w:sz="0" w:space="0" w:color="auto"/>
        <w:bottom w:val="none" w:sz="0" w:space="0" w:color="auto"/>
        <w:right w:val="none" w:sz="0" w:space="0" w:color="auto"/>
      </w:divBdr>
    </w:div>
    <w:div w:id="1217933371">
      <w:bodyDiv w:val="1"/>
      <w:marLeft w:val="0"/>
      <w:marRight w:val="0"/>
      <w:marTop w:val="0"/>
      <w:marBottom w:val="0"/>
      <w:divBdr>
        <w:top w:val="none" w:sz="0" w:space="0" w:color="auto"/>
        <w:left w:val="none" w:sz="0" w:space="0" w:color="auto"/>
        <w:bottom w:val="none" w:sz="0" w:space="0" w:color="auto"/>
        <w:right w:val="none" w:sz="0" w:space="0" w:color="auto"/>
      </w:divBdr>
    </w:div>
    <w:div w:id="1222328238">
      <w:bodyDiv w:val="1"/>
      <w:marLeft w:val="0"/>
      <w:marRight w:val="0"/>
      <w:marTop w:val="0"/>
      <w:marBottom w:val="0"/>
      <w:divBdr>
        <w:top w:val="none" w:sz="0" w:space="0" w:color="auto"/>
        <w:left w:val="none" w:sz="0" w:space="0" w:color="auto"/>
        <w:bottom w:val="none" w:sz="0" w:space="0" w:color="auto"/>
        <w:right w:val="none" w:sz="0" w:space="0" w:color="auto"/>
      </w:divBdr>
    </w:div>
    <w:div w:id="1222909795">
      <w:bodyDiv w:val="1"/>
      <w:marLeft w:val="0"/>
      <w:marRight w:val="0"/>
      <w:marTop w:val="0"/>
      <w:marBottom w:val="0"/>
      <w:divBdr>
        <w:top w:val="none" w:sz="0" w:space="0" w:color="auto"/>
        <w:left w:val="none" w:sz="0" w:space="0" w:color="auto"/>
        <w:bottom w:val="none" w:sz="0" w:space="0" w:color="auto"/>
        <w:right w:val="none" w:sz="0" w:space="0" w:color="auto"/>
      </w:divBdr>
    </w:div>
    <w:div w:id="1223518018">
      <w:bodyDiv w:val="1"/>
      <w:marLeft w:val="0"/>
      <w:marRight w:val="0"/>
      <w:marTop w:val="0"/>
      <w:marBottom w:val="0"/>
      <w:divBdr>
        <w:top w:val="none" w:sz="0" w:space="0" w:color="auto"/>
        <w:left w:val="none" w:sz="0" w:space="0" w:color="auto"/>
        <w:bottom w:val="none" w:sz="0" w:space="0" w:color="auto"/>
        <w:right w:val="none" w:sz="0" w:space="0" w:color="auto"/>
      </w:divBdr>
    </w:div>
    <w:div w:id="1247228624">
      <w:bodyDiv w:val="1"/>
      <w:marLeft w:val="0"/>
      <w:marRight w:val="0"/>
      <w:marTop w:val="0"/>
      <w:marBottom w:val="0"/>
      <w:divBdr>
        <w:top w:val="none" w:sz="0" w:space="0" w:color="auto"/>
        <w:left w:val="none" w:sz="0" w:space="0" w:color="auto"/>
        <w:bottom w:val="none" w:sz="0" w:space="0" w:color="auto"/>
        <w:right w:val="none" w:sz="0" w:space="0" w:color="auto"/>
      </w:divBdr>
    </w:div>
    <w:div w:id="1255626168">
      <w:bodyDiv w:val="1"/>
      <w:marLeft w:val="0"/>
      <w:marRight w:val="0"/>
      <w:marTop w:val="0"/>
      <w:marBottom w:val="0"/>
      <w:divBdr>
        <w:top w:val="none" w:sz="0" w:space="0" w:color="auto"/>
        <w:left w:val="none" w:sz="0" w:space="0" w:color="auto"/>
        <w:bottom w:val="none" w:sz="0" w:space="0" w:color="auto"/>
        <w:right w:val="none" w:sz="0" w:space="0" w:color="auto"/>
      </w:divBdr>
    </w:div>
    <w:div w:id="1255632098">
      <w:bodyDiv w:val="1"/>
      <w:marLeft w:val="0"/>
      <w:marRight w:val="0"/>
      <w:marTop w:val="0"/>
      <w:marBottom w:val="0"/>
      <w:divBdr>
        <w:top w:val="none" w:sz="0" w:space="0" w:color="auto"/>
        <w:left w:val="none" w:sz="0" w:space="0" w:color="auto"/>
        <w:bottom w:val="none" w:sz="0" w:space="0" w:color="auto"/>
        <w:right w:val="none" w:sz="0" w:space="0" w:color="auto"/>
      </w:divBdr>
    </w:div>
    <w:div w:id="1296137921">
      <w:bodyDiv w:val="1"/>
      <w:marLeft w:val="0"/>
      <w:marRight w:val="0"/>
      <w:marTop w:val="0"/>
      <w:marBottom w:val="0"/>
      <w:divBdr>
        <w:top w:val="none" w:sz="0" w:space="0" w:color="auto"/>
        <w:left w:val="none" w:sz="0" w:space="0" w:color="auto"/>
        <w:bottom w:val="none" w:sz="0" w:space="0" w:color="auto"/>
        <w:right w:val="none" w:sz="0" w:space="0" w:color="auto"/>
      </w:divBdr>
    </w:div>
    <w:div w:id="1298759025">
      <w:bodyDiv w:val="1"/>
      <w:marLeft w:val="0"/>
      <w:marRight w:val="0"/>
      <w:marTop w:val="0"/>
      <w:marBottom w:val="0"/>
      <w:divBdr>
        <w:top w:val="none" w:sz="0" w:space="0" w:color="auto"/>
        <w:left w:val="none" w:sz="0" w:space="0" w:color="auto"/>
        <w:bottom w:val="none" w:sz="0" w:space="0" w:color="auto"/>
        <w:right w:val="none" w:sz="0" w:space="0" w:color="auto"/>
      </w:divBdr>
    </w:div>
    <w:div w:id="1310012376">
      <w:bodyDiv w:val="1"/>
      <w:marLeft w:val="0"/>
      <w:marRight w:val="0"/>
      <w:marTop w:val="0"/>
      <w:marBottom w:val="0"/>
      <w:divBdr>
        <w:top w:val="none" w:sz="0" w:space="0" w:color="auto"/>
        <w:left w:val="none" w:sz="0" w:space="0" w:color="auto"/>
        <w:bottom w:val="none" w:sz="0" w:space="0" w:color="auto"/>
        <w:right w:val="none" w:sz="0" w:space="0" w:color="auto"/>
      </w:divBdr>
    </w:div>
    <w:div w:id="1317416138">
      <w:bodyDiv w:val="1"/>
      <w:marLeft w:val="0"/>
      <w:marRight w:val="0"/>
      <w:marTop w:val="0"/>
      <w:marBottom w:val="0"/>
      <w:divBdr>
        <w:top w:val="none" w:sz="0" w:space="0" w:color="auto"/>
        <w:left w:val="none" w:sz="0" w:space="0" w:color="auto"/>
        <w:bottom w:val="none" w:sz="0" w:space="0" w:color="auto"/>
        <w:right w:val="none" w:sz="0" w:space="0" w:color="auto"/>
      </w:divBdr>
    </w:div>
    <w:div w:id="1326670392">
      <w:bodyDiv w:val="1"/>
      <w:marLeft w:val="0"/>
      <w:marRight w:val="0"/>
      <w:marTop w:val="0"/>
      <w:marBottom w:val="0"/>
      <w:divBdr>
        <w:top w:val="none" w:sz="0" w:space="0" w:color="auto"/>
        <w:left w:val="none" w:sz="0" w:space="0" w:color="auto"/>
        <w:bottom w:val="none" w:sz="0" w:space="0" w:color="auto"/>
        <w:right w:val="none" w:sz="0" w:space="0" w:color="auto"/>
      </w:divBdr>
    </w:div>
    <w:div w:id="1328827017">
      <w:bodyDiv w:val="1"/>
      <w:marLeft w:val="0"/>
      <w:marRight w:val="0"/>
      <w:marTop w:val="0"/>
      <w:marBottom w:val="0"/>
      <w:divBdr>
        <w:top w:val="none" w:sz="0" w:space="0" w:color="auto"/>
        <w:left w:val="none" w:sz="0" w:space="0" w:color="auto"/>
        <w:bottom w:val="none" w:sz="0" w:space="0" w:color="auto"/>
        <w:right w:val="none" w:sz="0" w:space="0" w:color="auto"/>
      </w:divBdr>
    </w:div>
    <w:div w:id="1331367468">
      <w:bodyDiv w:val="1"/>
      <w:marLeft w:val="0"/>
      <w:marRight w:val="0"/>
      <w:marTop w:val="0"/>
      <w:marBottom w:val="0"/>
      <w:divBdr>
        <w:top w:val="none" w:sz="0" w:space="0" w:color="auto"/>
        <w:left w:val="none" w:sz="0" w:space="0" w:color="auto"/>
        <w:bottom w:val="none" w:sz="0" w:space="0" w:color="auto"/>
        <w:right w:val="none" w:sz="0" w:space="0" w:color="auto"/>
      </w:divBdr>
    </w:div>
    <w:div w:id="1331759568">
      <w:bodyDiv w:val="1"/>
      <w:marLeft w:val="0"/>
      <w:marRight w:val="0"/>
      <w:marTop w:val="0"/>
      <w:marBottom w:val="0"/>
      <w:divBdr>
        <w:top w:val="none" w:sz="0" w:space="0" w:color="auto"/>
        <w:left w:val="none" w:sz="0" w:space="0" w:color="auto"/>
        <w:bottom w:val="none" w:sz="0" w:space="0" w:color="auto"/>
        <w:right w:val="none" w:sz="0" w:space="0" w:color="auto"/>
      </w:divBdr>
    </w:div>
    <w:div w:id="1333335331">
      <w:bodyDiv w:val="1"/>
      <w:marLeft w:val="0"/>
      <w:marRight w:val="0"/>
      <w:marTop w:val="0"/>
      <w:marBottom w:val="0"/>
      <w:divBdr>
        <w:top w:val="none" w:sz="0" w:space="0" w:color="auto"/>
        <w:left w:val="none" w:sz="0" w:space="0" w:color="auto"/>
        <w:bottom w:val="none" w:sz="0" w:space="0" w:color="auto"/>
        <w:right w:val="none" w:sz="0" w:space="0" w:color="auto"/>
      </w:divBdr>
    </w:div>
    <w:div w:id="1339964370">
      <w:bodyDiv w:val="1"/>
      <w:marLeft w:val="0"/>
      <w:marRight w:val="0"/>
      <w:marTop w:val="0"/>
      <w:marBottom w:val="0"/>
      <w:divBdr>
        <w:top w:val="none" w:sz="0" w:space="0" w:color="auto"/>
        <w:left w:val="none" w:sz="0" w:space="0" w:color="auto"/>
        <w:bottom w:val="none" w:sz="0" w:space="0" w:color="auto"/>
        <w:right w:val="none" w:sz="0" w:space="0" w:color="auto"/>
      </w:divBdr>
    </w:div>
    <w:div w:id="1348560035">
      <w:bodyDiv w:val="1"/>
      <w:marLeft w:val="0"/>
      <w:marRight w:val="0"/>
      <w:marTop w:val="0"/>
      <w:marBottom w:val="0"/>
      <w:divBdr>
        <w:top w:val="none" w:sz="0" w:space="0" w:color="auto"/>
        <w:left w:val="none" w:sz="0" w:space="0" w:color="auto"/>
        <w:bottom w:val="none" w:sz="0" w:space="0" w:color="auto"/>
        <w:right w:val="none" w:sz="0" w:space="0" w:color="auto"/>
      </w:divBdr>
    </w:div>
    <w:div w:id="1359544444">
      <w:bodyDiv w:val="1"/>
      <w:marLeft w:val="0"/>
      <w:marRight w:val="0"/>
      <w:marTop w:val="0"/>
      <w:marBottom w:val="0"/>
      <w:divBdr>
        <w:top w:val="none" w:sz="0" w:space="0" w:color="auto"/>
        <w:left w:val="none" w:sz="0" w:space="0" w:color="auto"/>
        <w:bottom w:val="none" w:sz="0" w:space="0" w:color="auto"/>
        <w:right w:val="none" w:sz="0" w:space="0" w:color="auto"/>
      </w:divBdr>
    </w:div>
    <w:div w:id="1366712710">
      <w:bodyDiv w:val="1"/>
      <w:marLeft w:val="0"/>
      <w:marRight w:val="0"/>
      <w:marTop w:val="0"/>
      <w:marBottom w:val="0"/>
      <w:divBdr>
        <w:top w:val="none" w:sz="0" w:space="0" w:color="auto"/>
        <w:left w:val="none" w:sz="0" w:space="0" w:color="auto"/>
        <w:bottom w:val="none" w:sz="0" w:space="0" w:color="auto"/>
        <w:right w:val="none" w:sz="0" w:space="0" w:color="auto"/>
      </w:divBdr>
    </w:div>
    <w:div w:id="1378511751">
      <w:bodyDiv w:val="1"/>
      <w:marLeft w:val="0"/>
      <w:marRight w:val="0"/>
      <w:marTop w:val="0"/>
      <w:marBottom w:val="0"/>
      <w:divBdr>
        <w:top w:val="none" w:sz="0" w:space="0" w:color="auto"/>
        <w:left w:val="none" w:sz="0" w:space="0" w:color="auto"/>
        <w:bottom w:val="none" w:sz="0" w:space="0" w:color="auto"/>
        <w:right w:val="none" w:sz="0" w:space="0" w:color="auto"/>
      </w:divBdr>
    </w:div>
    <w:div w:id="1382947893">
      <w:bodyDiv w:val="1"/>
      <w:marLeft w:val="0"/>
      <w:marRight w:val="0"/>
      <w:marTop w:val="0"/>
      <w:marBottom w:val="0"/>
      <w:divBdr>
        <w:top w:val="none" w:sz="0" w:space="0" w:color="auto"/>
        <w:left w:val="none" w:sz="0" w:space="0" w:color="auto"/>
        <w:bottom w:val="none" w:sz="0" w:space="0" w:color="auto"/>
        <w:right w:val="none" w:sz="0" w:space="0" w:color="auto"/>
      </w:divBdr>
    </w:div>
    <w:div w:id="1385526846">
      <w:bodyDiv w:val="1"/>
      <w:marLeft w:val="0"/>
      <w:marRight w:val="0"/>
      <w:marTop w:val="0"/>
      <w:marBottom w:val="0"/>
      <w:divBdr>
        <w:top w:val="none" w:sz="0" w:space="0" w:color="auto"/>
        <w:left w:val="none" w:sz="0" w:space="0" w:color="auto"/>
        <w:bottom w:val="none" w:sz="0" w:space="0" w:color="auto"/>
        <w:right w:val="none" w:sz="0" w:space="0" w:color="auto"/>
      </w:divBdr>
    </w:div>
    <w:div w:id="1389761027">
      <w:bodyDiv w:val="1"/>
      <w:marLeft w:val="0"/>
      <w:marRight w:val="0"/>
      <w:marTop w:val="0"/>
      <w:marBottom w:val="0"/>
      <w:divBdr>
        <w:top w:val="none" w:sz="0" w:space="0" w:color="auto"/>
        <w:left w:val="none" w:sz="0" w:space="0" w:color="auto"/>
        <w:bottom w:val="none" w:sz="0" w:space="0" w:color="auto"/>
        <w:right w:val="none" w:sz="0" w:space="0" w:color="auto"/>
      </w:divBdr>
      <w:divsChild>
        <w:div w:id="2126734308">
          <w:marLeft w:val="0"/>
          <w:marRight w:val="0"/>
          <w:marTop w:val="0"/>
          <w:marBottom w:val="0"/>
          <w:divBdr>
            <w:top w:val="none" w:sz="0" w:space="0" w:color="auto"/>
            <w:left w:val="none" w:sz="0" w:space="0" w:color="auto"/>
            <w:bottom w:val="none" w:sz="0" w:space="0" w:color="auto"/>
            <w:right w:val="none" w:sz="0" w:space="0" w:color="auto"/>
          </w:divBdr>
          <w:divsChild>
            <w:div w:id="1248002575">
              <w:marLeft w:val="0"/>
              <w:marRight w:val="0"/>
              <w:marTop w:val="0"/>
              <w:marBottom w:val="0"/>
              <w:divBdr>
                <w:top w:val="none" w:sz="0" w:space="0" w:color="auto"/>
                <w:left w:val="none" w:sz="0" w:space="0" w:color="auto"/>
                <w:bottom w:val="none" w:sz="0" w:space="0" w:color="auto"/>
                <w:right w:val="none" w:sz="0" w:space="0" w:color="auto"/>
              </w:divBdr>
              <w:divsChild>
                <w:div w:id="1516534264">
                  <w:marLeft w:val="0"/>
                  <w:marRight w:val="0"/>
                  <w:marTop w:val="0"/>
                  <w:marBottom w:val="0"/>
                  <w:divBdr>
                    <w:top w:val="none" w:sz="0" w:space="0" w:color="auto"/>
                    <w:left w:val="none" w:sz="0" w:space="0" w:color="auto"/>
                    <w:bottom w:val="none" w:sz="0" w:space="0" w:color="auto"/>
                    <w:right w:val="none" w:sz="0" w:space="0" w:color="auto"/>
                  </w:divBdr>
                  <w:divsChild>
                    <w:div w:id="1202667927">
                      <w:marLeft w:val="0"/>
                      <w:marRight w:val="0"/>
                      <w:marTop w:val="0"/>
                      <w:marBottom w:val="0"/>
                      <w:divBdr>
                        <w:top w:val="none" w:sz="0" w:space="0" w:color="auto"/>
                        <w:left w:val="none" w:sz="0" w:space="0" w:color="auto"/>
                        <w:bottom w:val="none" w:sz="0" w:space="0" w:color="auto"/>
                        <w:right w:val="none" w:sz="0" w:space="0" w:color="auto"/>
                      </w:divBdr>
                      <w:divsChild>
                        <w:div w:id="1331063310">
                          <w:marLeft w:val="0"/>
                          <w:marRight w:val="0"/>
                          <w:marTop w:val="0"/>
                          <w:marBottom w:val="0"/>
                          <w:divBdr>
                            <w:top w:val="none" w:sz="0" w:space="0" w:color="auto"/>
                            <w:left w:val="none" w:sz="0" w:space="0" w:color="auto"/>
                            <w:bottom w:val="none" w:sz="0" w:space="0" w:color="auto"/>
                            <w:right w:val="none" w:sz="0" w:space="0" w:color="auto"/>
                          </w:divBdr>
                          <w:divsChild>
                            <w:div w:id="1786270801">
                              <w:marLeft w:val="0"/>
                              <w:marRight w:val="0"/>
                              <w:marTop w:val="0"/>
                              <w:marBottom w:val="0"/>
                              <w:divBdr>
                                <w:top w:val="none" w:sz="0" w:space="0" w:color="auto"/>
                                <w:left w:val="none" w:sz="0" w:space="0" w:color="auto"/>
                                <w:bottom w:val="none" w:sz="0" w:space="0" w:color="auto"/>
                                <w:right w:val="none" w:sz="0" w:space="0" w:color="auto"/>
                              </w:divBdr>
                              <w:divsChild>
                                <w:div w:id="248199588">
                                  <w:marLeft w:val="0"/>
                                  <w:marRight w:val="0"/>
                                  <w:marTop w:val="0"/>
                                  <w:marBottom w:val="0"/>
                                  <w:divBdr>
                                    <w:top w:val="none" w:sz="0" w:space="0" w:color="auto"/>
                                    <w:left w:val="none" w:sz="0" w:space="0" w:color="auto"/>
                                    <w:bottom w:val="none" w:sz="0" w:space="0" w:color="auto"/>
                                    <w:right w:val="none" w:sz="0" w:space="0" w:color="auto"/>
                                  </w:divBdr>
                                  <w:divsChild>
                                    <w:div w:id="273682193">
                                      <w:marLeft w:val="0"/>
                                      <w:marRight w:val="0"/>
                                      <w:marTop w:val="0"/>
                                      <w:marBottom w:val="0"/>
                                      <w:divBdr>
                                        <w:top w:val="single" w:sz="6" w:space="0" w:color="F5F5F5"/>
                                        <w:left w:val="single" w:sz="6" w:space="0" w:color="F5F5F5"/>
                                        <w:bottom w:val="single" w:sz="6" w:space="0" w:color="F5F5F5"/>
                                        <w:right w:val="single" w:sz="6" w:space="0" w:color="F5F5F5"/>
                                      </w:divBdr>
                                      <w:divsChild>
                                        <w:div w:id="789399053">
                                          <w:marLeft w:val="0"/>
                                          <w:marRight w:val="0"/>
                                          <w:marTop w:val="0"/>
                                          <w:marBottom w:val="0"/>
                                          <w:divBdr>
                                            <w:top w:val="none" w:sz="0" w:space="0" w:color="auto"/>
                                            <w:left w:val="none" w:sz="0" w:space="0" w:color="auto"/>
                                            <w:bottom w:val="none" w:sz="0" w:space="0" w:color="auto"/>
                                            <w:right w:val="none" w:sz="0" w:space="0" w:color="auto"/>
                                          </w:divBdr>
                                          <w:divsChild>
                                            <w:div w:id="14078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564271">
      <w:bodyDiv w:val="1"/>
      <w:marLeft w:val="0"/>
      <w:marRight w:val="0"/>
      <w:marTop w:val="0"/>
      <w:marBottom w:val="0"/>
      <w:divBdr>
        <w:top w:val="none" w:sz="0" w:space="0" w:color="auto"/>
        <w:left w:val="none" w:sz="0" w:space="0" w:color="auto"/>
        <w:bottom w:val="none" w:sz="0" w:space="0" w:color="auto"/>
        <w:right w:val="none" w:sz="0" w:space="0" w:color="auto"/>
      </w:divBdr>
    </w:div>
    <w:div w:id="1405643075">
      <w:bodyDiv w:val="1"/>
      <w:marLeft w:val="0"/>
      <w:marRight w:val="0"/>
      <w:marTop w:val="0"/>
      <w:marBottom w:val="0"/>
      <w:divBdr>
        <w:top w:val="none" w:sz="0" w:space="0" w:color="auto"/>
        <w:left w:val="none" w:sz="0" w:space="0" w:color="auto"/>
        <w:bottom w:val="none" w:sz="0" w:space="0" w:color="auto"/>
        <w:right w:val="none" w:sz="0" w:space="0" w:color="auto"/>
      </w:divBdr>
    </w:div>
    <w:div w:id="1406148063">
      <w:bodyDiv w:val="1"/>
      <w:marLeft w:val="0"/>
      <w:marRight w:val="0"/>
      <w:marTop w:val="0"/>
      <w:marBottom w:val="0"/>
      <w:divBdr>
        <w:top w:val="none" w:sz="0" w:space="0" w:color="auto"/>
        <w:left w:val="none" w:sz="0" w:space="0" w:color="auto"/>
        <w:bottom w:val="none" w:sz="0" w:space="0" w:color="auto"/>
        <w:right w:val="none" w:sz="0" w:space="0" w:color="auto"/>
      </w:divBdr>
    </w:div>
    <w:div w:id="1416781386">
      <w:bodyDiv w:val="1"/>
      <w:marLeft w:val="0"/>
      <w:marRight w:val="0"/>
      <w:marTop w:val="0"/>
      <w:marBottom w:val="0"/>
      <w:divBdr>
        <w:top w:val="none" w:sz="0" w:space="0" w:color="auto"/>
        <w:left w:val="none" w:sz="0" w:space="0" w:color="auto"/>
        <w:bottom w:val="none" w:sz="0" w:space="0" w:color="auto"/>
        <w:right w:val="none" w:sz="0" w:space="0" w:color="auto"/>
      </w:divBdr>
    </w:div>
    <w:div w:id="1447309414">
      <w:bodyDiv w:val="1"/>
      <w:marLeft w:val="0"/>
      <w:marRight w:val="0"/>
      <w:marTop w:val="0"/>
      <w:marBottom w:val="0"/>
      <w:divBdr>
        <w:top w:val="none" w:sz="0" w:space="0" w:color="auto"/>
        <w:left w:val="none" w:sz="0" w:space="0" w:color="auto"/>
        <w:bottom w:val="none" w:sz="0" w:space="0" w:color="auto"/>
        <w:right w:val="none" w:sz="0" w:space="0" w:color="auto"/>
      </w:divBdr>
    </w:div>
    <w:div w:id="1448083467">
      <w:bodyDiv w:val="1"/>
      <w:marLeft w:val="0"/>
      <w:marRight w:val="0"/>
      <w:marTop w:val="0"/>
      <w:marBottom w:val="0"/>
      <w:divBdr>
        <w:top w:val="none" w:sz="0" w:space="0" w:color="auto"/>
        <w:left w:val="none" w:sz="0" w:space="0" w:color="auto"/>
        <w:bottom w:val="none" w:sz="0" w:space="0" w:color="auto"/>
        <w:right w:val="none" w:sz="0" w:space="0" w:color="auto"/>
      </w:divBdr>
    </w:div>
    <w:div w:id="1451821951">
      <w:bodyDiv w:val="1"/>
      <w:marLeft w:val="0"/>
      <w:marRight w:val="0"/>
      <w:marTop w:val="0"/>
      <w:marBottom w:val="0"/>
      <w:divBdr>
        <w:top w:val="none" w:sz="0" w:space="0" w:color="auto"/>
        <w:left w:val="none" w:sz="0" w:space="0" w:color="auto"/>
        <w:bottom w:val="none" w:sz="0" w:space="0" w:color="auto"/>
        <w:right w:val="none" w:sz="0" w:space="0" w:color="auto"/>
      </w:divBdr>
    </w:div>
    <w:div w:id="1459690485">
      <w:bodyDiv w:val="1"/>
      <w:marLeft w:val="0"/>
      <w:marRight w:val="0"/>
      <w:marTop w:val="0"/>
      <w:marBottom w:val="0"/>
      <w:divBdr>
        <w:top w:val="none" w:sz="0" w:space="0" w:color="auto"/>
        <w:left w:val="none" w:sz="0" w:space="0" w:color="auto"/>
        <w:bottom w:val="none" w:sz="0" w:space="0" w:color="auto"/>
        <w:right w:val="none" w:sz="0" w:space="0" w:color="auto"/>
      </w:divBdr>
    </w:div>
    <w:div w:id="1467237431">
      <w:bodyDiv w:val="1"/>
      <w:marLeft w:val="0"/>
      <w:marRight w:val="0"/>
      <w:marTop w:val="0"/>
      <w:marBottom w:val="0"/>
      <w:divBdr>
        <w:top w:val="none" w:sz="0" w:space="0" w:color="auto"/>
        <w:left w:val="none" w:sz="0" w:space="0" w:color="auto"/>
        <w:bottom w:val="none" w:sz="0" w:space="0" w:color="auto"/>
        <w:right w:val="none" w:sz="0" w:space="0" w:color="auto"/>
      </w:divBdr>
    </w:div>
    <w:div w:id="1473714280">
      <w:bodyDiv w:val="1"/>
      <w:marLeft w:val="0"/>
      <w:marRight w:val="0"/>
      <w:marTop w:val="0"/>
      <w:marBottom w:val="0"/>
      <w:divBdr>
        <w:top w:val="none" w:sz="0" w:space="0" w:color="auto"/>
        <w:left w:val="none" w:sz="0" w:space="0" w:color="auto"/>
        <w:bottom w:val="none" w:sz="0" w:space="0" w:color="auto"/>
        <w:right w:val="none" w:sz="0" w:space="0" w:color="auto"/>
      </w:divBdr>
    </w:div>
    <w:div w:id="1506630433">
      <w:bodyDiv w:val="1"/>
      <w:marLeft w:val="0"/>
      <w:marRight w:val="0"/>
      <w:marTop w:val="0"/>
      <w:marBottom w:val="0"/>
      <w:divBdr>
        <w:top w:val="none" w:sz="0" w:space="0" w:color="auto"/>
        <w:left w:val="none" w:sz="0" w:space="0" w:color="auto"/>
        <w:bottom w:val="none" w:sz="0" w:space="0" w:color="auto"/>
        <w:right w:val="none" w:sz="0" w:space="0" w:color="auto"/>
      </w:divBdr>
    </w:div>
    <w:div w:id="1559240547">
      <w:bodyDiv w:val="1"/>
      <w:marLeft w:val="0"/>
      <w:marRight w:val="0"/>
      <w:marTop w:val="0"/>
      <w:marBottom w:val="0"/>
      <w:divBdr>
        <w:top w:val="none" w:sz="0" w:space="0" w:color="auto"/>
        <w:left w:val="none" w:sz="0" w:space="0" w:color="auto"/>
        <w:bottom w:val="none" w:sz="0" w:space="0" w:color="auto"/>
        <w:right w:val="none" w:sz="0" w:space="0" w:color="auto"/>
      </w:divBdr>
    </w:div>
    <w:div w:id="1574780481">
      <w:bodyDiv w:val="1"/>
      <w:marLeft w:val="0"/>
      <w:marRight w:val="0"/>
      <w:marTop w:val="0"/>
      <w:marBottom w:val="0"/>
      <w:divBdr>
        <w:top w:val="none" w:sz="0" w:space="0" w:color="auto"/>
        <w:left w:val="none" w:sz="0" w:space="0" w:color="auto"/>
        <w:bottom w:val="none" w:sz="0" w:space="0" w:color="auto"/>
        <w:right w:val="none" w:sz="0" w:space="0" w:color="auto"/>
      </w:divBdr>
    </w:div>
    <w:div w:id="1576278318">
      <w:bodyDiv w:val="1"/>
      <w:marLeft w:val="0"/>
      <w:marRight w:val="0"/>
      <w:marTop w:val="0"/>
      <w:marBottom w:val="0"/>
      <w:divBdr>
        <w:top w:val="none" w:sz="0" w:space="0" w:color="auto"/>
        <w:left w:val="none" w:sz="0" w:space="0" w:color="auto"/>
        <w:bottom w:val="none" w:sz="0" w:space="0" w:color="auto"/>
        <w:right w:val="none" w:sz="0" w:space="0" w:color="auto"/>
      </w:divBdr>
    </w:div>
    <w:div w:id="1578054488">
      <w:bodyDiv w:val="1"/>
      <w:marLeft w:val="0"/>
      <w:marRight w:val="0"/>
      <w:marTop w:val="0"/>
      <w:marBottom w:val="0"/>
      <w:divBdr>
        <w:top w:val="none" w:sz="0" w:space="0" w:color="auto"/>
        <w:left w:val="none" w:sz="0" w:space="0" w:color="auto"/>
        <w:bottom w:val="none" w:sz="0" w:space="0" w:color="auto"/>
        <w:right w:val="none" w:sz="0" w:space="0" w:color="auto"/>
      </w:divBdr>
    </w:div>
    <w:div w:id="1590693549">
      <w:bodyDiv w:val="1"/>
      <w:marLeft w:val="0"/>
      <w:marRight w:val="0"/>
      <w:marTop w:val="0"/>
      <w:marBottom w:val="0"/>
      <w:divBdr>
        <w:top w:val="none" w:sz="0" w:space="0" w:color="auto"/>
        <w:left w:val="none" w:sz="0" w:space="0" w:color="auto"/>
        <w:bottom w:val="none" w:sz="0" w:space="0" w:color="auto"/>
        <w:right w:val="none" w:sz="0" w:space="0" w:color="auto"/>
      </w:divBdr>
    </w:div>
    <w:div w:id="1601259921">
      <w:bodyDiv w:val="1"/>
      <w:marLeft w:val="0"/>
      <w:marRight w:val="0"/>
      <w:marTop w:val="0"/>
      <w:marBottom w:val="0"/>
      <w:divBdr>
        <w:top w:val="none" w:sz="0" w:space="0" w:color="auto"/>
        <w:left w:val="none" w:sz="0" w:space="0" w:color="auto"/>
        <w:bottom w:val="none" w:sz="0" w:space="0" w:color="auto"/>
        <w:right w:val="none" w:sz="0" w:space="0" w:color="auto"/>
      </w:divBdr>
    </w:div>
    <w:div w:id="1613828542">
      <w:bodyDiv w:val="1"/>
      <w:marLeft w:val="0"/>
      <w:marRight w:val="0"/>
      <w:marTop w:val="0"/>
      <w:marBottom w:val="0"/>
      <w:divBdr>
        <w:top w:val="none" w:sz="0" w:space="0" w:color="auto"/>
        <w:left w:val="none" w:sz="0" w:space="0" w:color="auto"/>
        <w:bottom w:val="none" w:sz="0" w:space="0" w:color="auto"/>
        <w:right w:val="none" w:sz="0" w:space="0" w:color="auto"/>
      </w:divBdr>
    </w:div>
    <w:div w:id="1624731918">
      <w:bodyDiv w:val="1"/>
      <w:marLeft w:val="0"/>
      <w:marRight w:val="0"/>
      <w:marTop w:val="0"/>
      <w:marBottom w:val="0"/>
      <w:divBdr>
        <w:top w:val="none" w:sz="0" w:space="0" w:color="auto"/>
        <w:left w:val="none" w:sz="0" w:space="0" w:color="auto"/>
        <w:bottom w:val="none" w:sz="0" w:space="0" w:color="auto"/>
        <w:right w:val="none" w:sz="0" w:space="0" w:color="auto"/>
      </w:divBdr>
    </w:div>
    <w:div w:id="1633559297">
      <w:bodyDiv w:val="1"/>
      <w:marLeft w:val="0"/>
      <w:marRight w:val="0"/>
      <w:marTop w:val="0"/>
      <w:marBottom w:val="0"/>
      <w:divBdr>
        <w:top w:val="none" w:sz="0" w:space="0" w:color="auto"/>
        <w:left w:val="none" w:sz="0" w:space="0" w:color="auto"/>
        <w:bottom w:val="none" w:sz="0" w:space="0" w:color="auto"/>
        <w:right w:val="none" w:sz="0" w:space="0" w:color="auto"/>
      </w:divBdr>
    </w:div>
    <w:div w:id="1634170188">
      <w:bodyDiv w:val="1"/>
      <w:marLeft w:val="0"/>
      <w:marRight w:val="0"/>
      <w:marTop w:val="0"/>
      <w:marBottom w:val="0"/>
      <w:divBdr>
        <w:top w:val="none" w:sz="0" w:space="0" w:color="auto"/>
        <w:left w:val="none" w:sz="0" w:space="0" w:color="auto"/>
        <w:bottom w:val="none" w:sz="0" w:space="0" w:color="auto"/>
        <w:right w:val="none" w:sz="0" w:space="0" w:color="auto"/>
      </w:divBdr>
    </w:div>
    <w:div w:id="1653366427">
      <w:bodyDiv w:val="1"/>
      <w:marLeft w:val="0"/>
      <w:marRight w:val="0"/>
      <w:marTop w:val="0"/>
      <w:marBottom w:val="0"/>
      <w:divBdr>
        <w:top w:val="none" w:sz="0" w:space="0" w:color="auto"/>
        <w:left w:val="none" w:sz="0" w:space="0" w:color="auto"/>
        <w:bottom w:val="none" w:sz="0" w:space="0" w:color="auto"/>
        <w:right w:val="none" w:sz="0" w:space="0" w:color="auto"/>
      </w:divBdr>
    </w:div>
    <w:div w:id="1656302296">
      <w:bodyDiv w:val="1"/>
      <w:marLeft w:val="0"/>
      <w:marRight w:val="0"/>
      <w:marTop w:val="0"/>
      <w:marBottom w:val="0"/>
      <w:divBdr>
        <w:top w:val="none" w:sz="0" w:space="0" w:color="auto"/>
        <w:left w:val="none" w:sz="0" w:space="0" w:color="auto"/>
        <w:bottom w:val="none" w:sz="0" w:space="0" w:color="auto"/>
        <w:right w:val="none" w:sz="0" w:space="0" w:color="auto"/>
      </w:divBdr>
    </w:div>
    <w:div w:id="1674604036">
      <w:bodyDiv w:val="1"/>
      <w:marLeft w:val="0"/>
      <w:marRight w:val="0"/>
      <w:marTop w:val="0"/>
      <w:marBottom w:val="0"/>
      <w:divBdr>
        <w:top w:val="none" w:sz="0" w:space="0" w:color="auto"/>
        <w:left w:val="none" w:sz="0" w:space="0" w:color="auto"/>
        <w:bottom w:val="none" w:sz="0" w:space="0" w:color="auto"/>
        <w:right w:val="none" w:sz="0" w:space="0" w:color="auto"/>
      </w:divBdr>
    </w:div>
    <w:div w:id="1678532248">
      <w:bodyDiv w:val="1"/>
      <w:marLeft w:val="0"/>
      <w:marRight w:val="0"/>
      <w:marTop w:val="0"/>
      <w:marBottom w:val="0"/>
      <w:divBdr>
        <w:top w:val="none" w:sz="0" w:space="0" w:color="auto"/>
        <w:left w:val="none" w:sz="0" w:space="0" w:color="auto"/>
        <w:bottom w:val="none" w:sz="0" w:space="0" w:color="auto"/>
        <w:right w:val="none" w:sz="0" w:space="0" w:color="auto"/>
      </w:divBdr>
    </w:div>
    <w:div w:id="1683894946">
      <w:bodyDiv w:val="1"/>
      <w:marLeft w:val="0"/>
      <w:marRight w:val="0"/>
      <w:marTop w:val="0"/>
      <w:marBottom w:val="0"/>
      <w:divBdr>
        <w:top w:val="none" w:sz="0" w:space="0" w:color="auto"/>
        <w:left w:val="none" w:sz="0" w:space="0" w:color="auto"/>
        <w:bottom w:val="none" w:sz="0" w:space="0" w:color="auto"/>
        <w:right w:val="none" w:sz="0" w:space="0" w:color="auto"/>
      </w:divBdr>
    </w:div>
    <w:div w:id="1691645357">
      <w:bodyDiv w:val="1"/>
      <w:marLeft w:val="0"/>
      <w:marRight w:val="0"/>
      <w:marTop w:val="0"/>
      <w:marBottom w:val="0"/>
      <w:divBdr>
        <w:top w:val="none" w:sz="0" w:space="0" w:color="auto"/>
        <w:left w:val="none" w:sz="0" w:space="0" w:color="auto"/>
        <w:bottom w:val="none" w:sz="0" w:space="0" w:color="auto"/>
        <w:right w:val="none" w:sz="0" w:space="0" w:color="auto"/>
      </w:divBdr>
    </w:div>
    <w:div w:id="1695959832">
      <w:bodyDiv w:val="1"/>
      <w:marLeft w:val="0"/>
      <w:marRight w:val="0"/>
      <w:marTop w:val="0"/>
      <w:marBottom w:val="0"/>
      <w:divBdr>
        <w:top w:val="none" w:sz="0" w:space="0" w:color="auto"/>
        <w:left w:val="none" w:sz="0" w:space="0" w:color="auto"/>
        <w:bottom w:val="none" w:sz="0" w:space="0" w:color="auto"/>
        <w:right w:val="none" w:sz="0" w:space="0" w:color="auto"/>
      </w:divBdr>
    </w:div>
    <w:div w:id="1705399696">
      <w:bodyDiv w:val="1"/>
      <w:marLeft w:val="0"/>
      <w:marRight w:val="0"/>
      <w:marTop w:val="0"/>
      <w:marBottom w:val="0"/>
      <w:divBdr>
        <w:top w:val="none" w:sz="0" w:space="0" w:color="auto"/>
        <w:left w:val="none" w:sz="0" w:space="0" w:color="auto"/>
        <w:bottom w:val="none" w:sz="0" w:space="0" w:color="auto"/>
        <w:right w:val="none" w:sz="0" w:space="0" w:color="auto"/>
      </w:divBdr>
    </w:div>
    <w:div w:id="1708988594">
      <w:bodyDiv w:val="1"/>
      <w:marLeft w:val="0"/>
      <w:marRight w:val="0"/>
      <w:marTop w:val="0"/>
      <w:marBottom w:val="0"/>
      <w:divBdr>
        <w:top w:val="none" w:sz="0" w:space="0" w:color="auto"/>
        <w:left w:val="none" w:sz="0" w:space="0" w:color="auto"/>
        <w:bottom w:val="none" w:sz="0" w:space="0" w:color="auto"/>
        <w:right w:val="none" w:sz="0" w:space="0" w:color="auto"/>
      </w:divBdr>
    </w:div>
    <w:div w:id="1725716466">
      <w:bodyDiv w:val="1"/>
      <w:marLeft w:val="0"/>
      <w:marRight w:val="0"/>
      <w:marTop w:val="0"/>
      <w:marBottom w:val="0"/>
      <w:divBdr>
        <w:top w:val="none" w:sz="0" w:space="0" w:color="auto"/>
        <w:left w:val="none" w:sz="0" w:space="0" w:color="auto"/>
        <w:bottom w:val="none" w:sz="0" w:space="0" w:color="auto"/>
        <w:right w:val="none" w:sz="0" w:space="0" w:color="auto"/>
      </w:divBdr>
    </w:div>
    <w:div w:id="1726099273">
      <w:bodyDiv w:val="1"/>
      <w:marLeft w:val="0"/>
      <w:marRight w:val="0"/>
      <w:marTop w:val="0"/>
      <w:marBottom w:val="0"/>
      <w:divBdr>
        <w:top w:val="none" w:sz="0" w:space="0" w:color="auto"/>
        <w:left w:val="none" w:sz="0" w:space="0" w:color="auto"/>
        <w:bottom w:val="none" w:sz="0" w:space="0" w:color="auto"/>
        <w:right w:val="none" w:sz="0" w:space="0" w:color="auto"/>
      </w:divBdr>
    </w:div>
    <w:div w:id="1729305318">
      <w:bodyDiv w:val="1"/>
      <w:marLeft w:val="0"/>
      <w:marRight w:val="0"/>
      <w:marTop w:val="0"/>
      <w:marBottom w:val="0"/>
      <w:divBdr>
        <w:top w:val="none" w:sz="0" w:space="0" w:color="auto"/>
        <w:left w:val="none" w:sz="0" w:space="0" w:color="auto"/>
        <w:bottom w:val="none" w:sz="0" w:space="0" w:color="auto"/>
        <w:right w:val="none" w:sz="0" w:space="0" w:color="auto"/>
      </w:divBdr>
    </w:div>
    <w:div w:id="1745685146">
      <w:bodyDiv w:val="1"/>
      <w:marLeft w:val="0"/>
      <w:marRight w:val="0"/>
      <w:marTop w:val="0"/>
      <w:marBottom w:val="0"/>
      <w:divBdr>
        <w:top w:val="none" w:sz="0" w:space="0" w:color="auto"/>
        <w:left w:val="none" w:sz="0" w:space="0" w:color="auto"/>
        <w:bottom w:val="none" w:sz="0" w:space="0" w:color="auto"/>
        <w:right w:val="none" w:sz="0" w:space="0" w:color="auto"/>
      </w:divBdr>
    </w:div>
    <w:div w:id="1756440671">
      <w:bodyDiv w:val="1"/>
      <w:marLeft w:val="0"/>
      <w:marRight w:val="0"/>
      <w:marTop w:val="0"/>
      <w:marBottom w:val="0"/>
      <w:divBdr>
        <w:top w:val="none" w:sz="0" w:space="0" w:color="auto"/>
        <w:left w:val="none" w:sz="0" w:space="0" w:color="auto"/>
        <w:bottom w:val="none" w:sz="0" w:space="0" w:color="auto"/>
        <w:right w:val="none" w:sz="0" w:space="0" w:color="auto"/>
      </w:divBdr>
    </w:div>
    <w:div w:id="1764838286">
      <w:bodyDiv w:val="1"/>
      <w:marLeft w:val="0"/>
      <w:marRight w:val="0"/>
      <w:marTop w:val="0"/>
      <w:marBottom w:val="0"/>
      <w:divBdr>
        <w:top w:val="none" w:sz="0" w:space="0" w:color="auto"/>
        <w:left w:val="none" w:sz="0" w:space="0" w:color="auto"/>
        <w:bottom w:val="none" w:sz="0" w:space="0" w:color="auto"/>
        <w:right w:val="none" w:sz="0" w:space="0" w:color="auto"/>
      </w:divBdr>
    </w:div>
    <w:div w:id="1772050184">
      <w:bodyDiv w:val="1"/>
      <w:marLeft w:val="0"/>
      <w:marRight w:val="0"/>
      <w:marTop w:val="0"/>
      <w:marBottom w:val="0"/>
      <w:divBdr>
        <w:top w:val="none" w:sz="0" w:space="0" w:color="auto"/>
        <w:left w:val="none" w:sz="0" w:space="0" w:color="auto"/>
        <w:bottom w:val="none" w:sz="0" w:space="0" w:color="auto"/>
        <w:right w:val="none" w:sz="0" w:space="0" w:color="auto"/>
      </w:divBdr>
    </w:div>
    <w:div w:id="1783575193">
      <w:bodyDiv w:val="1"/>
      <w:marLeft w:val="0"/>
      <w:marRight w:val="0"/>
      <w:marTop w:val="0"/>
      <w:marBottom w:val="0"/>
      <w:divBdr>
        <w:top w:val="none" w:sz="0" w:space="0" w:color="auto"/>
        <w:left w:val="none" w:sz="0" w:space="0" w:color="auto"/>
        <w:bottom w:val="none" w:sz="0" w:space="0" w:color="auto"/>
        <w:right w:val="none" w:sz="0" w:space="0" w:color="auto"/>
      </w:divBdr>
    </w:div>
    <w:div w:id="1826966175">
      <w:bodyDiv w:val="1"/>
      <w:marLeft w:val="0"/>
      <w:marRight w:val="0"/>
      <w:marTop w:val="0"/>
      <w:marBottom w:val="0"/>
      <w:divBdr>
        <w:top w:val="none" w:sz="0" w:space="0" w:color="auto"/>
        <w:left w:val="none" w:sz="0" w:space="0" w:color="auto"/>
        <w:bottom w:val="none" w:sz="0" w:space="0" w:color="auto"/>
        <w:right w:val="none" w:sz="0" w:space="0" w:color="auto"/>
      </w:divBdr>
    </w:div>
    <w:div w:id="1831821634">
      <w:bodyDiv w:val="1"/>
      <w:marLeft w:val="0"/>
      <w:marRight w:val="0"/>
      <w:marTop w:val="0"/>
      <w:marBottom w:val="0"/>
      <w:divBdr>
        <w:top w:val="none" w:sz="0" w:space="0" w:color="auto"/>
        <w:left w:val="none" w:sz="0" w:space="0" w:color="auto"/>
        <w:bottom w:val="none" w:sz="0" w:space="0" w:color="auto"/>
        <w:right w:val="none" w:sz="0" w:space="0" w:color="auto"/>
      </w:divBdr>
    </w:div>
    <w:div w:id="1834763296">
      <w:bodyDiv w:val="1"/>
      <w:marLeft w:val="0"/>
      <w:marRight w:val="0"/>
      <w:marTop w:val="0"/>
      <w:marBottom w:val="0"/>
      <w:divBdr>
        <w:top w:val="none" w:sz="0" w:space="0" w:color="auto"/>
        <w:left w:val="none" w:sz="0" w:space="0" w:color="auto"/>
        <w:bottom w:val="none" w:sz="0" w:space="0" w:color="auto"/>
        <w:right w:val="none" w:sz="0" w:space="0" w:color="auto"/>
      </w:divBdr>
    </w:div>
    <w:div w:id="1842576741">
      <w:bodyDiv w:val="1"/>
      <w:marLeft w:val="0"/>
      <w:marRight w:val="0"/>
      <w:marTop w:val="0"/>
      <w:marBottom w:val="0"/>
      <w:divBdr>
        <w:top w:val="none" w:sz="0" w:space="0" w:color="auto"/>
        <w:left w:val="none" w:sz="0" w:space="0" w:color="auto"/>
        <w:bottom w:val="none" w:sz="0" w:space="0" w:color="auto"/>
        <w:right w:val="none" w:sz="0" w:space="0" w:color="auto"/>
      </w:divBdr>
    </w:div>
    <w:div w:id="1867600702">
      <w:bodyDiv w:val="1"/>
      <w:marLeft w:val="0"/>
      <w:marRight w:val="0"/>
      <w:marTop w:val="0"/>
      <w:marBottom w:val="0"/>
      <w:divBdr>
        <w:top w:val="none" w:sz="0" w:space="0" w:color="auto"/>
        <w:left w:val="none" w:sz="0" w:space="0" w:color="auto"/>
        <w:bottom w:val="none" w:sz="0" w:space="0" w:color="auto"/>
        <w:right w:val="none" w:sz="0" w:space="0" w:color="auto"/>
      </w:divBdr>
    </w:div>
    <w:div w:id="1877615790">
      <w:bodyDiv w:val="1"/>
      <w:marLeft w:val="0"/>
      <w:marRight w:val="0"/>
      <w:marTop w:val="0"/>
      <w:marBottom w:val="0"/>
      <w:divBdr>
        <w:top w:val="none" w:sz="0" w:space="0" w:color="auto"/>
        <w:left w:val="none" w:sz="0" w:space="0" w:color="auto"/>
        <w:bottom w:val="none" w:sz="0" w:space="0" w:color="auto"/>
        <w:right w:val="none" w:sz="0" w:space="0" w:color="auto"/>
      </w:divBdr>
    </w:div>
    <w:div w:id="1882210422">
      <w:bodyDiv w:val="1"/>
      <w:marLeft w:val="0"/>
      <w:marRight w:val="0"/>
      <w:marTop w:val="0"/>
      <w:marBottom w:val="0"/>
      <w:divBdr>
        <w:top w:val="none" w:sz="0" w:space="0" w:color="auto"/>
        <w:left w:val="none" w:sz="0" w:space="0" w:color="auto"/>
        <w:bottom w:val="none" w:sz="0" w:space="0" w:color="auto"/>
        <w:right w:val="none" w:sz="0" w:space="0" w:color="auto"/>
      </w:divBdr>
    </w:div>
    <w:div w:id="1882477651">
      <w:bodyDiv w:val="1"/>
      <w:marLeft w:val="0"/>
      <w:marRight w:val="0"/>
      <w:marTop w:val="0"/>
      <w:marBottom w:val="0"/>
      <w:divBdr>
        <w:top w:val="none" w:sz="0" w:space="0" w:color="auto"/>
        <w:left w:val="none" w:sz="0" w:space="0" w:color="auto"/>
        <w:bottom w:val="none" w:sz="0" w:space="0" w:color="auto"/>
        <w:right w:val="none" w:sz="0" w:space="0" w:color="auto"/>
      </w:divBdr>
    </w:div>
    <w:div w:id="1882980785">
      <w:bodyDiv w:val="1"/>
      <w:marLeft w:val="0"/>
      <w:marRight w:val="0"/>
      <w:marTop w:val="0"/>
      <w:marBottom w:val="0"/>
      <w:divBdr>
        <w:top w:val="none" w:sz="0" w:space="0" w:color="auto"/>
        <w:left w:val="none" w:sz="0" w:space="0" w:color="auto"/>
        <w:bottom w:val="none" w:sz="0" w:space="0" w:color="auto"/>
        <w:right w:val="none" w:sz="0" w:space="0" w:color="auto"/>
      </w:divBdr>
    </w:div>
    <w:div w:id="1897083621">
      <w:bodyDiv w:val="1"/>
      <w:marLeft w:val="0"/>
      <w:marRight w:val="0"/>
      <w:marTop w:val="0"/>
      <w:marBottom w:val="0"/>
      <w:divBdr>
        <w:top w:val="none" w:sz="0" w:space="0" w:color="auto"/>
        <w:left w:val="none" w:sz="0" w:space="0" w:color="auto"/>
        <w:bottom w:val="none" w:sz="0" w:space="0" w:color="auto"/>
        <w:right w:val="none" w:sz="0" w:space="0" w:color="auto"/>
      </w:divBdr>
    </w:div>
    <w:div w:id="1902208401">
      <w:bodyDiv w:val="1"/>
      <w:marLeft w:val="0"/>
      <w:marRight w:val="0"/>
      <w:marTop w:val="0"/>
      <w:marBottom w:val="0"/>
      <w:divBdr>
        <w:top w:val="none" w:sz="0" w:space="0" w:color="auto"/>
        <w:left w:val="none" w:sz="0" w:space="0" w:color="auto"/>
        <w:bottom w:val="none" w:sz="0" w:space="0" w:color="auto"/>
        <w:right w:val="none" w:sz="0" w:space="0" w:color="auto"/>
      </w:divBdr>
    </w:div>
    <w:div w:id="1912930975">
      <w:bodyDiv w:val="1"/>
      <w:marLeft w:val="0"/>
      <w:marRight w:val="0"/>
      <w:marTop w:val="0"/>
      <w:marBottom w:val="0"/>
      <w:divBdr>
        <w:top w:val="none" w:sz="0" w:space="0" w:color="auto"/>
        <w:left w:val="none" w:sz="0" w:space="0" w:color="auto"/>
        <w:bottom w:val="none" w:sz="0" w:space="0" w:color="auto"/>
        <w:right w:val="none" w:sz="0" w:space="0" w:color="auto"/>
      </w:divBdr>
    </w:div>
    <w:div w:id="1924022297">
      <w:bodyDiv w:val="1"/>
      <w:marLeft w:val="0"/>
      <w:marRight w:val="0"/>
      <w:marTop w:val="0"/>
      <w:marBottom w:val="0"/>
      <w:divBdr>
        <w:top w:val="none" w:sz="0" w:space="0" w:color="auto"/>
        <w:left w:val="none" w:sz="0" w:space="0" w:color="auto"/>
        <w:bottom w:val="none" w:sz="0" w:space="0" w:color="auto"/>
        <w:right w:val="none" w:sz="0" w:space="0" w:color="auto"/>
      </w:divBdr>
    </w:div>
    <w:div w:id="1925675528">
      <w:bodyDiv w:val="1"/>
      <w:marLeft w:val="0"/>
      <w:marRight w:val="0"/>
      <w:marTop w:val="0"/>
      <w:marBottom w:val="0"/>
      <w:divBdr>
        <w:top w:val="none" w:sz="0" w:space="0" w:color="auto"/>
        <w:left w:val="none" w:sz="0" w:space="0" w:color="auto"/>
        <w:bottom w:val="none" w:sz="0" w:space="0" w:color="auto"/>
        <w:right w:val="none" w:sz="0" w:space="0" w:color="auto"/>
      </w:divBdr>
    </w:div>
    <w:div w:id="1928687512">
      <w:bodyDiv w:val="1"/>
      <w:marLeft w:val="0"/>
      <w:marRight w:val="0"/>
      <w:marTop w:val="0"/>
      <w:marBottom w:val="0"/>
      <w:divBdr>
        <w:top w:val="none" w:sz="0" w:space="0" w:color="auto"/>
        <w:left w:val="none" w:sz="0" w:space="0" w:color="auto"/>
        <w:bottom w:val="none" w:sz="0" w:space="0" w:color="auto"/>
        <w:right w:val="none" w:sz="0" w:space="0" w:color="auto"/>
      </w:divBdr>
    </w:div>
    <w:div w:id="1956325906">
      <w:bodyDiv w:val="1"/>
      <w:marLeft w:val="0"/>
      <w:marRight w:val="0"/>
      <w:marTop w:val="0"/>
      <w:marBottom w:val="0"/>
      <w:divBdr>
        <w:top w:val="none" w:sz="0" w:space="0" w:color="auto"/>
        <w:left w:val="none" w:sz="0" w:space="0" w:color="auto"/>
        <w:bottom w:val="none" w:sz="0" w:space="0" w:color="auto"/>
        <w:right w:val="none" w:sz="0" w:space="0" w:color="auto"/>
      </w:divBdr>
    </w:div>
    <w:div w:id="1963994463">
      <w:bodyDiv w:val="1"/>
      <w:marLeft w:val="0"/>
      <w:marRight w:val="0"/>
      <w:marTop w:val="0"/>
      <w:marBottom w:val="0"/>
      <w:divBdr>
        <w:top w:val="none" w:sz="0" w:space="0" w:color="auto"/>
        <w:left w:val="none" w:sz="0" w:space="0" w:color="auto"/>
        <w:bottom w:val="none" w:sz="0" w:space="0" w:color="auto"/>
        <w:right w:val="none" w:sz="0" w:space="0" w:color="auto"/>
      </w:divBdr>
    </w:div>
    <w:div w:id="1981618562">
      <w:bodyDiv w:val="1"/>
      <w:marLeft w:val="0"/>
      <w:marRight w:val="0"/>
      <w:marTop w:val="0"/>
      <w:marBottom w:val="0"/>
      <w:divBdr>
        <w:top w:val="none" w:sz="0" w:space="0" w:color="auto"/>
        <w:left w:val="none" w:sz="0" w:space="0" w:color="auto"/>
        <w:bottom w:val="none" w:sz="0" w:space="0" w:color="auto"/>
        <w:right w:val="none" w:sz="0" w:space="0" w:color="auto"/>
      </w:divBdr>
    </w:div>
    <w:div w:id="1982228150">
      <w:bodyDiv w:val="1"/>
      <w:marLeft w:val="0"/>
      <w:marRight w:val="0"/>
      <w:marTop w:val="0"/>
      <w:marBottom w:val="0"/>
      <w:divBdr>
        <w:top w:val="none" w:sz="0" w:space="0" w:color="auto"/>
        <w:left w:val="none" w:sz="0" w:space="0" w:color="auto"/>
        <w:bottom w:val="none" w:sz="0" w:space="0" w:color="auto"/>
        <w:right w:val="none" w:sz="0" w:space="0" w:color="auto"/>
      </w:divBdr>
    </w:div>
    <w:div w:id="1992177002">
      <w:bodyDiv w:val="1"/>
      <w:marLeft w:val="0"/>
      <w:marRight w:val="0"/>
      <w:marTop w:val="0"/>
      <w:marBottom w:val="0"/>
      <w:divBdr>
        <w:top w:val="none" w:sz="0" w:space="0" w:color="auto"/>
        <w:left w:val="none" w:sz="0" w:space="0" w:color="auto"/>
        <w:bottom w:val="none" w:sz="0" w:space="0" w:color="auto"/>
        <w:right w:val="none" w:sz="0" w:space="0" w:color="auto"/>
      </w:divBdr>
    </w:div>
    <w:div w:id="1995639382">
      <w:bodyDiv w:val="1"/>
      <w:marLeft w:val="0"/>
      <w:marRight w:val="0"/>
      <w:marTop w:val="0"/>
      <w:marBottom w:val="0"/>
      <w:divBdr>
        <w:top w:val="none" w:sz="0" w:space="0" w:color="auto"/>
        <w:left w:val="none" w:sz="0" w:space="0" w:color="auto"/>
        <w:bottom w:val="none" w:sz="0" w:space="0" w:color="auto"/>
        <w:right w:val="none" w:sz="0" w:space="0" w:color="auto"/>
      </w:divBdr>
    </w:div>
    <w:div w:id="1996689847">
      <w:bodyDiv w:val="1"/>
      <w:marLeft w:val="0"/>
      <w:marRight w:val="0"/>
      <w:marTop w:val="0"/>
      <w:marBottom w:val="0"/>
      <w:divBdr>
        <w:top w:val="none" w:sz="0" w:space="0" w:color="auto"/>
        <w:left w:val="none" w:sz="0" w:space="0" w:color="auto"/>
        <w:bottom w:val="none" w:sz="0" w:space="0" w:color="auto"/>
        <w:right w:val="none" w:sz="0" w:space="0" w:color="auto"/>
      </w:divBdr>
    </w:div>
    <w:div w:id="2015254010">
      <w:bodyDiv w:val="1"/>
      <w:marLeft w:val="0"/>
      <w:marRight w:val="0"/>
      <w:marTop w:val="0"/>
      <w:marBottom w:val="0"/>
      <w:divBdr>
        <w:top w:val="none" w:sz="0" w:space="0" w:color="auto"/>
        <w:left w:val="none" w:sz="0" w:space="0" w:color="auto"/>
        <w:bottom w:val="none" w:sz="0" w:space="0" w:color="auto"/>
        <w:right w:val="none" w:sz="0" w:space="0" w:color="auto"/>
      </w:divBdr>
    </w:div>
    <w:div w:id="2027977711">
      <w:bodyDiv w:val="1"/>
      <w:marLeft w:val="0"/>
      <w:marRight w:val="0"/>
      <w:marTop w:val="0"/>
      <w:marBottom w:val="0"/>
      <w:divBdr>
        <w:top w:val="none" w:sz="0" w:space="0" w:color="auto"/>
        <w:left w:val="none" w:sz="0" w:space="0" w:color="auto"/>
        <w:bottom w:val="none" w:sz="0" w:space="0" w:color="auto"/>
        <w:right w:val="none" w:sz="0" w:space="0" w:color="auto"/>
      </w:divBdr>
    </w:div>
    <w:div w:id="2033067446">
      <w:bodyDiv w:val="1"/>
      <w:marLeft w:val="0"/>
      <w:marRight w:val="0"/>
      <w:marTop w:val="0"/>
      <w:marBottom w:val="0"/>
      <w:divBdr>
        <w:top w:val="none" w:sz="0" w:space="0" w:color="auto"/>
        <w:left w:val="none" w:sz="0" w:space="0" w:color="auto"/>
        <w:bottom w:val="none" w:sz="0" w:space="0" w:color="auto"/>
        <w:right w:val="none" w:sz="0" w:space="0" w:color="auto"/>
      </w:divBdr>
    </w:div>
    <w:div w:id="2037075445">
      <w:bodyDiv w:val="1"/>
      <w:marLeft w:val="0"/>
      <w:marRight w:val="0"/>
      <w:marTop w:val="0"/>
      <w:marBottom w:val="0"/>
      <w:divBdr>
        <w:top w:val="none" w:sz="0" w:space="0" w:color="auto"/>
        <w:left w:val="none" w:sz="0" w:space="0" w:color="auto"/>
        <w:bottom w:val="none" w:sz="0" w:space="0" w:color="auto"/>
        <w:right w:val="none" w:sz="0" w:space="0" w:color="auto"/>
      </w:divBdr>
    </w:div>
    <w:div w:id="2039546258">
      <w:bodyDiv w:val="1"/>
      <w:marLeft w:val="0"/>
      <w:marRight w:val="0"/>
      <w:marTop w:val="0"/>
      <w:marBottom w:val="0"/>
      <w:divBdr>
        <w:top w:val="none" w:sz="0" w:space="0" w:color="auto"/>
        <w:left w:val="none" w:sz="0" w:space="0" w:color="auto"/>
        <w:bottom w:val="none" w:sz="0" w:space="0" w:color="auto"/>
        <w:right w:val="none" w:sz="0" w:space="0" w:color="auto"/>
      </w:divBdr>
    </w:div>
    <w:div w:id="2049258654">
      <w:bodyDiv w:val="1"/>
      <w:marLeft w:val="0"/>
      <w:marRight w:val="0"/>
      <w:marTop w:val="0"/>
      <w:marBottom w:val="0"/>
      <w:divBdr>
        <w:top w:val="none" w:sz="0" w:space="0" w:color="auto"/>
        <w:left w:val="none" w:sz="0" w:space="0" w:color="auto"/>
        <w:bottom w:val="none" w:sz="0" w:space="0" w:color="auto"/>
        <w:right w:val="none" w:sz="0" w:space="0" w:color="auto"/>
      </w:divBdr>
    </w:div>
    <w:div w:id="2053726285">
      <w:bodyDiv w:val="1"/>
      <w:marLeft w:val="0"/>
      <w:marRight w:val="0"/>
      <w:marTop w:val="0"/>
      <w:marBottom w:val="0"/>
      <w:divBdr>
        <w:top w:val="none" w:sz="0" w:space="0" w:color="auto"/>
        <w:left w:val="none" w:sz="0" w:space="0" w:color="auto"/>
        <w:bottom w:val="none" w:sz="0" w:space="0" w:color="auto"/>
        <w:right w:val="none" w:sz="0" w:space="0" w:color="auto"/>
      </w:divBdr>
    </w:div>
    <w:div w:id="2067676430">
      <w:bodyDiv w:val="1"/>
      <w:marLeft w:val="0"/>
      <w:marRight w:val="0"/>
      <w:marTop w:val="0"/>
      <w:marBottom w:val="0"/>
      <w:divBdr>
        <w:top w:val="none" w:sz="0" w:space="0" w:color="auto"/>
        <w:left w:val="none" w:sz="0" w:space="0" w:color="auto"/>
        <w:bottom w:val="none" w:sz="0" w:space="0" w:color="auto"/>
        <w:right w:val="none" w:sz="0" w:space="0" w:color="auto"/>
      </w:divBdr>
    </w:div>
    <w:div w:id="2074960085">
      <w:bodyDiv w:val="1"/>
      <w:marLeft w:val="0"/>
      <w:marRight w:val="0"/>
      <w:marTop w:val="0"/>
      <w:marBottom w:val="0"/>
      <w:divBdr>
        <w:top w:val="none" w:sz="0" w:space="0" w:color="auto"/>
        <w:left w:val="none" w:sz="0" w:space="0" w:color="auto"/>
        <w:bottom w:val="none" w:sz="0" w:space="0" w:color="auto"/>
        <w:right w:val="none" w:sz="0" w:space="0" w:color="auto"/>
      </w:divBdr>
    </w:div>
    <w:div w:id="2078478927">
      <w:bodyDiv w:val="1"/>
      <w:marLeft w:val="0"/>
      <w:marRight w:val="0"/>
      <w:marTop w:val="0"/>
      <w:marBottom w:val="0"/>
      <w:divBdr>
        <w:top w:val="none" w:sz="0" w:space="0" w:color="auto"/>
        <w:left w:val="none" w:sz="0" w:space="0" w:color="auto"/>
        <w:bottom w:val="none" w:sz="0" w:space="0" w:color="auto"/>
        <w:right w:val="none" w:sz="0" w:space="0" w:color="auto"/>
      </w:divBdr>
    </w:div>
    <w:div w:id="2114283093">
      <w:bodyDiv w:val="1"/>
      <w:marLeft w:val="0"/>
      <w:marRight w:val="0"/>
      <w:marTop w:val="0"/>
      <w:marBottom w:val="0"/>
      <w:divBdr>
        <w:top w:val="none" w:sz="0" w:space="0" w:color="auto"/>
        <w:left w:val="none" w:sz="0" w:space="0" w:color="auto"/>
        <w:bottom w:val="none" w:sz="0" w:space="0" w:color="auto"/>
        <w:right w:val="none" w:sz="0" w:space="0" w:color="auto"/>
      </w:divBdr>
    </w:div>
    <w:div w:id="2126848702">
      <w:bodyDiv w:val="1"/>
      <w:marLeft w:val="0"/>
      <w:marRight w:val="0"/>
      <w:marTop w:val="0"/>
      <w:marBottom w:val="0"/>
      <w:divBdr>
        <w:top w:val="none" w:sz="0" w:space="0" w:color="auto"/>
        <w:left w:val="none" w:sz="0" w:space="0" w:color="auto"/>
        <w:bottom w:val="none" w:sz="0" w:space="0" w:color="auto"/>
        <w:right w:val="none" w:sz="0" w:space="0" w:color="auto"/>
      </w:divBdr>
    </w:div>
    <w:div w:id="2127263138">
      <w:bodyDiv w:val="1"/>
      <w:marLeft w:val="0"/>
      <w:marRight w:val="0"/>
      <w:marTop w:val="0"/>
      <w:marBottom w:val="0"/>
      <w:divBdr>
        <w:top w:val="none" w:sz="0" w:space="0" w:color="auto"/>
        <w:left w:val="none" w:sz="0" w:space="0" w:color="auto"/>
        <w:bottom w:val="none" w:sz="0" w:space="0" w:color="auto"/>
        <w:right w:val="none" w:sz="0" w:space="0" w:color="auto"/>
      </w:divBdr>
    </w:div>
    <w:div w:id="2130929603">
      <w:bodyDiv w:val="1"/>
      <w:marLeft w:val="0"/>
      <w:marRight w:val="0"/>
      <w:marTop w:val="0"/>
      <w:marBottom w:val="0"/>
      <w:divBdr>
        <w:top w:val="none" w:sz="0" w:space="0" w:color="auto"/>
        <w:left w:val="none" w:sz="0" w:space="0" w:color="auto"/>
        <w:bottom w:val="none" w:sz="0" w:space="0" w:color="auto"/>
        <w:right w:val="none" w:sz="0" w:space="0" w:color="auto"/>
      </w:divBdr>
    </w:div>
    <w:div w:id="2133741884">
      <w:bodyDiv w:val="1"/>
      <w:marLeft w:val="0"/>
      <w:marRight w:val="0"/>
      <w:marTop w:val="0"/>
      <w:marBottom w:val="0"/>
      <w:divBdr>
        <w:top w:val="none" w:sz="0" w:space="0" w:color="auto"/>
        <w:left w:val="none" w:sz="0" w:space="0" w:color="auto"/>
        <w:bottom w:val="none" w:sz="0" w:space="0" w:color="auto"/>
        <w:right w:val="none" w:sz="0" w:space="0" w:color="auto"/>
      </w:divBdr>
    </w:div>
    <w:div w:id="214322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ic.int" TargetMode="External"/><Relationship Id="rId18" Type="http://schemas.openxmlformats.org/officeDocument/2006/relationships/hyperlink" Target="http://www.pic.int" TargetMode="External"/><Relationship Id="rId26" Type="http://schemas.openxmlformats.org/officeDocument/2006/relationships/hyperlink" Target="http://www.pic.int" TargetMode="External"/><Relationship Id="rId39" Type="http://schemas.openxmlformats.org/officeDocument/2006/relationships/hyperlink" Target="mailto:pic@pic.int" TargetMode="External"/><Relationship Id="rId21" Type="http://schemas.openxmlformats.org/officeDocument/2006/relationships/hyperlink" Target="mailto:pic@brsmeas.org" TargetMode="External"/><Relationship Id="rId34" Type="http://schemas.openxmlformats.org/officeDocument/2006/relationships/hyperlink" Target="mailto:pic@fao.org" TargetMode="External"/><Relationship Id="rId42" Type="http://schemas.openxmlformats.org/officeDocument/2006/relationships/hyperlink" Target="mailto:pic@pic.int" TargetMode="External"/><Relationship Id="rId47" Type="http://schemas.openxmlformats.org/officeDocument/2006/relationships/header" Target="header3.xml"/><Relationship Id="rId50" Type="http://schemas.openxmlformats.org/officeDocument/2006/relationships/header" Target="header6.xml"/><Relationship Id="rId55" Type="http://schemas.openxmlformats.org/officeDocument/2006/relationships/header" Target="header9.xml"/><Relationship Id="rId63" Type="http://schemas.openxmlformats.org/officeDocument/2006/relationships/header" Target="header14.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ic@pic.int" TargetMode="External"/><Relationship Id="rId29" Type="http://schemas.openxmlformats.org/officeDocument/2006/relationships/hyperlink" Target="mailto:pic@pic.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c.int" TargetMode="External"/><Relationship Id="rId24" Type="http://schemas.openxmlformats.org/officeDocument/2006/relationships/hyperlink" Target="mailto:pic@pic.int" TargetMode="External"/><Relationship Id="rId32" Type="http://schemas.openxmlformats.org/officeDocument/2006/relationships/hyperlink" Target="http://www.pic.int" TargetMode="External"/><Relationship Id="rId37" Type="http://schemas.openxmlformats.org/officeDocument/2006/relationships/hyperlink" Target="http://www.pic.int" TargetMode="External"/><Relationship Id="rId40" Type="http://schemas.openxmlformats.org/officeDocument/2006/relationships/hyperlink" Target="mailto:pic@brsmeas.org" TargetMode="External"/><Relationship Id="rId45" Type="http://schemas.openxmlformats.org/officeDocument/2006/relationships/footer" Target="footer1.xml"/><Relationship Id="rId53" Type="http://schemas.openxmlformats.org/officeDocument/2006/relationships/footer" Target="footer2.xml"/><Relationship Id="rId58" Type="http://schemas.openxmlformats.org/officeDocument/2006/relationships/hyperlink" Target="http://www.pic.int/" TargetMode="External"/><Relationship Id="rId66"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yperlink" Target="mailto:pic@fao.org" TargetMode="External"/><Relationship Id="rId23" Type="http://schemas.openxmlformats.org/officeDocument/2006/relationships/hyperlink" Target="mailto:pic@fao.org" TargetMode="External"/><Relationship Id="rId28" Type="http://schemas.openxmlformats.org/officeDocument/2006/relationships/hyperlink" Target="mailto:pic@fao.org" TargetMode="External"/><Relationship Id="rId36" Type="http://schemas.openxmlformats.org/officeDocument/2006/relationships/hyperlink" Target="mailto:pic@brsmeas.org" TargetMode="External"/><Relationship Id="rId49" Type="http://schemas.openxmlformats.org/officeDocument/2006/relationships/header" Target="header5.xml"/><Relationship Id="rId57" Type="http://schemas.openxmlformats.org/officeDocument/2006/relationships/hyperlink" Target="http://www.pic.int/" TargetMode="External"/><Relationship Id="rId61" Type="http://schemas.openxmlformats.org/officeDocument/2006/relationships/header" Target="header12.xml"/><Relationship Id="rId10" Type="http://schemas.openxmlformats.org/officeDocument/2006/relationships/image" Target="media/image3.png"/><Relationship Id="rId19" Type="http://schemas.openxmlformats.org/officeDocument/2006/relationships/hyperlink" Target="mailto:pic@fao.org" TargetMode="External"/><Relationship Id="rId31" Type="http://schemas.openxmlformats.org/officeDocument/2006/relationships/hyperlink" Target="http://www.pic.int" TargetMode="External"/><Relationship Id="rId44" Type="http://schemas.openxmlformats.org/officeDocument/2006/relationships/header" Target="header1.xml"/><Relationship Id="rId52" Type="http://schemas.openxmlformats.org/officeDocument/2006/relationships/header" Target="header8.xml"/><Relationship Id="rId60" Type="http://schemas.openxmlformats.org/officeDocument/2006/relationships/header" Target="header11.xml"/><Relationship Id="rId65" Type="http://schemas.openxmlformats.org/officeDocument/2006/relationships/hyperlink" Target="http://www.pic.int/LaConvention/Produitschimiques/Recommand&#233;spourinscription/Chrysotile/tabid/1871/language/fr-CH/Default.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ic.int" TargetMode="External"/><Relationship Id="rId22" Type="http://schemas.openxmlformats.org/officeDocument/2006/relationships/hyperlink" Target="http://www.pic.int" TargetMode="External"/><Relationship Id="rId27" Type="http://schemas.openxmlformats.org/officeDocument/2006/relationships/hyperlink" Target="http://www.pic.int" TargetMode="External"/><Relationship Id="rId30" Type="http://schemas.openxmlformats.org/officeDocument/2006/relationships/hyperlink" Target="mailto:pic@brsmeas.org" TargetMode="External"/><Relationship Id="rId35" Type="http://schemas.openxmlformats.org/officeDocument/2006/relationships/hyperlink" Target="mailto:pic@pic.int" TargetMode="External"/><Relationship Id="rId43" Type="http://schemas.openxmlformats.org/officeDocument/2006/relationships/hyperlink" Target="mailto:pic@brsmeas.org" TargetMode="External"/><Relationship Id="rId48" Type="http://schemas.openxmlformats.org/officeDocument/2006/relationships/header" Target="header4.xml"/><Relationship Id="rId56" Type="http://schemas.openxmlformats.org/officeDocument/2006/relationships/hyperlink" Target="http://www.pic.int" TargetMode="External"/><Relationship Id="rId64" Type="http://schemas.openxmlformats.org/officeDocument/2006/relationships/hyperlink" Target="http://www.pic.int/LaConvention/Produitschimiques/Recommand&#233;spourinscription/Chrysotile/tabid/1871/language/fr-CH/Default.aspx"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hyperlink" Target="http://www.pic.int" TargetMode="External"/><Relationship Id="rId17" Type="http://schemas.openxmlformats.org/officeDocument/2006/relationships/hyperlink" Target="mailto:pic@brsmeas.org" TargetMode="External"/><Relationship Id="rId25" Type="http://schemas.openxmlformats.org/officeDocument/2006/relationships/hyperlink" Target="mailto:pic@brsmeas.org" TargetMode="External"/><Relationship Id="rId33" Type="http://schemas.openxmlformats.org/officeDocument/2006/relationships/hyperlink" Target="http://www.pic.int" TargetMode="External"/><Relationship Id="rId38" Type="http://schemas.openxmlformats.org/officeDocument/2006/relationships/hyperlink" Target="mailto:pic@fao.org" TargetMode="External"/><Relationship Id="rId46" Type="http://schemas.openxmlformats.org/officeDocument/2006/relationships/header" Target="header2.xml"/><Relationship Id="rId59" Type="http://schemas.openxmlformats.org/officeDocument/2006/relationships/header" Target="header10.xml"/><Relationship Id="rId67" Type="http://schemas.openxmlformats.org/officeDocument/2006/relationships/header" Target="header16.xml"/><Relationship Id="rId20" Type="http://schemas.openxmlformats.org/officeDocument/2006/relationships/hyperlink" Target="mailto:pic@pic.int" TargetMode="External"/><Relationship Id="rId41" Type="http://schemas.openxmlformats.org/officeDocument/2006/relationships/hyperlink" Target="mailto:pic@fao.org" TargetMode="External"/><Relationship Id="rId54" Type="http://schemas.openxmlformats.org/officeDocument/2006/relationships/hyperlink" Target="http://www.pic.int/tabid/1817/language/fr-CH/Default.aspx" TargetMode="External"/><Relationship Id="rId62" Type="http://schemas.openxmlformats.org/officeDocument/2006/relationships/header" Target="header13.xml"/></Relationships>
</file>

<file path=word/_rels/footnotes.xml.rels><?xml version="1.0" encoding="UTF-8" standalone="yes"?>
<Relationships xmlns="http://schemas.openxmlformats.org/package/2006/relationships"><Relationship Id="rId1" Type="http://schemas.openxmlformats.org/officeDocument/2006/relationships/hyperlink" Target="http://www.pic.int/tabid/1817/language/fr-CH/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32A88-C9A9-4603-8312-E2E15AEE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2399</TotalTime>
  <Pages>56</Pages>
  <Words>20194</Words>
  <Characters>115106</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PIC CIRCULAR XXVI– June December2007</vt:lpstr>
    </vt:vector>
  </TitlesOfParts>
  <Company>FAO of the UN</Company>
  <LinksUpToDate>false</LinksUpToDate>
  <CharactersWithSpaces>135030</CharactersWithSpaces>
  <SharedDoc>false</SharedDoc>
  <HLinks>
    <vt:vector size="582" baseType="variant">
      <vt:variant>
        <vt:i4>1245208</vt:i4>
      </vt:variant>
      <vt:variant>
        <vt:i4>351</vt:i4>
      </vt:variant>
      <vt:variant>
        <vt:i4>0</vt:i4>
      </vt:variant>
      <vt:variant>
        <vt:i4>5</vt:i4>
      </vt:variant>
      <vt:variant>
        <vt:lpwstr>http://www.pic.int/TheConvention/Chemicals/RecommendedtoCOP/Chrysotileasbestos/tabid/1186/language/en-US/Default.aspx</vt:lpwstr>
      </vt:variant>
      <vt:variant>
        <vt:lpwstr/>
      </vt:variant>
      <vt:variant>
        <vt:i4>1245208</vt:i4>
      </vt:variant>
      <vt:variant>
        <vt:i4>348</vt:i4>
      </vt:variant>
      <vt:variant>
        <vt:i4>0</vt:i4>
      </vt:variant>
      <vt:variant>
        <vt:i4>5</vt:i4>
      </vt:variant>
      <vt:variant>
        <vt:lpwstr>http://www.pic.int/TheConvention/Chemicals/RecommendedtoCOP/Chrysotileasbestos/tabid/1186/language/en-US/Default.aspx</vt:lpwstr>
      </vt:variant>
      <vt:variant>
        <vt:lpwstr/>
      </vt:variant>
      <vt:variant>
        <vt:i4>2424953</vt:i4>
      </vt:variant>
      <vt:variant>
        <vt:i4>345</vt:i4>
      </vt:variant>
      <vt:variant>
        <vt:i4>0</vt:i4>
      </vt:variant>
      <vt:variant>
        <vt:i4>5</vt:i4>
      </vt:variant>
      <vt:variant>
        <vt:lpwstr>http://www.pic.int/</vt:lpwstr>
      </vt:variant>
      <vt:variant>
        <vt:lpwstr/>
      </vt:variant>
      <vt:variant>
        <vt:i4>2424953</vt:i4>
      </vt:variant>
      <vt:variant>
        <vt:i4>342</vt:i4>
      </vt:variant>
      <vt:variant>
        <vt:i4>0</vt:i4>
      </vt:variant>
      <vt:variant>
        <vt:i4>5</vt:i4>
      </vt:variant>
      <vt:variant>
        <vt:lpwstr>http://www.pic.int/</vt:lpwstr>
      </vt:variant>
      <vt:variant>
        <vt:lpwstr/>
      </vt:variant>
      <vt:variant>
        <vt:i4>1048632</vt:i4>
      </vt:variant>
      <vt:variant>
        <vt:i4>338</vt:i4>
      </vt:variant>
      <vt:variant>
        <vt:i4>0</vt:i4>
      </vt:variant>
      <vt:variant>
        <vt:i4>5</vt:i4>
      </vt:variant>
      <vt:variant>
        <vt:lpwstr/>
      </vt:variant>
      <vt:variant>
        <vt:lpwstr>_Toc327357912</vt:lpwstr>
      </vt:variant>
      <vt:variant>
        <vt:i4>1048632</vt:i4>
      </vt:variant>
      <vt:variant>
        <vt:i4>335</vt:i4>
      </vt:variant>
      <vt:variant>
        <vt:i4>0</vt:i4>
      </vt:variant>
      <vt:variant>
        <vt:i4>5</vt:i4>
      </vt:variant>
      <vt:variant>
        <vt:lpwstr/>
      </vt:variant>
      <vt:variant>
        <vt:lpwstr>_Toc327357911</vt:lpwstr>
      </vt:variant>
      <vt:variant>
        <vt:i4>1048632</vt:i4>
      </vt:variant>
      <vt:variant>
        <vt:i4>332</vt:i4>
      </vt:variant>
      <vt:variant>
        <vt:i4>0</vt:i4>
      </vt:variant>
      <vt:variant>
        <vt:i4>5</vt:i4>
      </vt:variant>
      <vt:variant>
        <vt:lpwstr/>
      </vt:variant>
      <vt:variant>
        <vt:lpwstr>_Toc327357910</vt:lpwstr>
      </vt:variant>
      <vt:variant>
        <vt:i4>1114168</vt:i4>
      </vt:variant>
      <vt:variant>
        <vt:i4>329</vt:i4>
      </vt:variant>
      <vt:variant>
        <vt:i4>0</vt:i4>
      </vt:variant>
      <vt:variant>
        <vt:i4>5</vt:i4>
      </vt:variant>
      <vt:variant>
        <vt:lpwstr/>
      </vt:variant>
      <vt:variant>
        <vt:lpwstr>_Toc327357909</vt:lpwstr>
      </vt:variant>
      <vt:variant>
        <vt:i4>1114168</vt:i4>
      </vt:variant>
      <vt:variant>
        <vt:i4>326</vt:i4>
      </vt:variant>
      <vt:variant>
        <vt:i4>0</vt:i4>
      </vt:variant>
      <vt:variant>
        <vt:i4>5</vt:i4>
      </vt:variant>
      <vt:variant>
        <vt:lpwstr/>
      </vt:variant>
      <vt:variant>
        <vt:lpwstr>_Toc327357908</vt:lpwstr>
      </vt:variant>
      <vt:variant>
        <vt:i4>1114168</vt:i4>
      </vt:variant>
      <vt:variant>
        <vt:i4>323</vt:i4>
      </vt:variant>
      <vt:variant>
        <vt:i4>0</vt:i4>
      </vt:variant>
      <vt:variant>
        <vt:i4>5</vt:i4>
      </vt:variant>
      <vt:variant>
        <vt:lpwstr/>
      </vt:variant>
      <vt:variant>
        <vt:lpwstr>_Toc327357907</vt:lpwstr>
      </vt:variant>
      <vt:variant>
        <vt:i4>1114168</vt:i4>
      </vt:variant>
      <vt:variant>
        <vt:i4>320</vt:i4>
      </vt:variant>
      <vt:variant>
        <vt:i4>0</vt:i4>
      </vt:variant>
      <vt:variant>
        <vt:i4>5</vt:i4>
      </vt:variant>
      <vt:variant>
        <vt:lpwstr/>
      </vt:variant>
      <vt:variant>
        <vt:lpwstr>_Toc327357906</vt:lpwstr>
      </vt:variant>
      <vt:variant>
        <vt:i4>1114168</vt:i4>
      </vt:variant>
      <vt:variant>
        <vt:i4>317</vt:i4>
      </vt:variant>
      <vt:variant>
        <vt:i4>0</vt:i4>
      </vt:variant>
      <vt:variant>
        <vt:i4>5</vt:i4>
      </vt:variant>
      <vt:variant>
        <vt:lpwstr/>
      </vt:variant>
      <vt:variant>
        <vt:lpwstr>_Toc327357905</vt:lpwstr>
      </vt:variant>
      <vt:variant>
        <vt:i4>1114168</vt:i4>
      </vt:variant>
      <vt:variant>
        <vt:i4>314</vt:i4>
      </vt:variant>
      <vt:variant>
        <vt:i4>0</vt:i4>
      </vt:variant>
      <vt:variant>
        <vt:i4>5</vt:i4>
      </vt:variant>
      <vt:variant>
        <vt:lpwstr/>
      </vt:variant>
      <vt:variant>
        <vt:lpwstr>_Toc327357904</vt:lpwstr>
      </vt:variant>
      <vt:variant>
        <vt:i4>1114168</vt:i4>
      </vt:variant>
      <vt:variant>
        <vt:i4>311</vt:i4>
      </vt:variant>
      <vt:variant>
        <vt:i4>0</vt:i4>
      </vt:variant>
      <vt:variant>
        <vt:i4>5</vt:i4>
      </vt:variant>
      <vt:variant>
        <vt:lpwstr/>
      </vt:variant>
      <vt:variant>
        <vt:lpwstr>_Toc327357903</vt:lpwstr>
      </vt:variant>
      <vt:variant>
        <vt:i4>1114168</vt:i4>
      </vt:variant>
      <vt:variant>
        <vt:i4>308</vt:i4>
      </vt:variant>
      <vt:variant>
        <vt:i4>0</vt:i4>
      </vt:variant>
      <vt:variant>
        <vt:i4>5</vt:i4>
      </vt:variant>
      <vt:variant>
        <vt:lpwstr/>
      </vt:variant>
      <vt:variant>
        <vt:lpwstr>_Toc327357902</vt:lpwstr>
      </vt:variant>
      <vt:variant>
        <vt:i4>1114168</vt:i4>
      </vt:variant>
      <vt:variant>
        <vt:i4>305</vt:i4>
      </vt:variant>
      <vt:variant>
        <vt:i4>0</vt:i4>
      </vt:variant>
      <vt:variant>
        <vt:i4>5</vt:i4>
      </vt:variant>
      <vt:variant>
        <vt:lpwstr/>
      </vt:variant>
      <vt:variant>
        <vt:lpwstr>_Toc327357901</vt:lpwstr>
      </vt:variant>
      <vt:variant>
        <vt:i4>1114168</vt:i4>
      </vt:variant>
      <vt:variant>
        <vt:i4>302</vt:i4>
      </vt:variant>
      <vt:variant>
        <vt:i4>0</vt:i4>
      </vt:variant>
      <vt:variant>
        <vt:i4>5</vt:i4>
      </vt:variant>
      <vt:variant>
        <vt:lpwstr/>
      </vt:variant>
      <vt:variant>
        <vt:lpwstr>_Toc327357900</vt:lpwstr>
      </vt:variant>
      <vt:variant>
        <vt:i4>1572921</vt:i4>
      </vt:variant>
      <vt:variant>
        <vt:i4>299</vt:i4>
      </vt:variant>
      <vt:variant>
        <vt:i4>0</vt:i4>
      </vt:variant>
      <vt:variant>
        <vt:i4>5</vt:i4>
      </vt:variant>
      <vt:variant>
        <vt:lpwstr/>
      </vt:variant>
      <vt:variant>
        <vt:lpwstr>_Toc327357899</vt:lpwstr>
      </vt:variant>
      <vt:variant>
        <vt:i4>1572921</vt:i4>
      </vt:variant>
      <vt:variant>
        <vt:i4>296</vt:i4>
      </vt:variant>
      <vt:variant>
        <vt:i4>0</vt:i4>
      </vt:variant>
      <vt:variant>
        <vt:i4>5</vt:i4>
      </vt:variant>
      <vt:variant>
        <vt:lpwstr/>
      </vt:variant>
      <vt:variant>
        <vt:lpwstr>_Toc327357898</vt:lpwstr>
      </vt:variant>
      <vt:variant>
        <vt:i4>1572921</vt:i4>
      </vt:variant>
      <vt:variant>
        <vt:i4>293</vt:i4>
      </vt:variant>
      <vt:variant>
        <vt:i4>0</vt:i4>
      </vt:variant>
      <vt:variant>
        <vt:i4>5</vt:i4>
      </vt:variant>
      <vt:variant>
        <vt:lpwstr/>
      </vt:variant>
      <vt:variant>
        <vt:lpwstr>_Toc327357897</vt:lpwstr>
      </vt:variant>
      <vt:variant>
        <vt:i4>1572921</vt:i4>
      </vt:variant>
      <vt:variant>
        <vt:i4>290</vt:i4>
      </vt:variant>
      <vt:variant>
        <vt:i4>0</vt:i4>
      </vt:variant>
      <vt:variant>
        <vt:i4>5</vt:i4>
      </vt:variant>
      <vt:variant>
        <vt:lpwstr/>
      </vt:variant>
      <vt:variant>
        <vt:lpwstr>_Toc327357896</vt:lpwstr>
      </vt:variant>
      <vt:variant>
        <vt:i4>1572921</vt:i4>
      </vt:variant>
      <vt:variant>
        <vt:i4>287</vt:i4>
      </vt:variant>
      <vt:variant>
        <vt:i4>0</vt:i4>
      </vt:variant>
      <vt:variant>
        <vt:i4>5</vt:i4>
      </vt:variant>
      <vt:variant>
        <vt:lpwstr/>
      </vt:variant>
      <vt:variant>
        <vt:lpwstr>_Toc327357895</vt:lpwstr>
      </vt:variant>
      <vt:variant>
        <vt:i4>1572921</vt:i4>
      </vt:variant>
      <vt:variant>
        <vt:i4>284</vt:i4>
      </vt:variant>
      <vt:variant>
        <vt:i4>0</vt:i4>
      </vt:variant>
      <vt:variant>
        <vt:i4>5</vt:i4>
      </vt:variant>
      <vt:variant>
        <vt:lpwstr/>
      </vt:variant>
      <vt:variant>
        <vt:lpwstr>_Toc327357894</vt:lpwstr>
      </vt:variant>
      <vt:variant>
        <vt:i4>1572921</vt:i4>
      </vt:variant>
      <vt:variant>
        <vt:i4>281</vt:i4>
      </vt:variant>
      <vt:variant>
        <vt:i4>0</vt:i4>
      </vt:variant>
      <vt:variant>
        <vt:i4>5</vt:i4>
      </vt:variant>
      <vt:variant>
        <vt:lpwstr/>
      </vt:variant>
      <vt:variant>
        <vt:lpwstr>_Toc327357893</vt:lpwstr>
      </vt:variant>
      <vt:variant>
        <vt:i4>1572921</vt:i4>
      </vt:variant>
      <vt:variant>
        <vt:i4>278</vt:i4>
      </vt:variant>
      <vt:variant>
        <vt:i4>0</vt:i4>
      </vt:variant>
      <vt:variant>
        <vt:i4>5</vt:i4>
      </vt:variant>
      <vt:variant>
        <vt:lpwstr/>
      </vt:variant>
      <vt:variant>
        <vt:lpwstr>_Toc327357892</vt:lpwstr>
      </vt:variant>
      <vt:variant>
        <vt:i4>1572921</vt:i4>
      </vt:variant>
      <vt:variant>
        <vt:i4>275</vt:i4>
      </vt:variant>
      <vt:variant>
        <vt:i4>0</vt:i4>
      </vt:variant>
      <vt:variant>
        <vt:i4>5</vt:i4>
      </vt:variant>
      <vt:variant>
        <vt:lpwstr/>
      </vt:variant>
      <vt:variant>
        <vt:lpwstr>_Toc327357891</vt:lpwstr>
      </vt:variant>
      <vt:variant>
        <vt:i4>1572921</vt:i4>
      </vt:variant>
      <vt:variant>
        <vt:i4>272</vt:i4>
      </vt:variant>
      <vt:variant>
        <vt:i4>0</vt:i4>
      </vt:variant>
      <vt:variant>
        <vt:i4>5</vt:i4>
      </vt:variant>
      <vt:variant>
        <vt:lpwstr/>
      </vt:variant>
      <vt:variant>
        <vt:lpwstr>_Toc327357890</vt:lpwstr>
      </vt:variant>
      <vt:variant>
        <vt:i4>1638457</vt:i4>
      </vt:variant>
      <vt:variant>
        <vt:i4>269</vt:i4>
      </vt:variant>
      <vt:variant>
        <vt:i4>0</vt:i4>
      </vt:variant>
      <vt:variant>
        <vt:i4>5</vt:i4>
      </vt:variant>
      <vt:variant>
        <vt:lpwstr/>
      </vt:variant>
      <vt:variant>
        <vt:lpwstr>_Toc327357889</vt:lpwstr>
      </vt:variant>
      <vt:variant>
        <vt:i4>1638457</vt:i4>
      </vt:variant>
      <vt:variant>
        <vt:i4>266</vt:i4>
      </vt:variant>
      <vt:variant>
        <vt:i4>0</vt:i4>
      </vt:variant>
      <vt:variant>
        <vt:i4>5</vt:i4>
      </vt:variant>
      <vt:variant>
        <vt:lpwstr/>
      </vt:variant>
      <vt:variant>
        <vt:lpwstr>_Toc327357888</vt:lpwstr>
      </vt:variant>
      <vt:variant>
        <vt:i4>1638457</vt:i4>
      </vt:variant>
      <vt:variant>
        <vt:i4>263</vt:i4>
      </vt:variant>
      <vt:variant>
        <vt:i4>0</vt:i4>
      </vt:variant>
      <vt:variant>
        <vt:i4>5</vt:i4>
      </vt:variant>
      <vt:variant>
        <vt:lpwstr/>
      </vt:variant>
      <vt:variant>
        <vt:lpwstr>_Toc327357887</vt:lpwstr>
      </vt:variant>
      <vt:variant>
        <vt:i4>1638457</vt:i4>
      </vt:variant>
      <vt:variant>
        <vt:i4>260</vt:i4>
      </vt:variant>
      <vt:variant>
        <vt:i4>0</vt:i4>
      </vt:variant>
      <vt:variant>
        <vt:i4>5</vt:i4>
      </vt:variant>
      <vt:variant>
        <vt:lpwstr/>
      </vt:variant>
      <vt:variant>
        <vt:lpwstr>_Toc327357886</vt:lpwstr>
      </vt:variant>
      <vt:variant>
        <vt:i4>1638457</vt:i4>
      </vt:variant>
      <vt:variant>
        <vt:i4>257</vt:i4>
      </vt:variant>
      <vt:variant>
        <vt:i4>0</vt:i4>
      </vt:variant>
      <vt:variant>
        <vt:i4>5</vt:i4>
      </vt:variant>
      <vt:variant>
        <vt:lpwstr/>
      </vt:variant>
      <vt:variant>
        <vt:lpwstr>_Toc327357885</vt:lpwstr>
      </vt:variant>
      <vt:variant>
        <vt:i4>1638457</vt:i4>
      </vt:variant>
      <vt:variant>
        <vt:i4>254</vt:i4>
      </vt:variant>
      <vt:variant>
        <vt:i4>0</vt:i4>
      </vt:variant>
      <vt:variant>
        <vt:i4>5</vt:i4>
      </vt:variant>
      <vt:variant>
        <vt:lpwstr/>
      </vt:variant>
      <vt:variant>
        <vt:lpwstr>_Toc327357884</vt:lpwstr>
      </vt:variant>
      <vt:variant>
        <vt:i4>1638457</vt:i4>
      </vt:variant>
      <vt:variant>
        <vt:i4>251</vt:i4>
      </vt:variant>
      <vt:variant>
        <vt:i4>0</vt:i4>
      </vt:variant>
      <vt:variant>
        <vt:i4>5</vt:i4>
      </vt:variant>
      <vt:variant>
        <vt:lpwstr/>
      </vt:variant>
      <vt:variant>
        <vt:lpwstr>_Toc327357883</vt:lpwstr>
      </vt:variant>
      <vt:variant>
        <vt:i4>1638457</vt:i4>
      </vt:variant>
      <vt:variant>
        <vt:i4>248</vt:i4>
      </vt:variant>
      <vt:variant>
        <vt:i4>0</vt:i4>
      </vt:variant>
      <vt:variant>
        <vt:i4>5</vt:i4>
      </vt:variant>
      <vt:variant>
        <vt:lpwstr/>
      </vt:variant>
      <vt:variant>
        <vt:lpwstr>_Toc327357882</vt:lpwstr>
      </vt:variant>
      <vt:variant>
        <vt:i4>1638457</vt:i4>
      </vt:variant>
      <vt:variant>
        <vt:i4>245</vt:i4>
      </vt:variant>
      <vt:variant>
        <vt:i4>0</vt:i4>
      </vt:variant>
      <vt:variant>
        <vt:i4>5</vt:i4>
      </vt:variant>
      <vt:variant>
        <vt:lpwstr/>
      </vt:variant>
      <vt:variant>
        <vt:lpwstr>_Toc327357881</vt:lpwstr>
      </vt:variant>
      <vt:variant>
        <vt:i4>1638457</vt:i4>
      </vt:variant>
      <vt:variant>
        <vt:i4>242</vt:i4>
      </vt:variant>
      <vt:variant>
        <vt:i4>0</vt:i4>
      </vt:variant>
      <vt:variant>
        <vt:i4>5</vt:i4>
      </vt:variant>
      <vt:variant>
        <vt:lpwstr/>
      </vt:variant>
      <vt:variant>
        <vt:lpwstr>_Toc327357880</vt:lpwstr>
      </vt:variant>
      <vt:variant>
        <vt:i4>1441849</vt:i4>
      </vt:variant>
      <vt:variant>
        <vt:i4>239</vt:i4>
      </vt:variant>
      <vt:variant>
        <vt:i4>0</vt:i4>
      </vt:variant>
      <vt:variant>
        <vt:i4>5</vt:i4>
      </vt:variant>
      <vt:variant>
        <vt:lpwstr/>
      </vt:variant>
      <vt:variant>
        <vt:lpwstr>_Toc327357879</vt:lpwstr>
      </vt:variant>
      <vt:variant>
        <vt:i4>1441849</vt:i4>
      </vt:variant>
      <vt:variant>
        <vt:i4>236</vt:i4>
      </vt:variant>
      <vt:variant>
        <vt:i4>0</vt:i4>
      </vt:variant>
      <vt:variant>
        <vt:i4>5</vt:i4>
      </vt:variant>
      <vt:variant>
        <vt:lpwstr/>
      </vt:variant>
      <vt:variant>
        <vt:lpwstr>_Toc327357877</vt:lpwstr>
      </vt:variant>
      <vt:variant>
        <vt:i4>1441849</vt:i4>
      </vt:variant>
      <vt:variant>
        <vt:i4>233</vt:i4>
      </vt:variant>
      <vt:variant>
        <vt:i4>0</vt:i4>
      </vt:variant>
      <vt:variant>
        <vt:i4>5</vt:i4>
      </vt:variant>
      <vt:variant>
        <vt:lpwstr/>
      </vt:variant>
      <vt:variant>
        <vt:lpwstr>_Toc327357876</vt:lpwstr>
      </vt:variant>
      <vt:variant>
        <vt:i4>1441849</vt:i4>
      </vt:variant>
      <vt:variant>
        <vt:i4>230</vt:i4>
      </vt:variant>
      <vt:variant>
        <vt:i4>0</vt:i4>
      </vt:variant>
      <vt:variant>
        <vt:i4>5</vt:i4>
      </vt:variant>
      <vt:variant>
        <vt:lpwstr/>
      </vt:variant>
      <vt:variant>
        <vt:lpwstr>_Toc327357875</vt:lpwstr>
      </vt:variant>
      <vt:variant>
        <vt:i4>1441849</vt:i4>
      </vt:variant>
      <vt:variant>
        <vt:i4>227</vt:i4>
      </vt:variant>
      <vt:variant>
        <vt:i4>0</vt:i4>
      </vt:variant>
      <vt:variant>
        <vt:i4>5</vt:i4>
      </vt:variant>
      <vt:variant>
        <vt:lpwstr/>
      </vt:variant>
      <vt:variant>
        <vt:lpwstr>_Toc327357874</vt:lpwstr>
      </vt:variant>
      <vt:variant>
        <vt:i4>1441849</vt:i4>
      </vt:variant>
      <vt:variant>
        <vt:i4>224</vt:i4>
      </vt:variant>
      <vt:variant>
        <vt:i4>0</vt:i4>
      </vt:variant>
      <vt:variant>
        <vt:i4>5</vt:i4>
      </vt:variant>
      <vt:variant>
        <vt:lpwstr/>
      </vt:variant>
      <vt:variant>
        <vt:lpwstr>_Toc327357873</vt:lpwstr>
      </vt:variant>
      <vt:variant>
        <vt:i4>1441849</vt:i4>
      </vt:variant>
      <vt:variant>
        <vt:i4>221</vt:i4>
      </vt:variant>
      <vt:variant>
        <vt:i4>0</vt:i4>
      </vt:variant>
      <vt:variant>
        <vt:i4>5</vt:i4>
      </vt:variant>
      <vt:variant>
        <vt:lpwstr/>
      </vt:variant>
      <vt:variant>
        <vt:lpwstr>_Toc327357872</vt:lpwstr>
      </vt:variant>
      <vt:variant>
        <vt:i4>1441849</vt:i4>
      </vt:variant>
      <vt:variant>
        <vt:i4>218</vt:i4>
      </vt:variant>
      <vt:variant>
        <vt:i4>0</vt:i4>
      </vt:variant>
      <vt:variant>
        <vt:i4>5</vt:i4>
      </vt:variant>
      <vt:variant>
        <vt:lpwstr/>
      </vt:variant>
      <vt:variant>
        <vt:lpwstr>_Toc327357871</vt:lpwstr>
      </vt:variant>
      <vt:variant>
        <vt:i4>1441849</vt:i4>
      </vt:variant>
      <vt:variant>
        <vt:i4>215</vt:i4>
      </vt:variant>
      <vt:variant>
        <vt:i4>0</vt:i4>
      </vt:variant>
      <vt:variant>
        <vt:i4>5</vt:i4>
      </vt:variant>
      <vt:variant>
        <vt:lpwstr/>
      </vt:variant>
      <vt:variant>
        <vt:lpwstr>_Toc327357870</vt:lpwstr>
      </vt:variant>
      <vt:variant>
        <vt:i4>1507385</vt:i4>
      </vt:variant>
      <vt:variant>
        <vt:i4>212</vt:i4>
      </vt:variant>
      <vt:variant>
        <vt:i4>0</vt:i4>
      </vt:variant>
      <vt:variant>
        <vt:i4>5</vt:i4>
      </vt:variant>
      <vt:variant>
        <vt:lpwstr/>
      </vt:variant>
      <vt:variant>
        <vt:lpwstr>_Toc327357869</vt:lpwstr>
      </vt:variant>
      <vt:variant>
        <vt:i4>8323146</vt:i4>
      </vt:variant>
      <vt:variant>
        <vt:i4>207</vt:i4>
      </vt:variant>
      <vt:variant>
        <vt:i4>0</vt:i4>
      </vt:variant>
      <vt:variant>
        <vt:i4>5</vt:i4>
      </vt:variant>
      <vt:variant>
        <vt:lpwstr>mailto:pic@pic.int</vt:lpwstr>
      </vt:variant>
      <vt:variant>
        <vt:lpwstr/>
      </vt:variant>
      <vt:variant>
        <vt:i4>7340126</vt:i4>
      </vt:variant>
      <vt:variant>
        <vt:i4>204</vt:i4>
      </vt:variant>
      <vt:variant>
        <vt:i4>0</vt:i4>
      </vt:variant>
      <vt:variant>
        <vt:i4>5</vt:i4>
      </vt:variant>
      <vt:variant>
        <vt:lpwstr>mailto:pic@fao.org</vt:lpwstr>
      </vt:variant>
      <vt:variant>
        <vt:lpwstr/>
      </vt:variant>
      <vt:variant>
        <vt:i4>8323146</vt:i4>
      </vt:variant>
      <vt:variant>
        <vt:i4>201</vt:i4>
      </vt:variant>
      <vt:variant>
        <vt:i4>0</vt:i4>
      </vt:variant>
      <vt:variant>
        <vt:i4>5</vt:i4>
      </vt:variant>
      <vt:variant>
        <vt:lpwstr>mailto:pic@pic.int</vt:lpwstr>
      </vt:variant>
      <vt:variant>
        <vt:lpwstr/>
      </vt:variant>
      <vt:variant>
        <vt:i4>7340126</vt:i4>
      </vt:variant>
      <vt:variant>
        <vt:i4>198</vt:i4>
      </vt:variant>
      <vt:variant>
        <vt:i4>0</vt:i4>
      </vt:variant>
      <vt:variant>
        <vt:i4>5</vt:i4>
      </vt:variant>
      <vt:variant>
        <vt:lpwstr>mailto:pic@fao.org</vt:lpwstr>
      </vt:variant>
      <vt:variant>
        <vt:lpwstr/>
      </vt:variant>
      <vt:variant>
        <vt:i4>8323146</vt:i4>
      </vt:variant>
      <vt:variant>
        <vt:i4>195</vt:i4>
      </vt:variant>
      <vt:variant>
        <vt:i4>0</vt:i4>
      </vt:variant>
      <vt:variant>
        <vt:i4>5</vt:i4>
      </vt:variant>
      <vt:variant>
        <vt:lpwstr>mailto:pic@pic.int</vt:lpwstr>
      </vt:variant>
      <vt:variant>
        <vt:lpwstr/>
      </vt:variant>
      <vt:variant>
        <vt:i4>7340126</vt:i4>
      </vt:variant>
      <vt:variant>
        <vt:i4>192</vt:i4>
      </vt:variant>
      <vt:variant>
        <vt:i4>0</vt:i4>
      </vt:variant>
      <vt:variant>
        <vt:i4>5</vt:i4>
      </vt:variant>
      <vt:variant>
        <vt:lpwstr>mailto:pic@fao.org</vt:lpwstr>
      </vt:variant>
      <vt:variant>
        <vt:lpwstr/>
      </vt:variant>
      <vt:variant>
        <vt:i4>5570564</vt:i4>
      </vt:variant>
      <vt:variant>
        <vt:i4>189</vt:i4>
      </vt:variant>
      <vt:variant>
        <vt:i4>0</vt:i4>
      </vt:variant>
      <vt:variant>
        <vt:i4>5</vt:i4>
      </vt:variant>
      <vt:variant>
        <vt:lpwstr>../../AppData/Local/Microsoft/Windows/Temporary Internet Files/AppData/Local/Microsoft/Windows/AppData/Local/Microsoft/Windows/AppData/Roaming/Microsoft/AppData/Local/Microsoft/sblanc.CONVENTIONS/Local Settings/Temporary Internet Files/OLKD/www.pic.int</vt:lpwstr>
      </vt:variant>
      <vt:variant>
        <vt:lpwstr/>
      </vt:variant>
      <vt:variant>
        <vt:i4>3866625</vt:i4>
      </vt:variant>
      <vt:variant>
        <vt:i4>186</vt:i4>
      </vt:variant>
      <vt:variant>
        <vt:i4>0</vt:i4>
      </vt:variant>
      <vt:variant>
        <vt:i4>5</vt:i4>
      </vt:variant>
      <vt:variant>
        <vt:lpwstr>../../AppData/Local/Microsoft/Windows/Temporary Internet Files/AppData/Local/Microsoft/Windows/AppData/Local/Microsoft/Windows/AppData/Roaming/Microsoft/AppData/Local/Microsoft/Windows/Temporary Internet Files/2-Circular 31-XXXI/Final/pic@pic.int</vt:lpwstr>
      </vt:variant>
      <vt:variant>
        <vt:lpwstr/>
      </vt:variant>
      <vt:variant>
        <vt:i4>7340126</vt:i4>
      </vt:variant>
      <vt:variant>
        <vt:i4>183</vt:i4>
      </vt:variant>
      <vt:variant>
        <vt:i4>0</vt:i4>
      </vt:variant>
      <vt:variant>
        <vt:i4>5</vt:i4>
      </vt:variant>
      <vt:variant>
        <vt:lpwstr>mailto:pic@fao.org</vt:lpwstr>
      </vt:variant>
      <vt:variant>
        <vt:lpwstr/>
      </vt:variant>
      <vt:variant>
        <vt:i4>2424953</vt:i4>
      </vt:variant>
      <vt:variant>
        <vt:i4>180</vt:i4>
      </vt:variant>
      <vt:variant>
        <vt:i4>0</vt:i4>
      </vt:variant>
      <vt:variant>
        <vt:i4>5</vt:i4>
      </vt:variant>
      <vt:variant>
        <vt:lpwstr>http://www.pic.int/</vt:lpwstr>
      </vt:variant>
      <vt:variant>
        <vt:lpwstr/>
      </vt:variant>
      <vt:variant>
        <vt:i4>2424953</vt:i4>
      </vt:variant>
      <vt:variant>
        <vt:i4>177</vt:i4>
      </vt:variant>
      <vt:variant>
        <vt:i4>0</vt:i4>
      </vt:variant>
      <vt:variant>
        <vt:i4>5</vt:i4>
      </vt:variant>
      <vt:variant>
        <vt:lpwstr>http://www.pic.int/</vt:lpwstr>
      </vt:variant>
      <vt:variant>
        <vt:lpwstr/>
      </vt:variant>
      <vt:variant>
        <vt:i4>2424953</vt:i4>
      </vt:variant>
      <vt:variant>
        <vt:i4>174</vt:i4>
      </vt:variant>
      <vt:variant>
        <vt:i4>0</vt:i4>
      </vt:variant>
      <vt:variant>
        <vt:i4>5</vt:i4>
      </vt:variant>
      <vt:variant>
        <vt:lpwstr>http://www.pic.int/</vt:lpwstr>
      </vt:variant>
      <vt:variant>
        <vt:lpwstr/>
      </vt:variant>
      <vt:variant>
        <vt:i4>4587636</vt:i4>
      </vt:variant>
      <vt:variant>
        <vt:i4>171</vt:i4>
      </vt:variant>
      <vt:variant>
        <vt:i4>0</vt:i4>
      </vt:variant>
      <vt:variant>
        <vt:i4>5</vt:i4>
      </vt:variant>
      <vt:variant>
        <vt:lpwstr>../../AppData/Local/Microsoft/Windows/Temporary Internet Files/AppData/Local/Microsoft/Windows/AppData/Local/Microsoft/Windows/AppData/Roaming/Microsoft/AppData/Local/Microsoft/sblanc.CONVENTIONS/Local Settings/Temporary Internet Files/OLKD/pic@pic.int</vt:lpwstr>
      </vt:variant>
      <vt:variant>
        <vt:lpwstr/>
      </vt:variant>
      <vt:variant>
        <vt:i4>7340126</vt:i4>
      </vt:variant>
      <vt:variant>
        <vt:i4>168</vt:i4>
      </vt:variant>
      <vt:variant>
        <vt:i4>0</vt:i4>
      </vt:variant>
      <vt:variant>
        <vt:i4>5</vt:i4>
      </vt:variant>
      <vt:variant>
        <vt:lpwstr>mailto:pic@fao.org</vt:lpwstr>
      </vt:variant>
      <vt:variant>
        <vt:lpwstr/>
      </vt:variant>
      <vt:variant>
        <vt:i4>2424953</vt:i4>
      </vt:variant>
      <vt:variant>
        <vt:i4>165</vt:i4>
      </vt:variant>
      <vt:variant>
        <vt:i4>0</vt:i4>
      </vt:variant>
      <vt:variant>
        <vt:i4>5</vt:i4>
      </vt:variant>
      <vt:variant>
        <vt:lpwstr>http://www.pic.int/</vt:lpwstr>
      </vt:variant>
      <vt:variant>
        <vt:lpwstr/>
      </vt:variant>
      <vt:variant>
        <vt:i4>2424953</vt:i4>
      </vt:variant>
      <vt:variant>
        <vt:i4>162</vt:i4>
      </vt:variant>
      <vt:variant>
        <vt:i4>0</vt:i4>
      </vt:variant>
      <vt:variant>
        <vt:i4>5</vt:i4>
      </vt:variant>
      <vt:variant>
        <vt:lpwstr>http://www.pic.int/</vt:lpwstr>
      </vt:variant>
      <vt:variant>
        <vt:lpwstr/>
      </vt:variant>
      <vt:variant>
        <vt:i4>4587636</vt:i4>
      </vt:variant>
      <vt:variant>
        <vt:i4>159</vt:i4>
      </vt:variant>
      <vt:variant>
        <vt:i4>0</vt:i4>
      </vt:variant>
      <vt:variant>
        <vt:i4>5</vt:i4>
      </vt:variant>
      <vt:variant>
        <vt:lpwstr>../../AppData/Local/Microsoft/Windows/Temporary Internet Files/AppData/Local/Microsoft/Windows/AppData/Local/Microsoft/Windows/AppData/Roaming/Microsoft/AppData/Local/Microsoft/sblanc.CONVENTIONS/Local Settings/Temporary Internet Files/OLKD/pic@pic.int</vt:lpwstr>
      </vt:variant>
      <vt:variant>
        <vt:lpwstr/>
      </vt:variant>
      <vt:variant>
        <vt:i4>7340126</vt:i4>
      </vt:variant>
      <vt:variant>
        <vt:i4>156</vt:i4>
      </vt:variant>
      <vt:variant>
        <vt:i4>0</vt:i4>
      </vt:variant>
      <vt:variant>
        <vt:i4>5</vt:i4>
      </vt:variant>
      <vt:variant>
        <vt:lpwstr>mailto:pic@fao.org</vt:lpwstr>
      </vt:variant>
      <vt:variant>
        <vt:lpwstr/>
      </vt:variant>
      <vt:variant>
        <vt:i4>2424953</vt:i4>
      </vt:variant>
      <vt:variant>
        <vt:i4>153</vt:i4>
      </vt:variant>
      <vt:variant>
        <vt:i4>0</vt:i4>
      </vt:variant>
      <vt:variant>
        <vt:i4>5</vt:i4>
      </vt:variant>
      <vt:variant>
        <vt:lpwstr>http://www.pic.int/</vt:lpwstr>
      </vt:variant>
      <vt:variant>
        <vt:lpwstr/>
      </vt:variant>
      <vt:variant>
        <vt:i4>4587636</vt:i4>
      </vt:variant>
      <vt:variant>
        <vt:i4>150</vt:i4>
      </vt:variant>
      <vt:variant>
        <vt:i4>0</vt:i4>
      </vt:variant>
      <vt:variant>
        <vt:i4>5</vt:i4>
      </vt:variant>
      <vt:variant>
        <vt:lpwstr>../../AppData/Local/Microsoft/Windows/Temporary Internet Files/AppData/Local/Microsoft/Windows/AppData/Local/Microsoft/Windows/AppData/Roaming/Microsoft/AppData/Local/Microsoft/sblanc.CONVENTIONS/Local Settings/Temporary Internet Files/OLKD/pic@pic.int</vt:lpwstr>
      </vt:variant>
      <vt:variant>
        <vt:lpwstr/>
      </vt:variant>
      <vt:variant>
        <vt:i4>7340126</vt:i4>
      </vt:variant>
      <vt:variant>
        <vt:i4>147</vt:i4>
      </vt:variant>
      <vt:variant>
        <vt:i4>0</vt:i4>
      </vt:variant>
      <vt:variant>
        <vt:i4>5</vt:i4>
      </vt:variant>
      <vt:variant>
        <vt:lpwstr>mailto:pic@fao.org</vt:lpwstr>
      </vt:variant>
      <vt:variant>
        <vt:lpwstr/>
      </vt:variant>
      <vt:variant>
        <vt:i4>2424953</vt:i4>
      </vt:variant>
      <vt:variant>
        <vt:i4>144</vt:i4>
      </vt:variant>
      <vt:variant>
        <vt:i4>0</vt:i4>
      </vt:variant>
      <vt:variant>
        <vt:i4>5</vt:i4>
      </vt:variant>
      <vt:variant>
        <vt:lpwstr>http://www.pic.int/</vt:lpwstr>
      </vt:variant>
      <vt:variant>
        <vt:lpwstr/>
      </vt:variant>
      <vt:variant>
        <vt:i4>8323146</vt:i4>
      </vt:variant>
      <vt:variant>
        <vt:i4>141</vt:i4>
      </vt:variant>
      <vt:variant>
        <vt:i4>0</vt:i4>
      </vt:variant>
      <vt:variant>
        <vt:i4>5</vt:i4>
      </vt:variant>
      <vt:variant>
        <vt:lpwstr>mailto:pic@pic.int</vt:lpwstr>
      </vt:variant>
      <vt:variant>
        <vt:lpwstr/>
      </vt:variant>
      <vt:variant>
        <vt:i4>7340126</vt:i4>
      </vt:variant>
      <vt:variant>
        <vt:i4>138</vt:i4>
      </vt:variant>
      <vt:variant>
        <vt:i4>0</vt:i4>
      </vt:variant>
      <vt:variant>
        <vt:i4>5</vt:i4>
      </vt:variant>
      <vt:variant>
        <vt:lpwstr>mailto:pic@fao.org</vt:lpwstr>
      </vt:variant>
      <vt:variant>
        <vt:lpwstr/>
      </vt:variant>
      <vt:variant>
        <vt:i4>2424953</vt:i4>
      </vt:variant>
      <vt:variant>
        <vt:i4>135</vt:i4>
      </vt:variant>
      <vt:variant>
        <vt:i4>0</vt:i4>
      </vt:variant>
      <vt:variant>
        <vt:i4>5</vt:i4>
      </vt:variant>
      <vt:variant>
        <vt:lpwstr>http://www.pic.int/</vt:lpwstr>
      </vt:variant>
      <vt:variant>
        <vt:lpwstr/>
      </vt:variant>
      <vt:variant>
        <vt:i4>2424953</vt:i4>
      </vt:variant>
      <vt:variant>
        <vt:i4>132</vt:i4>
      </vt:variant>
      <vt:variant>
        <vt:i4>0</vt:i4>
      </vt:variant>
      <vt:variant>
        <vt:i4>5</vt:i4>
      </vt:variant>
      <vt:variant>
        <vt:lpwstr>http://www.pic.int/</vt:lpwstr>
      </vt:variant>
      <vt:variant>
        <vt:lpwstr/>
      </vt:variant>
      <vt:variant>
        <vt:i4>2424953</vt:i4>
      </vt:variant>
      <vt:variant>
        <vt:i4>129</vt:i4>
      </vt:variant>
      <vt:variant>
        <vt:i4>0</vt:i4>
      </vt:variant>
      <vt:variant>
        <vt:i4>5</vt:i4>
      </vt:variant>
      <vt:variant>
        <vt:lpwstr>http://www.pic.int/</vt:lpwstr>
      </vt:variant>
      <vt:variant>
        <vt:lpwstr/>
      </vt:variant>
      <vt:variant>
        <vt:i4>2424953</vt:i4>
      </vt:variant>
      <vt:variant>
        <vt:i4>126</vt:i4>
      </vt:variant>
      <vt:variant>
        <vt:i4>0</vt:i4>
      </vt:variant>
      <vt:variant>
        <vt:i4>5</vt:i4>
      </vt:variant>
      <vt:variant>
        <vt:lpwstr>http://www.pic.int/</vt:lpwstr>
      </vt:variant>
      <vt:variant>
        <vt:lpwstr/>
      </vt:variant>
      <vt:variant>
        <vt:i4>262269</vt:i4>
      </vt:variant>
      <vt:variant>
        <vt:i4>122</vt:i4>
      </vt:variant>
      <vt:variant>
        <vt:i4>0</vt:i4>
      </vt:variant>
      <vt:variant>
        <vt:i4>5</vt:i4>
      </vt:variant>
      <vt:variant>
        <vt:lpwstr>../../AppData/Local/Microsoft/Windows/AppData/Local/Microsoft/Windows/Temporary Internet Files/1-Circular 37-XXXVII-June 2013/Final/Circ37-EN.doc</vt:lpwstr>
      </vt:variant>
      <vt:variant>
        <vt:lpwstr>_Toc264537607</vt:lpwstr>
      </vt:variant>
      <vt:variant>
        <vt:i4>262269</vt:i4>
      </vt:variant>
      <vt:variant>
        <vt:i4>119</vt:i4>
      </vt:variant>
      <vt:variant>
        <vt:i4>0</vt:i4>
      </vt:variant>
      <vt:variant>
        <vt:i4>5</vt:i4>
      </vt:variant>
      <vt:variant>
        <vt:lpwstr>../../AppData/Local/Microsoft/Windows/AppData/Local/Microsoft/Windows/Temporary Internet Files/1-Circular 37-XXXVII-June 2013/Final/Circ37-EN.doc</vt:lpwstr>
      </vt:variant>
      <vt:variant>
        <vt:lpwstr>_Toc264537606</vt:lpwstr>
      </vt:variant>
      <vt:variant>
        <vt:i4>131198</vt:i4>
      </vt:variant>
      <vt:variant>
        <vt:i4>113</vt:i4>
      </vt:variant>
      <vt:variant>
        <vt:i4>0</vt:i4>
      </vt:variant>
      <vt:variant>
        <vt:i4>5</vt:i4>
      </vt:variant>
      <vt:variant>
        <vt:lpwstr>../../AppData/Local/Microsoft/Windows/AppData/Local/Microsoft/Windows/Temporary Internet Files/1-Circular 37-XXXVII-June 2013/Final/Circ37-EN.doc</vt:lpwstr>
      </vt:variant>
      <vt:variant>
        <vt:lpwstr>_Toc264537565</vt:lpwstr>
      </vt:variant>
      <vt:variant>
        <vt:i4>131198</vt:i4>
      </vt:variant>
      <vt:variant>
        <vt:i4>107</vt:i4>
      </vt:variant>
      <vt:variant>
        <vt:i4>0</vt:i4>
      </vt:variant>
      <vt:variant>
        <vt:i4>5</vt:i4>
      </vt:variant>
      <vt:variant>
        <vt:lpwstr>../../AppData/Local/Microsoft/Windows/AppData/Local/Microsoft/Windows/Temporary Internet Files/1-Circular 37-XXXVII-June 2013/Final/Circ37-EN.doc</vt:lpwstr>
      </vt:variant>
      <vt:variant>
        <vt:lpwstr>_Toc264537564</vt:lpwstr>
      </vt:variant>
      <vt:variant>
        <vt:i4>131198</vt:i4>
      </vt:variant>
      <vt:variant>
        <vt:i4>101</vt:i4>
      </vt:variant>
      <vt:variant>
        <vt:i4>0</vt:i4>
      </vt:variant>
      <vt:variant>
        <vt:i4>5</vt:i4>
      </vt:variant>
      <vt:variant>
        <vt:lpwstr>../../AppData/Local/Microsoft/Windows/AppData/Local/Microsoft/Windows/Temporary Internet Files/1-Circular 37-XXXVII-June 2013/Final/Circ37-EN.doc</vt:lpwstr>
      </vt:variant>
      <vt:variant>
        <vt:lpwstr>_Toc264537563</vt:lpwstr>
      </vt:variant>
      <vt:variant>
        <vt:i4>131198</vt:i4>
      </vt:variant>
      <vt:variant>
        <vt:i4>98</vt:i4>
      </vt:variant>
      <vt:variant>
        <vt:i4>0</vt:i4>
      </vt:variant>
      <vt:variant>
        <vt:i4>5</vt:i4>
      </vt:variant>
      <vt:variant>
        <vt:lpwstr>../../AppData/Local/Microsoft/Windows/AppData/Local/Microsoft/Windows/Temporary Internet Files/1-Circular 37-XXXVII-June 2013/Final/Circ37-EN.doc</vt:lpwstr>
      </vt:variant>
      <vt:variant>
        <vt:lpwstr>_Toc264537562</vt:lpwstr>
      </vt:variant>
      <vt:variant>
        <vt:i4>1441842</vt:i4>
      </vt:variant>
      <vt:variant>
        <vt:i4>92</vt:i4>
      </vt:variant>
      <vt:variant>
        <vt:i4>0</vt:i4>
      </vt:variant>
      <vt:variant>
        <vt:i4>5</vt:i4>
      </vt:variant>
      <vt:variant>
        <vt:lpwstr/>
      </vt:variant>
      <vt:variant>
        <vt:lpwstr>_Toc405375470</vt:lpwstr>
      </vt:variant>
      <vt:variant>
        <vt:i4>1507378</vt:i4>
      </vt:variant>
      <vt:variant>
        <vt:i4>86</vt:i4>
      </vt:variant>
      <vt:variant>
        <vt:i4>0</vt:i4>
      </vt:variant>
      <vt:variant>
        <vt:i4>5</vt:i4>
      </vt:variant>
      <vt:variant>
        <vt:lpwstr/>
      </vt:variant>
      <vt:variant>
        <vt:lpwstr>_Toc405375469</vt:lpwstr>
      </vt:variant>
      <vt:variant>
        <vt:i4>1507378</vt:i4>
      </vt:variant>
      <vt:variant>
        <vt:i4>80</vt:i4>
      </vt:variant>
      <vt:variant>
        <vt:i4>0</vt:i4>
      </vt:variant>
      <vt:variant>
        <vt:i4>5</vt:i4>
      </vt:variant>
      <vt:variant>
        <vt:lpwstr/>
      </vt:variant>
      <vt:variant>
        <vt:lpwstr>_Toc405375468</vt:lpwstr>
      </vt:variant>
      <vt:variant>
        <vt:i4>1507378</vt:i4>
      </vt:variant>
      <vt:variant>
        <vt:i4>74</vt:i4>
      </vt:variant>
      <vt:variant>
        <vt:i4>0</vt:i4>
      </vt:variant>
      <vt:variant>
        <vt:i4>5</vt:i4>
      </vt:variant>
      <vt:variant>
        <vt:lpwstr/>
      </vt:variant>
      <vt:variant>
        <vt:lpwstr>_Toc405375467</vt:lpwstr>
      </vt:variant>
      <vt:variant>
        <vt:i4>1507378</vt:i4>
      </vt:variant>
      <vt:variant>
        <vt:i4>68</vt:i4>
      </vt:variant>
      <vt:variant>
        <vt:i4>0</vt:i4>
      </vt:variant>
      <vt:variant>
        <vt:i4>5</vt:i4>
      </vt:variant>
      <vt:variant>
        <vt:lpwstr/>
      </vt:variant>
      <vt:variant>
        <vt:lpwstr>_Toc405375466</vt:lpwstr>
      </vt:variant>
      <vt:variant>
        <vt:i4>1507378</vt:i4>
      </vt:variant>
      <vt:variant>
        <vt:i4>62</vt:i4>
      </vt:variant>
      <vt:variant>
        <vt:i4>0</vt:i4>
      </vt:variant>
      <vt:variant>
        <vt:i4>5</vt:i4>
      </vt:variant>
      <vt:variant>
        <vt:lpwstr/>
      </vt:variant>
      <vt:variant>
        <vt:lpwstr>_Toc405375465</vt:lpwstr>
      </vt:variant>
      <vt:variant>
        <vt:i4>1507378</vt:i4>
      </vt:variant>
      <vt:variant>
        <vt:i4>56</vt:i4>
      </vt:variant>
      <vt:variant>
        <vt:i4>0</vt:i4>
      </vt:variant>
      <vt:variant>
        <vt:i4>5</vt:i4>
      </vt:variant>
      <vt:variant>
        <vt:lpwstr/>
      </vt:variant>
      <vt:variant>
        <vt:lpwstr>_Toc405375464</vt:lpwstr>
      </vt:variant>
      <vt:variant>
        <vt:i4>1507378</vt:i4>
      </vt:variant>
      <vt:variant>
        <vt:i4>50</vt:i4>
      </vt:variant>
      <vt:variant>
        <vt:i4>0</vt:i4>
      </vt:variant>
      <vt:variant>
        <vt:i4>5</vt:i4>
      </vt:variant>
      <vt:variant>
        <vt:lpwstr/>
      </vt:variant>
      <vt:variant>
        <vt:lpwstr>_Toc405375463</vt:lpwstr>
      </vt:variant>
      <vt:variant>
        <vt:i4>1507378</vt:i4>
      </vt:variant>
      <vt:variant>
        <vt:i4>44</vt:i4>
      </vt:variant>
      <vt:variant>
        <vt:i4>0</vt:i4>
      </vt:variant>
      <vt:variant>
        <vt:i4>5</vt:i4>
      </vt:variant>
      <vt:variant>
        <vt:lpwstr/>
      </vt:variant>
      <vt:variant>
        <vt:lpwstr>_Toc405375462</vt:lpwstr>
      </vt:variant>
      <vt:variant>
        <vt:i4>1507378</vt:i4>
      </vt:variant>
      <vt:variant>
        <vt:i4>38</vt:i4>
      </vt:variant>
      <vt:variant>
        <vt:i4>0</vt:i4>
      </vt:variant>
      <vt:variant>
        <vt:i4>5</vt:i4>
      </vt:variant>
      <vt:variant>
        <vt:lpwstr/>
      </vt:variant>
      <vt:variant>
        <vt:lpwstr>_Toc405375461</vt:lpwstr>
      </vt:variant>
      <vt:variant>
        <vt:i4>1507378</vt:i4>
      </vt:variant>
      <vt:variant>
        <vt:i4>32</vt:i4>
      </vt:variant>
      <vt:variant>
        <vt:i4>0</vt:i4>
      </vt:variant>
      <vt:variant>
        <vt:i4>5</vt:i4>
      </vt:variant>
      <vt:variant>
        <vt:lpwstr/>
      </vt:variant>
      <vt:variant>
        <vt:lpwstr>_Toc405375460</vt:lpwstr>
      </vt:variant>
      <vt:variant>
        <vt:i4>1310770</vt:i4>
      </vt:variant>
      <vt:variant>
        <vt:i4>26</vt:i4>
      </vt:variant>
      <vt:variant>
        <vt:i4>0</vt:i4>
      </vt:variant>
      <vt:variant>
        <vt:i4>5</vt:i4>
      </vt:variant>
      <vt:variant>
        <vt:lpwstr/>
      </vt:variant>
      <vt:variant>
        <vt:lpwstr>_Toc405375459</vt:lpwstr>
      </vt:variant>
      <vt:variant>
        <vt:i4>1310770</vt:i4>
      </vt:variant>
      <vt:variant>
        <vt:i4>20</vt:i4>
      </vt:variant>
      <vt:variant>
        <vt:i4>0</vt:i4>
      </vt:variant>
      <vt:variant>
        <vt:i4>5</vt:i4>
      </vt:variant>
      <vt:variant>
        <vt:lpwstr/>
      </vt:variant>
      <vt:variant>
        <vt:lpwstr>_Toc405375458</vt:lpwstr>
      </vt:variant>
      <vt:variant>
        <vt:i4>1310770</vt:i4>
      </vt:variant>
      <vt:variant>
        <vt:i4>14</vt:i4>
      </vt:variant>
      <vt:variant>
        <vt:i4>0</vt:i4>
      </vt:variant>
      <vt:variant>
        <vt:i4>5</vt:i4>
      </vt:variant>
      <vt:variant>
        <vt:lpwstr/>
      </vt:variant>
      <vt:variant>
        <vt:lpwstr>_Toc405375457</vt:lpwstr>
      </vt:variant>
      <vt:variant>
        <vt:i4>1310770</vt:i4>
      </vt:variant>
      <vt:variant>
        <vt:i4>8</vt:i4>
      </vt:variant>
      <vt:variant>
        <vt:i4>0</vt:i4>
      </vt:variant>
      <vt:variant>
        <vt:i4>5</vt:i4>
      </vt:variant>
      <vt:variant>
        <vt:lpwstr/>
      </vt:variant>
      <vt:variant>
        <vt:lpwstr>_Toc405375456</vt:lpwstr>
      </vt:variant>
      <vt:variant>
        <vt:i4>1310770</vt:i4>
      </vt:variant>
      <vt:variant>
        <vt:i4>2</vt:i4>
      </vt:variant>
      <vt:variant>
        <vt:i4>0</vt:i4>
      </vt:variant>
      <vt:variant>
        <vt:i4>5</vt:i4>
      </vt:variant>
      <vt:variant>
        <vt:lpwstr/>
      </vt:variant>
      <vt:variant>
        <vt:lpwstr>_Toc405375455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 CIRCULAR XXVI– June December2007</dc:title>
  <dc:creator>Tagliati, Elisabetta (AGPP)</dc:creator>
  <cp:lastModifiedBy>kei</cp:lastModifiedBy>
  <cp:revision>155</cp:revision>
  <cp:lastPrinted>2016-12-12T15:08:00Z</cp:lastPrinted>
  <dcterms:created xsi:type="dcterms:W3CDTF">2016-07-27T09:24:00Z</dcterms:created>
  <dcterms:modified xsi:type="dcterms:W3CDTF">2016-12-12T15:29:00Z</dcterms:modified>
</cp:coreProperties>
</file>