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B1" w:rsidRPr="00EB5B1D" w:rsidRDefault="00EE6CCC" w:rsidP="00BD5328">
      <w:pPr>
        <w:tabs>
          <w:tab w:val="left" w:pos="-270"/>
          <w:tab w:val="left" w:pos="7290"/>
        </w:tabs>
        <w:ind w:left="-270"/>
        <w:rPr>
          <w:b/>
          <w:snapToGrid w:val="0"/>
          <w:sz w:val="28"/>
          <w:szCs w:val="28"/>
          <w:lang w:val="en-GB"/>
        </w:rPr>
      </w:pPr>
      <w:r w:rsidRPr="00EB5B1D">
        <w:rPr>
          <w:noProof/>
          <w:lang w:val="en-GB" w:eastAsia="ja-JP"/>
        </w:rPr>
        <w:drawing>
          <wp:anchor distT="0" distB="0" distL="114300" distR="114300" simplePos="0" relativeHeight="251658240" behindDoc="0" locked="0" layoutInCell="1" allowOverlap="1" wp14:anchorId="7E7B7062" wp14:editId="60934AF9">
            <wp:simplePos x="0" y="0"/>
            <wp:positionH relativeFrom="column">
              <wp:posOffset>3963832</wp:posOffset>
            </wp:positionH>
            <wp:positionV relativeFrom="paragraph">
              <wp:posOffset>12700</wp:posOffset>
            </wp:positionV>
            <wp:extent cx="1724025"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24025" cy="771525"/>
                    </a:xfrm>
                    <a:prstGeom prst="rect">
                      <a:avLst/>
                    </a:prstGeom>
                  </pic:spPr>
                </pic:pic>
              </a:graphicData>
            </a:graphic>
            <wp14:sizeRelH relativeFrom="page">
              <wp14:pctWidth>0</wp14:pctWidth>
            </wp14:sizeRelH>
            <wp14:sizeRelV relativeFrom="page">
              <wp14:pctHeight>0</wp14:pctHeight>
            </wp14:sizeRelV>
          </wp:anchor>
        </w:drawing>
      </w:r>
      <w:r w:rsidR="00646D53" w:rsidRPr="00EB5B1D">
        <w:rPr>
          <w:noProof/>
          <w:lang w:eastAsia="ja-JP"/>
        </w:rPr>
        <w:t xml:space="preserve"> </w:t>
      </w:r>
      <w:r w:rsidR="00646D53" w:rsidRPr="00EB5B1D">
        <w:rPr>
          <w:b/>
          <w:noProof/>
          <w:snapToGrid w:val="0"/>
          <w:sz w:val="28"/>
          <w:szCs w:val="28"/>
          <w:lang w:val="en-GB" w:eastAsia="ja-JP"/>
        </w:rPr>
        <w:drawing>
          <wp:inline distT="0" distB="0" distL="0" distR="0" wp14:anchorId="0DB0178A" wp14:editId="3783BDE2">
            <wp:extent cx="3536950" cy="774700"/>
            <wp:effectExtent l="19050" t="0" r="6350" b="0"/>
            <wp:docPr id="3" name="Picture 3" descr="FAO_logo_Black_3lines_fr.png"/>
            <wp:cNvGraphicFramePr/>
            <a:graphic xmlns:a="http://schemas.openxmlformats.org/drawingml/2006/main">
              <a:graphicData uri="http://schemas.openxmlformats.org/drawingml/2006/picture">
                <pic:pic xmlns:pic="http://schemas.openxmlformats.org/drawingml/2006/picture">
                  <pic:nvPicPr>
                    <pic:cNvPr id="2" name="Picture 2" descr="FAO_logo_Black_3lines_fr.png"/>
                    <pic:cNvPicPr/>
                  </pic:nvPicPr>
                  <pic:blipFill>
                    <a:blip r:embed="rId10" cstate="print"/>
                    <a:stretch>
                      <a:fillRect/>
                    </a:stretch>
                  </pic:blipFill>
                  <pic:spPr>
                    <a:xfrm>
                      <a:off x="0" y="0"/>
                      <a:ext cx="3536950" cy="774700"/>
                    </a:xfrm>
                    <a:prstGeom prst="rect">
                      <a:avLst/>
                    </a:prstGeom>
                  </pic:spPr>
                </pic:pic>
              </a:graphicData>
            </a:graphic>
          </wp:inline>
        </w:drawing>
      </w:r>
      <w:r w:rsidR="00646D53" w:rsidRPr="00EB5B1D">
        <w:rPr>
          <w:noProof/>
          <w:lang w:eastAsia="ja-JP"/>
        </w:rPr>
        <w:tab/>
      </w:r>
    </w:p>
    <w:p w:rsidR="00A23AB1" w:rsidRPr="00EB5B1D" w:rsidRDefault="00A23AB1" w:rsidP="00A23AB1">
      <w:pPr>
        <w:jc w:val="center"/>
        <w:rPr>
          <w:b/>
          <w:snapToGrid w:val="0"/>
          <w:sz w:val="28"/>
          <w:szCs w:val="28"/>
          <w:lang w:val="en-GB"/>
        </w:rPr>
      </w:pPr>
    </w:p>
    <w:p w:rsidR="00A23AB1" w:rsidRPr="00EB5B1D" w:rsidRDefault="00A23AB1" w:rsidP="00A23AB1">
      <w:pPr>
        <w:jc w:val="center"/>
        <w:rPr>
          <w:b/>
          <w:snapToGrid w:val="0"/>
          <w:sz w:val="28"/>
          <w:szCs w:val="28"/>
          <w:lang w:val="en-GB"/>
        </w:rPr>
      </w:pPr>
    </w:p>
    <w:p w:rsidR="00A23AB1" w:rsidRPr="00EB5B1D" w:rsidRDefault="00A23AB1" w:rsidP="00A23AB1">
      <w:pPr>
        <w:jc w:val="center"/>
        <w:rPr>
          <w:b/>
          <w:snapToGrid w:val="0"/>
          <w:sz w:val="28"/>
          <w:szCs w:val="28"/>
          <w:lang w:val="en-GB"/>
        </w:rPr>
      </w:pPr>
    </w:p>
    <w:p w:rsidR="00A23AB1" w:rsidRPr="00EB5B1D" w:rsidRDefault="00A23AB1" w:rsidP="00A23AB1">
      <w:pPr>
        <w:jc w:val="center"/>
        <w:rPr>
          <w:b/>
          <w:snapToGrid w:val="0"/>
          <w:sz w:val="28"/>
          <w:szCs w:val="28"/>
          <w:lang w:val="en-GB"/>
        </w:rPr>
      </w:pPr>
    </w:p>
    <w:p w:rsidR="00A23AB1" w:rsidRPr="00EB5B1D" w:rsidRDefault="00A23AB1" w:rsidP="00A23AB1">
      <w:pPr>
        <w:jc w:val="center"/>
        <w:rPr>
          <w:b/>
          <w:snapToGrid w:val="0"/>
          <w:sz w:val="28"/>
          <w:szCs w:val="28"/>
          <w:lang w:val="en-GB"/>
        </w:rPr>
      </w:pPr>
    </w:p>
    <w:p w:rsidR="00A23AB1" w:rsidRPr="00EB5B1D" w:rsidRDefault="00A23AB1" w:rsidP="00A23AB1">
      <w:pPr>
        <w:jc w:val="center"/>
        <w:rPr>
          <w:b/>
          <w:snapToGrid w:val="0"/>
          <w:sz w:val="28"/>
          <w:szCs w:val="28"/>
          <w:lang w:val="en-GB"/>
        </w:rPr>
      </w:pPr>
    </w:p>
    <w:p w:rsidR="00A23AB1" w:rsidRPr="00EB5B1D" w:rsidRDefault="00A23AB1" w:rsidP="00A23AB1">
      <w:pPr>
        <w:jc w:val="center"/>
        <w:rPr>
          <w:b/>
          <w:snapToGrid w:val="0"/>
          <w:sz w:val="28"/>
          <w:szCs w:val="28"/>
          <w:lang w:val="en-GB"/>
        </w:rPr>
      </w:pPr>
    </w:p>
    <w:p w:rsidR="00A23AB1" w:rsidRPr="00EB5B1D" w:rsidRDefault="00A23AB1" w:rsidP="00A23AB1">
      <w:pPr>
        <w:jc w:val="center"/>
        <w:rPr>
          <w:b/>
          <w:snapToGrid w:val="0"/>
          <w:sz w:val="28"/>
          <w:szCs w:val="28"/>
          <w:lang w:val="en-GB"/>
        </w:rPr>
      </w:pPr>
    </w:p>
    <w:p w:rsidR="00A23AB1" w:rsidRPr="00EB5B1D" w:rsidRDefault="00A23AB1" w:rsidP="00A23AB1">
      <w:pPr>
        <w:jc w:val="center"/>
        <w:rPr>
          <w:b/>
          <w:snapToGrid w:val="0"/>
          <w:sz w:val="28"/>
          <w:szCs w:val="28"/>
          <w:lang w:val="en-GB"/>
        </w:rPr>
      </w:pPr>
    </w:p>
    <w:p w:rsidR="00A23AB1" w:rsidRPr="00EB5B1D" w:rsidRDefault="00A23AB1" w:rsidP="00A23AB1">
      <w:pPr>
        <w:jc w:val="center"/>
        <w:rPr>
          <w:b/>
          <w:snapToGrid w:val="0"/>
          <w:sz w:val="28"/>
          <w:szCs w:val="28"/>
          <w:lang w:val="en-GB"/>
        </w:rPr>
      </w:pPr>
    </w:p>
    <w:p w:rsidR="00EE6CCC" w:rsidRPr="00EB5B1D" w:rsidRDefault="00EE6CCC" w:rsidP="00A23AB1">
      <w:pPr>
        <w:jc w:val="center"/>
        <w:rPr>
          <w:b/>
          <w:snapToGrid w:val="0"/>
          <w:sz w:val="28"/>
          <w:szCs w:val="28"/>
          <w:lang w:val="en-GB"/>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A23AB1" w:rsidRPr="00EB5B1D">
        <w:trPr>
          <w:cantSplit/>
          <w:jc w:val="center"/>
        </w:trPr>
        <w:tc>
          <w:tcPr>
            <w:tcW w:w="9442" w:type="dxa"/>
            <w:tcBorders>
              <w:top w:val="double" w:sz="4" w:space="0" w:color="auto"/>
              <w:bottom w:val="double" w:sz="4" w:space="0" w:color="auto"/>
            </w:tcBorders>
          </w:tcPr>
          <w:p w:rsidR="00A23AB1" w:rsidRPr="00EB5B1D" w:rsidRDefault="00646D53" w:rsidP="007457F6">
            <w:pPr>
              <w:spacing w:before="120" w:after="120"/>
              <w:jc w:val="center"/>
              <w:rPr>
                <w:b/>
                <w:sz w:val="40"/>
                <w:lang w:val="fr-CH"/>
              </w:rPr>
            </w:pPr>
            <w:r w:rsidRPr="00EB5B1D">
              <w:rPr>
                <w:b/>
                <w:sz w:val="40"/>
                <w:lang w:val="fr-CH"/>
              </w:rPr>
              <w:t>CIRCULAR CFP</w:t>
            </w:r>
            <w:r w:rsidR="009B2CBE" w:rsidRPr="00EB5B1D">
              <w:rPr>
                <w:b/>
                <w:sz w:val="40"/>
                <w:lang w:val="fr-CH"/>
              </w:rPr>
              <w:t xml:space="preserve"> </w:t>
            </w:r>
            <w:r w:rsidR="007457F6" w:rsidRPr="00EB5B1D">
              <w:rPr>
                <w:b/>
                <w:sz w:val="40"/>
                <w:lang w:val="fr-CH"/>
              </w:rPr>
              <w:t>XL</w:t>
            </w:r>
            <w:r w:rsidR="00696A3F" w:rsidRPr="00EB5B1D">
              <w:rPr>
                <w:b/>
                <w:sz w:val="40"/>
                <w:lang w:val="fr-CH"/>
              </w:rPr>
              <w:t>V (</w:t>
            </w:r>
            <w:r w:rsidR="00D60DC0" w:rsidRPr="00EB5B1D">
              <w:rPr>
                <w:b/>
                <w:sz w:val="40"/>
                <w:lang w:val="fr-CH"/>
              </w:rPr>
              <w:t>4</w:t>
            </w:r>
            <w:r w:rsidR="00B37F43" w:rsidRPr="00EB5B1D">
              <w:rPr>
                <w:b/>
                <w:sz w:val="40"/>
                <w:lang w:val="fr-CH"/>
              </w:rPr>
              <w:t>5</w:t>
            </w:r>
            <w:r w:rsidR="00696A3F" w:rsidRPr="00EB5B1D">
              <w:rPr>
                <w:b/>
                <w:sz w:val="40"/>
                <w:lang w:val="fr-CH"/>
              </w:rPr>
              <w:t>)</w:t>
            </w:r>
            <w:r w:rsidR="009B2CBE" w:rsidRPr="00EB5B1D">
              <w:rPr>
                <w:b/>
                <w:sz w:val="40"/>
                <w:lang w:val="fr-CH"/>
              </w:rPr>
              <w:t xml:space="preserve"> </w:t>
            </w:r>
            <w:r w:rsidR="00A33C0E" w:rsidRPr="00EB5B1D">
              <w:rPr>
                <w:b/>
                <w:bCs/>
                <w:sz w:val="40"/>
                <w:szCs w:val="40"/>
                <w:lang w:val="es-ES_tradnl"/>
              </w:rPr>
              <w:t xml:space="preserve">– </w:t>
            </w:r>
            <w:r w:rsidR="007457F6" w:rsidRPr="00EB5B1D">
              <w:rPr>
                <w:b/>
                <w:sz w:val="40"/>
                <w:lang w:val="fr-CH"/>
              </w:rPr>
              <w:t>junio</w:t>
            </w:r>
            <w:r w:rsidRPr="00EB5B1D">
              <w:rPr>
                <w:b/>
                <w:sz w:val="40"/>
                <w:lang w:val="fr-CH"/>
              </w:rPr>
              <w:t xml:space="preserve"> de</w:t>
            </w:r>
            <w:r w:rsidR="009B2CBE" w:rsidRPr="00EB5B1D">
              <w:rPr>
                <w:b/>
                <w:sz w:val="40"/>
                <w:lang w:val="fr-CH"/>
              </w:rPr>
              <w:t xml:space="preserve"> 201</w:t>
            </w:r>
            <w:r w:rsidR="007457F6" w:rsidRPr="00EB5B1D">
              <w:rPr>
                <w:b/>
                <w:sz w:val="40"/>
                <w:lang w:val="fr-CH"/>
              </w:rPr>
              <w:t>7</w:t>
            </w:r>
          </w:p>
        </w:tc>
      </w:tr>
    </w:tbl>
    <w:p w:rsidR="00A23AB1" w:rsidRPr="00EB5B1D" w:rsidRDefault="00A23AB1"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EE6CCC" w:rsidRPr="00EB5B1D" w:rsidRDefault="00EE6CCC" w:rsidP="00A23AB1">
      <w:pPr>
        <w:jc w:val="center"/>
        <w:rPr>
          <w:b/>
          <w:snapToGrid w:val="0"/>
          <w:sz w:val="28"/>
          <w:szCs w:val="28"/>
          <w:lang w:val="fr-CH"/>
        </w:rPr>
      </w:pPr>
    </w:p>
    <w:p w:rsidR="00A23AB1" w:rsidRPr="00EB5B1D" w:rsidRDefault="00A23AB1" w:rsidP="00A23AB1">
      <w:pPr>
        <w:jc w:val="center"/>
        <w:rPr>
          <w:b/>
          <w:snapToGrid w:val="0"/>
          <w:sz w:val="28"/>
          <w:szCs w:val="28"/>
          <w:lang w:val="fr-CH"/>
        </w:rPr>
      </w:pPr>
    </w:p>
    <w:p w:rsidR="00147C6C" w:rsidRPr="00EB5B1D" w:rsidRDefault="00147C6C" w:rsidP="00A23AB1">
      <w:pPr>
        <w:jc w:val="center"/>
        <w:rPr>
          <w:b/>
          <w:snapToGrid w:val="0"/>
          <w:sz w:val="28"/>
          <w:szCs w:val="28"/>
          <w:lang w:val="fr-CH"/>
        </w:rPr>
      </w:pPr>
    </w:p>
    <w:tbl>
      <w:tblPr>
        <w:tblpPr w:leftFromText="180" w:rightFromText="180" w:vertAnchor="text" w:horzAnchor="margin" w:tblpY="2142"/>
        <w:tblW w:w="9348" w:type="dxa"/>
        <w:tblCellMar>
          <w:left w:w="48" w:type="dxa"/>
          <w:right w:w="60" w:type="dxa"/>
        </w:tblCellMar>
        <w:tblLook w:val="01E0" w:firstRow="1" w:lastRow="1" w:firstColumn="1" w:lastColumn="1" w:noHBand="0" w:noVBand="0"/>
      </w:tblPr>
      <w:tblGrid>
        <w:gridCol w:w="2607"/>
        <w:gridCol w:w="6741"/>
      </w:tblGrid>
      <w:tr w:rsidR="00147C6C" w:rsidRPr="00EB5B1D" w:rsidTr="00EB4A13">
        <w:trPr>
          <w:trHeight w:val="1610"/>
        </w:trPr>
        <w:tc>
          <w:tcPr>
            <w:tcW w:w="2607" w:type="dxa"/>
          </w:tcPr>
          <w:p w:rsidR="00147C6C" w:rsidRPr="00EB5B1D" w:rsidRDefault="00147C6C" w:rsidP="00EB4A13">
            <w:pPr>
              <w:pStyle w:val="Header"/>
              <w:jc w:val="center"/>
              <w:rPr>
                <w:lang w:val="en-GB"/>
              </w:rPr>
            </w:pPr>
            <w:r w:rsidRPr="00EB5B1D">
              <w:rPr>
                <w:noProof/>
                <w:lang w:val="en-GB" w:eastAsia="ja-JP"/>
              </w:rPr>
              <w:drawing>
                <wp:inline distT="0" distB="0" distL="0" distR="0" wp14:anchorId="54185C25" wp14:editId="4593D780">
                  <wp:extent cx="1567815" cy="1341755"/>
                  <wp:effectExtent l="19050" t="0" r="0" b="0"/>
                  <wp:docPr id="7" name="Picture 2"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bw"/>
                          <pic:cNvPicPr>
                            <a:picLocks noChangeAspect="1" noChangeArrowheads="1"/>
                          </pic:cNvPicPr>
                        </pic:nvPicPr>
                        <pic:blipFill>
                          <a:blip r:embed="rId11" cstate="print">
                            <a:grayscl/>
                          </a:blip>
                          <a:srcRect b="29214"/>
                          <a:stretch>
                            <a:fillRect/>
                          </a:stretch>
                        </pic:blipFill>
                        <pic:spPr bwMode="auto">
                          <a:xfrm>
                            <a:off x="0" y="0"/>
                            <a:ext cx="1567815" cy="1341755"/>
                          </a:xfrm>
                          <a:prstGeom prst="rect">
                            <a:avLst/>
                          </a:prstGeom>
                          <a:noFill/>
                          <a:ln w="9525">
                            <a:noFill/>
                            <a:miter lim="800000"/>
                            <a:headEnd/>
                            <a:tailEnd/>
                          </a:ln>
                        </pic:spPr>
                      </pic:pic>
                    </a:graphicData>
                  </a:graphic>
                </wp:inline>
              </w:drawing>
            </w:r>
          </w:p>
        </w:tc>
        <w:tc>
          <w:tcPr>
            <w:tcW w:w="6741" w:type="dxa"/>
          </w:tcPr>
          <w:p w:rsidR="00147C6C" w:rsidRPr="00EB5B1D" w:rsidRDefault="00147C6C" w:rsidP="00EB4A13">
            <w:pPr>
              <w:jc w:val="center"/>
              <w:rPr>
                <w:b/>
                <w:lang w:val="en-GB"/>
              </w:rPr>
            </w:pPr>
          </w:p>
          <w:p w:rsidR="00147C6C" w:rsidRPr="00EB5B1D" w:rsidRDefault="00147C6C" w:rsidP="00EB4A13">
            <w:pPr>
              <w:spacing w:line="360" w:lineRule="auto"/>
              <w:jc w:val="center"/>
              <w:rPr>
                <w:sz w:val="36"/>
                <w:szCs w:val="36"/>
                <w:lang w:val="fr-CH"/>
              </w:rPr>
            </w:pPr>
            <w:r w:rsidRPr="00EB5B1D">
              <w:rPr>
                <w:b/>
                <w:sz w:val="36"/>
                <w:szCs w:val="36"/>
                <w:lang w:val="fr-CH"/>
              </w:rPr>
              <w:t>CONVENIO DE ROTTERDAM</w:t>
            </w:r>
          </w:p>
          <w:p w:rsidR="00147C6C" w:rsidRPr="00EB5B1D" w:rsidRDefault="00147C6C" w:rsidP="00147C6C">
            <w:pPr>
              <w:pStyle w:val="Header"/>
              <w:jc w:val="center"/>
              <w:rPr>
                <w:lang w:val="fr-CH"/>
              </w:rPr>
            </w:pPr>
            <w:r w:rsidRPr="00EB5B1D">
              <w:rPr>
                <w:lang w:val="fr-CH"/>
              </w:rPr>
              <w:tab/>
              <w:t>SECRETARÍA PARA EL CONVENIO DE ROTTERDAM SOBRE EL PROCEDIMIENTO DE CONSENTIMIENTO FUNDAMENTADO PREVIO APLICABLE A CIERTOS PLAGUICIDAS Y PRODUCTOS QUÍMICOS PELIGROSOS</w:t>
            </w:r>
          </w:p>
          <w:p w:rsidR="00147C6C" w:rsidRPr="00EB5B1D" w:rsidRDefault="00147C6C" w:rsidP="00147C6C">
            <w:pPr>
              <w:pStyle w:val="Header"/>
              <w:jc w:val="center"/>
              <w:rPr>
                <w:lang w:val="en-GB"/>
              </w:rPr>
            </w:pPr>
            <w:r w:rsidRPr="00EB5B1D">
              <w:rPr>
                <w:lang w:val="en-GB"/>
              </w:rPr>
              <w:t>OBJETO DE COMERCIO INTERNACIONAL</w:t>
            </w:r>
          </w:p>
          <w:p w:rsidR="00147C6C" w:rsidRPr="00EB5B1D" w:rsidRDefault="00147C6C" w:rsidP="00EB4A13">
            <w:pPr>
              <w:pStyle w:val="Header"/>
              <w:jc w:val="center"/>
              <w:rPr>
                <w:lang w:val="en-GB"/>
              </w:rPr>
            </w:pPr>
          </w:p>
        </w:tc>
      </w:tr>
    </w:tbl>
    <w:p w:rsidR="00147C6C" w:rsidRPr="00EB5B1D" w:rsidRDefault="00147C6C" w:rsidP="00A23AB1">
      <w:pPr>
        <w:jc w:val="center"/>
        <w:rPr>
          <w:b/>
          <w:snapToGrid w:val="0"/>
          <w:sz w:val="28"/>
          <w:szCs w:val="28"/>
          <w:lang w:val="fr-CH"/>
        </w:rPr>
      </w:pPr>
    </w:p>
    <w:p w:rsidR="00147C6C" w:rsidRPr="00EB5B1D" w:rsidRDefault="00147C6C">
      <w:pPr>
        <w:rPr>
          <w:b/>
          <w:snapToGrid w:val="0"/>
          <w:sz w:val="28"/>
          <w:szCs w:val="28"/>
          <w:lang w:val="fr-CH"/>
        </w:rPr>
      </w:pPr>
      <w:r w:rsidRPr="00EB5B1D">
        <w:rPr>
          <w:b/>
          <w:snapToGrid w:val="0"/>
          <w:sz w:val="28"/>
          <w:szCs w:val="28"/>
          <w:lang w:val="fr-CH"/>
        </w:rPr>
        <w:br w:type="page"/>
      </w: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3B2EE5" w:rsidRPr="00EB5B1D" w:rsidTr="003B2EE5">
        <w:trPr>
          <w:cantSplit/>
          <w:jc w:val="center"/>
        </w:trPr>
        <w:tc>
          <w:tcPr>
            <w:tcW w:w="9435" w:type="dxa"/>
            <w:tcBorders>
              <w:top w:val="double" w:sz="4" w:space="0" w:color="auto"/>
              <w:bottom w:val="double" w:sz="4" w:space="0" w:color="auto"/>
            </w:tcBorders>
          </w:tcPr>
          <w:p w:rsidR="003B2EE5" w:rsidRPr="00EB5B1D" w:rsidRDefault="003B2EE5" w:rsidP="007457F6">
            <w:pPr>
              <w:spacing w:before="120" w:after="120"/>
              <w:jc w:val="center"/>
              <w:rPr>
                <w:b/>
                <w:sz w:val="40"/>
                <w:lang w:val="fr-CH"/>
              </w:rPr>
            </w:pPr>
            <w:r w:rsidRPr="00EB5B1D">
              <w:rPr>
                <w:b/>
                <w:snapToGrid w:val="0"/>
                <w:sz w:val="28"/>
                <w:szCs w:val="28"/>
                <w:lang w:val="fr-CH"/>
              </w:rPr>
              <w:lastRenderedPageBreak/>
              <w:br w:type="page"/>
            </w:r>
            <w:bookmarkStart w:id="0" w:name="_Toc514564665"/>
            <w:bookmarkStart w:id="1" w:name="_Toc514585594"/>
            <w:r w:rsidRPr="00EB5B1D">
              <w:rPr>
                <w:b/>
                <w:sz w:val="40"/>
                <w:lang w:val="fr-CH"/>
              </w:rPr>
              <w:t xml:space="preserve">CIRCULAR </w:t>
            </w:r>
            <w:bookmarkEnd w:id="0"/>
            <w:bookmarkEnd w:id="1"/>
            <w:r w:rsidR="00230078" w:rsidRPr="00EB5B1D">
              <w:rPr>
                <w:b/>
                <w:sz w:val="40"/>
                <w:lang w:val="fr-CH"/>
              </w:rPr>
              <w:t xml:space="preserve">CFP </w:t>
            </w:r>
            <w:r w:rsidR="007457F6" w:rsidRPr="00EB5B1D">
              <w:rPr>
                <w:b/>
                <w:sz w:val="40"/>
                <w:lang w:val="fr-CH"/>
              </w:rPr>
              <w:t>XLV (45</w:t>
            </w:r>
            <w:r w:rsidRPr="00EB5B1D">
              <w:rPr>
                <w:b/>
                <w:sz w:val="40"/>
                <w:lang w:val="fr-CH"/>
              </w:rPr>
              <w:t xml:space="preserve">) </w:t>
            </w:r>
            <w:r w:rsidR="00A33C0E" w:rsidRPr="00EB5B1D">
              <w:rPr>
                <w:b/>
                <w:bCs/>
                <w:sz w:val="40"/>
                <w:szCs w:val="40"/>
                <w:lang w:val="es-ES_tradnl"/>
              </w:rPr>
              <w:t xml:space="preserve">– </w:t>
            </w:r>
            <w:r w:rsidR="007457F6" w:rsidRPr="00EB5B1D">
              <w:rPr>
                <w:b/>
                <w:sz w:val="40"/>
                <w:lang w:val="fr-CH"/>
              </w:rPr>
              <w:t>junio</w:t>
            </w:r>
            <w:r w:rsidRPr="00EB5B1D">
              <w:rPr>
                <w:b/>
                <w:sz w:val="40"/>
                <w:lang w:val="fr-CH"/>
              </w:rPr>
              <w:t xml:space="preserve"> </w:t>
            </w:r>
            <w:r w:rsidR="00147C6C" w:rsidRPr="00EB5B1D">
              <w:rPr>
                <w:b/>
                <w:sz w:val="40"/>
                <w:lang w:val="fr-CH"/>
              </w:rPr>
              <w:t xml:space="preserve">de </w:t>
            </w:r>
            <w:r w:rsidRPr="00EB5B1D">
              <w:rPr>
                <w:b/>
                <w:sz w:val="40"/>
                <w:lang w:val="fr-CH"/>
              </w:rPr>
              <w:t>201</w:t>
            </w:r>
            <w:r w:rsidR="007457F6" w:rsidRPr="00EB5B1D">
              <w:rPr>
                <w:b/>
                <w:sz w:val="40"/>
                <w:lang w:val="fr-CH"/>
              </w:rPr>
              <w:t>7</w:t>
            </w:r>
          </w:p>
        </w:tc>
      </w:tr>
    </w:tbl>
    <w:p w:rsidR="003B2EE5" w:rsidRPr="00EB5B1D" w:rsidRDefault="003B2EE5" w:rsidP="003B2EE5">
      <w:pPr>
        <w:jc w:val="center"/>
        <w:rPr>
          <w:rFonts w:ascii="TimesNewRoman" w:hAnsi="TimesNewRoman" w:cs="TimesNewRoman"/>
          <w:sz w:val="32"/>
          <w:szCs w:val="32"/>
          <w:lang w:val="fr-CH"/>
        </w:rPr>
      </w:pPr>
    </w:p>
    <w:p w:rsidR="003B2EE5" w:rsidRPr="00EB5B1D" w:rsidRDefault="003B2EE5" w:rsidP="003B2EE5">
      <w:pPr>
        <w:jc w:val="center"/>
        <w:rPr>
          <w:rFonts w:ascii="TimesNewRoman" w:hAnsi="TimesNewRoman" w:cs="TimesNewRoman"/>
          <w:sz w:val="32"/>
          <w:szCs w:val="32"/>
          <w:lang w:val="fr-CH"/>
        </w:rPr>
      </w:pPr>
    </w:p>
    <w:p w:rsidR="009B2CBE" w:rsidRPr="00EB5B1D" w:rsidRDefault="00147C6C" w:rsidP="009B2CBE">
      <w:pPr>
        <w:jc w:val="center"/>
        <w:rPr>
          <w:b/>
          <w:snapToGrid w:val="0"/>
          <w:sz w:val="28"/>
          <w:szCs w:val="28"/>
          <w:lang w:val="en-GB"/>
        </w:rPr>
      </w:pPr>
      <w:r w:rsidRPr="00EB5B1D">
        <w:rPr>
          <w:b/>
          <w:snapToGrid w:val="0"/>
          <w:sz w:val="28"/>
          <w:szCs w:val="28"/>
          <w:lang w:val="en-GB"/>
        </w:rPr>
        <w:t>Índice</w:t>
      </w:r>
    </w:p>
    <w:p w:rsidR="009B2CBE" w:rsidRPr="00EB5B1D" w:rsidRDefault="009B2CBE" w:rsidP="009B2CBE">
      <w:pPr>
        <w:jc w:val="both"/>
        <w:outlineLvl w:val="0"/>
        <w:rPr>
          <w:b/>
          <w:snapToGrid w:val="0"/>
          <w:szCs w:val="22"/>
          <w:lang w:val="en-GB"/>
        </w:rPr>
      </w:pPr>
      <w:bookmarkStart w:id="2" w:name="_Toc184545450"/>
      <w:bookmarkStart w:id="3" w:name="_Toc184545115"/>
      <w:bookmarkStart w:id="4" w:name="_Toc168731332"/>
      <w:bookmarkStart w:id="5" w:name="_Toc137372030"/>
      <w:bookmarkStart w:id="6" w:name="_Toc89847722"/>
    </w:p>
    <w:bookmarkEnd w:id="2"/>
    <w:bookmarkEnd w:id="3"/>
    <w:bookmarkEnd w:id="4"/>
    <w:bookmarkEnd w:id="5"/>
    <w:bookmarkEnd w:id="6"/>
    <w:p w:rsidR="00BC3EAE" w:rsidRPr="00EB5B1D" w:rsidRDefault="00147C6C" w:rsidP="00703DBB">
      <w:pPr>
        <w:tabs>
          <w:tab w:val="left" w:pos="720"/>
          <w:tab w:val="right" w:leader="dot" w:pos="9540"/>
        </w:tabs>
        <w:snapToGrid w:val="0"/>
        <w:spacing w:after="60"/>
        <w:ind w:right="23"/>
        <w:rPr>
          <w:rFonts w:eastAsia="SimSun"/>
          <w:b/>
          <w:bCs/>
          <w:snapToGrid w:val="0"/>
          <w:szCs w:val="22"/>
          <w:u w:val="single"/>
          <w:lang w:val="en-GB" w:eastAsia="zh-CN"/>
        </w:rPr>
      </w:pPr>
      <w:r w:rsidRPr="00EB5B1D">
        <w:rPr>
          <w:rFonts w:eastAsia="SimSun"/>
          <w:b/>
          <w:bCs/>
          <w:snapToGrid w:val="0"/>
          <w:szCs w:val="22"/>
          <w:u w:val="single"/>
          <w:lang w:val="en-GB" w:eastAsia="zh-CN"/>
        </w:rPr>
        <w:t>INTRODUCCIÓN</w:t>
      </w:r>
    </w:p>
    <w:p w:rsidR="00D2359C" w:rsidRPr="00EB5B1D" w:rsidRDefault="002A573F" w:rsidP="00703DBB">
      <w:pPr>
        <w:pStyle w:val="TOC1"/>
        <w:snapToGrid w:val="0"/>
        <w:rPr>
          <w:rStyle w:val="Hyperlink"/>
          <w:color w:val="auto"/>
        </w:rPr>
      </w:pPr>
      <w:r w:rsidRPr="00EB5B1D">
        <w:rPr>
          <w:rFonts w:eastAsia="SimSun"/>
          <w:lang w:eastAsia="zh-CN"/>
        </w:rPr>
        <w:fldChar w:fldCharType="begin"/>
      </w:r>
      <w:r w:rsidR="009B2CBE" w:rsidRPr="00EB5B1D">
        <w:rPr>
          <w:rFonts w:eastAsia="SimSun"/>
          <w:lang w:eastAsia="zh-CN"/>
        </w:rPr>
        <w:instrText xml:space="preserve"> TOC \o "1-3" \h \z \u </w:instrText>
      </w:r>
      <w:r w:rsidRPr="00EB5B1D">
        <w:rPr>
          <w:rFonts w:eastAsia="SimSun"/>
          <w:lang w:eastAsia="zh-CN"/>
        </w:rPr>
        <w:fldChar w:fldCharType="separate"/>
      </w:r>
      <w:hyperlink w:anchor="_Toc484686614" w:history="1">
        <w:r w:rsidR="00D2359C" w:rsidRPr="00EB5B1D">
          <w:rPr>
            <w:rStyle w:val="Hyperlink"/>
            <w:color w:val="auto"/>
          </w:rPr>
          <w:t>1.</w:t>
        </w:r>
        <w:r w:rsidR="00D2359C" w:rsidRPr="00EB5B1D">
          <w:rPr>
            <w:rFonts w:eastAsiaTheme="minorEastAsia"/>
            <w:b w:val="0"/>
            <w:bCs w:val="0"/>
            <w:snapToGrid/>
            <w:lang w:val="en-US"/>
          </w:rPr>
          <w:tab/>
        </w:r>
        <w:r w:rsidR="00D2359C" w:rsidRPr="00EB5B1D">
          <w:rPr>
            <w:rStyle w:val="Hyperlink"/>
            <w:color w:val="auto"/>
          </w:rPr>
          <w:t>FINALIDAD DE LA CIRCULAR CFP</w:t>
        </w:r>
        <w:r w:rsidR="00D2359C" w:rsidRPr="00EB5B1D">
          <w:rPr>
            <w:webHidden/>
          </w:rPr>
          <w:tab/>
        </w:r>
        <w:r w:rsidR="00D2359C" w:rsidRPr="00EB5B1D">
          <w:rPr>
            <w:webHidden/>
          </w:rPr>
          <w:fldChar w:fldCharType="begin"/>
        </w:r>
        <w:r w:rsidR="00D2359C" w:rsidRPr="00EB5B1D">
          <w:rPr>
            <w:webHidden/>
          </w:rPr>
          <w:instrText xml:space="preserve"> PAGEREF _Toc484686614 \h </w:instrText>
        </w:r>
        <w:r w:rsidR="00D2359C" w:rsidRPr="00EB5B1D">
          <w:rPr>
            <w:webHidden/>
          </w:rPr>
        </w:r>
        <w:r w:rsidR="00D2359C" w:rsidRPr="00EB5B1D">
          <w:rPr>
            <w:webHidden/>
          </w:rPr>
          <w:fldChar w:fldCharType="separate"/>
        </w:r>
        <w:r w:rsidR="000F41F1">
          <w:rPr>
            <w:webHidden/>
          </w:rPr>
          <w:t>1</w:t>
        </w:r>
        <w:r w:rsidR="00D2359C" w:rsidRPr="00EB5B1D">
          <w:rPr>
            <w:webHidden/>
          </w:rPr>
          <w:fldChar w:fldCharType="end"/>
        </w:r>
      </w:hyperlink>
    </w:p>
    <w:p w:rsidR="00D2359C" w:rsidRPr="00EB5B1D" w:rsidRDefault="00D2359C" w:rsidP="00703DBB">
      <w:pPr>
        <w:snapToGrid w:val="0"/>
        <w:spacing w:after="60"/>
        <w:rPr>
          <w:rFonts w:eastAsiaTheme="minorEastAsia"/>
          <w:b/>
          <w:bCs/>
          <w:noProof/>
          <w:lang w:val="en-GB"/>
        </w:rPr>
      </w:pPr>
    </w:p>
    <w:p w:rsidR="00D2359C" w:rsidRPr="00EB5B1D" w:rsidRDefault="00FC4140" w:rsidP="00703DBB">
      <w:pPr>
        <w:pStyle w:val="TOC1"/>
        <w:snapToGrid w:val="0"/>
        <w:rPr>
          <w:rFonts w:eastAsiaTheme="minorEastAsia"/>
          <w:b w:val="0"/>
          <w:bCs w:val="0"/>
          <w:snapToGrid/>
          <w:lang w:val="en-US"/>
        </w:rPr>
      </w:pPr>
      <w:hyperlink w:anchor="_Toc484686615" w:history="1">
        <w:r w:rsidR="00D2359C" w:rsidRPr="00EB5B1D">
          <w:rPr>
            <w:rStyle w:val="Hyperlink"/>
            <w:color w:val="auto"/>
            <w:lang w:val="fr-CH"/>
          </w:rPr>
          <w:t>2.</w:t>
        </w:r>
        <w:r w:rsidR="00D2359C" w:rsidRPr="00EB5B1D">
          <w:rPr>
            <w:rFonts w:eastAsiaTheme="minorEastAsia"/>
            <w:b w:val="0"/>
            <w:bCs w:val="0"/>
            <w:snapToGrid/>
            <w:lang w:val="en-US"/>
          </w:rPr>
          <w:tab/>
        </w:r>
        <w:r w:rsidR="00D2359C" w:rsidRPr="00EB5B1D">
          <w:rPr>
            <w:rStyle w:val="Hyperlink"/>
            <w:color w:val="auto"/>
            <w:lang w:val="fr-CH"/>
          </w:rPr>
          <w:t xml:space="preserve">IMPLEMENTACIÓN DEL CONVENIO DE </w:t>
        </w:r>
        <w:r w:rsidR="007D514A" w:rsidRPr="00EB5B1D">
          <w:rPr>
            <w:rStyle w:val="Hyperlink"/>
            <w:color w:val="auto"/>
            <w:lang w:val="fr-CH"/>
          </w:rPr>
          <w:t>ROTTERDAM</w:t>
        </w:r>
        <w:r w:rsidR="00D2359C" w:rsidRPr="00EB5B1D">
          <w:rPr>
            <w:webHidden/>
          </w:rPr>
          <w:tab/>
        </w:r>
        <w:r w:rsidR="00D2359C" w:rsidRPr="00EB5B1D">
          <w:rPr>
            <w:webHidden/>
          </w:rPr>
          <w:fldChar w:fldCharType="begin"/>
        </w:r>
        <w:r w:rsidR="00D2359C" w:rsidRPr="00EB5B1D">
          <w:rPr>
            <w:webHidden/>
          </w:rPr>
          <w:instrText xml:space="preserve"> PAGEREF _Toc484686615 \h </w:instrText>
        </w:r>
        <w:r w:rsidR="00D2359C" w:rsidRPr="00EB5B1D">
          <w:rPr>
            <w:webHidden/>
          </w:rPr>
        </w:r>
        <w:r w:rsidR="00D2359C" w:rsidRPr="00EB5B1D">
          <w:rPr>
            <w:webHidden/>
          </w:rPr>
          <w:fldChar w:fldCharType="separate"/>
        </w:r>
        <w:r w:rsidR="000F41F1">
          <w:rPr>
            <w:webHidden/>
          </w:rPr>
          <w:t>1</w:t>
        </w:r>
        <w:r w:rsidR="00D2359C" w:rsidRPr="00EB5B1D">
          <w:rPr>
            <w:webHidden/>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6" w:history="1">
        <w:r w:rsidR="00D2359C" w:rsidRPr="00EB5B1D">
          <w:rPr>
            <w:rStyle w:val="Hyperlink"/>
            <w:rFonts w:ascii="Times New Roman" w:hAnsi="Times New Roman" w:cs="Times New Roman"/>
            <w:color w:val="auto"/>
            <w:sz w:val="22"/>
            <w:szCs w:val="22"/>
            <w:lang w:val="fr-CH"/>
          </w:rPr>
          <w:t>2.1</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fr-CH"/>
          </w:rPr>
          <w:t>Autoridades Nacionales Designadas (artículo 4)</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_Toc484686616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1</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7" w:history="1">
        <w:r w:rsidR="00D2359C" w:rsidRPr="00EB5B1D">
          <w:rPr>
            <w:rStyle w:val="Hyperlink"/>
            <w:rFonts w:ascii="Times New Roman" w:hAnsi="Times New Roman" w:cs="Times New Roman"/>
            <w:color w:val="auto"/>
            <w:sz w:val="22"/>
            <w:szCs w:val="22"/>
            <w:lang w:val="fr-CH"/>
          </w:rPr>
          <w:t>2.2</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fr-CH"/>
          </w:rPr>
          <w:t>Notificaciones de medida reglamentaria firme para prohibir o restringir rigurosamente un producto químico (artículo 5)</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_Toc484686617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1</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8" w:history="1">
        <w:r w:rsidR="00D2359C" w:rsidRPr="00EB5B1D">
          <w:rPr>
            <w:rStyle w:val="Hyperlink"/>
            <w:rFonts w:ascii="Times New Roman" w:hAnsi="Times New Roman" w:cs="Times New Roman"/>
            <w:color w:val="auto"/>
            <w:sz w:val="22"/>
            <w:szCs w:val="22"/>
            <w:lang w:val="fr-CH"/>
          </w:rPr>
          <w:t>2.3</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es-ES_tradnl"/>
          </w:rPr>
          <w:t>Propuestas de inclusión de formulaciones de plaguicidas extremadamente peligrosas (artículo 6)</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_Toc484686618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2</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9" w:history="1">
        <w:r w:rsidR="00D2359C" w:rsidRPr="00EB5B1D">
          <w:rPr>
            <w:rStyle w:val="Hyperlink"/>
            <w:rFonts w:ascii="Times New Roman" w:hAnsi="Times New Roman" w:cs="Times New Roman"/>
            <w:color w:val="auto"/>
            <w:sz w:val="22"/>
            <w:szCs w:val="22"/>
            <w:lang w:val="fr-CH"/>
          </w:rPr>
          <w:t>2.4</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es-ES_tradnl"/>
          </w:rPr>
          <w:t>Productos químicos sujetos al procedimiento de CFP y distribución de los documentos de orientación para la adopción de decisiones (artículo 7)</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_Toc484686619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3</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0" w:history="1">
        <w:r w:rsidR="00D2359C" w:rsidRPr="00EB5B1D">
          <w:rPr>
            <w:rStyle w:val="Hyperlink"/>
            <w:rFonts w:ascii="Times New Roman" w:hAnsi="Times New Roman" w:cs="Times New Roman"/>
            <w:color w:val="auto"/>
            <w:sz w:val="22"/>
            <w:szCs w:val="22"/>
            <w:lang w:val="fr-CH"/>
          </w:rPr>
          <w:t>2.5</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es-ES_tradnl"/>
          </w:rPr>
          <w:t>Notificaciones de exportación (artículo 1</w:t>
        </w:r>
        <w:bookmarkStart w:id="7" w:name="_GoBack"/>
        <w:bookmarkEnd w:id="7"/>
        <w:r w:rsidR="00D2359C" w:rsidRPr="00EB5B1D">
          <w:rPr>
            <w:rStyle w:val="Hyperlink"/>
            <w:rFonts w:ascii="Times New Roman" w:hAnsi="Times New Roman" w:cs="Times New Roman"/>
            <w:color w:val="auto"/>
            <w:sz w:val="22"/>
            <w:szCs w:val="22"/>
            <w:lang w:val="es-ES_tradnl"/>
          </w:rPr>
          <w:t>2)</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_Toc484686620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3</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1" w:history="1">
        <w:r w:rsidR="00D2359C" w:rsidRPr="00EB5B1D">
          <w:rPr>
            <w:rStyle w:val="Hyperlink"/>
            <w:rFonts w:ascii="Times New Roman" w:hAnsi="Times New Roman" w:cs="Times New Roman"/>
            <w:color w:val="auto"/>
            <w:sz w:val="22"/>
            <w:szCs w:val="22"/>
            <w:lang w:val="fr-CH"/>
          </w:rPr>
          <w:t>2.6</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es-ES_tradnl"/>
          </w:rPr>
          <w:t>Información que deberá adjuntarse a los productos químicos importados (párrafo 1, artículo 13)</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_Toc484686621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4</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2" w:history="1">
        <w:r w:rsidR="00D2359C" w:rsidRPr="00EB5B1D">
          <w:rPr>
            <w:rStyle w:val="Hyperlink"/>
            <w:rFonts w:ascii="Times New Roman" w:hAnsi="Times New Roman" w:cs="Times New Roman"/>
            <w:color w:val="auto"/>
            <w:sz w:val="22"/>
            <w:szCs w:val="22"/>
            <w:lang w:val="fr-CH"/>
          </w:rPr>
          <w:t>2.7</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es-ES_tradnl"/>
          </w:rPr>
          <w:t>Envío de una respuesta relativa a las importaciones futuras de un producto químico (párrafos 2, 3 y 4 del artículo 10)</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_Toc484686622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4</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3" w:history="1">
        <w:r w:rsidR="00D2359C" w:rsidRPr="00EB5B1D">
          <w:rPr>
            <w:rStyle w:val="Hyperlink"/>
            <w:rFonts w:ascii="Times New Roman" w:hAnsi="Times New Roman" w:cs="Times New Roman"/>
            <w:color w:val="auto"/>
            <w:sz w:val="22"/>
            <w:szCs w:val="22"/>
            <w:lang w:val="fr-CH"/>
          </w:rPr>
          <w:t>2.8</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es-ES_tradnl"/>
          </w:rPr>
          <w:t>Información sobre las respuestas recibidas relativas a importaciones futuras de un producto químico (párrafo 10 del artículo 10 y párrafo 2 del artículo 11)</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_Toc484686623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5</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4" w:history="1">
        <w:r w:rsidR="00D2359C" w:rsidRPr="00EB5B1D">
          <w:rPr>
            <w:rStyle w:val="Hyperlink"/>
            <w:rFonts w:ascii="Times New Roman" w:hAnsi="Times New Roman" w:cs="Times New Roman"/>
            <w:color w:val="auto"/>
            <w:sz w:val="22"/>
            <w:szCs w:val="22"/>
            <w:lang w:val="fr-CH"/>
          </w:rPr>
          <w:t>2.9</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kern w:val="32"/>
            <w:sz w:val="22"/>
            <w:szCs w:val="22"/>
            <w:lang w:val="es-ES_tradnl"/>
          </w:rPr>
          <w:t>Intercambio de información sobre productos químicos recomendados por el Comité de Examen de Productos Químicos para su inclusión en el anexo III y para los que las Partes tienen todavía que tomar</w:t>
        </w:r>
        <w:r w:rsidR="004A3F0D">
          <w:rPr>
            <w:rStyle w:val="Hyperlink"/>
            <w:rFonts w:ascii="Times New Roman" w:hAnsi="Times New Roman" w:cs="Times New Roman"/>
            <w:color w:val="auto"/>
            <w:kern w:val="32"/>
            <w:sz w:val="22"/>
            <w:szCs w:val="22"/>
            <w:lang w:val="es-ES_tradnl"/>
          </w:rPr>
          <w:t xml:space="preserve"> una decisión final (decisiones</w:t>
        </w:r>
        <w:r w:rsidR="00D2359C" w:rsidRPr="00EB5B1D">
          <w:rPr>
            <w:rStyle w:val="Hyperlink"/>
            <w:rFonts w:ascii="Times New Roman" w:hAnsi="Times New Roman" w:cs="Times New Roman"/>
            <w:color w:val="auto"/>
            <w:kern w:val="32"/>
            <w:sz w:val="22"/>
            <w:szCs w:val="22"/>
            <w:lang w:val="es-ES_tradnl"/>
          </w:rPr>
          <w:t xml:space="preserve"> RC-3/3, RC-4/4, RC-6/8</w:t>
        </w:r>
        <w:r w:rsidR="00D2359C" w:rsidRPr="00EB5B1D">
          <w:rPr>
            <w:rStyle w:val="Hyperlink"/>
            <w:rFonts w:ascii="Times New Roman" w:hAnsi="Times New Roman" w:cs="Times New Roman"/>
            <w:color w:val="auto"/>
            <w:sz w:val="22"/>
            <w:szCs w:val="22"/>
            <w:lang w:val="fr-CH"/>
          </w:rPr>
          <w:t>, RC-8/6 y RC-8/7</w:t>
        </w:r>
        <w:r w:rsidR="00D2359C" w:rsidRPr="00EB5B1D">
          <w:rPr>
            <w:rStyle w:val="Hyperlink"/>
            <w:rFonts w:ascii="Times New Roman" w:hAnsi="Times New Roman" w:cs="Times New Roman"/>
            <w:color w:val="auto"/>
            <w:kern w:val="32"/>
            <w:sz w:val="22"/>
            <w:szCs w:val="22"/>
            <w:lang w:val="es-ES_tradnl"/>
          </w:rPr>
          <w:t>)</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_Toc484686624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5</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Style w:val="Hyperlink"/>
          <w:rFonts w:ascii="Times New Roman" w:hAnsi="Times New Roman" w:cs="Times New Roman"/>
          <w:color w:val="auto"/>
          <w:sz w:val="22"/>
          <w:szCs w:val="22"/>
        </w:rPr>
      </w:pPr>
      <w:hyperlink w:anchor="_Toc484686625" w:history="1">
        <w:r w:rsidR="00D2359C" w:rsidRPr="00EB5B1D">
          <w:rPr>
            <w:rStyle w:val="Hyperlink"/>
            <w:rFonts w:ascii="Times New Roman" w:hAnsi="Times New Roman" w:cs="Times New Roman"/>
            <w:color w:val="auto"/>
            <w:sz w:val="22"/>
            <w:szCs w:val="22"/>
            <w:lang w:val="fr-CH"/>
          </w:rPr>
          <w:t>2.10</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es-ES_tradnl"/>
          </w:rPr>
          <w:t xml:space="preserve">Información sobre los movimientos </w:t>
        </w:r>
        <w:r w:rsidR="00C16C48" w:rsidRPr="00EB5B1D">
          <w:rPr>
            <w:rStyle w:val="Hyperlink"/>
            <w:rFonts w:ascii="Times New Roman" w:hAnsi="Times New Roman" w:cs="Times New Roman"/>
            <w:color w:val="auto"/>
            <w:sz w:val="22"/>
            <w:szCs w:val="22"/>
            <w:lang w:val="es-ES_tradnl"/>
          </w:rPr>
          <w:t>en</w:t>
        </w:r>
        <w:r w:rsidR="00D2359C" w:rsidRPr="00EB5B1D">
          <w:rPr>
            <w:rStyle w:val="Hyperlink"/>
            <w:rFonts w:ascii="Times New Roman" w:hAnsi="Times New Roman" w:cs="Times New Roman"/>
            <w:color w:val="auto"/>
            <w:sz w:val="22"/>
            <w:szCs w:val="22"/>
            <w:lang w:val="es-ES_tradnl"/>
          </w:rPr>
          <w:t xml:space="preserve"> tránsito (párrafo 5 del artículo 14)</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_Toc484686625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6</w:t>
        </w:r>
        <w:r w:rsidR="00D2359C" w:rsidRPr="00EB5B1D">
          <w:rPr>
            <w:rFonts w:ascii="Times New Roman" w:hAnsi="Times New Roman" w:cs="Times New Roman"/>
            <w:webHidden/>
            <w:sz w:val="22"/>
            <w:szCs w:val="22"/>
          </w:rPr>
          <w:fldChar w:fldCharType="end"/>
        </w:r>
      </w:hyperlink>
    </w:p>
    <w:p w:rsidR="00D2359C" w:rsidRPr="00EB5B1D" w:rsidRDefault="00D2359C" w:rsidP="00703DBB">
      <w:pPr>
        <w:snapToGrid w:val="0"/>
        <w:spacing w:after="60"/>
        <w:rPr>
          <w:rFonts w:eastAsiaTheme="minorEastAsia"/>
          <w:b/>
          <w:bCs/>
          <w:noProof/>
          <w:szCs w:val="22"/>
          <w:lang w:val="en-GB"/>
        </w:rPr>
      </w:pPr>
    </w:p>
    <w:p w:rsidR="00D2359C" w:rsidRPr="00EB5B1D" w:rsidRDefault="00FC4140" w:rsidP="00703DBB">
      <w:pPr>
        <w:pStyle w:val="TOC1"/>
        <w:snapToGrid w:val="0"/>
        <w:rPr>
          <w:rFonts w:eastAsiaTheme="minorEastAsia"/>
          <w:b w:val="0"/>
          <w:bCs w:val="0"/>
          <w:snapToGrid/>
          <w:lang w:val="en-US"/>
        </w:rPr>
      </w:pPr>
      <w:hyperlink w:anchor="_Toc484686626" w:history="1">
        <w:r w:rsidR="00D2359C" w:rsidRPr="00EB5B1D">
          <w:rPr>
            <w:rStyle w:val="Hyperlink"/>
            <w:color w:val="auto"/>
            <w:lang w:val="fr-CH"/>
          </w:rPr>
          <w:t>3.</w:t>
        </w:r>
        <w:r w:rsidR="00D2359C" w:rsidRPr="00EB5B1D">
          <w:rPr>
            <w:rFonts w:eastAsiaTheme="minorEastAsia"/>
            <w:b w:val="0"/>
            <w:bCs w:val="0"/>
            <w:snapToGrid/>
            <w:lang w:val="en-US"/>
          </w:rPr>
          <w:tab/>
        </w:r>
        <w:r w:rsidR="00D2359C" w:rsidRPr="00EB5B1D">
          <w:rPr>
            <w:rStyle w:val="Hyperlink"/>
            <w:color w:val="auto"/>
            <w:lang w:val="es-ES_tradnl"/>
          </w:rPr>
          <w:t>INFORMACIÓN ADICIONAL PARA LAS AND</w:t>
        </w:r>
        <w:r w:rsidR="00D2359C" w:rsidRPr="00EB5B1D">
          <w:rPr>
            <w:webHidden/>
          </w:rPr>
          <w:tab/>
        </w:r>
        <w:r w:rsidR="00D2359C" w:rsidRPr="00EB5B1D">
          <w:rPr>
            <w:webHidden/>
          </w:rPr>
          <w:fldChar w:fldCharType="begin"/>
        </w:r>
        <w:r w:rsidR="00D2359C" w:rsidRPr="00EB5B1D">
          <w:rPr>
            <w:webHidden/>
          </w:rPr>
          <w:instrText xml:space="preserve"> PAGEREF _Toc484686626 \h </w:instrText>
        </w:r>
        <w:r w:rsidR="00D2359C" w:rsidRPr="00EB5B1D">
          <w:rPr>
            <w:webHidden/>
          </w:rPr>
        </w:r>
        <w:r w:rsidR="00D2359C" w:rsidRPr="00EB5B1D">
          <w:rPr>
            <w:webHidden/>
          </w:rPr>
          <w:fldChar w:fldCharType="separate"/>
        </w:r>
        <w:r w:rsidR="000F41F1">
          <w:rPr>
            <w:webHidden/>
          </w:rPr>
          <w:t>7</w:t>
        </w:r>
        <w:r w:rsidR="00D2359C" w:rsidRPr="00EB5B1D">
          <w:rPr>
            <w:webHidden/>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7" w:history="1">
        <w:r w:rsidR="00D2359C" w:rsidRPr="00EB5B1D">
          <w:rPr>
            <w:rStyle w:val="Hyperlink"/>
            <w:rFonts w:ascii="Times New Roman" w:hAnsi="Times New Roman" w:cs="Times New Roman"/>
            <w:color w:val="auto"/>
            <w:sz w:val="22"/>
            <w:szCs w:val="22"/>
            <w:lang w:val="fr-CH"/>
          </w:rPr>
          <w:t>3.1</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es-ES_tradnl"/>
          </w:rPr>
          <w:t>Información sobre el estado de ratificación del Convenio</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_Toc484686627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7</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8" w:history="1">
        <w:r w:rsidR="00D2359C" w:rsidRPr="00EB5B1D">
          <w:rPr>
            <w:rStyle w:val="Hyperlink"/>
            <w:rFonts w:ascii="Times New Roman" w:hAnsi="Times New Roman" w:cs="Times New Roman"/>
            <w:color w:val="auto"/>
            <w:sz w:val="22"/>
            <w:szCs w:val="22"/>
            <w:lang w:val="fr-CH"/>
          </w:rPr>
          <w:t>3.2</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es-ES_tradnl"/>
          </w:rPr>
          <w:t xml:space="preserve">Lista de Documentos de asistencia para la implementación el Convenio de </w:t>
        </w:r>
        <w:r w:rsidR="007D514A" w:rsidRPr="00EB5B1D">
          <w:rPr>
            <w:rStyle w:val="Hyperlink"/>
            <w:rFonts w:ascii="Times New Roman" w:hAnsi="Times New Roman" w:cs="Times New Roman"/>
            <w:color w:val="auto"/>
            <w:sz w:val="22"/>
            <w:szCs w:val="22"/>
            <w:lang w:val="es-ES_tradnl"/>
          </w:rPr>
          <w:t>Rotterdam</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_Toc484686628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7</w:t>
        </w:r>
        <w:r w:rsidR="00D2359C" w:rsidRPr="00EB5B1D">
          <w:rPr>
            <w:rFonts w:ascii="Times New Roman" w:hAnsi="Times New Roman" w:cs="Times New Roman"/>
            <w:webHidden/>
            <w:sz w:val="22"/>
            <w:szCs w:val="22"/>
          </w:rPr>
          <w:fldChar w:fldCharType="end"/>
        </w:r>
      </w:hyperlink>
    </w:p>
    <w:p w:rsidR="00D2359C" w:rsidRPr="00EB5B1D" w:rsidRDefault="00FC4140" w:rsidP="00703DBB">
      <w:pPr>
        <w:pStyle w:val="TOC2"/>
        <w:snapToGrid w:val="0"/>
        <w:spacing w:after="60"/>
        <w:rPr>
          <w:rStyle w:val="Hyperlink"/>
          <w:rFonts w:ascii="Times New Roman" w:hAnsi="Times New Roman" w:cs="Times New Roman"/>
          <w:color w:val="auto"/>
          <w:sz w:val="22"/>
          <w:szCs w:val="22"/>
        </w:rPr>
      </w:pPr>
      <w:hyperlink w:anchor="_Toc484686629" w:history="1">
        <w:r w:rsidR="00D2359C" w:rsidRPr="00EB5B1D">
          <w:rPr>
            <w:rStyle w:val="Hyperlink"/>
            <w:rFonts w:ascii="Times New Roman" w:hAnsi="Times New Roman" w:cs="Times New Roman"/>
            <w:color w:val="auto"/>
            <w:sz w:val="22"/>
            <w:szCs w:val="22"/>
            <w:lang w:val="fr-CH"/>
          </w:rPr>
          <w:t>3.3</w:t>
        </w:r>
        <w:r w:rsidR="00D2359C" w:rsidRPr="00EB5B1D">
          <w:rPr>
            <w:rFonts w:ascii="Times New Roman" w:eastAsiaTheme="minorEastAsia" w:hAnsi="Times New Roman" w:cs="Times New Roman"/>
            <w:b w:val="0"/>
            <w:bCs w:val="0"/>
            <w:snapToGrid/>
            <w:sz w:val="22"/>
            <w:szCs w:val="22"/>
            <w:lang w:val="en-US" w:eastAsia="ja-JP"/>
          </w:rPr>
          <w:tab/>
        </w:r>
        <w:r w:rsidR="00D2359C" w:rsidRPr="00EB5B1D">
          <w:rPr>
            <w:rStyle w:val="Hyperlink"/>
            <w:rFonts w:ascii="Times New Roman" w:hAnsi="Times New Roman" w:cs="Times New Roman"/>
            <w:color w:val="auto"/>
            <w:sz w:val="22"/>
            <w:szCs w:val="22"/>
            <w:lang w:val="fr-CH"/>
          </w:rPr>
          <w:t xml:space="preserve">Kit de Recursos de información sobre el Convenio de </w:t>
        </w:r>
        <w:r w:rsidR="007D514A" w:rsidRPr="00EB5B1D">
          <w:rPr>
            <w:rStyle w:val="Hyperlink"/>
            <w:rFonts w:ascii="Times New Roman" w:hAnsi="Times New Roman" w:cs="Times New Roman"/>
            <w:color w:val="auto"/>
            <w:sz w:val="22"/>
            <w:szCs w:val="22"/>
            <w:lang w:val="fr-CH"/>
          </w:rPr>
          <w:t>Rotterdam</w:t>
        </w:r>
        <w:r w:rsidR="00D2359C" w:rsidRPr="00EB5B1D">
          <w:rPr>
            <w:rFonts w:ascii="Times New Roman" w:hAnsi="Times New Roman" w:cs="Times New Roman"/>
            <w:webHidden/>
            <w:sz w:val="22"/>
            <w:szCs w:val="22"/>
          </w:rPr>
          <w:tab/>
        </w:r>
        <w:r w:rsidR="00D2359C" w:rsidRPr="00EB5B1D">
          <w:rPr>
            <w:rFonts w:ascii="Times New Roman" w:hAnsi="Times New Roman" w:cs="Times New Roman"/>
            <w:webHidden/>
            <w:sz w:val="22"/>
            <w:szCs w:val="22"/>
          </w:rPr>
          <w:fldChar w:fldCharType="begin"/>
        </w:r>
        <w:r w:rsidR="00D2359C" w:rsidRPr="00EB5B1D">
          <w:rPr>
            <w:rFonts w:ascii="Times New Roman" w:hAnsi="Times New Roman" w:cs="Times New Roman"/>
            <w:webHidden/>
            <w:sz w:val="22"/>
            <w:szCs w:val="22"/>
          </w:rPr>
          <w:instrText xml:space="preserve"> PAGEREF _Toc484686629 \h </w:instrText>
        </w:r>
        <w:r w:rsidR="00D2359C" w:rsidRPr="00EB5B1D">
          <w:rPr>
            <w:rFonts w:ascii="Times New Roman" w:hAnsi="Times New Roman" w:cs="Times New Roman"/>
            <w:webHidden/>
            <w:sz w:val="22"/>
            <w:szCs w:val="22"/>
          </w:rPr>
        </w:r>
        <w:r w:rsidR="00D2359C" w:rsidRPr="00EB5B1D">
          <w:rPr>
            <w:rFonts w:ascii="Times New Roman" w:hAnsi="Times New Roman" w:cs="Times New Roman"/>
            <w:webHidden/>
            <w:sz w:val="22"/>
            <w:szCs w:val="22"/>
          </w:rPr>
          <w:fldChar w:fldCharType="separate"/>
        </w:r>
        <w:r w:rsidR="000F41F1">
          <w:rPr>
            <w:rFonts w:ascii="Times New Roman" w:hAnsi="Times New Roman" w:cs="Times New Roman"/>
            <w:webHidden/>
            <w:sz w:val="22"/>
            <w:szCs w:val="22"/>
          </w:rPr>
          <w:t>8</w:t>
        </w:r>
        <w:r w:rsidR="00D2359C" w:rsidRPr="00EB5B1D">
          <w:rPr>
            <w:rFonts w:ascii="Times New Roman" w:hAnsi="Times New Roman" w:cs="Times New Roman"/>
            <w:webHidden/>
            <w:sz w:val="22"/>
            <w:szCs w:val="22"/>
          </w:rPr>
          <w:fldChar w:fldCharType="end"/>
        </w:r>
      </w:hyperlink>
    </w:p>
    <w:p w:rsidR="00D2359C" w:rsidRPr="00EB5B1D" w:rsidRDefault="00D2359C" w:rsidP="00703DBB">
      <w:pPr>
        <w:snapToGrid w:val="0"/>
        <w:spacing w:after="60"/>
        <w:rPr>
          <w:rFonts w:eastAsiaTheme="minorEastAsia"/>
          <w:b/>
          <w:bCs/>
          <w:noProof/>
          <w:szCs w:val="22"/>
          <w:lang w:val="en-GB"/>
        </w:rPr>
      </w:pPr>
    </w:p>
    <w:p w:rsidR="00D2359C" w:rsidRPr="00EB5B1D" w:rsidRDefault="00D2359C" w:rsidP="00703DBB">
      <w:pPr>
        <w:snapToGrid w:val="0"/>
        <w:spacing w:after="60"/>
        <w:rPr>
          <w:rFonts w:eastAsiaTheme="minorEastAsia"/>
          <w:b/>
          <w:noProof/>
          <w:szCs w:val="22"/>
          <w:u w:val="single"/>
          <w:lang w:val="fr-CH"/>
        </w:rPr>
      </w:pPr>
      <w:r w:rsidRPr="00EB5B1D">
        <w:rPr>
          <w:rFonts w:eastAsiaTheme="minorEastAsia"/>
          <w:b/>
          <w:noProof/>
          <w:szCs w:val="22"/>
          <w:u w:val="single"/>
          <w:lang w:val="fr-CH"/>
        </w:rPr>
        <w:t>APÉNDICE I</w:t>
      </w:r>
    </w:p>
    <w:p w:rsidR="00D2359C" w:rsidRPr="00EB5B1D" w:rsidRDefault="00FC4140" w:rsidP="00703DBB">
      <w:pPr>
        <w:pStyle w:val="TOC1"/>
        <w:snapToGrid w:val="0"/>
        <w:rPr>
          <w:rFonts w:eastAsiaTheme="minorEastAsia"/>
          <w:b w:val="0"/>
          <w:bCs w:val="0"/>
          <w:snapToGrid/>
          <w:lang w:val="en-US"/>
        </w:rPr>
      </w:pPr>
      <w:hyperlink w:anchor="_Toc484686631" w:history="1">
        <w:r w:rsidR="00D2359C" w:rsidRPr="00EB5B1D">
          <w:rPr>
            <w:rStyle w:val="Hyperlink"/>
            <w:color w:val="auto"/>
            <w:lang w:val="fr-CH"/>
          </w:rPr>
          <w:t xml:space="preserve">SINOPSIS DE LAS NOTIFICACIONES DE MEDIDA REGLAMENTARIA FIRME RECIBIDAS DESDE LA </w:t>
        </w:r>
        <w:r w:rsidR="00D2359C" w:rsidRPr="00EB5B1D">
          <w:rPr>
            <w:rStyle w:val="Hyperlink"/>
            <w:color w:val="auto"/>
            <w:lang w:val="es-ES_tradnl"/>
          </w:rPr>
          <w:t>Ú</w:t>
        </w:r>
        <w:r w:rsidR="00D2359C" w:rsidRPr="00EB5B1D">
          <w:rPr>
            <w:rStyle w:val="Hyperlink"/>
            <w:color w:val="auto"/>
            <w:lang w:val="fr-CH"/>
          </w:rPr>
          <w:t>LTIMA CIRCULAR CFP</w:t>
        </w:r>
        <w:r w:rsidR="00D2359C" w:rsidRPr="00EB5B1D">
          <w:rPr>
            <w:webHidden/>
          </w:rPr>
          <w:tab/>
        </w:r>
        <w:r w:rsidR="00D2359C" w:rsidRPr="00EB5B1D">
          <w:rPr>
            <w:webHidden/>
          </w:rPr>
          <w:fldChar w:fldCharType="begin"/>
        </w:r>
        <w:r w:rsidR="00D2359C" w:rsidRPr="00EB5B1D">
          <w:rPr>
            <w:webHidden/>
          </w:rPr>
          <w:instrText xml:space="preserve"> PAGEREF _Toc484686631 \h </w:instrText>
        </w:r>
        <w:r w:rsidR="00D2359C" w:rsidRPr="00EB5B1D">
          <w:rPr>
            <w:webHidden/>
          </w:rPr>
        </w:r>
        <w:r w:rsidR="00D2359C" w:rsidRPr="00EB5B1D">
          <w:rPr>
            <w:webHidden/>
          </w:rPr>
          <w:fldChar w:fldCharType="separate"/>
        </w:r>
        <w:r w:rsidR="000F41F1">
          <w:rPr>
            <w:webHidden/>
          </w:rPr>
          <w:t>9</w:t>
        </w:r>
        <w:r w:rsidR="00D2359C" w:rsidRPr="00EB5B1D">
          <w:rPr>
            <w:webHidden/>
          </w:rPr>
          <w:fldChar w:fldCharType="end"/>
        </w:r>
      </w:hyperlink>
    </w:p>
    <w:p w:rsidR="00D2359C" w:rsidRPr="00EB5B1D" w:rsidRDefault="00D2359C" w:rsidP="00703DBB">
      <w:pPr>
        <w:pStyle w:val="TOC1"/>
        <w:snapToGrid w:val="0"/>
        <w:rPr>
          <w:rStyle w:val="Hyperlink"/>
          <w:color w:val="auto"/>
        </w:rPr>
      </w:pPr>
    </w:p>
    <w:p w:rsidR="00D2359C" w:rsidRPr="00EB5B1D" w:rsidRDefault="00D2359C" w:rsidP="00703DBB">
      <w:pPr>
        <w:snapToGrid w:val="0"/>
        <w:spacing w:after="60"/>
        <w:rPr>
          <w:rFonts w:eastAsiaTheme="minorEastAsia"/>
          <w:b/>
          <w:noProof/>
          <w:szCs w:val="22"/>
          <w:u w:val="single"/>
          <w:lang w:val="fr-CH"/>
        </w:rPr>
      </w:pPr>
      <w:r w:rsidRPr="00EB5B1D">
        <w:rPr>
          <w:rFonts w:eastAsiaTheme="minorEastAsia"/>
          <w:b/>
          <w:noProof/>
          <w:szCs w:val="22"/>
          <w:u w:val="single"/>
          <w:lang w:val="fr-CH"/>
        </w:rPr>
        <w:t>APÉNDICE II</w:t>
      </w:r>
    </w:p>
    <w:p w:rsidR="00D2359C" w:rsidRPr="00EB5B1D" w:rsidRDefault="00FC4140" w:rsidP="00703DBB">
      <w:pPr>
        <w:pStyle w:val="TOC1"/>
        <w:snapToGrid w:val="0"/>
        <w:rPr>
          <w:rFonts w:eastAsiaTheme="minorEastAsia"/>
          <w:b w:val="0"/>
          <w:bCs w:val="0"/>
          <w:snapToGrid/>
          <w:lang w:val="en-US"/>
        </w:rPr>
      </w:pPr>
      <w:hyperlink w:anchor="_Toc484686637" w:history="1">
        <w:r w:rsidR="00D2359C" w:rsidRPr="00EB5B1D">
          <w:rPr>
            <w:rStyle w:val="Hyperlink"/>
            <w:color w:val="auto"/>
            <w:lang w:val="fr-CH"/>
          </w:rPr>
          <w:t>PROPUESTAS PARA LA INCLUSIÓN DE FORMULACIONES PLAGUICIDAS EXTREMADAMENTE PELIGROSAS EN EL PROCEDIMIENTO DE CFP</w:t>
        </w:r>
        <w:r w:rsidR="00D2359C" w:rsidRPr="00EB5B1D">
          <w:rPr>
            <w:webHidden/>
          </w:rPr>
          <w:tab/>
        </w:r>
        <w:r w:rsidR="00D2359C" w:rsidRPr="00EB5B1D">
          <w:rPr>
            <w:webHidden/>
          </w:rPr>
          <w:fldChar w:fldCharType="begin"/>
        </w:r>
        <w:r w:rsidR="00D2359C" w:rsidRPr="00EB5B1D">
          <w:rPr>
            <w:webHidden/>
          </w:rPr>
          <w:instrText xml:space="preserve"> PAGEREF _Toc484686637 \h </w:instrText>
        </w:r>
        <w:r w:rsidR="00D2359C" w:rsidRPr="00EB5B1D">
          <w:rPr>
            <w:webHidden/>
          </w:rPr>
        </w:r>
        <w:r w:rsidR="00D2359C" w:rsidRPr="00EB5B1D">
          <w:rPr>
            <w:webHidden/>
          </w:rPr>
          <w:fldChar w:fldCharType="separate"/>
        </w:r>
        <w:r w:rsidR="000F41F1">
          <w:rPr>
            <w:webHidden/>
          </w:rPr>
          <w:t>36</w:t>
        </w:r>
        <w:r w:rsidR="00D2359C" w:rsidRPr="00EB5B1D">
          <w:rPr>
            <w:webHidden/>
          </w:rPr>
          <w:fldChar w:fldCharType="end"/>
        </w:r>
      </w:hyperlink>
    </w:p>
    <w:p w:rsidR="00D2359C" w:rsidRPr="00EB5B1D" w:rsidRDefault="00D2359C" w:rsidP="00703DBB">
      <w:pPr>
        <w:pStyle w:val="TOC2"/>
        <w:snapToGrid w:val="0"/>
        <w:spacing w:after="60"/>
        <w:rPr>
          <w:rStyle w:val="Hyperlink"/>
          <w:rFonts w:ascii="Times New Roman" w:hAnsi="Times New Roman" w:cs="Times New Roman"/>
          <w:color w:val="auto"/>
          <w:sz w:val="22"/>
          <w:szCs w:val="22"/>
        </w:rPr>
      </w:pPr>
    </w:p>
    <w:p w:rsidR="00D2359C" w:rsidRPr="00EB5B1D" w:rsidRDefault="00D2359C" w:rsidP="00703DBB">
      <w:pPr>
        <w:snapToGrid w:val="0"/>
        <w:spacing w:after="60"/>
        <w:rPr>
          <w:rFonts w:eastAsiaTheme="minorEastAsia"/>
          <w:b/>
          <w:noProof/>
          <w:szCs w:val="22"/>
          <w:u w:val="single"/>
          <w:lang w:val="fr-CH"/>
        </w:rPr>
      </w:pPr>
      <w:r w:rsidRPr="00EB5B1D">
        <w:rPr>
          <w:rFonts w:eastAsiaTheme="minorEastAsia"/>
          <w:b/>
          <w:noProof/>
          <w:szCs w:val="22"/>
          <w:u w:val="single"/>
          <w:lang w:val="fr-CH"/>
        </w:rPr>
        <w:t>APÉNDICE III</w:t>
      </w:r>
    </w:p>
    <w:p w:rsidR="00D2359C" w:rsidRPr="00EB5B1D" w:rsidRDefault="00FC4140" w:rsidP="00703DBB">
      <w:pPr>
        <w:pStyle w:val="TOC1"/>
        <w:snapToGrid w:val="0"/>
        <w:rPr>
          <w:rFonts w:eastAsiaTheme="minorEastAsia"/>
          <w:b w:val="0"/>
          <w:bCs w:val="0"/>
          <w:snapToGrid/>
          <w:lang w:val="en-US"/>
        </w:rPr>
      </w:pPr>
      <w:hyperlink w:anchor="_Toc484686658" w:history="1">
        <w:r w:rsidR="00D2359C" w:rsidRPr="00EB5B1D">
          <w:rPr>
            <w:rStyle w:val="Hyperlink"/>
            <w:rFonts w:eastAsia="SimSun"/>
            <w:color w:val="auto"/>
            <w:lang w:eastAsia="zh-CN"/>
          </w:rPr>
          <w:t>PRODUCTOS QUÍMICOS SUJETOS AL PROCEDIMIENTO DE CONSENTIMIENTO FUNDAMENTADO PREVIO</w:t>
        </w:r>
        <w:r w:rsidR="00D2359C" w:rsidRPr="00EB5B1D">
          <w:rPr>
            <w:webHidden/>
          </w:rPr>
          <w:tab/>
        </w:r>
        <w:r w:rsidR="00D2359C" w:rsidRPr="00EB5B1D">
          <w:rPr>
            <w:webHidden/>
          </w:rPr>
          <w:fldChar w:fldCharType="begin"/>
        </w:r>
        <w:r w:rsidR="00D2359C" w:rsidRPr="00EB5B1D">
          <w:rPr>
            <w:webHidden/>
          </w:rPr>
          <w:instrText xml:space="preserve"> PAGEREF _Toc484686658 \h </w:instrText>
        </w:r>
        <w:r w:rsidR="00D2359C" w:rsidRPr="00EB5B1D">
          <w:rPr>
            <w:webHidden/>
          </w:rPr>
        </w:r>
        <w:r w:rsidR="00D2359C" w:rsidRPr="00EB5B1D">
          <w:rPr>
            <w:webHidden/>
          </w:rPr>
          <w:fldChar w:fldCharType="separate"/>
        </w:r>
        <w:r w:rsidR="000F41F1">
          <w:rPr>
            <w:webHidden/>
          </w:rPr>
          <w:t>40</w:t>
        </w:r>
        <w:r w:rsidR="00D2359C" w:rsidRPr="00EB5B1D">
          <w:rPr>
            <w:webHidden/>
          </w:rPr>
          <w:fldChar w:fldCharType="end"/>
        </w:r>
      </w:hyperlink>
    </w:p>
    <w:p w:rsidR="00D2359C" w:rsidRPr="00EB5B1D" w:rsidRDefault="00D2359C" w:rsidP="00703DBB">
      <w:pPr>
        <w:snapToGrid w:val="0"/>
        <w:spacing w:after="60"/>
        <w:rPr>
          <w:rFonts w:eastAsiaTheme="minorEastAsia"/>
          <w:b/>
          <w:noProof/>
          <w:u w:val="single"/>
          <w:lang w:val="fr-CH"/>
        </w:rPr>
      </w:pPr>
    </w:p>
    <w:p w:rsidR="00D2359C" w:rsidRPr="00EB5B1D" w:rsidRDefault="00D2359C" w:rsidP="00703DBB">
      <w:pPr>
        <w:snapToGrid w:val="0"/>
        <w:spacing w:after="60"/>
        <w:rPr>
          <w:rFonts w:eastAsiaTheme="minorEastAsia"/>
          <w:b/>
          <w:noProof/>
          <w:u w:val="single"/>
          <w:lang w:val="fr-CH"/>
        </w:rPr>
      </w:pPr>
    </w:p>
    <w:p w:rsidR="00D2359C" w:rsidRPr="00EB5B1D" w:rsidRDefault="00D2359C" w:rsidP="00703DBB">
      <w:pPr>
        <w:snapToGrid w:val="0"/>
        <w:spacing w:after="60"/>
        <w:rPr>
          <w:rStyle w:val="Hyperlink"/>
          <w:rFonts w:eastAsiaTheme="minorEastAsia"/>
          <w:noProof/>
          <w:color w:val="auto"/>
          <w:lang w:val="fr-CH"/>
        </w:rPr>
      </w:pPr>
      <w:r w:rsidRPr="00EB5B1D">
        <w:rPr>
          <w:rFonts w:eastAsiaTheme="minorEastAsia"/>
          <w:b/>
          <w:noProof/>
          <w:szCs w:val="22"/>
          <w:u w:val="single"/>
          <w:lang w:val="fr-CH"/>
        </w:rPr>
        <w:t>APÉNDICE IV</w:t>
      </w:r>
    </w:p>
    <w:p w:rsidR="00D2359C" w:rsidRPr="00EB5B1D" w:rsidRDefault="00FC4140" w:rsidP="00703DBB">
      <w:pPr>
        <w:pStyle w:val="TOC1"/>
        <w:snapToGrid w:val="0"/>
        <w:rPr>
          <w:rFonts w:eastAsiaTheme="minorEastAsia"/>
          <w:b w:val="0"/>
          <w:bCs w:val="0"/>
          <w:snapToGrid/>
          <w:lang w:val="en-US"/>
        </w:rPr>
      </w:pPr>
      <w:hyperlink w:anchor="_Toc484686664" w:history="1">
        <w:r w:rsidR="00D2359C" w:rsidRPr="00EB5B1D">
          <w:rPr>
            <w:rStyle w:val="Hyperlink"/>
            <w:color w:val="auto"/>
            <w:lang w:val="fr-CH"/>
          </w:rPr>
          <w:t>LISTA DE TODAS LAS RESPUESTAS SOBRE LA IMPORTACIÓN RECIBIDAS DE LAS PARTES Y CASOS DE INCUMPLIMIENTO EN LA PRESENTACION DE RESPUESTAS</w:t>
        </w:r>
        <w:r w:rsidR="00D2359C" w:rsidRPr="00EB5B1D">
          <w:rPr>
            <w:webHidden/>
          </w:rPr>
          <w:tab/>
        </w:r>
        <w:r w:rsidR="00D2359C" w:rsidRPr="00EB5B1D">
          <w:rPr>
            <w:webHidden/>
          </w:rPr>
          <w:fldChar w:fldCharType="begin"/>
        </w:r>
        <w:r w:rsidR="00D2359C" w:rsidRPr="00EB5B1D">
          <w:rPr>
            <w:webHidden/>
          </w:rPr>
          <w:instrText xml:space="preserve"> PAGEREF _Toc484686664 \h </w:instrText>
        </w:r>
        <w:r w:rsidR="00D2359C" w:rsidRPr="00EB5B1D">
          <w:rPr>
            <w:webHidden/>
          </w:rPr>
        </w:r>
        <w:r w:rsidR="00D2359C" w:rsidRPr="00EB5B1D">
          <w:rPr>
            <w:webHidden/>
          </w:rPr>
          <w:fldChar w:fldCharType="separate"/>
        </w:r>
        <w:r w:rsidR="000F41F1">
          <w:rPr>
            <w:webHidden/>
          </w:rPr>
          <w:t>43</w:t>
        </w:r>
        <w:r w:rsidR="00D2359C" w:rsidRPr="00EB5B1D">
          <w:rPr>
            <w:webHidden/>
          </w:rPr>
          <w:fldChar w:fldCharType="end"/>
        </w:r>
      </w:hyperlink>
    </w:p>
    <w:p w:rsidR="00D2359C" w:rsidRPr="00EB5B1D" w:rsidRDefault="00D2359C" w:rsidP="00703DBB">
      <w:pPr>
        <w:pStyle w:val="TOC2"/>
        <w:snapToGrid w:val="0"/>
        <w:spacing w:after="60"/>
        <w:rPr>
          <w:rStyle w:val="Hyperlink"/>
          <w:rFonts w:ascii="Times New Roman" w:hAnsi="Times New Roman" w:cs="Times New Roman"/>
          <w:color w:val="auto"/>
          <w:sz w:val="22"/>
          <w:szCs w:val="22"/>
        </w:rPr>
      </w:pPr>
    </w:p>
    <w:p w:rsidR="00D2359C" w:rsidRPr="00EB5B1D" w:rsidRDefault="00D2359C" w:rsidP="00703DBB">
      <w:pPr>
        <w:snapToGrid w:val="0"/>
        <w:spacing w:after="60"/>
        <w:rPr>
          <w:rFonts w:eastAsiaTheme="minorEastAsia"/>
          <w:b/>
          <w:noProof/>
          <w:szCs w:val="22"/>
          <w:u w:val="single"/>
          <w:lang w:val="fr-CH"/>
        </w:rPr>
      </w:pPr>
      <w:r w:rsidRPr="00EB5B1D">
        <w:rPr>
          <w:rFonts w:eastAsiaTheme="minorEastAsia"/>
          <w:b/>
          <w:noProof/>
          <w:szCs w:val="22"/>
          <w:u w:val="single"/>
          <w:lang w:val="fr-CH"/>
        </w:rPr>
        <w:t>APÉNDICE V</w:t>
      </w:r>
    </w:p>
    <w:p w:rsidR="00D2359C" w:rsidRPr="00EB5B1D" w:rsidRDefault="00FC4140" w:rsidP="00703DBB">
      <w:pPr>
        <w:pStyle w:val="TOC1"/>
        <w:snapToGrid w:val="0"/>
        <w:rPr>
          <w:rFonts w:eastAsiaTheme="minorEastAsia"/>
          <w:b w:val="0"/>
          <w:bCs w:val="0"/>
          <w:snapToGrid/>
          <w:lang w:val="en-US"/>
        </w:rPr>
      </w:pPr>
      <w:hyperlink w:anchor="_Toc484686667" w:history="1">
        <w:r w:rsidR="00D2359C" w:rsidRPr="00EB5B1D">
          <w:rPr>
            <w:rStyle w:val="Hyperlink"/>
            <w:color w:val="auto"/>
            <w:lang w:val="fr-CH" w:eastAsia="en-US"/>
          </w:rPr>
          <w:t xml:space="preserve">NOTIFICACIONES DE MEDIDA REGLAMENTARIA FIRME </w:t>
        </w:r>
        <w:r w:rsidR="00D2359C" w:rsidRPr="00EB5B1D">
          <w:rPr>
            <w:rStyle w:val="Hyperlink"/>
            <w:color w:val="auto"/>
            <w:lang w:val="es-ES_tradnl"/>
          </w:rPr>
          <w:t xml:space="preserve"> </w:t>
        </w:r>
        <w:r w:rsidR="00D2359C" w:rsidRPr="00EB5B1D">
          <w:rPr>
            <w:rStyle w:val="Hyperlink"/>
            <w:color w:val="auto"/>
            <w:lang w:val="fr-CH" w:eastAsia="en-US"/>
          </w:rPr>
          <w:t>PARA PRODUCTOS QUÍMICOS QUE NO ESTÁN INCLUIDOS EN EL ANEXO III</w:t>
        </w:r>
        <w:r w:rsidR="00D2359C" w:rsidRPr="00EB5B1D">
          <w:rPr>
            <w:webHidden/>
          </w:rPr>
          <w:tab/>
        </w:r>
        <w:r w:rsidR="00D2359C" w:rsidRPr="00EB5B1D">
          <w:rPr>
            <w:webHidden/>
          </w:rPr>
          <w:fldChar w:fldCharType="begin"/>
        </w:r>
        <w:r w:rsidR="00D2359C" w:rsidRPr="00EB5B1D">
          <w:rPr>
            <w:webHidden/>
          </w:rPr>
          <w:instrText xml:space="preserve"> PAGEREF _Toc484686667 \h </w:instrText>
        </w:r>
        <w:r w:rsidR="00D2359C" w:rsidRPr="00EB5B1D">
          <w:rPr>
            <w:webHidden/>
          </w:rPr>
        </w:r>
        <w:r w:rsidR="00D2359C" w:rsidRPr="00EB5B1D">
          <w:rPr>
            <w:webHidden/>
          </w:rPr>
          <w:fldChar w:fldCharType="separate"/>
        </w:r>
        <w:r w:rsidR="000F41F1">
          <w:rPr>
            <w:webHidden/>
          </w:rPr>
          <w:t>47</w:t>
        </w:r>
        <w:r w:rsidR="00D2359C" w:rsidRPr="00EB5B1D">
          <w:rPr>
            <w:webHidden/>
          </w:rPr>
          <w:fldChar w:fldCharType="end"/>
        </w:r>
      </w:hyperlink>
    </w:p>
    <w:p w:rsidR="00D2359C" w:rsidRPr="00EB5B1D" w:rsidRDefault="00D2359C" w:rsidP="00703DBB">
      <w:pPr>
        <w:pStyle w:val="TOC1"/>
        <w:snapToGrid w:val="0"/>
        <w:rPr>
          <w:rStyle w:val="Hyperlink"/>
          <w:color w:val="auto"/>
        </w:rPr>
      </w:pPr>
    </w:p>
    <w:p w:rsidR="00D2359C" w:rsidRPr="00EB5B1D" w:rsidRDefault="00D2359C" w:rsidP="00703DBB">
      <w:pPr>
        <w:snapToGrid w:val="0"/>
        <w:spacing w:after="60"/>
        <w:rPr>
          <w:rFonts w:eastAsiaTheme="minorEastAsia"/>
          <w:noProof/>
          <w:lang w:val="fr-CH"/>
        </w:rPr>
      </w:pPr>
      <w:r w:rsidRPr="00EB5B1D">
        <w:rPr>
          <w:rFonts w:eastAsiaTheme="minorEastAsia"/>
          <w:b/>
          <w:noProof/>
          <w:szCs w:val="22"/>
          <w:u w:val="single"/>
          <w:lang w:val="fr-CH"/>
        </w:rPr>
        <w:t>APÉNDICE VI</w:t>
      </w:r>
    </w:p>
    <w:p w:rsidR="00D2359C" w:rsidRPr="00EB5B1D" w:rsidRDefault="00FC4140" w:rsidP="00703DBB">
      <w:pPr>
        <w:pStyle w:val="TOC1"/>
        <w:snapToGrid w:val="0"/>
        <w:rPr>
          <w:rFonts w:eastAsiaTheme="minorEastAsia"/>
          <w:b w:val="0"/>
          <w:bCs w:val="0"/>
          <w:snapToGrid/>
          <w:lang w:val="en-US"/>
        </w:rPr>
      </w:pPr>
      <w:hyperlink w:anchor="_Toc484686670" w:history="1">
        <w:r w:rsidR="00D2359C" w:rsidRPr="00EB5B1D">
          <w:rPr>
            <w:rStyle w:val="Hyperlink"/>
            <w:color w:val="auto"/>
            <w:lang w:val="fr-CH"/>
          </w:rPr>
          <w:t>INTERCAMBIO DE INFORMACIÓN SOBRE PRODUCTOS QUÍMICOS RECOMENDADOS POR EL COMITÉ DE EXAMEN DE PRODUCTOS QUÍMICOS  PARA SU INCLUSIÓN EN EL ANEXO III, PARA LOS QUE LA CONFERENCIA DE LAS PARTES NO HA TOMADO TODAVÍA UNA DECISIÓN FINAL</w:t>
        </w:r>
        <w:r w:rsidR="00D2359C" w:rsidRPr="00EB5B1D">
          <w:rPr>
            <w:webHidden/>
          </w:rPr>
          <w:tab/>
        </w:r>
        <w:r w:rsidR="00D2359C" w:rsidRPr="00EB5B1D">
          <w:rPr>
            <w:webHidden/>
          </w:rPr>
          <w:fldChar w:fldCharType="begin"/>
        </w:r>
        <w:r w:rsidR="00D2359C" w:rsidRPr="00EB5B1D">
          <w:rPr>
            <w:webHidden/>
          </w:rPr>
          <w:instrText xml:space="preserve"> PAGEREF _Toc484686670 \h </w:instrText>
        </w:r>
        <w:r w:rsidR="00D2359C" w:rsidRPr="00EB5B1D">
          <w:rPr>
            <w:webHidden/>
          </w:rPr>
        </w:r>
        <w:r w:rsidR="00D2359C" w:rsidRPr="00EB5B1D">
          <w:rPr>
            <w:webHidden/>
          </w:rPr>
          <w:fldChar w:fldCharType="separate"/>
        </w:r>
        <w:r w:rsidR="000F41F1">
          <w:rPr>
            <w:webHidden/>
          </w:rPr>
          <w:t>66</w:t>
        </w:r>
        <w:r w:rsidR="00D2359C" w:rsidRPr="00EB5B1D">
          <w:rPr>
            <w:webHidden/>
          </w:rPr>
          <w:fldChar w:fldCharType="end"/>
        </w:r>
      </w:hyperlink>
    </w:p>
    <w:p w:rsidR="004C4AB1" w:rsidRPr="00EB5B1D" w:rsidRDefault="002A573F">
      <w:pPr>
        <w:tabs>
          <w:tab w:val="left" w:pos="720"/>
          <w:tab w:val="right" w:leader="dot" w:pos="9540"/>
        </w:tabs>
        <w:snapToGrid w:val="0"/>
        <w:spacing w:after="60"/>
        <w:ind w:right="23"/>
        <w:rPr>
          <w:snapToGrid w:val="0"/>
          <w:szCs w:val="22"/>
          <w:lang w:val="en-GB"/>
        </w:rPr>
      </w:pPr>
      <w:r w:rsidRPr="00EB5B1D">
        <w:rPr>
          <w:b/>
          <w:snapToGrid w:val="0"/>
          <w:szCs w:val="22"/>
        </w:rPr>
        <w:fldChar w:fldCharType="end"/>
      </w:r>
    </w:p>
    <w:p w:rsidR="004C4AB1" w:rsidRPr="00EB5B1D" w:rsidRDefault="004C4AB1" w:rsidP="009B2CBE">
      <w:pPr>
        <w:rPr>
          <w:snapToGrid w:val="0"/>
          <w:szCs w:val="22"/>
          <w:lang w:val="en-GB"/>
        </w:rPr>
        <w:sectPr w:rsidR="004C4AB1" w:rsidRPr="00EB5B1D">
          <w:footerReference w:type="even" r:id="rId12"/>
          <w:pgSz w:w="11907" w:h="16839"/>
          <w:pgMar w:top="1134" w:right="1418" w:bottom="1134" w:left="1418" w:header="709" w:footer="709" w:gutter="0"/>
          <w:cols w:space="720"/>
        </w:sectPr>
      </w:pPr>
    </w:p>
    <w:p w:rsidR="001F3F1A" w:rsidRPr="004906B7" w:rsidRDefault="000A5DDA" w:rsidP="001F3F1A">
      <w:pPr>
        <w:jc w:val="center"/>
        <w:rPr>
          <w:b/>
          <w:sz w:val="24"/>
          <w:lang w:val="en-GB"/>
        </w:rPr>
      </w:pPr>
      <w:r w:rsidRPr="004906B7">
        <w:rPr>
          <w:b/>
          <w:sz w:val="24"/>
          <w:lang w:val="en-GB"/>
        </w:rPr>
        <w:t>INTRODUCCIÓN</w:t>
      </w:r>
    </w:p>
    <w:p w:rsidR="001F3F1A" w:rsidRPr="004906B7" w:rsidRDefault="001F3F1A" w:rsidP="001F3F1A">
      <w:pPr>
        <w:jc w:val="center"/>
        <w:rPr>
          <w:b/>
          <w:sz w:val="24"/>
          <w:lang w:val="en-GB"/>
        </w:rPr>
      </w:pPr>
    </w:p>
    <w:p w:rsidR="001F3F1A" w:rsidRPr="004906B7" w:rsidRDefault="000A5DDA" w:rsidP="00494FD5">
      <w:pPr>
        <w:numPr>
          <w:ilvl w:val="0"/>
          <w:numId w:val="1"/>
        </w:numPr>
        <w:ind w:left="0" w:firstLine="0"/>
        <w:outlineLvl w:val="0"/>
        <w:rPr>
          <w:snapToGrid w:val="0"/>
          <w:sz w:val="24"/>
          <w:lang w:val="fr-CH"/>
        </w:rPr>
      </w:pPr>
      <w:bookmarkStart w:id="8" w:name="_Toc484686614"/>
      <w:r w:rsidRPr="004906B7">
        <w:rPr>
          <w:b/>
          <w:snapToGrid w:val="0"/>
          <w:sz w:val="24"/>
          <w:lang w:val="fr-CH"/>
        </w:rPr>
        <w:t>FINALIDAD DE LA CIRCULAR CFP</w:t>
      </w:r>
      <w:bookmarkEnd w:id="8"/>
    </w:p>
    <w:p w:rsidR="001F3F1A" w:rsidRPr="004906B7" w:rsidRDefault="001F3F1A" w:rsidP="001F3F1A">
      <w:pPr>
        <w:outlineLvl w:val="0"/>
        <w:rPr>
          <w:snapToGrid w:val="0"/>
          <w:szCs w:val="22"/>
          <w:lang w:val="fr-CH"/>
        </w:rPr>
      </w:pPr>
    </w:p>
    <w:p w:rsidR="00D872C1" w:rsidRPr="00EB5B1D" w:rsidRDefault="00D872C1" w:rsidP="00D872C1">
      <w:pPr>
        <w:tabs>
          <w:tab w:val="num" w:pos="0"/>
        </w:tabs>
        <w:snapToGrid w:val="0"/>
        <w:ind w:right="-19"/>
        <w:jc w:val="both"/>
        <w:rPr>
          <w:snapToGrid w:val="0"/>
          <w:szCs w:val="22"/>
          <w:lang w:val="es-ES_tradnl"/>
        </w:rPr>
      </w:pPr>
      <w:r w:rsidRPr="00EB5B1D">
        <w:rPr>
          <w:snapToGrid w:val="0"/>
          <w:szCs w:val="22"/>
          <w:lang w:val="es-ES_tradnl"/>
        </w:rPr>
        <w:t xml:space="preserve">El Convenio de </w:t>
      </w:r>
      <w:r w:rsidR="007D514A" w:rsidRPr="00EB5B1D">
        <w:rPr>
          <w:snapToGrid w:val="0"/>
          <w:szCs w:val="22"/>
          <w:lang w:val="es-ES_tradnl"/>
        </w:rPr>
        <w:t>Rotterdam</w:t>
      </w:r>
      <w:r w:rsidRPr="00EB5B1D">
        <w:rPr>
          <w:snapToGrid w:val="0"/>
          <w:szCs w:val="22"/>
          <w:lang w:val="es-ES_tradnl"/>
        </w:rPr>
        <w:t xml:space="preserve"> sobre el procedimiento de Consentimiento Fundamentado Previo aplicable a ciertos plaguicidas y productos químicos peligrosos objeto del comercio internacional entró en vigor el 24 de febrero de 2004. </w:t>
      </w:r>
    </w:p>
    <w:p w:rsidR="00D872C1" w:rsidRPr="00EB5B1D" w:rsidRDefault="00D872C1" w:rsidP="00D872C1">
      <w:pPr>
        <w:tabs>
          <w:tab w:val="num" w:pos="0"/>
        </w:tabs>
        <w:snapToGrid w:val="0"/>
        <w:ind w:right="-19"/>
        <w:jc w:val="both"/>
        <w:rPr>
          <w:snapToGrid w:val="0"/>
          <w:szCs w:val="22"/>
          <w:lang w:val="es-ES_tradnl"/>
        </w:rPr>
      </w:pPr>
    </w:p>
    <w:p w:rsidR="00D872C1" w:rsidRPr="00EB5B1D" w:rsidRDefault="00D872C1" w:rsidP="00D872C1">
      <w:pPr>
        <w:snapToGrid w:val="0"/>
        <w:ind w:right="-19"/>
        <w:jc w:val="both"/>
        <w:rPr>
          <w:snapToGrid w:val="0"/>
          <w:szCs w:val="22"/>
          <w:lang w:val="es-ES_tradnl"/>
        </w:rPr>
      </w:pPr>
      <w:r w:rsidRPr="00EB5B1D">
        <w:rPr>
          <w:snapToGrid w:val="0"/>
          <w:szCs w:val="22"/>
          <w:lang w:val="es-ES_tradnl"/>
        </w:rPr>
        <w:t xml:space="preserve">La finalidad de la Circular CFP es ofrecer a todas las Partes, por medio de sus Autoridades Nacionales Designadas (AND), la información necesaria que habrá de distribuir la Secretaría, de conformidad con lo dispuesto en los </w:t>
      </w:r>
      <w:r w:rsidR="00C1385C" w:rsidRPr="00EB5B1D">
        <w:rPr>
          <w:snapToGrid w:val="0"/>
          <w:szCs w:val="22"/>
          <w:lang w:val="es-ES_tradnl"/>
        </w:rPr>
        <w:t xml:space="preserve">artículos </w:t>
      </w:r>
      <w:r w:rsidRPr="00EB5B1D">
        <w:rPr>
          <w:bCs/>
          <w:snapToGrid w:val="0"/>
          <w:szCs w:val="22"/>
          <w:lang w:val="es-ES_tradnl"/>
        </w:rPr>
        <w:t>4, 5, 6, 7, 10, 11, 13</w:t>
      </w:r>
      <w:r w:rsidRPr="00EB5B1D">
        <w:rPr>
          <w:snapToGrid w:val="0"/>
          <w:szCs w:val="22"/>
          <w:lang w:val="es-ES_tradnl"/>
        </w:rPr>
        <w:t xml:space="preserve"> y </w:t>
      </w:r>
      <w:r w:rsidRPr="00EB5B1D">
        <w:rPr>
          <w:bCs/>
          <w:snapToGrid w:val="0"/>
          <w:szCs w:val="22"/>
          <w:lang w:val="es-ES_tradnl"/>
        </w:rPr>
        <w:t>14</w:t>
      </w:r>
      <w:r w:rsidRPr="00EB5B1D">
        <w:rPr>
          <w:snapToGrid w:val="0"/>
          <w:szCs w:val="22"/>
          <w:lang w:val="es-ES_tradnl"/>
        </w:rPr>
        <w:t xml:space="preserve">. Los documentos de orientación para la adopción de decisiones que han de remitirse a las Partes en conformidad con lo dispuesto en el párrafo 3 del </w:t>
      </w:r>
      <w:r w:rsidR="00C1385C" w:rsidRPr="00EB5B1D">
        <w:rPr>
          <w:snapToGrid w:val="0"/>
          <w:szCs w:val="22"/>
          <w:lang w:val="es-ES_tradnl"/>
        </w:rPr>
        <w:t xml:space="preserve">artículo </w:t>
      </w:r>
      <w:r w:rsidRPr="00EB5B1D">
        <w:rPr>
          <w:snapToGrid w:val="0"/>
          <w:szCs w:val="22"/>
          <w:lang w:val="es-ES_tradnl"/>
        </w:rPr>
        <w:t xml:space="preserve">7, se enviarán en una comunicación por separado. </w:t>
      </w:r>
    </w:p>
    <w:p w:rsidR="00D872C1" w:rsidRPr="00EB5B1D" w:rsidRDefault="00D872C1" w:rsidP="00D872C1">
      <w:pPr>
        <w:snapToGrid w:val="0"/>
        <w:ind w:right="-19"/>
        <w:jc w:val="both"/>
        <w:rPr>
          <w:snapToGrid w:val="0"/>
          <w:szCs w:val="22"/>
          <w:lang w:val="es-ES_tradnl"/>
        </w:rPr>
      </w:pPr>
    </w:p>
    <w:p w:rsidR="00D872C1" w:rsidRPr="00EB5B1D" w:rsidRDefault="00D872C1" w:rsidP="00D872C1">
      <w:pPr>
        <w:snapToGrid w:val="0"/>
        <w:ind w:right="-19"/>
        <w:jc w:val="both"/>
        <w:rPr>
          <w:snapToGrid w:val="0"/>
          <w:szCs w:val="22"/>
          <w:lang w:val="es-ES_tradnl"/>
        </w:rPr>
      </w:pPr>
      <w:r w:rsidRPr="00EB5B1D">
        <w:rPr>
          <w:snapToGrid w:val="0"/>
          <w:szCs w:val="22"/>
          <w:lang w:val="es-ES_tradnl"/>
        </w:rPr>
        <w:t>La Circular CFP se publica cada seis meses, en junio y en diciembre. Esta Circular contiene la información relativa al periodo que va del 1 de noviembre de 2016 al 30 de abril de 2017. Con el fin de garantizar suficiente tiempo para comprobar la información recibida para preparar la Circular CFP, la información recibida después del 30 de abril de 2017 generalmente no se incluye y se publica en la próxima Circular CFP.</w:t>
      </w:r>
    </w:p>
    <w:p w:rsidR="00D872C1" w:rsidRPr="00EB5B1D" w:rsidRDefault="00D872C1" w:rsidP="00D872C1">
      <w:pPr>
        <w:snapToGrid w:val="0"/>
        <w:ind w:right="-19"/>
        <w:jc w:val="both"/>
        <w:rPr>
          <w:snapToGrid w:val="0"/>
          <w:szCs w:val="22"/>
          <w:lang w:val="es-ES_tradnl"/>
        </w:rPr>
      </w:pPr>
    </w:p>
    <w:p w:rsidR="000A5DDA" w:rsidRPr="00EB5B1D" w:rsidRDefault="00D872C1" w:rsidP="00D872C1">
      <w:pPr>
        <w:snapToGrid w:val="0"/>
        <w:ind w:right="-19"/>
        <w:jc w:val="both"/>
        <w:rPr>
          <w:snapToGrid w:val="0"/>
          <w:szCs w:val="22"/>
          <w:lang w:val="es-ES_tradnl"/>
        </w:rPr>
      </w:pPr>
      <w:r w:rsidRPr="00EB5B1D">
        <w:rPr>
          <w:snapToGrid w:val="0"/>
          <w:szCs w:val="22"/>
          <w:lang w:val="es-ES_tradnl"/>
        </w:rPr>
        <w:t xml:space="preserve">La Secretaría ha realizado esfuerzos considerables con el fin de garantizar que la información incluida en la Circular CFP sea completa y exacta. </w:t>
      </w:r>
      <w:bookmarkStart w:id="9" w:name="OLE_LINK2"/>
      <w:r w:rsidRPr="00EB5B1D">
        <w:rPr>
          <w:snapToGrid w:val="0"/>
          <w:szCs w:val="22"/>
          <w:lang w:val="es-ES_tradnl"/>
        </w:rPr>
        <w:t>Se ruega a las AND que examinen la información correspondiente a sus países y señalen lo antes posible cualquier error u omisión a la Secretaría</w:t>
      </w:r>
      <w:bookmarkEnd w:id="9"/>
      <w:r w:rsidR="000A5DDA" w:rsidRPr="00EB5B1D">
        <w:rPr>
          <w:snapToGrid w:val="0"/>
          <w:szCs w:val="22"/>
          <w:lang w:val="es-ES_tradnl"/>
        </w:rPr>
        <w:t>.</w:t>
      </w:r>
    </w:p>
    <w:p w:rsidR="000A5DDA" w:rsidRPr="00EB5B1D" w:rsidRDefault="000A5DDA" w:rsidP="000A5DDA">
      <w:pPr>
        <w:snapToGrid w:val="0"/>
        <w:ind w:right="-1"/>
        <w:jc w:val="both"/>
        <w:rPr>
          <w:szCs w:val="22"/>
          <w:lang w:val="es-ES_tradnl"/>
        </w:rPr>
      </w:pPr>
    </w:p>
    <w:p w:rsidR="001F3F1A" w:rsidRPr="004906B7" w:rsidRDefault="001F3F1A" w:rsidP="001F3F1A">
      <w:pPr>
        <w:outlineLvl w:val="0"/>
        <w:rPr>
          <w:b/>
          <w:snapToGrid w:val="0"/>
          <w:sz w:val="24"/>
          <w:lang w:val="fr-CH"/>
        </w:rPr>
      </w:pPr>
      <w:bookmarkStart w:id="10" w:name="_Toc264393103"/>
      <w:bookmarkStart w:id="11" w:name="_Toc264391956"/>
      <w:bookmarkStart w:id="12" w:name="_Toc484686615"/>
      <w:r w:rsidRPr="004906B7">
        <w:rPr>
          <w:b/>
          <w:snapToGrid w:val="0"/>
          <w:sz w:val="24"/>
          <w:lang w:val="fr-CH"/>
        </w:rPr>
        <w:t>2.</w:t>
      </w:r>
      <w:r w:rsidRPr="004906B7">
        <w:rPr>
          <w:b/>
          <w:snapToGrid w:val="0"/>
          <w:sz w:val="24"/>
          <w:lang w:val="fr-CH"/>
        </w:rPr>
        <w:tab/>
      </w:r>
      <w:bookmarkEnd w:id="10"/>
      <w:bookmarkEnd w:id="11"/>
      <w:r w:rsidR="000A5DDA" w:rsidRPr="004906B7">
        <w:rPr>
          <w:b/>
          <w:snapToGrid w:val="0"/>
          <w:sz w:val="24"/>
          <w:lang w:val="fr-CH"/>
        </w:rPr>
        <w:t xml:space="preserve">IMPLEMENTACIÓN DEL CONVENIO DE </w:t>
      </w:r>
      <w:r w:rsidR="007D514A" w:rsidRPr="004906B7">
        <w:rPr>
          <w:b/>
          <w:snapToGrid w:val="0"/>
          <w:sz w:val="24"/>
          <w:lang w:val="fr-CH"/>
        </w:rPr>
        <w:t>ROTTERDAM</w:t>
      </w:r>
      <w:bookmarkEnd w:id="12"/>
    </w:p>
    <w:p w:rsidR="001F3F1A" w:rsidRPr="00EB5B1D" w:rsidRDefault="001F3F1A" w:rsidP="001F3F1A">
      <w:pPr>
        <w:outlineLvl w:val="0"/>
        <w:rPr>
          <w:snapToGrid w:val="0"/>
          <w:szCs w:val="22"/>
          <w:lang w:val="fr-CH"/>
        </w:rPr>
      </w:pPr>
    </w:p>
    <w:p w:rsidR="001F3F1A" w:rsidRPr="00EB5B1D" w:rsidRDefault="001F3F1A" w:rsidP="001F3F1A">
      <w:pPr>
        <w:jc w:val="both"/>
        <w:outlineLvl w:val="1"/>
        <w:rPr>
          <w:b/>
          <w:snapToGrid w:val="0"/>
          <w:szCs w:val="22"/>
          <w:lang w:val="fr-CH"/>
        </w:rPr>
      </w:pPr>
      <w:bookmarkStart w:id="13" w:name="_Toc264393104"/>
      <w:bookmarkStart w:id="14" w:name="_Toc264391957"/>
      <w:bookmarkStart w:id="15" w:name="_Toc484686616"/>
      <w:r w:rsidRPr="00EB5B1D">
        <w:rPr>
          <w:b/>
          <w:snapToGrid w:val="0"/>
          <w:szCs w:val="22"/>
          <w:lang w:val="fr-CH"/>
        </w:rPr>
        <w:t>2.1</w:t>
      </w:r>
      <w:r w:rsidRPr="00EB5B1D">
        <w:rPr>
          <w:b/>
          <w:snapToGrid w:val="0"/>
          <w:szCs w:val="22"/>
          <w:lang w:val="fr-CH"/>
        </w:rPr>
        <w:tab/>
      </w:r>
      <w:bookmarkEnd w:id="13"/>
      <w:bookmarkEnd w:id="14"/>
      <w:r w:rsidR="000A5DDA" w:rsidRPr="00EB5B1D">
        <w:rPr>
          <w:b/>
          <w:snapToGrid w:val="0"/>
          <w:szCs w:val="22"/>
          <w:lang w:val="fr-CH"/>
        </w:rPr>
        <w:t xml:space="preserve">Autoridades Nacionales Designadas </w:t>
      </w:r>
      <w:r w:rsidR="000A5DDA" w:rsidRPr="00EB5B1D">
        <w:rPr>
          <w:snapToGrid w:val="0"/>
          <w:szCs w:val="22"/>
          <w:lang w:val="fr-CH"/>
        </w:rPr>
        <w:t>(</w:t>
      </w:r>
      <w:r w:rsidR="004A20D8" w:rsidRPr="00EB5B1D">
        <w:rPr>
          <w:snapToGrid w:val="0"/>
          <w:szCs w:val="22"/>
          <w:lang w:val="fr-CH"/>
        </w:rPr>
        <w:t>artículo</w:t>
      </w:r>
      <w:r w:rsidR="000A5DDA" w:rsidRPr="00EB5B1D">
        <w:rPr>
          <w:snapToGrid w:val="0"/>
          <w:szCs w:val="22"/>
          <w:lang w:val="fr-CH"/>
        </w:rPr>
        <w:t xml:space="preserve"> 4)</w:t>
      </w:r>
      <w:bookmarkEnd w:id="15"/>
    </w:p>
    <w:p w:rsidR="001F3F1A" w:rsidRPr="00EB5B1D" w:rsidRDefault="001F3F1A" w:rsidP="001F3F1A">
      <w:pPr>
        <w:jc w:val="both"/>
        <w:rPr>
          <w:snapToGrid w:val="0"/>
          <w:szCs w:val="22"/>
          <w:lang w:val="fr-CH"/>
        </w:rPr>
      </w:pPr>
    </w:p>
    <w:p w:rsidR="001F3F1A" w:rsidRPr="00EB5B1D" w:rsidRDefault="00D872C1" w:rsidP="001F3F1A">
      <w:pPr>
        <w:jc w:val="both"/>
        <w:rPr>
          <w:szCs w:val="22"/>
          <w:lang w:val="fr-CH"/>
        </w:rPr>
      </w:pPr>
      <w:r w:rsidRPr="00EB5B1D">
        <w:rPr>
          <w:szCs w:val="22"/>
          <w:lang w:val="es-ES_tradnl"/>
        </w:rPr>
        <w:t xml:space="preserve">De conformidad con el párrafo 4 del </w:t>
      </w:r>
      <w:r w:rsidR="00C1385C" w:rsidRPr="00EB5B1D">
        <w:rPr>
          <w:szCs w:val="22"/>
          <w:lang w:val="es-ES_tradnl"/>
        </w:rPr>
        <w:t>a</w:t>
      </w:r>
      <w:r w:rsidRPr="00EB5B1D">
        <w:rPr>
          <w:szCs w:val="22"/>
          <w:lang w:val="es-ES_tradnl"/>
        </w:rPr>
        <w:t xml:space="preserve">rtículo 4 del Convenio, la Secretaría comunicará a las Partes las notificaciones de nombramientos o cambios a las Autoridades Nacionales Designadas (AND). Con la presente Circular CFP se distribuye también una lista completa de las AND que contiene todos los detalles de contacto. Esta información está también disponible en el sitio Web del Convenio de </w:t>
      </w:r>
      <w:r w:rsidR="007D514A" w:rsidRPr="00EB5B1D">
        <w:rPr>
          <w:szCs w:val="22"/>
          <w:lang w:val="es-ES_tradnl"/>
        </w:rPr>
        <w:t>Rotterdam</w:t>
      </w:r>
      <w:r w:rsidRPr="00EB5B1D">
        <w:rPr>
          <w:szCs w:val="22"/>
          <w:lang w:val="es-ES_tradnl"/>
        </w:rPr>
        <w:t xml:space="preserve"> (</w:t>
      </w:r>
      <w:hyperlink r:id="rId13" w:history="1">
        <w:r w:rsidR="00703DBB" w:rsidRPr="00EB5B1D">
          <w:rPr>
            <w:rStyle w:val="Hyperlink"/>
            <w:szCs w:val="22"/>
            <w:lang w:val="es-ES_tradnl"/>
          </w:rPr>
          <w:t>www.pic.inthtt</w:t>
        </w:r>
      </w:hyperlink>
      <w:r w:rsidRPr="00EB5B1D">
        <w:rPr>
          <w:szCs w:val="22"/>
          <w:lang w:val="es-ES_tradnl"/>
        </w:rPr>
        <w:t>)</w:t>
      </w:r>
      <w:r w:rsidR="00262058" w:rsidRPr="00EB5B1D">
        <w:rPr>
          <w:szCs w:val="22"/>
          <w:lang w:val="fr-CH"/>
        </w:rPr>
        <w:t>.</w:t>
      </w:r>
    </w:p>
    <w:p w:rsidR="00262058" w:rsidRPr="00EB5B1D" w:rsidRDefault="00262058" w:rsidP="001F3F1A">
      <w:pPr>
        <w:jc w:val="both"/>
        <w:rPr>
          <w:snapToGrid w:val="0"/>
          <w:szCs w:val="22"/>
          <w:lang w:val="fr-CH"/>
        </w:rPr>
      </w:pPr>
    </w:p>
    <w:p w:rsidR="001F3F1A" w:rsidRPr="00EB5B1D" w:rsidRDefault="001F3F1A" w:rsidP="000A5DDA">
      <w:pPr>
        <w:ind w:left="720" w:hanging="720"/>
        <w:jc w:val="both"/>
        <w:outlineLvl w:val="1"/>
        <w:rPr>
          <w:snapToGrid w:val="0"/>
          <w:szCs w:val="22"/>
          <w:lang w:val="fr-CH"/>
        </w:rPr>
      </w:pPr>
      <w:bookmarkStart w:id="16" w:name="_Toc264393105"/>
      <w:bookmarkStart w:id="17" w:name="_Toc264391958"/>
      <w:bookmarkStart w:id="18" w:name="_Toc484686617"/>
      <w:r w:rsidRPr="00EB5B1D">
        <w:rPr>
          <w:b/>
          <w:snapToGrid w:val="0"/>
          <w:szCs w:val="22"/>
          <w:lang w:val="fr-CH"/>
        </w:rPr>
        <w:t>2.2</w:t>
      </w:r>
      <w:r w:rsidRPr="00EB5B1D">
        <w:rPr>
          <w:b/>
          <w:snapToGrid w:val="0"/>
          <w:szCs w:val="22"/>
          <w:lang w:val="fr-CH"/>
        </w:rPr>
        <w:tab/>
      </w:r>
      <w:bookmarkEnd w:id="16"/>
      <w:bookmarkEnd w:id="17"/>
      <w:r w:rsidR="000A5DDA" w:rsidRPr="00EB5B1D">
        <w:rPr>
          <w:b/>
          <w:snapToGrid w:val="0"/>
          <w:szCs w:val="22"/>
          <w:lang w:val="fr-CH"/>
        </w:rPr>
        <w:t xml:space="preserve">Notificaciones de medida reglamentaria firme para prohibir o restringir rigurosamente un producto químico </w:t>
      </w:r>
      <w:r w:rsidR="000A5DDA" w:rsidRPr="00EB5B1D">
        <w:rPr>
          <w:snapToGrid w:val="0"/>
          <w:szCs w:val="22"/>
          <w:lang w:val="fr-CH"/>
        </w:rPr>
        <w:t>(</w:t>
      </w:r>
      <w:r w:rsidR="004A20D8" w:rsidRPr="00EB5B1D">
        <w:rPr>
          <w:snapToGrid w:val="0"/>
          <w:szCs w:val="22"/>
          <w:lang w:val="fr-CH"/>
        </w:rPr>
        <w:t>artículo</w:t>
      </w:r>
      <w:r w:rsidR="000A5DDA" w:rsidRPr="00EB5B1D">
        <w:rPr>
          <w:snapToGrid w:val="0"/>
          <w:szCs w:val="22"/>
          <w:lang w:val="fr-CH"/>
        </w:rPr>
        <w:t xml:space="preserve"> 5)</w:t>
      </w:r>
      <w:bookmarkEnd w:id="18"/>
      <w:r w:rsidRPr="00EB5B1D">
        <w:rPr>
          <w:snapToGrid w:val="0"/>
          <w:szCs w:val="22"/>
          <w:lang w:val="fr-CH"/>
        </w:rPr>
        <w:t xml:space="preserve"> </w:t>
      </w:r>
    </w:p>
    <w:p w:rsidR="001F3F1A" w:rsidRPr="00EB5B1D" w:rsidRDefault="001F3F1A" w:rsidP="001F3F1A">
      <w:pPr>
        <w:jc w:val="both"/>
        <w:rPr>
          <w:snapToGrid w:val="0"/>
          <w:szCs w:val="22"/>
          <w:lang w:val="fr-CH"/>
        </w:rPr>
      </w:pPr>
    </w:p>
    <w:p w:rsidR="00D872C1" w:rsidRPr="00EB5B1D" w:rsidRDefault="00D872C1" w:rsidP="00D872C1">
      <w:pPr>
        <w:snapToGrid w:val="0"/>
        <w:ind w:right="-1"/>
        <w:jc w:val="both"/>
        <w:rPr>
          <w:snapToGrid w:val="0"/>
          <w:lang w:val="es-ES_tradnl"/>
        </w:rPr>
      </w:pPr>
      <w:r w:rsidRPr="00EB5B1D">
        <w:rPr>
          <w:snapToGrid w:val="0"/>
          <w:lang w:val="es-ES_tradnl"/>
        </w:rPr>
        <w:t xml:space="preserve">De conformidad con el párrafo 3 del </w:t>
      </w:r>
      <w:r w:rsidR="00C1385C" w:rsidRPr="00EB5B1D">
        <w:rPr>
          <w:snapToGrid w:val="0"/>
          <w:lang w:val="es-ES_tradnl"/>
        </w:rPr>
        <w:t xml:space="preserve">artículo </w:t>
      </w:r>
      <w:r w:rsidRPr="00EB5B1D">
        <w:rPr>
          <w:snapToGrid w:val="0"/>
          <w:lang w:val="es-ES_tradnl"/>
        </w:rPr>
        <w:t xml:space="preserve">5 del Convenio, la Secretaría distribuirá resúmenes de las notificaciones de medida reglamentaria firme recibidas en las que se haya verificado que contienen la información estipulada en el </w:t>
      </w:r>
      <w:r w:rsidR="00C1385C" w:rsidRPr="00EB5B1D">
        <w:rPr>
          <w:snapToGrid w:val="0"/>
          <w:lang w:val="es-ES_tradnl"/>
        </w:rPr>
        <w:t xml:space="preserve">anexo </w:t>
      </w:r>
      <w:r w:rsidRPr="00EB5B1D">
        <w:rPr>
          <w:snapToGrid w:val="0"/>
          <w:lang w:val="es-ES_tradnl"/>
        </w:rPr>
        <w:t xml:space="preserve">I del Convenio. Además, la Secretaría distribuirá un resumen de todas las notificaciones de medida reglamentaria firme recibidas, incluida información relativa a las notificaciones que no contengan toda la información estipulada en el </w:t>
      </w:r>
      <w:r w:rsidR="00C1385C" w:rsidRPr="00EB5B1D">
        <w:rPr>
          <w:snapToGrid w:val="0"/>
          <w:lang w:val="es-ES_tradnl"/>
        </w:rPr>
        <w:t xml:space="preserve">anexo </w:t>
      </w:r>
      <w:r w:rsidRPr="00EB5B1D">
        <w:rPr>
          <w:snapToGrid w:val="0"/>
          <w:lang w:val="es-ES_tradnl"/>
        </w:rPr>
        <w:t xml:space="preserve">I del Convenio. </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ind w:right="-1"/>
        <w:jc w:val="both"/>
        <w:rPr>
          <w:snapToGrid w:val="0"/>
          <w:lang w:val="es-ES_tradnl"/>
        </w:rPr>
      </w:pPr>
      <w:r w:rsidRPr="00EB5B1D">
        <w:rPr>
          <w:snapToGrid w:val="0"/>
          <w:lang w:val="es-ES_tradnl"/>
        </w:rPr>
        <w:t xml:space="preserve">Se ha preparado un resumen de todas las notificaciones de medida reglamentaria firme recibidas de las </w:t>
      </w:r>
      <w:r w:rsidRPr="00EB5B1D">
        <w:rPr>
          <w:bCs/>
          <w:iCs/>
          <w:snapToGrid w:val="0"/>
          <w:lang w:val="es-ES_tradnl"/>
        </w:rPr>
        <w:t>Partes</w:t>
      </w:r>
      <w:r w:rsidRPr="00EB5B1D">
        <w:rPr>
          <w:snapToGrid w:val="0"/>
          <w:lang w:val="es-ES_tradnl"/>
        </w:rPr>
        <w:t xml:space="preserve"> desde la última Circular CFP. El </w:t>
      </w:r>
      <w:r w:rsidRPr="00EB5B1D">
        <w:rPr>
          <w:b/>
          <w:snapToGrid w:val="0"/>
          <w:lang w:val="es-ES_tradnl"/>
        </w:rPr>
        <w:t>apéndice I</w:t>
      </w:r>
      <w:r w:rsidRPr="00EB5B1D">
        <w:rPr>
          <w:snapToGrid w:val="0"/>
          <w:lang w:val="es-ES_tradnl"/>
        </w:rPr>
        <w:t xml:space="preserve">, </w:t>
      </w:r>
      <w:r w:rsidRPr="00EB5B1D">
        <w:rPr>
          <w:b/>
          <w:snapToGrid w:val="0"/>
          <w:lang w:val="es-ES_tradnl"/>
        </w:rPr>
        <w:t>parte A</w:t>
      </w:r>
      <w:r w:rsidRPr="00EB5B1D">
        <w:rPr>
          <w:snapToGrid w:val="0"/>
          <w:lang w:val="es-ES_tradnl"/>
        </w:rPr>
        <w:t xml:space="preserve"> </w:t>
      </w:r>
      <w:r w:rsidR="00051AE9" w:rsidRPr="00EB5B1D">
        <w:rPr>
          <w:snapToGrid w:val="0"/>
          <w:lang w:val="es-ES_tradnl"/>
        </w:rPr>
        <w:t xml:space="preserve">de </w:t>
      </w:r>
      <w:r w:rsidR="00447ED2" w:rsidRPr="00EB5B1D">
        <w:rPr>
          <w:snapToGrid w:val="0"/>
          <w:lang w:val="es-ES_tradnl"/>
        </w:rPr>
        <w:t>la Circular CFP</w:t>
      </w:r>
      <w:r w:rsidR="00051AE9" w:rsidRPr="00EB5B1D">
        <w:rPr>
          <w:snapToGrid w:val="0"/>
          <w:lang w:val="es-ES_tradnl"/>
        </w:rPr>
        <w:t xml:space="preserve"> contiene una sinopsis </w:t>
      </w:r>
      <w:r w:rsidRPr="00EB5B1D">
        <w:rPr>
          <w:snapToGrid w:val="0"/>
          <w:lang w:val="es-ES_tradnl"/>
        </w:rPr>
        <w:t>de las notificaciones</w:t>
      </w:r>
      <w:r w:rsidR="00051AE9" w:rsidRPr="00EB5B1D">
        <w:rPr>
          <w:snapToGrid w:val="0"/>
          <w:lang w:val="es-ES_tradnl"/>
        </w:rPr>
        <w:t xml:space="preserve"> que se ha</w:t>
      </w:r>
      <w:r w:rsidRPr="00EB5B1D">
        <w:rPr>
          <w:snapToGrid w:val="0"/>
          <w:lang w:val="es-ES_tradnl"/>
        </w:rPr>
        <w:t xml:space="preserve"> verificad</w:t>
      </w:r>
      <w:r w:rsidR="00051AE9" w:rsidRPr="00EB5B1D">
        <w:rPr>
          <w:snapToGrid w:val="0"/>
          <w:lang w:val="es-ES_tradnl"/>
        </w:rPr>
        <w:t>o</w:t>
      </w:r>
      <w:r w:rsidRPr="00EB5B1D">
        <w:rPr>
          <w:snapToGrid w:val="0"/>
          <w:lang w:val="es-ES_tradnl"/>
        </w:rPr>
        <w:t xml:space="preserve"> que contienen </w:t>
      </w:r>
      <w:r w:rsidR="00051AE9" w:rsidRPr="00EB5B1D">
        <w:rPr>
          <w:snapToGrid w:val="0"/>
          <w:lang w:val="es-ES_tradnl"/>
        </w:rPr>
        <w:t xml:space="preserve">toda </w:t>
      </w:r>
      <w:r w:rsidRPr="00EB5B1D">
        <w:rPr>
          <w:snapToGrid w:val="0"/>
          <w:lang w:val="es-ES_tradnl"/>
        </w:rPr>
        <w:t xml:space="preserve">la información estipulada en el </w:t>
      </w:r>
      <w:r w:rsidR="00C1385C" w:rsidRPr="00EB5B1D">
        <w:rPr>
          <w:snapToGrid w:val="0"/>
          <w:lang w:val="es-ES_tradnl"/>
        </w:rPr>
        <w:t xml:space="preserve">anexo </w:t>
      </w:r>
      <w:r w:rsidRPr="00EB5B1D">
        <w:rPr>
          <w:snapToGrid w:val="0"/>
          <w:lang w:val="es-ES_tradnl"/>
        </w:rPr>
        <w:t xml:space="preserve">I del Convenio. La </w:t>
      </w:r>
      <w:r w:rsidRPr="00EB5B1D">
        <w:rPr>
          <w:b/>
          <w:snapToGrid w:val="0"/>
          <w:lang w:val="es-ES_tradnl"/>
        </w:rPr>
        <w:t>parte B</w:t>
      </w:r>
      <w:r w:rsidRPr="00EB5B1D">
        <w:rPr>
          <w:snapToGrid w:val="0"/>
          <w:lang w:val="es-ES_tradnl"/>
        </w:rPr>
        <w:t xml:space="preserve"> contiene la lista de todas las notificaciones recibidas durante el mismo periodo, verificadas que no contienen la información estipulada en el </w:t>
      </w:r>
      <w:r w:rsidR="00C1385C" w:rsidRPr="00EB5B1D">
        <w:rPr>
          <w:snapToGrid w:val="0"/>
          <w:lang w:val="es-ES_tradnl"/>
        </w:rPr>
        <w:t xml:space="preserve">anexo </w:t>
      </w:r>
      <w:r w:rsidRPr="00EB5B1D">
        <w:rPr>
          <w:snapToGrid w:val="0"/>
          <w:lang w:val="es-ES_tradnl"/>
        </w:rPr>
        <w:t xml:space="preserve">I del Convenio. </w:t>
      </w:r>
      <w:r w:rsidR="000C3BD1" w:rsidRPr="00EB5B1D">
        <w:rPr>
          <w:snapToGrid w:val="0"/>
          <w:lang w:val="es-ES_tradnl"/>
        </w:rPr>
        <w:t>L</w:t>
      </w:r>
      <w:r w:rsidRPr="00EB5B1D">
        <w:rPr>
          <w:snapToGrid w:val="0"/>
          <w:lang w:val="es-ES_tradnl"/>
        </w:rPr>
        <w:t xml:space="preserve">a </w:t>
      </w:r>
      <w:r w:rsidRPr="00EB5B1D">
        <w:rPr>
          <w:b/>
          <w:snapToGrid w:val="0"/>
          <w:lang w:val="es-ES_tradnl"/>
        </w:rPr>
        <w:t>parte C</w:t>
      </w:r>
      <w:r w:rsidRPr="00EB5B1D">
        <w:rPr>
          <w:snapToGrid w:val="0"/>
          <w:lang w:val="es-ES_tradnl"/>
        </w:rPr>
        <w:t xml:space="preserve"> contiene la lista de las notificaciones recibidas, que se encuentran todavía en fase de verificación por la Secretaría. </w:t>
      </w:r>
    </w:p>
    <w:p w:rsidR="00D872C1" w:rsidRPr="00EB5B1D" w:rsidRDefault="00D872C1" w:rsidP="00D872C1">
      <w:pPr>
        <w:snapToGrid w:val="0"/>
        <w:ind w:right="-1"/>
        <w:jc w:val="both"/>
        <w:rPr>
          <w:snapToGrid w:val="0"/>
          <w:lang w:val="es-ES_tradnl"/>
        </w:rPr>
      </w:pPr>
    </w:p>
    <w:p w:rsidR="001F1F25" w:rsidRPr="00EB5B1D" w:rsidRDefault="00D872C1" w:rsidP="001F1F25">
      <w:pPr>
        <w:snapToGrid w:val="0"/>
        <w:ind w:right="-1"/>
        <w:jc w:val="both"/>
        <w:rPr>
          <w:snapToGrid w:val="0"/>
          <w:lang w:val="es-ES_tradnl"/>
        </w:rPr>
      </w:pPr>
      <w:r w:rsidRPr="00EB5B1D">
        <w:rPr>
          <w:snapToGrid w:val="0"/>
          <w:lang w:val="es-ES_tradnl"/>
        </w:rPr>
        <w:t xml:space="preserve">La </w:t>
      </w:r>
      <w:r w:rsidRPr="00EB5B1D">
        <w:rPr>
          <w:b/>
          <w:snapToGrid w:val="0"/>
          <w:lang w:val="es-ES_tradnl"/>
        </w:rPr>
        <w:t>parte A</w:t>
      </w:r>
      <w:r w:rsidRPr="00EB5B1D">
        <w:rPr>
          <w:snapToGrid w:val="0"/>
          <w:lang w:val="es-ES_tradnl"/>
        </w:rPr>
        <w:t xml:space="preserve"> del </w:t>
      </w:r>
      <w:r w:rsidRPr="00EB5B1D">
        <w:rPr>
          <w:b/>
          <w:snapToGrid w:val="0"/>
          <w:lang w:val="es-ES_tradnl"/>
        </w:rPr>
        <w:t>apéndice V</w:t>
      </w:r>
      <w:r w:rsidRPr="00EB5B1D">
        <w:rPr>
          <w:snapToGrid w:val="0"/>
          <w:lang w:val="es-ES_tradnl"/>
        </w:rPr>
        <w:t xml:space="preserve"> incluye un cuadro resumen de todas las notificaciones de medida reglamentaria firme para productos químicos que no están incluidos en el </w:t>
      </w:r>
      <w:r w:rsidR="00C1385C" w:rsidRPr="00EB5B1D">
        <w:rPr>
          <w:snapToGrid w:val="0"/>
          <w:lang w:val="es-ES_tradnl"/>
        </w:rPr>
        <w:t xml:space="preserve">anexo </w:t>
      </w:r>
      <w:r w:rsidRPr="00EB5B1D">
        <w:rPr>
          <w:snapToGrid w:val="0"/>
          <w:lang w:val="es-ES_tradnl"/>
        </w:rPr>
        <w:t xml:space="preserve">III, recibidas </w:t>
      </w:r>
      <w:r w:rsidR="002E76BD" w:rsidRPr="00EB5B1D">
        <w:rPr>
          <w:szCs w:val="22"/>
          <w:lang w:val="fr-CH" w:eastAsia="en-US"/>
        </w:rPr>
        <w:t xml:space="preserve">durante el procedimiento de CFP provisional y el actual procedimiento de CFP (de septiembre de 1998 al </w:t>
      </w:r>
      <w:r w:rsidR="002E76BD" w:rsidRPr="00EB5B1D">
        <w:rPr>
          <w:szCs w:val="22"/>
          <w:lang w:val="fr-CH" w:eastAsia="en-GB"/>
        </w:rPr>
        <w:t>30 de abril de 2017</w:t>
      </w:r>
      <w:r w:rsidR="002E76BD" w:rsidRPr="00EB5B1D">
        <w:rPr>
          <w:szCs w:val="22"/>
          <w:lang w:val="fr-CH" w:eastAsia="en-US"/>
        </w:rPr>
        <w:t>)</w:t>
      </w:r>
      <w:r w:rsidRPr="00EB5B1D">
        <w:rPr>
          <w:snapToGrid w:val="0"/>
          <w:lang w:val="es-ES_tradnl"/>
        </w:rPr>
        <w:t xml:space="preserve"> y que </w:t>
      </w:r>
      <w:r w:rsidR="00465DBB" w:rsidRPr="00EB5B1D">
        <w:rPr>
          <w:snapToGrid w:val="0"/>
          <w:lang w:val="es-ES_tradnl"/>
        </w:rPr>
        <w:t xml:space="preserve">se ha </w:t>
      </w:r>
      <w:r w:rsidRPr="00EB5B1D">
        <w:rPr>
          <w:snapToGrid w:val="0"/>
          <w:lang w:val="es-ES_tradnl"/>
        </w:rPr>
        <w:t>verificad</w:t>
      </w:r>
      <w:r w:rsidR="00465DBB" w:rsidRPr="00EB5B1D">
        <w:rPr>
          <w:snapToGrid w:val="0"/>
          <w:lang w:val="es-ES_tradnl"/>
        </w:rPr>
        <w:t>o</w:t>
      </w:r>
      <w:r w:rsidRPr="00EB5B1D">
        <w:rPr>
          <w:snapToGrid w:val="0"/>
          <w:lang w:val="es-ES_tradnl"/>
        </w:rPr>
        <w:t xml:space="preserve"> que contienen </w:t>
      </w:r>
      <w:r w:rsidR="00465DBB" w:rsidRPr="00EB5B1D">
        <w:rPr>
          <w:snapToGrid w:val="0"/>
          <w:lang w:val="es-ES_tradnl"/>
        </w:rPr>
        <w:t xml:space="preserve">toda </w:t>
      </w:r>
      <w:r w:rsidRPr="00EB5B1D">
        <w:rPr>
          <w:snapToGrid w:val="0"/>
          <w:lang w:val="es-ES_tradnl"/>
        </w:rPr>
        <w:t xml:space="preserve">la información estipulada en el </w:t>
      </w:r>
      <w:r w:rsidR="00C1385C" w:rsidRPr="00EB5B1D">
        <w:rPr>
          <w:snapToGrid w:val="0"/>
          <w:lang w:val="es-ES_tradnl"/>
        </w:rPr>
        <w:t xml:space="preserve">anexo </w:t>
      </w:r>
      <w:r w:rsidRPr="00EB5B1D">
        <w:rPr>
          <w:snapToGrid w:val="0"/>
          <w:lang w:val="es-ES_tradnl"/>
        </w:rPr>
        <w:t xml:space="preserve">I del Convenio. </w:t>
      </w:r>
      <w:r w:rsidR="001F1F25" w:rsidRPr="00EB5B1D">
        <w:rPr>
          <w:snapToGrid w:val="0"/>
          <w:lang w:val="es-ES_tradnl"/>
        </w:rPr>
        <w:t>La</w:t>
      </w:r>
      <w:r w:rsidR="001F1F25" w:rsidRPr="00EB5B1D">
        <w:rPr>
          <w:b/>
          <w:snapToGrid w:val="0"/>
          <w:lang w:val="es-ES_tradnl"/>
        </w:rPr>
        <w:t xml:space="preserve"> parte B</w:t>
      </w:r>
      <w:r w:rsidR="001F1F25" w:rsidRPr="00EB5B1D">
        <w:rPr>
          <w:snapToGrid w:val="0"/>
          <w:lang w:val="es-ES_tradnl"/>
        </w:rPr>
        <w:t xml:space="preserve"> contiene una lista de todas las notificaciones recibidas durante el mismo periodo y </w:t>
      </w:r>
      <w:r w:rsidR="00465DBB" w:rsidRPr="00EB5B1D">
        <w:rPr>
          <w:snapToGrid w:val="0"/>
          <w:lang w:val="es-ES_tradnl"/>
        </w:rPr>
        <w:t xml:space="preserve">que se ha </w:t>
      </w:r>
      <w:r w:rsidR="001F1F25" w:rsidRPr="00EB5B1D">
        <w:rPr>
          <w:snapToGrid w:val="0"/>
          <w:lang w:val="es-ES_tradnl"/>
        </w:rPr>
        <w:t>verificad</w:t>
      </w:r>
      <w:r w:rsidR="00465DBB" w:rsidRPr="00EB5B1D">
        <w:rPr>
          <w:snapToGrid w:val="0"/>
          <w:lang w:val="es-ES_tradnl"/>
        </w:rPr>
        <w:t>o</w:t>
      </w:r>
      <w:r w:rsidR="001F1F25" w:rsidRPr="00EB5B1D">
        <w:rPr>
          <w:snapToGrid w:val="0"/>
          <w:lang w:val="es-ES_tradnl"/>
        </w:rPr>
        <w:t xml:space="preserve"> que no contienen </w:t>
      </w:r>
      <w:r w:rsidR="00465DBB" w:rsidRPr="00EB5B1D">
        <w:rPr>
          <w:snapToGrid w:val="0"/>
          <w:lang w:val="es-ES_tradnl"/>
        </w:rPr>
        <w:t xml:space="preserve">toda </w:t>
      </w:r>
      <w:r w:rsidR="001F1F25" w:rsidRPr="00EB5B1D">
        <w:rPr>
          <w:snapToGrid w:val="0"/>
          <w:lang w:val="es-ES_tradnl"/>
        </w:rPr>
        <w:t>la información estipulada en el anexo I del Convenio.</w:t>
      </w:r>
    </w:p>
    <w:p w:rsidR="00C1385C" w:rsidRPr="00EB5B1D" w:rsidRDefault="00C1385C" w:rsidP="00D872C1">
      <w:pPr>
        <w:snapToGrid w:val="0"/>
        <w:ind w:right="-1"/>
        <w:jc w:val="both"/>
        <w:rPr>
          <w:snapToGrid w:val="0"/>
          <w:lang w:val="es-ES_tradnl"/>
        </w:rPr>
      </w:pPr>
    </w:p>
    <w:p w:rsidR="00D872C1" w:rsidRPr="00EB5B1D" w:rsidRDefault="00D872C1" w:rsidP="00D872C1">
      <w:pPr>
        <w:snapToGrid w:val="0"/>
        <w:ind w:right="-1"/>
        <w:jc w:val="both"/>
        <w:rPr>
          <w:snapToGrid w:val="0"/>
          <w:lang w:val="es-ES_tradnl"/>
        </w:rPr>
      </w:pPr>
      <w:r w:rsidRPr="00EB5B1D">
        <w:rPr>
          <w:snapToGrid w:val="0"/>
          <w:lang w:val="es-ES_tradnl"/>
        </w:rPr>
        <w:t xml:space="preserve">Las Partes que hayan adoptado medidas reglamentarias firmes deberán notificarlas a la Secretaría dentro del plazo de tiempo estipulado en los párrafos 1 y 2, del </w:t>
      </w:r>
      <w:r w:rsidR="00C1385C" w:rsidRPr="00EB5B1D">
        <w:rPr>
          <w:snapToGrid w:val="0"/>
          <w:lang w:val="es-ES_tradnl"/>
        </w:rPr>
        <w:t xml:space="preserve">artículo </w:t>
      </w:r>
      <w:r w:rsidRPr="00EB5B1D">
        <w:rPr>
          <w:snapToGrid w:val="0"/>
          <w:lang w:val="es-ES_tradnl"/>
        </w:rPr>
        <w:t xml:space="preserve">5. La Secretaría desea llamar la atención de las Partes sobre los productos químicos para los que ya existe al menos una notificación completa y que, tras recibir una segunda notificación, la Secretaría transmitirá ambas al </w:t>
      </w:r>
      <w:r w:rsidR="00C1385C" w:rsidRPr="00EB5B1D">
        <w:rPr>
          <w:snapToGrid w:val="0"/>
          <w:lang w:val="es-ES_tradnl"/>
        </w:rPr>
        <w:t>Comité de Examen de Productos Químicos</w:t>
      </w:r>
      <w:r w:rsidRPr="00EB5B1D">
        <w:rPr>
          <w:snapToGrid w:val="0"/>
          <w:lang w:val="es-ES_tradnl"/>
        </w:rPr>
        <w:t xml:space="preserve">. </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ind w:right="-1"/>
        <w:jc w:val="both"/>
        <w:rPr>
          <w:snapToGrid w:val="0"/>
          <w:lang w:val="es-ES_tradnl"/>
        </w:rPr>
      </w:pPr>
      <w:r w:rsidRPr="00EB5B1D">
        <w:rPr>
          <w:snapToGrid w:val="0"/>
          <w:lang w:val="es-ES_tradnl"/>
        </w:rPr>
        <w:t xml:space="preserve">Toda la información sobre las notificaciones presentadas por las Partes para los productos químicos enumerados en el </w:t>
      </w:r>
      <w:r w:rsidR="00C1385C" w:rsidRPr="00EB5B1D">
        <w:rPr>
          <w:snapToGrid w:val="0"/>
          <w:lang w:val="es-ES_tradnl"/>
        </w:rPr>
        <w:t xml:space="preserve">anexo </w:t>
      </w:r>
      <w:r w:rsidRPr="00EB5B1D">
        <w:rPr>
          <w:snapToGrid w:val="0"/>
          <w:lang w:val="es-ES_tradnl"/>
        </w:rPr>
        <w:t xml:space="preserve">III del Convenio verificadas que contienen la información estipulada en el </w:t>
      </w:r>
      <w:r w:rsidR="00C1385C" w:rsidRPr="00EB5B1D">
        <w:rPr>
          <w:snapToGrid w:val="0"/>
          <w:lang w:val="es-ES_tradnl"/>
        </w:rPr>
        <w:t xml:space="preserve">anexo </w:t>
      </w:r>
      <w:r w:rsidRPr="00EB5B1D">
        <w:rPr>
          <w:snapToGrid w:val="0"/>
          <w:lang w:val="es-ES_tradnl"/>
        </w:rPr>
        <w:t xml:space="preserve">I del Convenio, ha sido incluida en el sitio web del Convenio de </w:t>
      </w:r>
      <w:r w:rsidR="007D514A" w:rsidRPr="00EB5B1D">
        <w:rPr>
          <w:snapToGrid w:val="0"/>
          <w:lang w:val="es-ES_tradnl"/>
        </w:rPr>
        <w:t>Rotterdam</w:t>
      </w:r>
      <w:r w:rsidRPr="00EB5B1D">
        <w:rPr>
          <w:snapToGrid w:val="0"/>
          <w:lang w:val="es-ES_tradnl"/>
        </w:rPr>
        <w:t xml:space="preserve"> en la sección titulada “Base de datos de notificaciones”.</w:t>
      </w:r>
    </w:p>
    <w:p w:rsidR="00D872C1" w:rsidRPr="00EB5B1D" w:rsidRDefault="00D872C1" w:rsidP="00D872C1">
      <w:pPr>
        <w:snapToGrid w:val="0"/>
        <w:ind w:right="-1"/>
        <w:jc w:val="both"/>
        <w:rPr>
          <w:snapToGrid w:val="0"/>
          <w:lang w:val="es-ES_tradnl"/>
        </w:rPr>
      </w:pPr>
    </w:p>
    <w:p w:rsidR="00D872C1" w:rsidRPr="00EB5B1D" w:rsidRDefault="00D872C1" w:rsidP="00D872C1">
      <w:pPr>
        <w:jc w:val="both"/>
        <w:rPr>
          <w:szCs w:val="22"/>
          <w:lang w:val="es-ES_tradnl"/>
        </w:rPr>
      </w:pPr>
      <w:r w:rsidRPr="00EB5B1D">
        <w:rPr>
          <w:snapToGrid w:val="0"/>
          <w:lang w:val="es-ES_tradnl"/>
        </w:rPr>
        <w:t xml:space="preserve">Por último, se publicó un resumen de todas las notificaciones recibidas antes de la entrada en vigor del Convenio (bajo el procedimiento de Consentimiento Fundamentado Previo - CFP original) en la </w:t>
      </w:r>
      <w:r w:rsidRPr="00EB5B1D">
        <w:rPr>
          <w:b/>
          <w:snapToGrid w:val="0"/>
          <w:lang w:val="es-ES_tradnl"/>
        </w:rPr>
        <w:t>Circular CFP X</w:t>
      </w:r>
      <w:r w:rsidRPr="00EB5B1D">
        <w:rPr>
          <w:snapToGrid w:val="0"/>
          <w:lang w:val="es-ES_tradnl"/>
        </w:rPr>
        <w:t xml:space="preserve"> en diciembre de 1999 y se encuentra disponible en la página Web del Convenio de </w:t>
      </w:r>
      <w:r w:rsidR="007D514A" w:rsidRPr="00EB5B1D">
        <w:rPr>
          <w:snapToGrid w:val="0"/>
          <w:lang w:val="es-ES_tradnl"/>
        </w:rPr>
        <w:t>Rotterdam</w:t>
      </w:r>
      <w:r w:rsidRPr="00EB5B1D">
        <w:rPr>
          <w:snapToGrid w:val="0"/>
          <w:lang w:val="es-ES_tradnl"/>
        </w:rPr>
        <w:t xml:space="preserve">. Las notificaciones presentadas antes de la entrada en vigor del Convenio no reúnen los requisitos estipulados en el </w:t>
      </w:r>
      <w:r w:rsidR="00C1385C" w:rsidRPr="00EB5B1D">
        <w:rPr>
          <w:snapToGrid w:val="0"/>
          <w:lang w:val="es-ES_tradnl"/>
        </w:rPr>
        <w:t xml:space="preserve">anexo </w:t>
      </w:r>
      <w:r w:rsidRPr="00EB5B1D">
        <w:rPr>
          <w:snapToGrid w:val="0"/>
          <w:lang w:val="es-ES_tradnl"/>
        </w:rPr>
        <w:t xml:space="preserve">I, ya que los requisitos de información para las notificaciones bajo el procedimiento de CFP original eran diferentes de los estipulados en el Convenio. Es de destacar que aunque las Partes no están obligadas a enviar de nuevo las notificaciones presentadas bajo el procedimiento de CFP original (párrafo 2, </w:t>
      </w:r>
      <w:r w:rsidR="00C1385C" w:rsidRPr="00EB5B1D">
        <w:rPr>
          <w:snapToGrid w:val="0"/>
          <w:lang w:val="es-ES_tradnl"/>
        </w:rPr>
        <w:t xml:space="preserve">artículo </w:t>
      </w:r>
      <w:r w:rsidRPr="00EB5B1D">
        <w:rPr>
          <w:snapToGrid w:val="0"/>
          <w:lang w:val="es-ES_tradnl"/>
        </w:rPr>
        <w:t xml:space="preserve">5 del Convenio), éstas deberían considerar su reenvío para aquellos productos químicos que no están enumerados en el </w:t>
      </w:r>
      <w:r w:rsidR="00C1385C" w:rsidRPr="00EB5B1D">
        <w:rPr>
          <w:snapToGrid w:val="0"/>
          <w:lang w:val="es-ES_tradnl"/>
        </w:rPr>
        <w:t xml:space="preserve">anexo </w:t>
      </w:r>
      <w:r w:rsidRPr="00EB5B1D">
        <w:rPr>
          <w:snapToGrid w:val="0"/>
          <w:lang w:val="es-ES_tradnl"/>
        </w:rPr>
        <w:t>III en el caso de que sea disponible la suficiente documentación de apoyo</w:t>
      </w:r>
      <w:r w:rsidRPr="00EB5B1D">
        <w:rPr>
          <w:szCs w:val="22"/>
          <w:lang w:val="es-ES_tradnl"/>
        </w:rPr>
        <w:t>.</w:t>
      </w:r>
    </w:p>
    <w:p w:rsidR="00D872C1" w:rsidRPr="00EB5B1D" w:rsidRDefault="00D872C1" w:rsidP="00D872C1">
      <w:pPr>
        <w:jc w:val="both"/>
        <w:rPr>
          <w:szCs w:val="22"/>
          <w:lang w:val="es-ES_tradnl"/>
        </w:rPr>
      </w:pPr>
    </w:p>
    <w:p w:rsidR="001F3F1A" w:rsidRPr="00EB5B1D" w:rsidRDefault="00D872C1" w:rsidP="00D872C1">
      <w:pPr>
        <w:jc w:val="both"/>
        <w:rPr>
          <w:szCs w:val="22"/>
          <w:lang w:val="fr-CH"/>
        </w:rPr>
      </w:pPr>
      <w:r w:rsidRPr="00EB5B1D">
        <w:rPr>
          <w:snapToGrid w:val="0"/>
          <w:lang w:val="es-ES_tradnl"/>
        </w:rPr>
        <w:t xml:space="preserve">Para facilitar la presentación de las notificaciones, se ha elaborado un </w:t>
      </w:r>
      <w:r w:rsidR="00676D07" w:rsidRPr="00EB5B1D">
        <w:rPr>
          <w:b/>
          <w:snapToGrid w:val="0"/>
          <w:lang w:val="es-ES_tradnl"/>
        </w:rPr>
        <w:t>f</w:t>
      </w:r>
      <w:r w:rsidRPr="00EB5B1D">
        <w:rPr>
          <w:b/>
          <w:snapToGrid w:val="0"/>
          <w:lang w:val="es-ES_tradnl"/>
        </w:rPr>
        <w:t>ormulario de notificación de medida reglamentaria firme para prohibir o restringir rigurosamente un producto químico</w:t>
      </w:r>
      <w:r w:rsidRPr="00EB5B1D">
        <w:rPr>
          <w:snapToGrid w:val="0"/>
          <w:lang w:val="es-ES_tradnl"/>
        </w:rPr>
        <w:t xml:space="preserve"> y la guía sobre cómo rellenarlo. Los ejemplares de estos formularios y de las instrucciones se pueden obtener en la página del Convenio de </w:t>
      </w:r>
      <w:r w:rsidR="007D514A" w:rsidRPr="00EB5B1D">
        <w:rPr>
          <w:snapToGrid w:val="0"/>
          <w:lang w:val="es-ES_tradnl"/>
        </w:rPr>
        <w:t>Rotterdam</w:t>
      </w:r>
      <w:r w:rsidRPr="00EB5B1D">
        <w:rPr>
          <w:snapToGrid w:val="0"/>
          <w:lang w:val="es-ES_tradnl"/>
        </w:rPr>
        <w:t xml:space="preserve"> en o bien solicitándolos a la Secretaría (</w:t>
      </w:r>
      <w:hyperlink r:id="rId14" w:history="1">
        <w:r w:rsidRPr="00EB5B1D">
          <w:rPr>
            <w:rStyle w:val="Hyperlink"/>
            <w:snapToGrid w:val="0"/>
            <w:color w:val="auto"/>
            <w:lang w:val="es-ES_tradnl"/>
          </w:rPr>
          <w:t>pic@fao.org</w:t>
        </w:r>
      </w:hyperlink>
      <w:r w:rsidR="00C1385C" w:rsidRPr="00EB5B1D">
        <w:rPr>
          <w:snapToGrid w:val="0"/>
          <w:lang w:val="es-ES_tradnl"/>
        </w:rPr>
        <w:t>,</w:t>
      </w:r>
      <w:r w:rsidRPr="00EB5B1D">
        <w:rPr>
          <w:snapToGrid w:val="0"/>
          <w:lang w:val="es-ES_tradnl"/>
        </w:rPr>
        <w:t xml:space="preserve"> </w:t>
      </w:r>
      <w:hyperlink r:id="rId15" w:history="1">
        <w:r w:rsidRPr="00EB5B1D">
          <w:rPr>
            <w:rStyle w:val="Hyperlink"/>
            <w:snapToGrid w:val="0"/>
            <w:color w:val="auto"/>
            <w:lang w:val="es-ES_tradnl"/>
          </w:rPr>
          <w:t>pic@pic.int</w:t>
        </w:r>
      </w:hyperlink>
      <w:r w:rsidR="00C1385C" w:rsidRPr="00EB5B1D">
        <w:rPr>
          <w:snapToGrid w:val="0"/>
          <w:lang w:val="es-ES_tradnl"/>
        </w:rPr>
        <w:t>,</w:t>
      </w:r>
      <w:r w:rsidRPr="00EB5B1D">
        <w:rPr>
          <w:snapToGrid w:val="0"/>
          <w:lang w:val="es-ES_tradnl"/>
        </w:rPr>
        <w:t xml:space="preserve"> </w:t>
      </w:r>
      <w:hyperlink r:id="rId16" w:history="1">
        <w:r w:rsidRPr="00EB5B1D">
          <w:rPr>
            <w:rStyle w:val="Hyperlink"/>
            <w:snapToGrid w:val="0"/>
            <w:color w:val="auto"/>
            <w:lang w:val="es-ES_tradnl"/>
          </w:rPr>
          <w:t>pic@brsmeas.org</w:t>
        </w:r>
      </w:hyperlink>
      <w:r w:rsidRPr="00EB5B1D">
        <w:rPr>
          <w:snapToGrid w:val="0"/>
          <w:lang w:val="es-ES_tradnl"/>
        </w:rPr>
        <w:t>). Las notificaciones de medida reglamentaria firme se deberán presentar a través de un canal oficial de comunicación para la Parte</w:t>
      </w:r>
      <w:r w:rsidR="00262058" w:rsidRPr="00EB5B1D">
        <w:rPr>
          <w:szCs w:val="22"/>
          <w:lang w:val="fr-CH"/>
        </w:rPr>
        <w:t>.</w:t>
      </w:r>
    </w:p>
    <w:p w:rsidR="001F3F1A" w:rsidRPr="00EB5B1D" w:rsidRDefault="001F3F1A" w:rsidP="001F3F1A">
      <w:pPr>
        <w:jc w:val="both"/>
        <w:rPr>
          <w:szCs w:val="22"/>
          <w:lang w:val="fr-CH"/>
        </w:rPr>
      </w:pPr>
    </w:p>
    <w:p w:rsidR="001F3F1A" w:rsidRPr="00EB5B1D" w:rsidRDefault="001F3F1A" w:rsidP="000A5DDA">
      <w:pPr>
        <w:ind w:left="720" w:hanging="720"/>
        <w:jc w:val="both"/>
        <w:outlineLvl w:val="1"/>
        <w:rPr>
          <w:szCs w:val="22"/>
          <w:lang w:val="fr-CH"/>
        </w:rPr>
      </w:pPr>
      <w:bookmarkStart w:id="19" w:name="_Toc264393106"/>
      <w:bookmarkStart w:id="20" w:name="_Toc264391959"/>
      <w:bookmarkStart w:id="21" w:name="_Toc248307661"/>
      <w:bookmarkStart w:id="22" w:name="_Toc248296424"/>
      <w:bookmarkStart w:id="23" w:name="_Toc232307866"/>
      <w:bookmarkStart w:id="24" w:name="_Toc201033290"/>
      <w:bookmarkStart w:id="25" w:name="_Toc199906459"/>
      <w:bookmarkStart w:id="26" w:name="_Toc168731337"/>
      <w:bookmarkStart w:id="27" w:name="_Toc484686618"/>
      <w:r w:rsidRPr="00EB5B1D">
        <w:rPr>
          <w:b/>
          <w:szCs w:val="22"/>
          <w:lang w:val="fr-CH"/>
        </w:rPr>
        <w:t>2.3</w:t>
      </w:r>
      <w:r w:rsidRPr="00EB5B1D">
        <w:rPr>
          <w:b/>
          <w:szCs w:val="22"/>
          <w:lang w:val="fr-CH"/>
        </w:rPr>
        <w:tab/>
      </w:r>
      <w:bookmarkEnd w:id="19"/>
      <w:bookmarkEnd w:id="20"/>
      <w:bookmarkEnd w:id="21"/>
      <w:bookmarkEnd w:id="22"/>
      <w:bookmarkEnd w:id="23"/>
      <w:bookmarkEnd w:id="24"/>
      <w:bookmarkEnd w:id="25"/>
      <w:bookmarkEnd w:id="26"/>
      <w:r w:rsidR="000A5DDA" w:rsidRPr="00EB5B1D">
        <w:rPr>
          <w:b/>
          <w:snapToGrid w:val="0"/>
          <w:lang w:val="es-ES_tradnl"/>
        </w:rPr>
        <w:t xml:space="preserve">Propuestas </w:t>
      </w:r>
      <w:proofErr w:type="gramStart"/>
      <w:r w:rsidR="000A5DDA" w:rsidRPr="00EB5B1D">
        <w:rPr>
          <w:b/>
          <w:snapToGrid w:val="0"/>
          <w:lang w:val="es-ES_tradnl"/>
        </w:rPr>
        <w:t>de inclusión</w:t>
      </w:r>
      <w:proofErr w:type="gramEnd"/>
      <w:r w:rsidR="000A5DDA" w:rsidRPr="00EB5B1D">
        <w:rPr>
          <w:b/>
          <w:snapToGrid w:val="0"/>
          <w:lang w:val="es-ES_tradnl"/>
        </w:rPr>
        <w:t xml:space="preserve"> de formulaciones de plaguicidas extremadamente peligrosas </w:t>
      </w:r>
      <w:r w:rsidR="000A5DDA" w:rsidRPr="00EB5B1D">
        <w:rPr>
          <w:lang w:val="es-ES_tradnl"/>
        </w:rPr>
        <w:t>(</w:t>
      </w:r>
      <w:r w:rsidR="004A20D8" w:rsidRPr="00EB5B1D">
        <w:rPr>
          <w:lang w:val="es-ES_tradnl"/>
        </w:rPr>
        <w:t>artículo</w:t>
      </w:r>
      <w:r w:rsidR="000A5DDA" w:rsidRPr="00EB5B1D">
        <w:rPr>
          <w:lang w:val="es-ES_tradnl"/>
        </w:rPr>
        <w:t> 6)</w:t>
      </w:r>
      <w:bookmarkEnd w:id="27"/>
      <w:r w:rsidRPr="00EB5B1D">
        <w:rPr>
          <w:snapToGrid w:val="0"/>
          <w:szCs w:val="22"/>
          <w:lang w:val="fr-CH"/>
        </w:rPr>
        <w:t xml:space="preserve"> </w:t>
      </w:r>
    </w:p>
    <w:p w:rsidR="001F3F1A" w:rsidRPr="00EB5B1D" w:rsidRDefault="001F3F1A" w:rsidP="001F3F1A">
      <w:pPr>
        <w:jc w:val="both"/>
        <w:rPr>
          <w:snapToGrid w:val="0"/>
          <w:szCs w:val="22"/>
          <w:lang w:val="fr-CH"/>
        </w:rPr>
      </w:pPr>
    </w:p>
    <w:p w:rsidR="00D872C1" w:rsidRPr="00EB5B1D" w:rsidRDefault="00D872C1" w:rsidP="00D872C1">
      <w:pPr>
        <w:snapToGrid w:val="0"/>
        <w:ind w:right="-1"/>
        <w:jc w:val="both"/>
        <w:rPr>
          <w:snapToGrid w:val="0"/>
          <w:lang w:val="es-ES_tradnl"/>
        </w:rPr>
      </w:pPr>
      <w:r w:rsidRPr="00EB5B1D">
        <w:rPr>
          <w:snapToGrid w:val="0"/>
          <w:lang w:val="es-ES_tradnl"/>
        </w:rPr>
        <w:t xml:space="preserve">De conformidad con el párrafo 2 del </w:t>
      </w:r>
      <w:r w:rsidR="0017453B" w:rsidRPr="00EB5B1D">
        <w:rPr>
          <w:snapToGrid w:val="0"/>
          <w:lang w:val="es-ES_tradnl"/>
        </w:rPr>
        <w:t xml:space="preserve">artículo </w:t>
      </w:r>
      <w:r w:rsidRPr="00EB5B1D">
        <w:rPr>
          <w:snapToGrid w:val="0"/>
          <w:lang w:val="es-ES_tradnl"/>
        </w:rPr>
        <w:t xml:space="preserve">6 del Convenio, la Secretaría distribuirá resúmenes de las propuestas de inclusión de formulaciones plaguicidas extremadamente peligrosas en el procedimiento de CFP, para las cuales la Secretaría haya verificado que contienen la información estipulada en la parte 1 del </w:t>
      </w:r>
      <w:r w:rsidR="0017453B" w:rsidRPr="00EB5B1D">
        <w:rPr>
          <w:snapToGrid w:val="0"/>
          <w:lang w:val="es-ES_tradnl"/>
        </w:rPr>
        <w:t xml:space="preserve">anexo </w:t>
      </w:r>
      <w:r w:rsidRPr="00EB5B1D">
        <w:rPr>
          <w:snapToGrid w:val="0"/>
          <w:lang w:val="es-ES_tradnl"/>
        </w:rPr>
        <w:t xml:space="preserve">IV del Convenio. </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ind w:right="-1"/>
        <w:jc w:val="both"/>
        <w:rPr>
          <w:snapToGrid w:val="0"/>
          <w:lang w:val="es-ES_tradnl"/>
        </w:rPr>
      </w:pPr>
      <w:r w:rsidRPr="00EB5B1D">
        <w:rPr>
          <w:snapToGrid w:val="0"/>
          <w:lang w:val="es-ES_tradnl"/>
        </w:rPr>
        <w:t xml:space="preserve">Los resúmenes de propuestas recibidas de las </w:t>
      </w:r>
      <w:r w:rsidRPr="00EB5B1D">
        <w:rPr>
          <w:bCs/>
          <w:iCs/>
          <w:snapToGrid w:val="0"/>
          <w:lang w:val="es-ES_tradnl"/>
        </w:rPr>
        <w:t>Partes</w:t>
      </w:r>
      <w:r w:rsidRPr="00EB5B1D">
        <w:rPr>
          <w:snapToGrid w:val="0"/>
          <w:lang w:val="es-ES_tradnl"/>
        </w:rPr>
        <w:t xml:space="preserve"> figuran en el </w:t>
      </w:r>
      <w:r w:rsidRPr="00EB5B1D">
        <w:rPr>
          <w:b/>
          <w:snapToGrid w:val="0"/>
          <w:lang w:val="es-ES_tradnl"/>
        </w:rPr>
        <w:t>apéndice II</w:t>
      </w:r>
      <w:r w:rsidRPr="00EB5B1D">
        <w:rPr>
          <w:snapToGrid w:val="0"/>
          <w:lang w:val="es-ES_tradnl"/>
        </w:rPr>
        <w:t xml:space="preserve">, </w:t>
      </w:r>
      <w:r w:rsidRPr="00EB5B1D">
        <w:rPr>
          <w:b/>
          <w:snapToGrid w:val="0"/>
          <w:lang w:val="es-ES_tradnl"/>
        </w:rPr>
        <w:t>parte A</w:t>
      </w:r>
      <w:r w:rsidRPr="00EB5B1D">
        <w:rPr>
          <w:snapToGrid w:val="0"/>
          <w:lang w:val="es-ES_tradnl"/>
        </w:rPr>
        <w:t xml:space="preserve"> de esta Circular CFP. Las Partes que han presentado propuestas, que se encuentran todavía en fase de verificación por la Secretaría aparecen en la </w:t>
      </w:r>
      <w:r w:rsidRPr="00EB5B1D">
        <w:rPr>
          <w:b/>
          <w:snapToGrid w:val="0"/>
          <w:lang w:val="es-ES_tradnl"/>
        </w:rPr>
        <w:t>parte B</w:t>
      </w:r>
      <w:r w:rsidRPr="00EB5B1D">
        <w:rPr>
          <w:snapToGrid w:val="0"/>
          <w:lang w:val="es-ES_tradnl"/>
        </w:rPr>
        <w:t xml:space="preserve"> de este apéndice.</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ind w:right="-1"/>
        <w:jc w:val="both"/>
        <w:rPr>
          <w:snapToGrid w:val="0"/>
          <w:lang w:val="es-ES_tradnl"/>
        </w:rPr>
      </w:pPr>
      <w:r w:rsidRPr="00EB5B1D">
        <w:rPr>
          <w:lang w:val="es-ES_tradnl"/>
        </w:rPr>
        <w:t xml:space="preserve">Las propuestas recibidas de Georgia, para la inclusión en el </w:t>
      </w:r>
      <w:r w:rsidR="0017453B" w:rsidRPr="00EB5B1D">
        <w:rPr>
          <w:lang w:val="es-ES_tradnl"/>
        </w:rPr>
        <w:t xml:space="preserve">anexo </w:t>
      </w:r>
      <w:r w:rsidRPr="00EB5B1D">
        <w:rPr>
          <w:lang w:val="es-ES_tradnl"/>
        </w:rPr>
        <w:t xml:space="preserve">III del Convenio, para </w:t>
      </w:r>
      <w:proofErr w:type="gramStart"/>
      <w:r w:rsidRPr="00EB5B1D">
        <w:rPr>
          <w:lang w:val="es-ES_tradnl"/>
        </w:rPr>
        <w:t>el</w:t>
      </w:r>
      <w:proofErr w:type="gramEnd"/>
      <w:r w:rsidRPr="00EB5B1D">
        <w:rPr>
          <w:lang w:val="es-ES_tradnl"/>
        </w:rPr>
        <w:t xml:space="preserve"> </w:t>
      </w:r>
      <w:r w:rsidR="0017453B" w:rsidRPr="00EB5B1D">
        <w:rPr>
          <w:lang w:val="es-ES_tradnl"/>
        </w:rPr>
        <w:t>l</w:t>
      </w:r>
      <w:r w:rsidRPr="00EB5B1D">
        <w:rPr>
          <w:lang w:val="es-ES_tradnl"/>
        </w:rPr>
        <w:t>ambda cihalotrin (</w:t>
      </w:r>
      <w:r w:rsidR="0017453B" w:rsidRPr="00EB5B1D">
        <w:rPr>
          <w:lang w:val="es-ES_tradnl"/>
        </w:rPr>
        <w:t>c</w:t>
      </w:r>
      <w:r w:rsidRPr="00EB5B1D">
        <w:rPr>
          <w:lang w:val="es-ES_tradnl"/>
        </w:rPr>
        <w:t xml:space="preserve">oncentrado </w:t>
      </w:r>
      <w:r w:rsidR="0017453B" w:rsidRPr="00EB5B1D">
        <w:rPr>
          <w:lang w:val="es-ES_tradnl"/>
        </w:rPr>
        <w:t>e</w:t>
      </w:r>
      <w:r w:rsidRPr="00EB5B1D">
        <w:rPr>
          <w:lang w:val="es-ES_tradnl"/>
        </w:rPr>
        <w:t xml:space="preserve">musificable </w:t>
      </w:r>
      <w:r w:rsidR="0017453B" w:rsidRPr="00EB5B1D">
        <w:rPr>
          <w:lang w:val="es-ES_tradnl"/>
        </w:rPr>
        <w:t>de</w:t>
      </w:r>
      <w:r w:rsidRPr="00EB5B1D">
        <w:rPr>
          <w:lang w:val="es-ES_tradnl"/>
        </w:rPr>
        <w:t xml:space="preserve"> 50 g/</w:t>
      </w:r>
      <w:r w:rsidR="0017453B" w:rsidRPr="00EB5B1D">
        <w:rPr>
          <w:lang w:val="es-ES_tradnl"/>
        </w:rPr>
        <w:t>L</w:t>
      </w:r>
      <w:r w:rsidRPr="00EB5B1D">
        <w:rPr>
          <w:lang w:val="es-ES_tradnl"/>
        </w:rPr>
        <w:t xml:space="preserve"> de ingrediente activo</w:t>
      </w:r>
      <w:r w:rsidR="0017453B" w:rsidRPr="00EB5B1D">
        <w:rPr>
          <w:lang w:val="es-ES_tradnl"/>
        </w:rPr>
        <w:t>)</w:t>
      </w:r>
      <w:r w:rsidRPr="00EB5B1D">
        <w:rPr>
          <w:lang w:val="es-ES_tradnl"/>
        </w:rPr>
        <w:t xml:space="preserve"> y </w:t>
      </w:r>
      <w:r w:rsidR="0017453B" w:rsidRPr="00EB5B1D">
        <w:rPr>
          <w:lang w:val="es-ES_tradnl"/>
        </w:rPr>
        <w:t>l</w:t>
      </w:r>
      <w:r w:rsidRPr="00EB5B1D">
        <w:rPr>
          <w:lang w:val="es-ES_tradnl"/>
        </w:rPr>
        <w:t>ambda</w:t>
      </w:r>
      <w:r w:rsidR="0017453B" w:rsidRPr="00EB5B1D">
        <w:rPr>
          <w:lang w:val="es-ES_tradnl"/>
        </w:rPr>
        <w:t>-</w:t>
      </w:r>
      <w:r w:rsidRPr="00EB5B1D">
        <w:rPr>
          <w:lang w:val="es-ES_tradnl"/>
        </w:rPr>
        <w:t>cihalotrin (</w:t>
      </w:r>
      <w:r w:rsidR="0017453B" w:rsidRPr="00EB5B1D">
        <w:rPr>
          <w:lang w:val="es-ES_tradnl"/>
        </w:rPr>
        <w:t>s</w:t>
      </w:r>
      <w:r w:rsidRPr="00EB5B1D">
        <w:rPr>
          <w:lang w:val="es-ES_tradnl"/>
        </w:rPr>
        <w:t xml:space="preserve">uspensiones en </w:t>
      </w:r>
      <w:r w:rsidR="0017453B" w:rsidRPr="00EB5B1D">
        <w:rPr>
          <w:lang w:val="es-ES_tradnl"/>
        </w:rPr>
        <w:t>c</w:t>
      </w:r>
      <w:r w:rsidRPr="00EB5B1D">
        <w:rPr>
          <w:lang w:val="es-ES_tradnl"/>
        </w:rPr>
        <w:t>ápsula</w:t>
      </w:r>
      <w:r w:rsidR="0017453B" w:rsidRPr="00EB5B1D">
        <w:rPr>
          <w:lang w:val="es-ES_tradnl"/>
        </w:rPr>
        <w:t>s</w:t>
      </w:r>
      <w:r w:rsidRPr="00EB5B1D">
        <w:rPr>
          <w:lang w:val="es-ES_tradnl"/>
        </w:rPr>
        <w:t xml:space="preserve"> </w:t>
      </w:r>
      <w:r w:rsidR="0017453B" w:rsidRPr="00EB5B1D">
        <w:rPr>
          <w:lang w:val="es-ES_tradnl"/>
        </w:rPr>
        <w:t xml:space="preserve">de </w:t>
      </w:r>
      <w:r w:rsidRPr="00EB5B1D">
        <w:rPr>
          <w:lang w:val="es-ES_tradnl"/>
        </w:rPr>
        <w:t>50 g/</w:t>
      </w:r>
      <w:r w:rsidR="0017453B" w:rsidRPr="00EB5B1D">
        <w:rPr>
          <w:lang w:val="es-ES_tradnl"/>
        </w:rPr>
        <w:t>L</w:t>
      </w:r>
      <w:r w:rsidRPr="00EB5B1D">
        <w:rPr>
          <w:lang w:val="es-ES_tradnl"/>
        </w:rPr>
        <w:t xml:space="preserve"> de ingrediente activo) como formulaciones plaguicidas extremadamente peligrosas se presentan en la </w:t>
      </w:r>
      <w:r w:rsidRPr="00EB5B1D">
        <w:rPr>
          <w:b/>
          <w:lang w:val="es-ES_tradnl"/>
        </w:rPr>
        <w:t>parte A</w:t>
      </w:r>
      <w:r w:rsidRPr="00EB5B1D">
        <w:rPr>
          <w:lang w:val="es-ES_tradnl"/>
        </w:rPr>
        <w:t xml:space="preserve"> del </w:t>
      </w:r>
      <w:r w:rsidRPr="00EB5B1D">
        <w:rPr>
          <w:b/>
          <w:lang w:val="es-ES_tradnl"/>
        </w:rPr>
        <w:t>apéndice II</w:t>
      </w:r>
      <w:r w:rsidRPr="00EB5B1D">
        <w:rPr>
          <w:lang w:val="es-ES_tradnl"/>
        </w:rPr>
        <w:t>.</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jc w:val="both"/>
        <w:rPr>
          <w:lang w:val="es-ES_tradnl"/>
        </w:rPr>
      </w:pPr>
      <w:r w:rsidRPr="00EB5B1D">
        <w:rPr>
          <w:lang w:val="es-ES_tradnl"/>
        </w:rPr>
        <w:t xml:space="preserve">Con el fin de facilitar la presentación de propuestas, se ha elaborado un </w:t>
      </w:r>
      <w:r w:rsidRPr="00EB5B1D">
        <w:rPr>
          <w:b/>
          <w:lang w:val="es-ES_tradnl"/>
        </w:rPr>
        <w:t xml:space="preserve">formulario para informar sobre los incidentes de la salud humana para las </w:t>
      </w:r>
      <w:r w:rsidR="00B207A9" w:rsidRPr="00EB5B1D">
        <w:rPr>
          <w:b/>
          <w:lang w:val="es-ES_tradnl"/>
        </w:rPr>
        <w:t>f</w:t>
      </w:r>
      <w:r w:rsidRPr="00EB5B1D">
        <w:rPr>
          <w:b/>
          <w:lang w:val="es-ES_tradnl"/>
        </w:rPr>
        <w:t xml:space="preserve">ormulaciones </w:t>
      </w:r>
      <w:r w:rsidR="00B207A9" w:rsidRPr="00EB5B1D">
        <w:rPr>
          <w:b/>
          <w:lang w:val="es-ES_tradnl"/>
        </w:rPr>
        <w:t>p</w:t>
      </w:r>
      <w:r w:rsidRPr="00EB5B1D">
        <w:rPr>
          <w:b/>
          <w:lang w:val="es-ES_tradnl"/>
        </w:rPr>
        <w:t xml:space="preserve">laguicidas </w:t>
      </w:r>
      <w:r w:rsidR="00B207A9" w:rsidRPr="00EB5B1D">
        <w:rPr>
          <w:b/>
          <w:lang w:val="es-ES_tradnl"/>
        </w:rPr>
        <w:t>e</w:t>
      </w:r>
      <w:r w:rsidRPr="00EB5B1D">
        <w:rPr>
          <w:b/>
          <w:lang w:val="es-ES_tradnl"/>
        </w:rPr>
        <w:t xml:space="preserve">xtremadamente </w:t>
      </w:r>
      <w:r w:rsidR="00B207A9" w:rsidRPr="00EB5B1D">
        <w:rPr>
          <w:b/>
          <w:lang w:val="es-ES_tradnl"/>
        </w:rPr>
        <w:t>pe</w:t>
      </w:r>
      <w:r w:rsidRPr="00EB5B1D">
        <w:rPr>
          <w:b/>
          <w:lang w:val="es-ES_tradnl"/>
        </w:rPr>
        <w:t>ligrosas</w:t>
      </w:r>
      <w:r w:rsidRPr="00EB5B1D">
        <w:rPr>
          <w:i/>
          <w:lang w:val="es-ES_tradnl"/>
        </w:rPr>
        <w:t>.</w:t>
      </w:r>
      <w:r w:rsidRPr="00EB5B1D">
        <w:rPr>
          <w:lang w:val="es-ES_tradnl"/>
        </w:rPr>
        <w:t xml:space="preserve"> Asimismo, se ha elaborado un </w:t>
      </w:r>
      <w:r w:rsidRPr="00EB5B1D">
        <w:rPr>
          <w:b/>
          <w:lang w:val="es-ES_tradnl"/>
        </w:rPr>
        <w:t xml:space="preserve">formulario para informar sobre los incidentes del medio ambiente para las </w:t>
      </w:r>
      <w:r w:rsidR="00B207A9" w:rsidRPr="00EB5B1D">
        <w:rPr>
          <w:b/>
          <w:lang w:val="es-ES_tradnl"/>
        </w:rPr>
        <w:t>f</w:t>
      </w:r>
      <w:r w:rsidRPr="00EB5B1D">
        <w:rPr>
          <w:b/>
          <w:lang w:val="es-ES_tradnl"/>
        </w:rPr>
        <w:t xml:space="preserve">ormulaciones </w:t>
      </w:r>
      <w:r w:rsidR="00B207A9" w:rsidRPr="00EB5B1D">
        <w:rPr>
          <w:b/>
          <w:lang w:val="es-ES_tradnl"/>
        </w:rPr>
        <w:t>p</w:t>
      </w:r>
      <w:r w:rsidRPr="00EB5B1D">
        <w:rPr>
          <w:b/>
          <w:lang w:val="es-ES_tradnl"/>
        </w:rPr>
        <w:t xml:space="preserve">laguicidas </w:t>
      </w:r>
      <w:r w:rsidR="00B207A9" w:rsidRPr="00EB5B1D">
        <w:rPr>
          <w:b/>
          <w:lang w:val="es-ES_tradnl"/>
        </w:rPr>
        <w:t>e</w:t>
      </w:r>
      <w:r w:rsidRPr="00EB5B1D">
        <w:rPr>
          <w:b/>
          <w:lang w:val="es-ES_tradnl"/>
        </w:rPr>
        <w:t xml:space="preserve">xtremadamente </w:t>
      </w:r>
      <w:r w:rsidR="00B207A9" w:rsidRPr="00EB5B1D">
        <w:rPr>
          <w:b/>
          <w:lang w:val="es-ES_tradnl"/>
        </w:rPr>
        <w:t>p</w:t>
      </w:r>
      <w:r w:rsidRPr="00EB5B1D">
        <w:rPr>
          <w:b/>
          <w:lang w:val="es-ES_tradnl"/>
        </w:rPr>
        <w:t>eligrosas</w:t>
      </w:r>
      <w:r w:rsidRPr="00EB5B1D">
        <w:rPr>
          <w:i/>
          <w:lang w:val="es-ES_tradnl"/>
        </w:rPr>
        <w:t>.</w:t>
      </w:r>
      <w:r w:rsidRPr="00EB5B1D">
        <w:rPr>
          <w:lang w:val="es-ES_tradnl"/>
        </w:rPr>
        <w:t xml:space="preserve"> Los ejemplares de estos formularios y de las instrucciones, se pueden obtener en la página del Convenio de </w:t>
      </w:r>
      <w:r w:rsidR="007D514A" w:rsidRPr="00EB5B1D">
        <w:rPr>
          <w:lang w:val="es-ES_tradnl"/>
        </w:rPr>
        <w:t>Rotterdam</w:t>
      </w:r>
      <w:r w:rsidRPr="00EB5B1D">
        <w:rPr>
          <w:lang w:val="es-ES_tradnl"/>
        </w:rPr>
        <w:t xml:space="preserve"> o bien solicitándolos a la Secretaría.</w:t>
      </w:r>
    </w:p>
    <w:p w:rsidR="00D872C1" w:rsidRPr="00EB5B1D" w:rsidRDefault="00D872C1" w:rsidP="00D872C1">
      <w:pPr>
        <w:snapToGrid w:val="0"/>
        <w:jc w:val="both"/>
        <w:rPr>
          <w:lang w:val="es-ES_tradnl"/>
        </w:rPr>
      </w:pPr>
    </w:p>
    <w:p w:rsidR="00262058" w:rsidRPr="00EB5B1D" w:rsidRDefault="00D872C1" w:rsidP="00D872C1">
      <w:pPr>
        <w:jc w:val="both"/>
        <w:rPr>
          <w:szCs w:val="22"/>
          <w:lang w:val="fr-CH"/>
        </w:rPr>
      </w:pPr>
      <w:r w:rsidRPr="00EB5B1D">
        <w:rPr>
          <w:snapToGrid w:val="0"/>
          <w:lang w:val="es-ES_tradnl"/>
        </w:rPr>
        <w:t>Las propuestas a la Secretaría se deberán presentar a través de las Autoridades Nacionales Designadas para las Partes</w:t>
      </w:r>
      <w:r w:rsidR="00262058" w:rsidRPr="00EB5B1D">
        <w:rPr>
          <w:szCs w:val="22"/>
          <w:lang w:val="fr-CH"/>
        </w:rPr>
        <w:t>.</w:t>
      </w:r>
    </w:p>
    <w:p w:rsidR="001F3F1A" w:rsidRPr="00EB5B1D" w:rsidRDefault="001F3F1A" w:rsidP="001F3F1A">
      <w:pPr>
        <w:jc w:val="both"/>
        <w:rPr>
          <w:szCs w:val="22"/>
          <w:lang w:val="fr-CH"/>
        </w:rPr>
      </w:pPr>
    </w:p>
    <w:p w:rsidR="001F3F1A" w:rsidRPr="00EB5B1D" w:rsidRDefault="001F3F1A" w:rsidP="00D367D6">
      <w:pPr>
        <w:ind w:left="720" w:hanging="720"/>
        <w:jc w:val="both"/>
        <w:outlineLvl w:val="1"/>
        <w:rPr>
          <w:b/>
          <w:snapToGrid w:val="0"/>
          <w:szCs w:val="22"/>
          <w:lang w:val="fr-CH"/>
        </w:rPr>
      </w:pPr>
      <w:bookmarkStart w:id="28" w:name="_Toc264393107"/>
      <w:bookmarkStart w:id="29" w:name="_Toc264391960"/>
      <w:bookmarkStart w:id="30" w:name="_Toc248307662"/>
      <w:bookmarkStart w:id="31" w:name="_Toc248296425"/>
      <w:bookmarkStart w:id="32" w:name="_Toc232307867"/>
      <w:bookmarkStart w:id="33" w:name="_Toc484686619"/>
      <w:bookmarkStart w:id="34" w:name="_Toc201033291"/>
      <w:bookmarkStart w:id="35" w:name="_Toc199906460"/>
      <w:bookmarkStart w:id="36" w:name="_Toc168731338"/>
      <w:r w:rsidRPr="00EB5B1D">
        <w:rPr>
          <w:b/>
          <w:snapToGrid w:val="0"/>
          <w:szCs w:val="22"/>
          <w:lang w:val="fr-CH"/>
        </w:rPr>
        <w:t>2.4</w:t>
      </w:r>
      <w:r w:rsidRPr="00EB5B1D">
        <w:rPr>
          <w:b/>
          <w:snapToGrid w:val="0"/>
          <w:szCs w:val="22"/>
          <w:lang w:val="fr-CH"/>
        </w:rPr>
        <w:tab/>
      </w:r>
      <w:bookmarkEnd w:id="28"/>
      <w:bookmarkEnd w:id="29"/>
      <w:bookmarkEnd w:id="30"/>
      <w:bookmarkEnd w:id="31"/>
      <w:bookmarkEnd w:id="32"/>
      <w:r w:rsidR="000A5DDA" w:rsidRPr="00EB5B1D">
        <w:rPr>
          <w:b/>
          <w:snapToGrid w:val="0"/>
          <w:lang w:val="es-ES_tradnl"/>
        </w:rPr>
        <w:t xml:space="preserve">Productos químicos sujetos al </w:t>
      </w:r>
      <w:r w:rsidR="00296313" w:rsidRPr="00EB5B1D">
        <w:rPr>
          <w:b/>
          <w:snapToGrid w:val="0"/>
          <w:lang w:val="es-ES_tradnl"/>
        </w:rPr>
        <w:t>p</w:t>
      </w:r>
      <w:r w:rsidR="000A5DDA" w:rsidRPr="00EB5B1D">
        <w:rPr>
          <w:b/>
          <w:snapToGrid w:val="0"/>
          <w:lang w:val="es-ES_tradnl"/>
        </w:rPr>
        <w:t xml:space="preserve">rocedimiento de CFP y distribución de los </w:t>
      </w:r>
      <w:r w:rsidR="00E21FF0" w:rsidRPr="00EB5B1D">
        <w:rPr>
          <w:b/>
          <w:snapToGrid w:val="0"/>
          <w:lang w:val="es-ES_tradnl"/>
        </w:rPr>
        <w:t>d</w:t>
      </w:r>
      <w:r w:rsidR="000A5DDA" w:rsidRPr="00EB5B1D">
        <w:rPr>
          <w:b/>
          <w:snapToGrid w:val="0"/>
          <w:lang w:val="es-ES_tradnl"/>
        </w:rPr>
        <w:t xml:space="preserve">ocumentos de </w:t>
      </w:r>
      <w:r w:rsidR="00E21FF0" w:rsidRPr="00EB5B1D">
        <w:rPr>
          <w:b/>
          <w:snapToGrid w:val="0"/>
          <w:lang w:val="es-ES_tradnl"/>
        </w:rPr>
        <w:t>o</w:t>
      </w:r>
      <w:r w:rsidR="000A5DDA" w:rsidRPr="00EB5B1D">
        <w:rPr>
          <w:b/>
          <w:snapToGrid w:val="0"/>
          <w:lang w:val="es-ES_tradnl"/>
        </w:rPr>
        <w:t xml:space="preserve">rientación para la </w:t>
      </w:r>
      <w:r w:rsidR="00E21FF0" w:rsidRPr="00EB5B1D">
        <w:rPr>
          <w:b/>
          <w:snapToGrid w:val="0"/>
          <w:lang w:val="es-ES_tradnl"/>
        </w:rPr>
        <w:t>a</w:t>
      </w:r>
      <w:r w:rsidR="000A5DDA" w:rsidRPr="00EB5B1D">
        <w:rPr>
          <w:b/>
          <w:snapToGrid w:val="0"/>
          <w:lang w:val="es-ES_tradnl"/>
        </w:rPr>
        <w:t xml:space="preserve">dopción de </w:t>
      </w:r>
      <w:r w:rsidR="00E21FF0" w:rsidRPr="00EB5B1D">
        <w:rPr>
          <w:b/>
          <w:snapToGrid w:val="0"/>
          <w:lang w:val="es-ES_tradnl"/>
        </w:rPr>
        <w:t>d</w:t>
      </w:r>
      <w:r w:rsidR="000A5DDA" w:rsidRPr="00EB5B1D">
        <w:rPr>
          <w:b/>
          <w:snapToGrid w:val="0"/>
          <w:lang w:val="es-ES_tradnl"/>
        </w:rPr>
        <w:t xml:space="preserve">ecisiones </w:t>
      </w:r>
      <w:r w:rsidR="000A5DDA" w:rsidRPr="00EB5B1D">
        <w:rPr>
          <w:snapToGrid w:val="0"/>
          <w:lang w:val="es-ES_tradnl"/>
        </w:rPr>
        <w:t>(</w:t>
      </w:r>
      <w:r w:rsidR="004A20D8" w:rsidRPr="00EB5B1D">
        <w:rPr>
          <w:snapToGrid w:val="0"/>
          <w:lang w:val="es-ES_tradnl"/>
        </w:rPr>
        <w:t>artículo</w:t>
      </w:r>
      <w:r w:rsidR="000A5DDA" w:rsidRPr="00EB5B1D">
        <w:rPr>
          <w:snapToGrid w:val="0"/>
          <w:lang w:val="es-ES_tradnl"/>
        </w:rPr>
        <w:t xml:space="preserve"> 7)</w:t>
      </w:r>
      <w:bookmarkEnd w:id="33"/>
      <w:r w:rsidRPr="00EB5B1D">
        <w:rPr>
          <w:snapToGrid w:val="0"/>
          <w:szCs w:val="22"/>
          <w:lang w:val="fr-CH"/>
        </w:rPr>
        <w:t xml:space="preserve"> </w:t>
      </w:r>
    </w:p>
    <w:p w:rsidR="001F3F1A" w:rsidRPr="00EB5B1D" w:rsidRDefault="001F3F1A" w:rsidP="001F3F1A">
      <w:pPr>
        <w:jc w:val="both"/>
        <w:rPr>
          <w:szCs w:val="22"/>
          <w:lang w:val="fr-CH"/>
        </w:rPr>
      </w:pPr>
    </w:p>
    <w:p w:rsidR="00D872C1" w:rsidRPr="00EB5B1D" w:rsidRDefault="00D872C1" w:rsidP="00D872C1">
      <w:pPr>
        <w:snapToGrid w:val="0"/>
        <w:ind w:right="-1"/>
        <w:jc w:val="both"/>
        <w:rPr>
          <w:snapToGrid w:val="0"/>
          <w:lang w:val="es-ES_tradnl"/>
        </w:rPr>
      </w:pPr>
      <w:bookmarkStart w:id="37" w:name="_Toc264393108"/>
      <w:bookmarkStart w:id="38" w:name="_Toc264391961"/>
      <w:bookmarkStart w:id="39" w:name="_Toc248307663"/>
      <w:bookmarkStart w:id="40" w:name="_Toc248296426"/>
      <w:bookmarkStart w:id="41" w:name="_Toc232307868"/>
      <w:bookmarkStart w:id="42" w:name="_Toc201033292"/>
      <w:bookmarkEnd w:id="34"/>
      <w:bookmarkEnd w:id="35"/>
      <w:bookmarkEnd w:id="36"/>
      <w:r w:rsidRPr="00EB5B1D">
        <w:rPr>
          <w:snapToGrid w:val="0"/>
          <w:lang w:val="es-ES_tradnl"/>
        </w:rPr>
        <w:t xml:space="preserve">El </w:t>
      </w:r>
      <w:r w:rsidRPr="00EB5B1D">
        <w:rPr>
          <w:b/>
          <w:snapToGrid w:val="0"/>
          <w:lang w:val="es-ES_tradnl"/>
        </w:rPr>
        <w:t>apéndice III</w:t>
      </w:r>
      <w:r w:rsidRPr="00EB5B1D">
        <w:rPr>
          <w:snapToGrid w:val="0"/>
          <w:lang w:val="es-ES_tradnl"/>
        </w:rPr>
        <w:t xml:space="preserve"> de la Circular CFP enumera todos los productos químicos incluidos en el </w:t>
      </w:r>
      <w:r w:rsidR="0079358D" w:rsidRPr="00EB5B1D">
        <w:rPr>
          <w:snapToGrid w:val="0"/>
          <w:lang w:val="es-ES_tradnl"/>
        </w:rPr>
        <w:t xml:space="preserve">anexo </w:t>
      </w:r>
      <w:r w:rsidRPr="00EB5B1D">
        <w:rPr>
          <w:snapToGrid w:val="0"/>
          <w:lang w:val="es-ES_tradnl"/>
        </w:rPr>
        <w:t>III del Convenio y sujetos al procedimiento de CFP, sus categorías (plaguicida, producto químico industrial y formulaciones plaguicidas extremadamente peligrosas) y la fecha del primer envío del documento de orientación para la adopción de decisiones (DOAD) a las AND.</w:t>
      </w:r>
    </w:p>
    <w:p w:rsidR="00D872C1" w:rsidRPr="00EB5B1D" w:rsidRDefault="00D872C1" w:rsidP="00D872C1">
      <w:pPr>
        <w:jc w:val="both"/>
        <w:rPr>
          <w:snapToGrid w:val="0"/>
          <w:lang w:val="es-ES_tradnl"/>
        </w:rPr>
      </w:pPr>
    </w:p>
    <w:p w:rsidR="00D872C1" w:rsidRPr="00EB5B1D" w:rsidRDefault="00D872C1" w:rsidP="00D872C1">
      <w:pPr>
        <w:jc w:val="both"/>
        <w:rPr>
          <w:snapToGrid w:val="0"/>
          <w:lang w:val="es-ES_tradnl"/>
        </w:rPr>
      </w:pPr>
      <w:r w:rsidRPr="00EB5B1D">
        <w:rPr>
          <w:lang w:val="es-ES_tradnl"/>
        </w:rPr>
        <w:t xml:space="preserve">La octava reunión de la Conferencia de las Partes en el Convenio de Rotterdam (24 de abril - 5 de mayo de 2017, en Ginebra) decidió enmendar el </w:t>
      </w:r>
      <w:r w:rsidR="0079358D" w:rsidRPr="00EB5B1D">
        <w:rPr>
          <w:lang w:val="es-ES_tradnl"/>
        </w:rPr>
        <w:t xml:space="preserve">anexo </w:t>
      </w:r>
      <w:r w:rsidRPr="00EB5B1D">
        <w:rPr>
          <w:lang w:val="es-ES_tradnl"/>
        </w:rPr>
        <w:t>III del Convenio para incluir los cuatro productos químicos siguientes, sometiéndolos al procedimiento de CFP y decidió aprobar los correspondientes Documentos de Orientación para la adopción de Decisiones:</w:t>
      </w:r>
    </w:p>
    <w:p w:rsidR="00D872C1" w:rsidRPr="00EB5B1D" w:rsidRDefault="00D872C1" w:rsidP="00D872C1">
      <w:pPr>
        <w:jc w:val="both"/>
        <w:rPr>
          <w:snapToGrid w:val="0"/>
          <w:lang w:val="es-ES_tradnl"/>
        </w:rPr>
      </w:pPr>
    </w:p>
    <w:tbl>
      <w:tblPr>
        <w:tblStyle w:val="TableGrid"/>
        <w:tblW w:w="0" w:type="auto"/>
        <w:tblLook w:val="04A0" w:firstRow="1" w:lastRow="0" w:firstColumn="1" w:lastColumn="0" w:noHBand="0" w:noVBand="1"/>
      </w:tblPr>
      <w:tblGrid>
        <w:gridCol w:w="3421"/>
        <w:gridCol w:w="1536"/>
        <w:gridCol w:w="1417"/>
        <w:gridCol w:w="2687"/>
      </w:tblGrid>
      <w:tr w:rsidR="00D872C1" w:rsidRPr="00EB5B1D" w:rsidTr="00703DBB">
        <w:tc>
          <w:tcPr>
            <w:tcW w:w="3421" w:type="dxa"/>
            <w:vAlign w:val="center"/>
          </w:tcPr>
          <w:p w:rsidR="00D872C1" w:rsidRPr="00EB5B1D" w:rsidRDefault="00D872C1" w:rsidP="006F4865">
            <w:pPr>
              <w:autoSpaceDE w:val="0"/>
              <w:autoSpaceDN w:val="0"/>
              <w:adjustRightInd w:val="0"/>
              <w:rPr>
                <w:b/>
                <w:szCs w:val="22"/>
                <w:lang w:val="es-ES_tradnl"/>
              </w:rPr>
            </w:pPr>
            <w:r w:rsidRPr="00EB5B1D">
              <w:rPr>
                <w:b/>
                <w:szCs w:val="22"/>
                <w:lang w:val="es-ES_tradnl"/>
              </w:rPr>
              <w:t xml:space="preserve">Producto </w:t>
            </w:r>
            <w:r w:rsidR="006F4865" w:rsidRPr="00EB5B1D">
              <w:rPr>
                <w:b/>
                <w:szCs w:val="22"/>
                <w:lang w:val="es-ES_tradnl"/>
              </w:rPr>
              <w:t>q</w:t>
            </w:r>
            <w:r w:rsidRPr="00EB5B1D">
              <w:rPr>
                <w:b/>
                <w:szCs w:val="22"/>
                <w:lang w:val="es-ES_tradnl"/>
              </w:rPr>
              <w:t>uímico</w:t>
            </w:r>
          </w:p>
        </w:tc>
        <w:tc>
          <w:tcPr>
            <w:tcW w:w="1536" w:type="dxa"/>
            <w:vAlign w:val="center"/>
          </w:tcPr>
          <w:p w:rsidR="00D872C1" w:rsidRPr="00EB5B1D" w:rsidRDefault="00D872C1" w:rsidP="00DF45E1">
            <w:pPr>
              <w:autoSpaceDE w:val="0"/>
              <w:autoSpaceDN w:val="0"/>
              <w:adjustRightInd w:val="0"/>
              <w:rPr>
                <w:b/>
                <w:szCs w:val="22"/>
                <w:lang w:val="es-ES_tradnl"/>
              </w:rPr>
            </w:pPr>
            <w:r w:rsidRPr="00EB5B1D">
              <w:rPr>
                <w:b/>
                <w:szCs w:val="22"/>
                <w:lang w:val="es-ES_tradnl"/>
              </w:rPr>
              <w:t>Número(s) CAS pertinente(s)</w:t>
            </w:r>
          </w:p>
        </w:tc>
        <w:tc>
          <w:tcPr>
            <w:tcW w:w="1417" w:type="dxa"/>
            <w:vAlign w:val="center"/>
          </w:tcPr>
          <w:p w:rsidR="00D872C1" w:rsidRPr="00EB5B1D" w:rsidRDefault="00D872C1" w:rsidP="00DF45E1">
            <w:pPr>
              <w:autoSpaceDE w:val="0"/>
              <w:autoSpaceDN w:val="0"/>
              <w:adjustRightInd w:val="0"/>
              <w:rPr>
                <w:b/>
                <w:szCs w:val="22"/>
                <w:lang w:val="es-ES_tradnl"/>
              </w:rPr>
            </w:pPr>
            <w:r w:rsidRPr="00EB5B1D">
              <w:rPr>
                <w:b/>
                <w:szCs w:val="22"/>
                <w:lang w:val="es-ES_tradnl"/>
              </w:rPr>
              <w:t xml:space="preserve">Categoria </w:t>
            </w:r>
          </w:p>
        </w:tc>
        <w:tc>
          <w:tcPr>
            <w:tcW w:w="2687" w:type="dxa"/>
            <w:vAlign w:val="center"/>
          </w:tcPr>
          <w:p w:rsidR="00D872C1" w:rsidRPr="00EB5B1D" w:rsidRDefault="00D872C1" w:rsidP="00DF45E1">
            <w:pPr>
              <w:autoSpaceDE w:val="0"/>
              <w:autoSpaceDN w:val="0"/>
              <w:adjustRightInd w:val="0"/>
              <w:rPr>
                <w:b/>
                <w:szCs w:val="22"/>
                <w:lang w:val="es-ES_tradnl"/>
              </w:rPr>
            </w:pPr>
            <w:r w:rsidRPr="00EB5B1D">
              <w:rPr>
                <w:b/>
                <w:szCs w:val="22"/>
                <w:lang w:val="es-ES_tradnl"/>
              </w:rPr>
              <w:t>Decisión</w:t>
            </w:r>
          </w:p>
        </w:tc>
      </w:tr>
      <w:tr w:rsidR="00D872C1" w:rsidRPr="00EB5B1D" w:rsidTr="00703DBB">
        <w:tc>
          <w:tcPr>
            <w:tcW w:w="3421" w:type="dxa"/>
          </w:tcPr>
          <w:p w:rsidR="00D872C1" w:rsidRPr="00EB5B1D" w:rsidRDefault="00D872C1" w:rsidP="00DF45E1">
            <w:pPr>
              <w:autoSpaceDE w:val="0"/>
              <w:autoSpaceDN w:val="0"/>
              <w:adjustRightInd w:val="0"/>
              <w:rPr>
                <w:szCs w:val="22"/>
                <w:lang w:val="es-ES_tradnl"/>
              </w:rPr>
            </w:pPr>
            <w:r w:rsidRPr="00EB5B1D">
              <w:rPr>
                <w:szCs w:val="22"/>
                <w:lang w:val="es-ES_tradnl"/>
              </w:rPr>
              <w:t>Carbofuran</w:t>
            </w:r>
            <w:r w:rsidR="0079358D" w:rsidRPr="00EB5B1D">
              <w:rPr>
                <w:szCs w:val="22"/>
                <w:lang w:val="es-ES_tradnl"/>
              </w:rPr>
              <w:t>o</w:t>
            </w:r>
          </w:p>
        </w:tc>
        <w:tc>
          <w:tcPr>
            <w:tcW w:w="1536" w:type="dxa"/>
          </w:tcPr>
          <w:p w:rsidR="00D872C1" w:rsidRPr="00EB5B1D" w:rsidRDefault="00D872C1" w:rsidP="00DF45E1">
            <w:pPr>
              <w:autoSpaceDE w:val="0"/>
              <w:autoSpaceDN w:val="0"/>
              <w:adjustRightInd w:val="0"/>
              <w:rPr>
                <w:szCs w:val="22"/>
                <w:lang w:val="es-ES_tradnl"/>
              </w:rPr>
            </w:pPr>
            <w:r w:rsidRPr="00EB5B1D">
              <w:rPr>
                <w:szCs w:val="22"/>
                <w:lang w:val="es-ES_tradnl"/>
              </w:rPr>
              <w:t>1563-66-2</w:t>
            </w:r>
          </w:p>
        </w:tc>
        <w:tc>
          <w:tcPr>
            <w:tcW w:w="1417" w:type="dxa"/>
          </w:tcPr>
          <w:p w:rsidR="00D872C1" w:rsidRPr="00EB5B1D" w:rsidRDefault="00D872C1" w:rsidP="00DF45E1">
            <w:pPr>
              <w:autoSpaceDE w:val="0"/>
              <w:autoSpaceDN w:val="0"/>
              <w:adjustRightInd w:val="0"/>
              <w:rPr>
                <w:szCs w:val="22"/>
                <w:lang w:val="es-ES_tradnl"/>
              </w:rPr>
            </w:pPr>
            <w:r w:rsidRPr="00EB5B1D">
              <w:rPr>
                <w:szCs w:val="22"/>
                <w:lang w:val="es-ES_tradnl"/>
              </w:rPr>
              <w:t>Plaguicida</w:t>
            </w:r>
          </w:p>
        </w:tc>
        <w:tc>
          <w:tcPr>
            <w:tcW w:w="2687" w:type="dxa"/>
          </w:tcPr>
          <w:p w:rsidR="00D872C1" w:rsidRPr="00EB5B1D" w:rsidRDefault="00D872C1" w:rsidP="00DF45E1">
            <w:pPr>
              <w:autoSpaceDE w:val="0"/>
              <w:autoSpaceDN w:val="0"/>
              <w:adjustRightInd w:val="0"/>
              <w:rPr>
                <w:szCs w:val="22"/>
                <w:lang w:val="es-ES_tradnl"/>
              </w:rPr>
            </w:pPr>
            <w:r w:rsidRPr="00EB5B1D">
              <w:rPr>
                <w:szCs w:val="22"/>
                <w:lang w:val="es-ES_tradnl"/>
              </w:rPr>
              <w:t>RC-8/2</w:t>
            </w:r>
          </w:p>
        </w:tc>
      </w:tr>
      <w:tr w:rsidR="00D872C1" w:rsidRPr="00EB5B1D" w:rsidTr="00703DBB">
        <w:tc>
          <w:tcPr>
            <w:tcW w:w="3421" w:type="dxa"/>
          </w:tcPr>
          <w:p w:rsidR="00D872C1" w:rsidRPr="00EB5B1D" w:rsidRDefault="00DF45E1" w:rsidP="00DF45E1">
            <w:pPr>
              <w:autoSpaceDE w:val="0"/>
              <w:autoSpaceDN w:val="0"/>
              <w:adjustRightInd w:val="0"/>
              <w:rPr>
                <w:szCs w:val="22"/>
                <w:lang w:val="es-ES_tradnl"/>
              </w:rPr>
            </w:pPr>
            <w:r w:rsidRPr="00EB5B1D">
              <w:rPr>
                <w:szCs w:val="22"/>
                <w:lang w:val="es-ES_tradnl"/>
              </w:rPr>
              <w:t>Triclorfón</w:t>
            </w:r>
          </w:p>
        </w:tc>
        <w:tc>
          <w:tcPr>
            <w:tcW w:w="1536" w:type="dxa"/>
          </w:tcPr>
          <w:p w:rsidR="00D872C1" w:rsidRPr="00EB5B1D" w:rsidRDefault="00D872C1" w:rsidP="00DF45E1">
            <w:pPr>
              <w:autoSpaceDE w:val="0"/>
              <w:autoSpaceDN w:val="0"/>
              <w:adjustRightInd w:val="0"/>
              <w:rPr>
                <w:szCs w:val="22"/>
                <w:lang w:val="es-ES_tradnl"/>
              </w:rPr>
            </w:pPr>
            <w:r w:rsidRPr="00EB5B1D">
              <w:rPr>
                <w:szCs w:val="22"/>
                <w:lang w:val="es-ES_tradnl"/>
              </w:rPr>
              <w:t>52-68-6</w:t>
            </w:r>
          </w:p>
        </w:tc>
        <w:tc>
          <w:tcPr>
            <w:tcW w:w="1417" w:type="dxa"/>
          </w:tcPr>
          <w:p w:rsidR="00D872C1" w:rsidRPr="00EB5B1D" w:rsidRDefault="00D872C1" w:rsidP="00DF45E1">
            <w:pPr>
              <w:autoSpaceDE w:val="0"/>
              <w:autoSpaceDN w:val="0"/>
              <w:adjustRightInd w:val="0"/>
              <w:rPr>
                <w:szCs w:val="22"/>
                <w:lang w:val="es-ES_tradnl"/>
              </w:rPr>
            </w:pPr>
            <w:r w:rsidRPr="00EB5B1D">
              <w:rPr>
                <w:szCs w:val="22"/>
                <w:lang w:val="es-ES_tradnl"/>
              </w:rPr>
              <w:t>Plaguicida</w:t>
            </w:r>
          </w:p>
        </w:tc>
        <w:tc>
          <w:tcPr>
            <w:tcW w:w="2687" w:type="dxa"/>
          </w:tcPr>
          <w:p w:rsidR="00D872C1" w:rsidRPr="00EB5B1D" w:rsidRDefault="00D872C1" w:rsidP="00DF45E1">
            <w:pPr>
              <w:autoSpaceDE w:val="0"/>
              <w:autoSpaceDN w:val="0"/>
              <w:adjustRightInd w:val="0"/>
              <w:rPr>
                <w:szCs w:val="22"/>
                <w:lang w:val="es-ES_tradnl"/>
              </w:rPr>
            </w:pPr>
            <w:r w:rsidRPr="00EB5B1D">
              <w:rPr>
                <w:szCs w:val="22"/>
                <w:lang w:val="es-ES_tradnl"/>
              </w:rPr>
              <w:t>RC-8/3</w:t>
            </w:r>
          </w:p>
        </w:tc>
      </w:tr>
      <w:tr w:rsidR="00D872C1" w:rsidRPr="00EB5B1D" w:rsidTr="00703DBB">
        <w:tc>
          <w:tcPr>
            <w:tcW w:w="3421" w:type="dxa"/>
          </w:tcPr>
          <w:p w:rsidR="00D872C1" w:rsidRPr="00EB5B1D" w:rsidRDefault="00D872C1" w:rsidP="00DF45E1">
            <w:pPr>
              <w:autoSpaceDE w:val="0"/>
              <w:autoSpaceDN w:val="0"/>
              <w:adjustRightInd w:val="0"/>
              <w:rPr>
                <w:szCs w:val="22"/>
                <w:lang w:val="es-ES_tradnl"/>
              </w:rPr>
            </w:pPr>
            <w:r w:rsidRPr="00EB5B1D">
              <w:rPr>
                <w:szCs w:val="22"/>
                <w:lang w:val="es-ES_tradnl"/>
              </w:rPr>
              <w:t>Parafinas cloradas de</w:t>
            </w:r>
          </w:p>
          <w:p w:rsidR="00D872C1" w:rsidRPr="00EB5B1D" w:rsidRDefault="00D872C1" w:rsidP="00DF45E1">
            <w:pPr>
              <w:autoSpaceDE w:val="0"/>
              <w:autoSpaceDN w:val="0"/>
              <w:adjustRightInd w:val="0"/>
              <w:rPr>
                <w:szCs w:val="22"/>
                <w:lang w:val="es-ES_tradnl"/>
              </w:rPr>
            </w:pPr>
            <w:r w:rsidRPr="00EB5B1D">
              <w:rPr>
                <w:szCs w:val="22"/>
                <w:lang w:val="es-ES_tradnl"/>
              </w:rPr>
              <w:t>cadena corta</w:t>
            </w:r>
          </w:p>
        </w:tc>
        <w:tc>
          <w:tcPr>
            <w:tcW w:w="1536" w:type="dxa"/>
          </w:tcPr>
          <w:p w:rsidR="00D872C1" w:rsidRPr="00EB5B1D" w:rsidRDefault="00D872C1" w:rsidP="00DF45E1">
            <w:pPr>
              <w:autoSpaceDE w:val="0"/>
              <w:autoSpaceDN w:val="0"/>
              <w:adjustRightInd w:val="0"/>
              <w:rPr>
                <w:szCs w:val="22"/>
                <w:lang w:val="es-ES_tradnl"/>
              </w:rPr>
            </w:pPr>
            <w:r w:rsidRPr="00EB5B1D">
              <w:rPr>
                <w:szCs w:val="22"/>
                <w:lang w:val="es-ES_tradnl"/>
              </w:rPr>
              <w:t>85535-84-8</w:t>
            </w:r>
          </w:p>
        </w:tc>
        <w:tc>
          <w:tcPr>
            <w:tcW w:w="1417" w:type="dxa"/>
          </w:tcPr>
          <w:p w:rsidR="00D872C1" w:rsidRPr="00EB5B1D" w:rsidRDefault="00D872C1" w:rsidP="00DF45E1">
            <w:pPr>
              <w:autoSpaceDE w:val="0"/>
              <w:autoSpaceDN w:val="0"/>
              <w:adjustRightInd w:val="0"/>
              <w:rPr>
                <w:szCs w:val="22"/>
                <w:lang w:val="es-ES_tradnl"/>
              </w:rPr>
            </w:pPr>
            <w:r w:rsidRPr="00EB5B1D">
              <w:rPr>
                <w:szCs w:val="22"/>
                <w:lang w:val="es-ES_tradnl"/>
              </w:rPr>
              <w:t>Industrial</w:t>
            </w:r>
          </w:p>
        </w:tc>
        <w:tc>
          <w:tcPr>
            <w:tcW w:w="2687" w:type="dxa"/>
          </w:tcPr>
          <w:p w:rsidR="00D872C1" w:rsidRPr="00EB5B1D" w:rsidRDefault="00D872C1" w:rsidP="00DF45E1">
            <w:pPr>
              <w:autoSpaceDE w:val="0"/>
              <w:autoSpaceDN w:val="0"/>
              <w:adjustRightInd w:val="0"/>
              <w:rPr>
                <w:szCs w:val="22"/>
                <w:lang w:val="es-ES_tradnl"/>
              </w:rPr>
            </w:pPr>
            <w:r w:rsidRPr="00EB5B1D">
              <w:rPr>
                <w:szCs w:val="22"/>
                <w:lang w:val="es-ES_tradnl"/>
              </w:rPr>
              <w:t>RC-8/4</w:t>
            </w:r>
          </w:p>
        </w:tc>
      </w:tr>
      <w:tr w:rsidR="00D872C1" w:rsidRPr="00EB5B1D" w:rsidTr="00703DBB">
        <w:tc>
          <w:tcPr>
            <w:tcW w:w="3421" w:type="dxa"/>
          </w:tcPr>
          <w:p w:rsidR="0041159A" w:rsidRPr="00EB5B1D" w:rsidRDefault="0041159A" w:rsidP="0041159A">
            <w:pPr>
              <w:autoSpaceDE w:val="0"/>
              <w:autoSpaceDN w:val="0"/>
              <w:adjustRightInd w:val="0"/>
              <w:rPr>
                <w:szCs w:val="22"/>
                <w:lang w:val="es-ES_tradnl"/>
              </w:rPr>
            </w:pPr>
            <w:r w:rsidRPr="00EB5B1D">
              <w:rPr>
                <w:szCs w:val="22"/>
                <w:lang w:val="es-ES_tradnl"/>
              </w:rPr>
              <w:t xml:space="preserve">Todos los compuestos del tributilo de estaño, a saber: </w:t>
            </w:r>
          </w:p>
          <w:p w:rsidR="0041159A" w:rsidRPr="00EB5B1D" w:rsidRDefault="0041159A" w:rsidP="0041159A">
            <w:pPr>
              <w:autoSpaceDE w:val="0"/>
              <w:autoSpaceDN w:val="0"/>
              <w:adjustRightInd w:val="0"/>
              <w:rPr>
                <w:szCs w:val="22"/>
                <w:lang w:val="es-ES_tradnl"/>
              </w:rPr>
            </w:pPr>
            <w:r w:rsidRPr="00EB5B1D">
              <w:rPr>
                <w:szCs w:val="22"/>
                <w:lang w:val="es-ES_tradnl"/>
              </w:rPr>
              <w:t>- Óxido de tributilo de estaño</w:t>
            </w:r>
          </w:p>
          <w:p w:rsidR="0041159A" w:rsidRPr="00EB5B1D" w:rsidRDefault="0041159A" w:rsidP="0041159A">
            <w:pPr>
              <w:autoSpaceDE w:val="0"/>
              <w:autoSpaceDN w:val="0"/>
              <w:adjustRightInd w:val="0"/>
              <w:rPr>
                <w:szCs w:val="22"/>
                <w:lang w:val="es-ES_tradnl"/>
              </w:rPr>
            </w:pPr>
            <w:r w:rsidRPr="00EB5B1D">
              <w:rPr>
                <w:szCs w:val="22"/>
                <w:lang w:val="es-ES_tradnl"/>
              </w:rPr>
              <w:t>- Fluoruro de tributilo de estaño</w:t>
            </w:r>
          </w:p>
          <w:p w:rsidR="0041159A" w:rsidRPr="00EB5B1D" w:rsidRDefault="0041159A" w:rsidP="0041159A">
            <w:pPr>
              <w:autoSpaceDE w:val="0"/>
              <w:autoSpaceDN w:val="0"/>
              <w:adjustRightInd w:val="0"/>
              <w:rPr>
                <w:szCs w:val="22"/>
                <w:lang w:val="es-ES_tradnl"/>
              </w:rPr>
            </w:pPr>
            <w:r w:rsidRPr="00EB5B1D">
              <w:rPr>
                <w:szCs w:val="22"/>
                <w:lang w:val="es-ES_tradnl"/>
              </w:rPr>
              <w:t>- Metacrilato de tributilo de estaño</w:t>
            </w:r>
          </w:p>
          <w:p w:rsidR="0041159A" w:rsidRPr="00EB5B1D" w:rsidRDefault="0041159A" w:rsidP="0041159A">
            <w:pPr>
              <w:autoSpaceDE w:val="0"/>
              <w:autoSpaceDN w:val="0"/>
              <w:adjustRightInd w:val="0"/>
              <w:rPr>
                <w:szCs w:val="22"/>
                <w:lang w:val="es-ES_tradnl"/>
              </w:rPr>
            </w:pPr>
            <w:r w:rsidRPr="00EB5B1D">
              <w:rPr>
                <w:szCs w:val="22"/>
                <w:lang w:val="es-ES_tradnl"/>
              </w:rPr>
              <w:t>- Benzoato de tributilo de estaño</w:t>
            </w:r>
          </w:p>
          <w:p w:rsidR="0041159A" w:rsidRPr="00EB5B1D" w:rsidRDefault="0041159A" w:rsidP="0041159A">
            <w:pPr>
              <w:autoSpaceDE w:val="0"/>
              <w:autoSpaceDN w:val="0"/>
              <w:adjustRightInd w:val="0"/>
              <w:rPr>
                <w:szCs w:val="22"/>
                <w:lang w:val="es-ES_tradnl"/>
              </w:rPr>
            </w:pPr>
            <w:r w:rsidRPr="00EB5B1D">
              <w:rPr>
                <w:szCs w:val="22"/>
                <w:lang w:val="es-ES_tradnl"/>
              </w:rPr>
              <w:t>- Cloruro de tributilo de estaño</w:t>
            </w:r>
          </w:p>
          <w:p w:rsidR="0041159A" w:rsidRPr="00EB5B1D" w:rsidRDefault="0041159A" w:rsidP="0041159A">
            <w:pPr>
              <w:autoSpaceDE w:val="0"/>
              <w:autoSpaceDN w:val="0"/>
              <w:adjustRightInd w:val="0"/>
              <w:rPr>
                <w:szCs w:val="22"/>
                <w:lang w:val="es-ES_tradnl"/>
              </w:rPr>
            </w:pPr>
            <w:r w:rsidRPr="00EB5B1D">
              <w:rPr>
                <w:szCs w:val="22"/>
                <w:lang w:val="es-ES_tradnl"/>
              </w:rPr>
              <w:t>- Linoleato de tributilo de estaño</w:t>
            </w:r>
          </w:p>
          <w:p w:rsidR="00D872C1" w:rsidRPr="00EB5B1D" w:rsidRDefault="0041159A" w:rsidP="00DF45E1">
            <w:pPr>
              <w:autoSpaceDE w:val="0"/>
              <w:autoSpaceDN w:val="0"/>
              <w:adjustRightInd w:val="0"/>
              <w:rPr>
                <w:szCs w:val="22"/>
                <w:lang w:val="es-ES_tradnl"/>
              </w:rPr>
            </w:pPr>
            <w:r w:rsidRPr="00EB5B1D">
              <w:rPr>
                <w:szCs w:val="22"/>
                <w:lang w:val="es-ES_tradnl"/>
              </w:rPr>
              <w:t>- Naftenato de tributilo de estaño</w:t>
            </w:r>
          </w:p>
        </w:tc>
        <w:tc>
          <w:tcPr>
            <w:tcW w:w="1536" w:type="dxa"/>
          </w:tcPr>
          <w:p w:rsidR="0041159A" w:rsidRPr="00EB5B1D" w:rsidRDefault="0041159A" w:rsidP="0041159A">
            <w:pPr>
              <w:tabs>
                <w:tab w:val="left" w:pos="3015"/>
              </w:tabs>
              <w:rPr>
                <w:szCs w:val="22"/>
                <w:lang w:val="es-ES"/>
              </w:rPr>
            </w:pPr>
          </w:p>
          <w:p w:rsidR="0041159A" w:rsidRPr="00EB5B1D" w:rsidRDefault="0041159A" w:rsidP="0041159A">
            <w:pPr>
              <w:tabs>
                <w:tab w:val="left" w:pos="3015"/>
              </w:tabs>
              <w:rPr>
                <w:szCs w:val="22"/>
                <w:lang w:val="es-ES"/>
              </w:rPr>
            </w:pPr>
          </w:p>
          <w:p w:rsidR="0041159A" w:rsidRPr="00EB5B1D" w:rsidRDefault="0041159A" w:rsidP="0041159A">
            <w:pPr>
              <w:tabs>
                <w:tab w:val="left" w:pos="3015"/>
              </w:tabs>
              <w:rPr>
                <w:szCs w:val="22"/>
              </w:rPr>
            </w:pPr>
            <w:r w:rsidRPr="00EB5B1D">
              <w:rPr>
                <w:szCs w:val="22"/>
                <w:lang w:val="es-ES"/>
              </w:rPr>
              <w:t>56</w:t>
            </w:r>
            <w:r w:rsidRPr="00EB5B1D">
              <w:rPr>
                <w:szCs w:val="22"/>
                <w:lang w:val="es-ES"/>
              </w:rPr>
              <w:noBreakHyphen/>
              <w:t>35</w:t>
            </w:r>
            <w:r w:rsidRPr="00EB5B1D">
              <w:rPr>
                <w:szCs w:val="22"/>
                <w:lang w:val="es-ES"/>
              </w:rPr>
              <w:noBreakHyphen/>
              <w:t xml:space="preserve">9 </w:t>
            </w:r>
          </w:p>
          <w:p w:rsidR="0041159A" w:rsidRPr="00EB5B1D" w:rsidRDefault="0041159A" w:rsidP="0041159A">
            <w:pPr>
              <w:rPr>
                <w:szCs w:val="22"/>
              </w:rPr>
            </w:pPr>
            <w:r w:rsidRPr="00EB5B1D">
              <w:rPr>
                <w:szCs w:val="22"/>
                <w:lang w:val="es-ES"/>
              </w:rPr>
              <w:t>1983</w:t>
            </w:r>
            <w:r w:rsidRPr="00EB5B1D">
              <w:rPr>
                <w:szCs w:val="22"/>
                <w:lang w:val="es-ES"/>
              </w:rPr>
              <w:noBreakHyphen/>
              <w:t>10</w:t>
            </w:r>
            <w:r w:rsidRPr="00EB5B1D">
              <w:rPr>
                <w:szCs w:val="22"/>
                <w:lang w:val="es-ES"/>
              </w:rPr>
              <w:noBreakHyphen/>
              <w:t>4</w:t>
            </w:r>
          </w:p>
          <w:p w:rsidR="0041159A" w:rsidRPr="00EB5B1D" w:rsidRDefault="0041159A" w:rsidP="0041159A">
            <w:pPr>
              <w:rPr>
                <w:szCs w:val="22"/>
              </w:rPr>
            </w:pPr>
            <w:r w:rsidRPr="00EB5B1D">
              <w:rPr>
                <w:szCs w:val="22"/>
                <w:lang w:val="es-ES"/>
              </w:rPr>
              <w:t>2155</w:t>
            </w:r>
            <w:r w:rsidRPr="00EB5B1D">
              <w:rPr>
                <w:szCs w:val="22"/>
                <w:lang w:val="es-ES"/>
              </w:rPr>
              <w:noBreakHyphen/>
              <w:t>70</w:t>
            </w:r>
            <w:r w:rsidRPr="00EB5B1D">
              <w:rPr>
                <w:szCs w:val="22"/>
                <w:lang w:val="es-ES"/>
              </w:rPr>
              <w:noBreakHyphen/>
              <w:t>6</w:t>
            </w:r>
          </w:p>
          <w:p w:rsidR="0041159A" w:rsidRPr="00EB5B1D" w:rsidRDefault="0041159A" w:rsidP="0041159A">
            <w:pPr>
              <w:pStyle w:val="ca"/>
              <w:spacing w:before="0"/>
              <w:rPr>
                <w:color w:val="auto"/>
                <w:sz w:val="22"/>
                <w:szCs w:val="22"/>
              </w:rPr>
            </w:pPr>
            <w:r w:rsidRPr="00EB5B1D">
              <w:rPr>
                <w:color w:val="auto"/>
                <w:sz w:val="22"/>
                <w:szCs w:val="22"/>
                <w:lang w:val="es-ES"/>
              </w:rPr>
              <w:t>4342</w:t>
            </w:r>
            <w:r w:rsidRPr="00EB5B1D">
              <w:rPr>
                <w:color w:val="auto"/>
                <w:sz w:val="22"/>
                <w:szCs w:val="22"/>
                <w:lang w:val="es-ES"/>
              </w:rPr>
              <w:noBreakHyphen/>
              <w:t>36</w:t>
            </w:r>
            <w:r w:rsidRPr="00EB5B1D">
              <w:rPr>
                <w:color w:val="auto"/>
                <w:sz w:val="22"/>
                <w:szCs w:val="22"/>
                <w:lang w:val="es-ES"/>
              </w:rPr>
              <w:noBreakHyphen/>
              <w:t>3</w:t>
            </w:r>
          </w:p>
          <w:p w:rsidR="0041159A" w:rsidRPr="00EB5B1D" w:rsidRDefault="0041159A" w:rsidP="0041159A">
            <w:pPr>
              <w:pStyle w:val="ca"/>
              <w:spacing w:before="0"/>
              <w:rPr>
                <w:color w:val="auto"/>
                <w:spacing w:val="-2"/>
                <w:sz w:val="22"/>
                <w:szCs w:val="22"/>
              </w:rPr>
            </w:pPr>
            <w:r w:rsidRPr="00EB5B1D">
              <w:rPr>
                <w:color w:val="auto"/>
                <w:sz w:val="22"/>
                <w:szCs w:val="22"/>
                <w:lang w:val="es-ES"/>
              </w:rPr>
              <w:t>1461</w:t>
            </w:r>
            <w:r w:rsidRPr="00EB5B1D">
              <w:rPr>
                <w:color w:val="auto"/>
                <w:sz w:val="22"/>
                <w:szCs w:val="22"/>
                <w:lang w:val="es-ES"/>
              </w:rPr>
              <w:noBreakHyphen/>
              <w:t>22</w:t>
            </w:r>
            <w:r w:rsidRPr="00EB5B1D">
              <w:rPr>
                <w:color w:val="auto"/>
                <w:sz w:val="22"/>
                <w:szCs w:val="22"/>
                <w:lang w:val="es-ES"/>
              </w:rPr>
              <w:noBreakHyphen/>
              <w:t>9</w:t>
            </w:r>
          </w:p>
          <w:p w:rsidR="0041159A" w:rsidRPr="00EB5B1D" w:rsidRDefault="0041159A" w:rsidP="0041159A">
            <w:pPr>
              <w:rPr>
                <w:spacing w:val="-2"/>
                <w:szCs w:val="22"/>
              </w:rPr>
            </w:pPr>
            <w:r w:rsidRPr="00EB5B1D">
              <w:rPr>
                <w:szCs w:val="22"/>
                <w:lang w:val="es-ES"/>
              </w:rPr>
              <w:t>24124</w:t>
            </w:r>
            <w:r w:rsidRPr="00EB5B1D">
              <w:rPr>
                <w:szCs w:val="22"/>
                <w:lang w:val="es-ES"/>
              </w:rPr>
              <w:noBreakHyphen/>
              <w:t>25</w:t>
            </w:r>
            <w:r w:rsidRPr="00EB5B1D">
              <w:rPr>
                <w:szCs w:val="22"/>
                <w:lang w:val="es-ES"/>
              </w:rPr>
              <w:noBreakHyphen/>
              <w:t>2</w:t>
            </w:r>
          </w:p>
          <w:p w:rsidR="00D872C1" w:rsidRPr="00EB5B1D" w:rsidRDefault="0041159A" w:rsidP="00DF45E1">
            <w:pPr>
              <w:autoSpaceDE w:val="0"/>
              <w:autoSpaceDN w:val="0"/>
              <w:adjustRightInd w:val="0"/>
              <w:rPr>
                <w:szCs w:val="22"/>
                <w:lang w:val="es-ES_tradnl"/>
              </w:rPr>
            </w:pPr>
            <w:r w:rsidRPr="00EB5B1D">
              <w:rPr>
                <w:szCs w:val="22"/>
                <w:lang w:val="es-ES"/>
              </w:rPr>
              <w:t>85409</w:t>
            </w:r>
            <w:r w:rsidRPr="00EB5B1D">
              <w:rPr>
                <w:szCs w:val="22"/>
                <w:lang w:val="es-ES"/>
              </w:rPr>
              <w:noBreakHyphen/>
              <w:t>17</w:t>
            </w:r>
            <w:r w:rsidRPr="00EB5B1D">
              <w:rPr>
                <w:szCs w:val="22"/>
                <w:lang w:val="es-ES"/>
              </w:rPr>
              <w:noBreakHyphen/>
              <w:t>2</w:t>
            </w:r>
          </w:p>
        </w:tc>
        <w:tc>
          <w:tcPr>
            <w:tcW w:w="1417" w:type="dxa"/>
          </w:tcPr>
          <w:p w:rsidR="00D872C1" w:rsidRPr="00EB5B1D" w:rsidRDefault="00D872C1" w:rsidP="00DF45E1">
            <w:pPr>
              <w:autoSpaceDE w:val="0"/>
              <w:autoSpaceDN w:val="0"/>
              <w:adjustRightInd w:val="0"/>
              <w:rPr>
                <w:szCs w:val="22"/>
                <w:lang w:val="es-ES_tradnl"/>
              </w:rPr>
            </w:pPr>
            <w:r w:rsidRPr="00EB5B1D">
              <w:rPr>
                <w:szCs w:val="22"/>
                <w:lang w:val="es-ES_tradnl"/>
              </w:rPr>
              <w:t xml:space="preserve">Industrial </w:t>
            </w:r>
          </w:p>
        </w:tc>
        <w:tc>
          <w:tcPr>
            <w:tcW w:w="2687" w:type="dxa"/>
          </w:tcPr>
          <w:p w:rsidR="00D872C1" w:rsidRPr="00EB5B1D" w:rsidRDefault="00D872C1" w:rsidP="00DF45E1">
            <w:pPr>
              <w:autoSpaceDE w:val="0"/>
              <w:autoSpaceDN w:val="0"/>
              <w:adjustRightInd w:val="0"/>
              <w:rPr>
                <w:szCs w:val="22"/>
                <w:lang w:val="es-ES_tradnl"/>
              </w:rPr>
            </w:pPr>
            <w:r w:rsidRPr="00EB5B1D">
              <w:rPr>
                <w:szCs w:val="22"/>
                <w:lang w:val="es-ES_tradnl"/>
              </w:rPr>
              <w:t>RC-8/5</w:t>
            </w:r>
          </w:p>
        </w:tc>
      </w:tr>
    </w:tbl>
    <w:p w:rsidR="00EA65C7" w:rsidRPr="00EB5B1D" w:rsidRDefault="00EA65C7" w:rsidP="00EA65C7">
      <w:pPr>
        <w:autoSpaceDE w:val="0"/>
        <w:autoSpaceDN w:val="0"/>
        <w:adjustRightInd w:val="0"/>
        <w:jc w:val="both"/>
        <w:rPr>
          <w:rFonts w:ascii="TimesNewRomanPSMT" w:hAnsi="TimesNewRomanPSMT" w:cs="TimesNewRomanPSMT"/>
          <w:szCs w:val="22"/>
          <w:lang w:val="en-GB" w:eastAsia="en-GB"/>
        </w:rPr>
      </w:pPr>
    </w:p>
    <w:p w:rsidR="00EA65C7" w:rsidRPr="00EB5B1D" w:rsidRDefault="002E1423" w:rsidP="00EA65C7">
      <w:pPr>
        <w:autoSpaceDE w:val="0"/>
        <w:autoSpaceDN w:val="0"/>
        <w:adjustRightInd w:val="0"/>
        <w:jc w:val="both"/>
        <w:rPr>
          <w:rFonts w:ascii="TimesNewRomanPSMT" w:hAnsi="TimesNewRomanPSMT" w:cs="TimesNewRomanPSMT"/>
          <w:szCs w:val="22"/>
          <w:lang w:val="fr-CH" w:eastAsia="en-GB"/>
        </w:rPr>
      </w:pPr>
      <w:r w:rsidRPr="00EB5B1D">
        <w:rPr>
          <w:rFonts w:ascii="TimesNewRomanPSMT" w:hAnsi="TimesNewRomanPSMT" w:cs="TimesNewRomanPSMT"/>
          <w:szCs w:val="22"/>
          <w:lang w:val="es-ES" w:eastAsia="en-GB"/>
        </w:rPr>
        <w:t>Las enmiendas entrarán en vigor para todas las Partes el 15 de septiembre de 2017</w:t>
      </w:r>
      <w:r w:rsidR="0041159A" w:rsidRPr="00EB5B1D">
        <w:rPr>
          <w:rFonts w:ascii="TimesNewRomanPSMT" w:hAnsi="TimesNewRomanPSMT" w:cs="TimesNewRomanPSMT"/>
          <w:szCs w:val="22"/>
          <w:lang w:val="es-ES" w:eastAsia="en-GB"/>
        </w:rPr>
        <w:t>.</w:t>
      </w:r>
    </w:p>
    <w:p w:rsidR="00EA65C7" w:rsidRPr="00EB5B1D" w:rsidRDefault="00EA65C7" w:rsidP="00EA65C7">
      <w:pPr>
        <w:autoSpaceDE w:val="0"/>
        <w:autoSpaceDN w:val="0"/>
        <w:adjustRightInd w:val="0"/>
        <w:jc w:val="both"/>
        <w:rPr>
          <w:rFonts w:ascii="TimesNewRomanPSMT" w:hAnsi="TimesNewRomanPSMT" w:cs="TimesNewRomanPSMT"/>
          <w:szCs w:val="22"/>
          <w:lang w:val="fr-CH" w:eastAsia="en-GB"/>
        </w:rPr>
      </w:pPr>
    </w:p>
    <w:p w:rsidR="00D872C1" w:rsidRPr="00EB5B1D" w:rsidRDefault="00D872C1" w:rsidP="00D872C1">
      <w:pPr>
        <w:jc w:val="both"/>
        <w:rPr>
          <w:snapToGrid w:val="0"/>
          <w:lang w:val="es-ES_tradnl"/>
        </w:rPr>
      </w:pPr>
      <w:r w:rsidRPr="00EB5B1D">
        <w:rPr>
          <w:lang w:val="es-ES_tradnl"/>
        </w:rPr>
        <w:t>La Conferencia de las Partes no pudo llegar a un acuerdo sobre la inclusión del carbosulfán en la categoría de plaguicidas</w:t>
      </w:r>
      <w:r w:rsidR="00F063AA" w:rsidRPr="00EB5B1D">
        <w:rPr>
          <w:lang w:val="es-ES_tradnl"/>
        </w:rPr>
        <w:t>, ni</w:t>
      </w:r>
      <w:r w:rsidRPr="00EB5B1D">
        <w:rPr>
          <w:lang w:val="es-ES_tradnl"/>
        </w:rPr>
        <w:t xml:space="preserve"> del fentión (formulaciones de ultra bajo volumen (ULV) igual o superior a 640 g de ingrediente activo/L) en la categoría de formulaciones plaguicidas extremadamente peligrosas. No obstante, en sus </w:t>
      </w:r>
      <w:r w:rsidR="00F063AA" w:rsidRPr="00EB5B1D">
        <w:rPr>
          <w:lang w:val="es-ES_tradnl"/>
        </w:rPr>
        <w:t>decisiones</w:t>
      </w:r>
      <w:r w:rsidRPr="00EB5B1D">
        <w:rPr>
          <w:lang w:val="es-ES_tradnl"/>
        </w:rPr>
        <w:t xml:space="preserve"> RC-8/6 y RC-8/7 respectivamente, la Conferencia de las Partes decidió que </w:t>
      </w:r>
      <w:r w:rsidR="00F063AA" w:rsidRPr="00EB5B1D">
        <w:rPr>
          <w:lang w:val="es-ES_tradnl"/>
        </w:rPr>
        <w:t xml:space="preserve">fueron cumplidos </w:t>
      </w:r>
      <w:r w:rsidRPr="00EB5B1D">
        <w:rPr>
          <w:lang w:val="es-ES_tradnl"/>
        </w:rPr>
        <w:t xml:space="preserve">los requisitos establecidos en </w:t>
      </w:r>
      <w:r w:rsidR="00F063AA" w:rsidRPr="00EB5B1D">
        <w:rPr>
          <w:lang w:val="es-ES_tradnl"/>
        </w:rPr>
        <w:t xml:space="preserve">las partes pertinentes de </w:t>
      </w:r>
      <w:r w:rsidRPr="00EB5B1D">
        <w:rPr>
          <w:lang w:val="es-ES_tradnl"/>
        </w:rPr>
        <w:t xml:space="preserve">los </w:t>
      </w:r>
      <w:r w:rsidR="00F063AA" w:rsidRPr="00EB5B1D">
        <w:rPr>
          <w:lang w:val="es-ES_tradnl"/>
        </w:rPr>
        <w:t xml:space="preserve">artículos </w:t>
      </w:r>
      <w:r w:rsidRPr="00EB5B1D">
        <w:rPr>
          <w:lang w:val="es-ES_tradnl"/>
        </w:rPr>
        <w:t>5</w:t>
      </w:r>
      <w:r w:rsidR="00F063AA" w:rsidRPr="00EB5B1D">
        <w:rPr>
          <w:lang w:val="es-ES_tradnl"/>
        </w:rPr>
        <w:t>, 6</w:t>
      </w:r>
      <w:r w:rsidRPr="00EB5B1D">
        <w:rPr>
          <w:lang w:val="es-ES_tradnl"/>
        </w:rPr>
        <w:t xml:space="preserve"> y </w:t>
      </w:r>
      <w:r w:rsidR="00F063AA" w:rsidRPr="00EB5B1D">
        <w:rPr>
          <w:lang w:val="es-ES_tradnl"/>
        </w:rPr>
        <w:t>7</w:t>
      </w:r>
      <w:r w:rsidRPr="00EB5B1D">
        <w:rPr>
          <w:lang w:val="es-ES_tradnl"/>
        </w:rPr>
        <w:t xml:space="preserve"> del Convenio, </w:t>
      </w:r>
      <w:r w:rsidR="00F063AA" w:rsidRPr="00EB5B1D">
        <w:rPr>
          <w:lang w:val="es-ES_tradnl"/>
        </w:rPr>
        <w:t>entre otros</w:t>
      </w:r>
      <w:r w:rsidRPr="00EB5B1D">
        <w:rPr>
          <w:lang w:val="es-ES_tradnl"/>
        </w:rPr>
        <w:t xml:space="preserve">. Además, se decidió que la novena reunión de la Conferencia de las Partes considerará de nuevo la posibilidad de modificar el </w:t>
      </w:r>
      <w:r w:rsidR="00F063AA" w:rsidRPr="00EB5B1D">
        <w:rPr>
          <w:lang w:val="es-ES_tradnl"/>
        </w:rPr>
        <w:t xml:space="preserve">anexo </w:t>
      </w:r>
      <w:r w:rsidRPr="00EB5B1D">
        <w:rPr>
          <w:lang w:val="es-ES_tradnl"/>
        </w:rPr>
        <w:t xml:space="preserve">III del Convenio de Rotterdam </w:t>
      </w:r>
      <w:r w:rsidR="00F063AA" w:rsidRPr="00EB5B1D">
        <w:rPr>
          <w:lang w:val="es-ES_tradnl"/>
        </w:rPr>
        <w:t>para incluir el</w:t>
      </w:r>
      <w:r w:rsidRPr="00EB5B1D">
        <w:rPr>
          <w:lang w:val="es-ES_tradnl"/>
        </w:rPr>
        <w:t xml:space="preserve"> carbosulfán y el fentión (formulaciones de ultra bajo volumen (ULV) igual o superior a 640 g de ingrediente activo/L).</w:t>
      </w:r>
    </w:p>
    <w:p w:rsidR="00D872C1" w:rsidRPr="00EB5B1D" w:rsidRDefault="00D872C1" w:rsidP="00D872C1">
      <w:pPr>
        <w:jc w:val="both"/>
        <w:rPr>
          <w:snapToGrid w:val="0"/>
          <w:lang w:val="es-ES_tradnl"/>
        </w:rPr>
      </w:pPr>
    </w:p>
    <w:p w:rsidR="001F3F1A" w:rsidRPr="00EB5B1D" w:rsidRDefault="00D872C1" w:rsidP="00D872C1">
      <w:pPr>
        <w:jc w:val="both"/>
        <w:rPr>
          <w:szCs w:val="22"/>
          <w:lang w:val="fr-CH"/>
        </w:rPr>
      </w:pPr>
      <w:r w:rsidRPr="00EB5B1D">
        <w:rPr>
          <w:snapToGrid w:val="0"/>
          <w:lang w:val="es-ES_tradnl"/>
        </w:rPr>
        <w:t>Por último, la Conferencia de las Partes, en su decisión RC-8/</w:t>
      </w:r>
      <w:r w:rsidR="00EA65C7" w:rsidRPr="00EB5B1D">
        <w:rPr>
          <w:snapToGrid w:val="0"/>
          <w:lang w:val="es-ES_tradnl"/>
        </w:rPr>
        <w:t>8</w:t>
      </w:r>
      <w:r w:rsidRPr="00EB5B1D">
        <w:rPr>
          <w:snapToGrid w:val="0"/>
          <w:lang w:val="es-ES_tradnl"/>
        </w:rPr>
        <w:t xml:space="preserve">, decidió establecer un grupo de trabajo </w:t>
      </w:r>
      <w:r w:rsidRPr="00EB5B1D">
        <w:rPr>
          <w:lang w:val="es-ES_tradnl"/>
        </w:rPr>
        <w:t>compuesto por representantes de las Partes para identificar una serie de recomendaciones prioritarias a fin de mejorar la eficacia del Convenio y elaborar un informe en el que se señalen nuevas medidas para su examen por la Conferencia de las Partes en su novena reunión</w:t>
      </w:r>
      <w:r w:rsidR="001F3F1A" w:rsidRPr="00EB5B1D">
        <w:rPr>
          <w:szCs w:val="22"/>
          <w:lang w:val="fr-CH"/>
        </w:rPr>
        <w:t>.</w:t>
      </w:r>
      <w:r w:rsidR="006D3C1C" w:rsidRPr="00EB5B1D">
        <w:rPr>
          <w:szCs w:val="22"/>
          <w:lang w:val="fr-CH"/>
        </w:rPr>
        <w:t xml:space="preserve"> El </w:t>
      </w:r>
      <w:r w:rsidR="002E1423" w:rsidRPr="00EB5B1D">
        <w:rPr>
          <w:szCs w:val="22"/>
          <w:lang w:val="fr-CH"/>
        </w:rPr>
        <w:t>g</w:t>
      </w:r>
      <w:r w:rsidR="006D3C1C" w:rsidRPr="00EB5B1D">
        <w:rPr>
          <w:szCs w:val="22"/>
          <w:lang w:val="fr-CH"/>
        </w:rPr>
        <w:t>rupo est</w:t>
      </w:r>
      <w:r w:rsidR="006D3C1C" w:rsidRPr="00EB5B1D">
        <w:rPr>
          <w:lang w:val="es-ES_tradnl"/>
        </w:rPr>
        <w:t>á abierto a la participati</w:t>
      </w:r>
      <w:r w:rsidR="006D3C1C" w:rsidRPr="00EB5B1D">
        <w:rPr>
          <w:snapToGrid w:val="0"/>
          <w:lang w:val="es-ES_tradnl"/>
        </w:rPr>
        <w:t>ón de los Estados que no son Partes en el Convenio.</w:t>
      </w:r>
    </w:p>
    <w:p w:rsidR="001F3F1A" w:rsidRPr="00EB5B1D" w:rsidRDefault="001F3F1A" w:rsidP="001F3F1A">
      <w:pPr>
        <w:autoSpaceDE w:val="0"/>
        <w:autoSpaceDN w:val="0"/>
        <w:adjustRightInd w:val="0"/>
        <w:jc w:val="both"/>
        <w:rPr>
          <w:rFonts w:ascii="TimesNewRomanPSMT" w:hAnsi="TimesNewRomanPSMT" w:cs="TimesNewRomanPSMT"/>
          <w:szCs w:val="22"/>
          <w:lang w:val="fr-CH" w:eastAsia="en-GB"/>
        </w:rPr>
      </w:pPr>
    </w:p>
    <w:p w:rsidR="001F3F1A" w:rsidRPr="00EB5B1D" w:rsidRDefault="001F3F1A" w:rsidP="001F3F1A">
      <w:pPr>
        <w:snapToGrid w:val="0"/>
        <w:jc w:val="both"/>
        <w:outlineLvl w:val="1"/>
        <w:rPr>
          <w:szCs w:val="22"/>
          <w:lang w:val="fr-CH"/>
        </w:rPr>
      </w:pPr>
      <w:bookmarkStart w:id="43" w:name="_Toc484686620"/>
      <w:r w:rsidRPr="00EB5B1D">
        <w:rPr>
          <w:b/>
          <w:szCs w:val="22"/>
          <w:lang w:val="fr-CH"/>
        </w:rPr>
        <w:t>2.5</w:t>
      </w:r>
      <w:r w:rsidRPr="00EB5B1D">
        <w:rPr>
          <w:b/>
          <w:szCs w:val="22"/>
          <w:lang w:val="fr-CH"/>
        </w:rPr>
        <w:tab/>
      </w:r>
      <w:bookmarkEnd w:id="37"/>
      <w:bookmarkEnd w:id="38"/>
      <w:bookmarkEnd w:id="39"/>
      <w:bookmarkEnd w:id="40"/>
      <w:bookmarkEnd w:id="41"/>
      <w:bookmarkEnd w:id="42"/>
      <w:r w:rsidR="000A5DDA" w:rsidRPr="00EB5B1D">
        <w:rPr>
          <w:b/>
          <w:snapToGrid w:val="0"/>
          <w:lang w:val="es-ES_tradnl"/>
        </w:rPr>
        <w:t xml:space="preserve">Notificaciones </w:t>
      </w:r>
      <w:proofErr w:type="gramStart"/>
      <w:r w:rsidR="000A5DDA" w:rsidRPr="00EB5B1D">
        <w:rPr>
          <w:b/>
          <w:snapToGrid w:val="0"/>
          <w:lang w:val="es-ES_tradnl"/>
        </w:rPr>
        <w:t xml:space="preserve">de </w:t>
      </w:r>
      <w:r w:rsidR="00A81C8F" w:rsidRPr="00EB5B1D">
        <w:rPr>
          <w:b/>
          <w:snapToGrid w:val="0"/>
          <w:lang w:val="es-ES_tradnl"/>
        </w:rPr>
        <w:t>e</w:t>
      </w:r>
      <w:r w:rsidR="000A5DDA" w:rsidRPr="00EB5B1D">
        <w:rPr>
          <w:b/>
          <w:snapToGrid w:val="0"/>
          <w:lang w:val="es-ES_tradnl"/>
        </w:rPr>
        <w:t>xportación</w:t>
      </w:r>
      <w:proofErr w:type="gramEnd"/>
      <w:r w:rsidR="000A5DDA" w:rsidRPr="00EB5B1D">
        <w:rPr>
          <w:b/>
          <w:snapToGrid w:val="0"/>
          <w:lang w:val="es-ES_tradnl"/>
        </w:rPr>
        <w:t xml:space="preserve"> </w:t>
      </w:r>
      <w:r w:rsidR="000A5DDA" w:rsidRPr="00EB5B1D">
        <w:rPr>
          <w:lang w:val="es-ES_tradnl"/>
        </w:rPr>
        <w:t>(</w:t>
      </w:r>
      <w:r w:rsidR="004A20D8" w:rsidRPr="00EB5B1D">
        <w:rPr>
          <w:lang w:val="es-ES_tradnl"/>
        </w:rPr>
        <w:t>artículo</w:t>
      </w:r>
      <w:r w:rsidR="000A5DDA" w:rsidRPr="00EB5B1D">
        <w:rPr>
          <w:lang w:val="es-ES_tradnl"/>
        </w:rPr>
        <w:t xml:space="preserve"> 12)</w:t>
      </w:r>
      <w:bookmarkEnd w:id="43"/>
    </w:p>
    <w:p w:rsidR="001F3F1A" w:rsidRPr="00EB5B1D" w:rsidRDefault="001F3F1A" w:rsidP="001F3F1A">
      <w:pPr>
        <w:jc w:val="both"/>
        <w:rPr>
          <w:szCs w:val="22"/>
          <w:lang w:val="fr-CH"/>
        </w:rPr>
      </w:pPr>
    </w:p>
    <w:p w:rsidR="00D872C1" w:rsidRPr="00EB5B1D" w:rsidRDefault="00D872C1" w:rsidP="00D872C1">
      <w:pPr>
        <w:snapToGrid w:val="0"/>
        <w:jc w:val="both"/>
        <w:rPr>
          <w:spacing w:val="6"/>
          <w:lang w:val="es-ES_tradnl"/>
        </w:rPr>
      </w:pPr>
      <w:r w:rsidRPr="00EB5B1D">
        <w:rPr>
          <w:spacing w:val="6"/>
          <w:lang w:val="es-ES_tradnl"/>
        </w:rPr>
        <w:t xml:space="preserve">El </w:t>
      </w:r>
      <w:r w:rsidR="00515A23" w:rsidRPr="00EB5B1D">
        <w:rPr>
          <w:spacing w:val="6"/>
          <w:lang w:val="es-ES_tradnl"/>
        </w:rPr>
        <w:t>a</w:t>
      </w:r>
      <w:r w:rsidRPr="00EB5B1D">
        <w:rPr>
          <w:spacing w:val="6"/>
          <w:lang w:val="es-ES_tradnl"/>
        </w:rPr>
        <w:t xml:space="preserve">rtículo 12 y el </w:t>
      </w:r>
      <w:r w:rsidR="00515A23" w:rsidRPr="00EB5B1D">
        <w:rPr>
          <w:spacing w:val="6"/>
          <w:lang w:val="es-ES_tradnl"/>
        </w:rPr>
        <w:t xml:space="preserve">anexo </w:t>
      </w:r>
      <w:r w:rsidRPr="00EB5B1D">
        <w:rPr>
          <w:spacing w:val="6"/>
          <w:lang w:val="es-ES_tradnl"/>
        </w:rPr>
        <w:t>V del Convenio estipulan las disposiciones y los requisitos de información relacionados a la notificación de exportación. Cuando un producto químico que está prohibido o rigurosamente restringido por una Parte, es exportado desde su territorio, esta Parte deberá proporcionar una notificación de exportación a la Parte importadora, que deberá incluir la información del anexo V. La Parte importadora tiene la obligación de enviar el acuse de recibo de la notificación de exportación.</w:t>
      </w:r>
    </w:p>
    <w:p w:rsidR="00D872C1" w:rsidRPr="00EB5B1D" w:rsidRDefault="00D872C1" w:rsidP="00D872C1">
      <w:pPr>
        <w:snapToGrid w:val="0"/>
        <w:jc w:val="both"/>
        <w:rPr>
          <w:spacing w:val="6"/>
          <w:lang w:val="es-ES_tradnl"/>
        </w:rPr>
      </w:pPr>
    </w:p>
    <w:p w:rsidR="00D872C1" w:rsidRPr="00EB5B1D" w:rsidRDefault="00D872C1" w:rsidP="00D872C1">
      <w:pPr>
        <w:snapToGrid w:val="0"/>
        <w:jc w:val="both"/>
        <w:rPr>
          <w:spacing w:val="6"/>
          <w:lang w:val="es-ES_tradnl"/>
        </w:rPr>
      </w:pPr>
      <w:r w:rsidRPr="00EB5B1D">
        <w:rPr>
          <w:spacing w:val="6"/>
          <w:lang w:val="es-ES_tradnl"/>
        </w:rPr>
        <w:t xml:space="preserve">Tras las deliberaciones en la tercera reunión de la Conferencia de las Partes, la Secretaría elaboró un formulario estándar para la notificación de exportación para ayudar a las Partes a cumplir sus obligaciones según el Convenio. Las copias de dicho formulario se pueden obtener en la página Web del Convenio de </w:t>
      </w:r>
      <w:r w:rsidR="007D514A" w:rsidRPr="00EB5B1D">
        <w:rPr>
          <w:spacing w:val="6"/>
          <w:lang w:val="es-ES_tradnl"/>
        </w:rPr>
        <w:t>Rotterdam</w:t>
      </w:r>
      <w:r w:rsidRPr="00EB5B1D">
        <w:rPr>
          <w:spacing w:val="6"/>
          <w:lang w:val="es-ES_tradnl"/>
        </w:rPr>
        <w:t xml:space="preserve"> o solicitándolas a la Secretaría. </w:t>
      </w:r>
    </w:p>
    <w:p w:rsidR="00D872C1" w:rsidRPr="00EB5B1D" w:rsidRDefault="00D872C1" w:rsidP="00D872C1">
      <w:pPr>
        <w:snapToGrid w:val="0"/>
        <w:rPr>
          <w:spacing w:val="6"/>
          <w:lang w:val="es-ES_tradnl"/>
        </w:rPr>
      </w:pPr>
    </w:p>
    <w:p w:rsidR="00D872C1" w:rsidRPr="00EB5B1D" w:rsidRDefault="00D872C1" w:rsidP="00D872C1">
      <w:pPr>
        <w:snapToGrid w:val="0"/>
        <w:jc w:val="both"/>
        <w:rPr>
          <w:lang w:val="es-ES_tradnl"/>
        </w:rPr>
      </w:pPr>
      <w:r w:rsidRPr="00EB5B1D">
        <w:rPr>
          <w:lang w:val="es-ES_tradnl"/>
        </w:rPr>
        <w:t xml:space="preserve">Las Partes están invitadas a utilizar este formulario para hacer acuse de recibo de las notificaciones de exportación. Donde ya existan formularios que han sido preparados a nivel nacional que cumplan los requisitos de información del </w:t>
      </w:r>
      <w:r w:rsidR="00515A23" w:rsidRPr="00EB5B1D">
        <w:rPr>
          <w:lang w:val="es-ES_tradnl"/>
        </w:rPr>
        <w:t xml:space="preserve">anexo </w:t>
      </w:r>
      <w:r w:rsidRPr="00EB5B1D">
        <w:rPr>
          <w:lang w:val="es-ES_tradnl"/>
        </w:rPr>
        <w:t>V del Convenio, éstos podrán continuar a utilizarse.</w:t>
      </w:r>
    </w:p>
    <w:p w:rsidR="00D872C1" w:rsidRPr="00EB5B1D" w:rsidRDefault="00D872C1" w:rsidP="00D872C1">
      <w:pPr>
        <w:snapToGrid w:val="0"/>
        <w:jc w:val="both"/>
        <w:rPr>
          <w:lang w:val="es-ES_tradnl"/>
        </w:rPr>
      </w:pPr>
    </w:p>
    <w:p w:rsidR="001F3F1A" w:rsidRPr="00EB5B1D" w:rsidRDefault="00D872C1" w:rsidP="00D872C1">
      <w:pPr>
        <w:jc w:val="both"/>
        <w:rPr>
          <w:szCs w:val="22"/>
          <w:lang w:val="fr-CH"/>
        </w:rPr>
      </w:pPr>
      <w:r w:rsidRPr="00EB5B1D">
        <w:rPr>
          <w:lang w:val="es-ES_tradnl"/>
        </w:rPr>
        <w:t xml:space="preserve">La Conferencia de las Partes, en su octava </w:t>
      </w:r>
      <w:r w:rsidR="00515A23" w:rsidRPr="00EB5B1D">
        <w:rPr>
          <w:lang w:val="es-ES_tradnl"/>
        </w:rPr>
        <w:t>reunión</w:t>
      </w:r>
      <w:r w:rsidRPr="00EB5B1D">
        <w:rPr>
          <w:lang w:val="es-ES_tradnl"/>
        </w:rPr>
        <w:t xml:space="preserve">, recordó su anterior decisión RC-7/2, e instó a las Partes a continuar la implementación de ésta decisión y la efectiva implementación del Convenio, incluidas las obligaciones contraídas en virtud del párrafo 2 del </w:t>
      </w:r>
      <w:r w:rsidR="00515A23" w:rsidRPr="00EB5B1D">
        <w:rPr>
          <w:lang w:val="es-ES_tradnl"/>
        </w:rPr>
        <w:t xml:space="preserve">artículo </w:t>
      </w:r>
      <w:r w:rsidRPr="00EB5B1D">
        <w:rPr>
          <w:lang w:val="es-ES_tradnl"/>
        </w:rPr>
        <w:t xml:space="preserve">11, y del </w:t>
      </w:r>
      <w:r w:rsidR="00515A23" w:rsidRPr="00EB5B1D">
        <w:rPr>
          <w:lang w:val="es-ES_tradnl"/>
        </w:rPr>
        <w:t xml:space="preserve">artículo </w:t>
      </w:r>
      <w:r w:rsidRPr="00EB5B1D">
        <w:rPr>
          <w:lang w:val="es-ES_tradnl"/>
        </w:rPr>
        <w:t>12 del Convenio</w:t>
      </w:r>
      <w:r w:rsidRPr="00EB5B1D">
        <w:rPr>
          <w:szCs w:val="22"/>
          <w:lang w:val="es-ES_tradnl"/>
        </w:rPr>
        <w:t xml:space="preserve">. </w:t>
      </w:r>
      <w:r w:rsidRPr="00EB5B1D">
        <w:rPr>
          <w:lang w:val="es-ES_tradnl"/>
        </w:rPr>
        <w:t xml:space="preserve">También invitó a las Partes a responder al cuestionario sobre el párrafo 2 del </w:t>
      </w:r>
      <w:r w:rsidR="00515A23" w:rsidRPr="00EB5B1D">
        <w:rPr>
          <w:lang w:val="es-ES_tradnl"/>
        </w:rPr>
        <w:t xml:space="preserve">artículo </w:t>
      </w:r>
      <w:r w:rsidRPr="00EB5B1D">
        <w:rPr>
          <w:lang w:val="es-ES_tradnl"/>
        </w:rPr>
        <w:t xml:space="preserve">11 y sobre los </w:t>
      </w:r>
      <w:r w:rsidR="00515A23" w:rsidRPr="00EB5B1D">
        <w:rPr>
          <w:lang w:val="es-ES_tradnl"/>
        </w:rPr>
        <w:t xml:space="preserve">artículos </w:t>
      </w:r>
      <w:r w:rsidRPr="00EB5B1D">
        <w:rPr>
          <w:lang w:val="es-ES_tradnl"/>
        </w:rPr>
        <w:t>12 y 14 del Convenio</w:t>
      </w:r>
      <w:r w:rsidR="001F3F1A" w:rsidRPr="00EB5B1D">
        <w:rPr>
          <w:szCs w:val="22"/>
          <w:lang w:val="fr-CH"/>
        </w:rPr>
        <w:t>.</w:t>
      </w:r>
    </w:p>
    <w:p w:rsidR="00C92815" w:rsidRPr="00EB5B1D" w:rsidRDefault="00C92815" w:rsidP="00C92815">
      <w:pPr>
        <w:autoSpaceDE w:val="0"/>
        <w:autoSpaceDN w:val="0"/>
        <w:adjustRightInd w:val="0"/>
        <w:jc w:val="both"/>
        <w:rPr>
          <w:rFonts w:ascii="TimesNewRomanPSMT" w:hAnsi="TimesNewRomanPSMT" w:cs="TimesNewRomanPSMT"/>
          <w:szCs w:val="22"/>
          <w:lang w:val="fr-CH" w:eastAsia="en-GB"/>
        </w:rPr>
      </w:pPr>
    </w:p>
    <w:p w:rsidR="00C92815" w:rsidRPr="00EB5B1D" w:rsidRDefault="00C92815" w:rsidP="00166B8B">
      <w:pPr>
        <w:snapToGrid w:val="0"/>
        <w:ind w:left="720" w:hanging="720"/>
        <w:jc w:val="both"/>
        <w:outlineLvl w:val="1"/>
        <w:rPr>
          <w:szCs w:val="22"/>
          <w:lang w:val="fr-CH"/>
        </w:rPr>
      </w:pPr>
      <w:bookmarkStart w:id="44" w:name="_Toc484686621"/>
      <w:r w:rsidRPr="00EB5B1D">
        <w:rPr>
          <w:b/>
          <w:szCs w:val="22"/>
          <w:lang w:val="fr-CH"/>
        </w:rPr>
        <w:t>2.6</w:t>
      </w:r>
      <w:r w:rsidRPr="00EB5B1D">
        <w:rPr>
          <w:b/>
          <w:szCs w:val="22"/>
          <w:lang w:val="fr-CH"/>
        </w:rPr>
        <w:tab/>
      </w:r>
      <w:r w:rsidRPr="00EB5B1D">
        <w:rPr>
          <w:b/>
          <w:snapToGrid w:val="0"/>
          <w:lang w:val="es-ES_tradnl"/>
        </w:rPr>
        <w:t xml:space="preserve">Información que deberá adjuntarse a los productos químicos importados </w:t>
      </w:r>
      <w:r w:rsidRPr="00EB5B1D">
        <w:rPr>
          <w:snapToGrid w:val="0"/>
          <w:lang w:val="es-ES_tradnl"/>
        </w:rPr>
        <w:t>(párrafo 1, artículo 13)</w:t>
      </w:r>
      <w:bookmarkEnd w:id="44"/>
    </w:p>
    <w:p w:rsidR="00C92815" w:rsidRPr="00EB5B1D" w:rsidRDefault="00C92815" w:rsidP="00C92815">
      <w:pPr>
        <w:jc w:val="both"/>
        <w:rPr>
          <w:szCs w:val="22"/>
          <w:lang w:val="fr-CH"/>
        </w:rPr>
      </w:pPr>
    </w:p>
    <w:p w:rsidR="00D872C1" w:rsidRPr="00EB5B1D" w:rsidRDefault="00D872C1" w:rsidP="00D872C1">
      <w:pPr>
        <w:snapToGrid w:val="0"/>
        <w:ind w:right="-1"/>
        <w:jc w:val="both"/>
        <w:rPr>
          <w:snapToGrid w:val="0"/>
          <w:lang w:val="es-ES_tradnl"/>
        </w:rPr>
      </w:pPr>
      <w:r w:rsidRPr="00EB5B1D">
        <w:rPr>
          <w:snapToGrid w:val="0"/>
          <w:lang w:val="es-ES_tradnl"/>
        </w:rPr>
        <w:t xml:space="preserve">De conformidad con el párrafo 1 del artículo 13 del Convenio, la Organización Mundial de Aduanas (OMA) ha asignado códigos específicos aduaneros según el Sistema Armonizado (SA) a productos químicos o grupos de productos químicos incluidos en el anexo III del Convenio de </w:t>
      </w:r>
      <w:r w:rsidR="007D514A" w:rsidRPr="00EB5B1D">
        <w:rPr>
          <w:snapToGrid w:val="0"/>
          <w:lang w:val="es-ES_tradnl"/>
        </w:rPr>
        <w:t>Rotterdam</w:t>
      </w:r>
      <w:r w:rsidRPr="00EB5B1D">
        <w:rPr>
          <w:snapToGrid w:val="0"/>
          <w:lang w:val="es-ES_tradnl"/>
        </w:rPr>
        <w:t>. Estos códigos entraron en vigor el 1 de enero de 2007. Se prevé que para aquellos productos químicos incluidos en el anexo III después del 2011, los códigos SA serán asignados por la OMA en el 2017.</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ind w:right="-1"/>
        <w:jc w:val="both"/>
        <w:rPr>
          <w:snapToGrid w:val="0"/>
          <w:lang w:val="es-ES_tradnl"/>
        </w:rPr>
      </w:pPr>
      <w:r w:rsidRPr="00EB5B1D">
        <w:rPr>
          <w:snapToGrid w:val="0"/>
          <w:lang w:val="es-ES_tradnl"/>
        </w:rPr>
        <w:t xml:space="preserve">Cada Parte deberá asegurarse de que para cada producto químico incluido en el </w:t>
      </w:r>
      <w:r w:rsidR="00CA0C42" w:rsidRPr="00EB5B1D">
        <w:rPr>
          <w:snapToGrid w:val="0"/>
          <w:lang w:val="es-ES_tradnl"/>
        </w:rPr>
        <w:t xml:space="preserve">anexo </w:t>
      </w:r>
      <w:r w:rsidRPr="00EB5B1D">
        <w:rPr>
          <w:snapToGrid w:val="0"/>
          <w:lang w:val="es-ES_tradnl"/>
        </w:rPr>
        <w:t>III y al que ha sido asignado un código SA, los documentos que acompañan la expedición contengan este código al momento de exportar ese producto químico.</w:t>
      </w:r>
    </w:p>
    <w:p w:rsidR="00D872C1" w:rsidRPr="00EB5B1D" w:rsidRDefault="00D872C1" w:rsidP="00D872C1">
      <w:pPr>
        <w:snapToGrid w:val="0"/>
        <w:ind w:right="-1"/>
        <w:jc w:val="both"/>
        <w:rPr>
          <w:snapToGrid w:val="0"/>
          <w:lang w:val="es-ES_tradnl"/>
        </w:rPr>
      </w:pPr>
    </w:p>
    <w:p w:rsidR="001F3F1A" w:rsidRPr="00EB5B1D" w:rsidRDefault="00D872C1" w:rsidP="00D872C1">
      <w:pPr>
        <w:autoSpaceDE w:val="0"/>
        <w:autoSpaceDN w:val="0"/>
        <w:adjustRightInd w:val="0"/>
        <w:jc w:val="both"/>
        <w:rPr>
          <w:snapToGrid w:val="0"/>
          <w:szCs w:val="22"/>
          <w:lang w:val="fr-CH" w:eastAsia="en-US"/>
        </w:rPr>
      </w:pPr>
      <w:r w:rsidRPr="00EB5B1D">
        <w:rPr>
          <w:snapToGrid w:val="0"/>
          <w:lang w:val="es-ES_tradnl"/>
        </w:rPr>
        <w:t xml:space="preserve">El cuadro que contiene esta información se encuentra también disponible en la página Web del Convenio de </w:t>
      </w:r>
      <w:r w:rsidR="007D514A" w:rsidRPr="00EB5B1D">
        <w:rPr>
          <w:snapToGrid w:val="0"/>
          <w:lang w:val="es-ES_tradnl"/>
        </w:rPr>
        <w:t>Rotterdam</w:t>
      </w:r>
      <w:r w:rsidRPr="00EB5B1D">
        <w:rPr>
          <w:snapToGrid w:val="0"/>
          <w:lang w:val="es-ES_tradnl"/>
        </w:rPr>
        <w:t xml:space="preserve"> </w:t>
      </w:r>
      <w:r w:rsidRPr="00EB5B1D">
        <w:rPr>
          <w:szCs w:val="22"/>
          <w:lang w:val="es-ES_tradnl"/>
        </w:rPr>
        <w:t>(</w:t>
      </w:r>
      <w:hyperlink r:id="rId17" w:history="1">
        <w:r w:rsidRPr="00EB5B1D">
          <w:rPr>
            <w:rStyle w:val="Hyperlink"/>
            <w:color w:val="auto"/>
            <w:lang w:val="es-ES_tradnl"/>
          </w:rPr>
          <w:t>www.pic.int/tabid/2064/Default.aspx</w:t>
        </w:r>
      </w:hyperlink>
      <w:r w:rsidRPr="00EB5B1D">
        <w:rPr>
          <w:szCs w:val="22"/>
          <w:lang w:val="es-ES_tradnl"/>
        </w:rPr>
        <w:t>)</w:t>
      </w:r>
      <w:r w:rsidR="001F3F1A" w:rsidRPr="00EB5B1D">
        <w:rPr>
          <w:snapToGrid w:val="0"/>
          <w:szCs w:val="22"/>
          <w:lang w:val="fr-CH" w:eastAsia="en-US"/>
        </w:rPr>
        <w:t>.</w:t>
      </w:r>
    </w:p>
    <w:p w:rsidR="001F3F1A" w:rsidRPr="00EB5B1D" w:rsidRDefault="001F3F1A" w:rsidP="001F3F1A">
      <w:pPr>
        <w:jc w:val="both"/>
        <w:rPr>
          <w:i/>
          <w:iCs/>
          <w:szCs w:val="22"/>
          <w:lang w:val="fr-CH"/>
        </w:rPr>
      </w:pPr>
    </w:p>
    <w:p w:rsidR="001F3F1A" w:rsidRPr="00EB5B1D" w:rsidRDefault="001F3F1A" w:rsidP="000A5DDA">
      <w:pPr>
        <w:ind w:left="720" w:hanging="720"/>
        <w:jc w:val="both"/>
        <w:outlineLvl w:val="1"/>
        <w:rPr>
          <w:b/>
          <w:snapToGrid w:val="0"/>
          <w:szCs w:val="22"/>
          <w:lang w:val="fr-CH"/>
        </w:rPr>
      </w:pPr>
      <w:bookmarkStart w:id="45" w:name="_Toc201033294"/>
      <w:bookmarkStart w:id="46" w:name="_Toc199906461"/>
      <w:bookmarkStart w:id="47" w:name="_Toc168731339"/>
      <w:bookmarkStart w:id="48" w:name="_Toc232307870"/>
      <w:bookmarkStart w:id="49" w:name="_Toc248296428"/>
      <w:bookmarkStart w:id="50" w:name="_Toc248307665"/>
      <w:bookmarkStart w:id="51" w:name="_Toc264391963"/>
      <w:bookmarkStart w:id="52" w:name="_Toc264393110"/>
      <w:bookmarkStart w:id="53" w:name="_Toc484686622"/>
      <w:r w:rsidRPr="00EB5B1D">
        <w:rPr>
          <w:b/>
          <w:snapToGrid w:val="0"/>
          <w:szCs w:val="22"/>
          <w:lang w:val="fr-CH"/>
        </w:rPr>
        <w:t>2.7</w:t>
      </w:r>
      <w:r w:rsidRPr="00EB5B1D">
        <w:rPr>
          <w:b/>
          <w:snapToGrid w:val="0"/>
          <w:szCs w:val="22"/>
          <w:lang w:val="fr-CH"/>
        </w:rPr>
        <w:tab/>
      </w:r>
      <w:bookmarkEnd w:id="45"/>
      <w:bookmarkEnd w:id="46"/>
      <w:bookmarkEnd w:id="47"/>
      <w:bookmarkEnd w:id="48"/>
      <w:bookmarkEnd w:id="49"/>
      <w:bookmarkEnd w:id="50"/>
      <w:bookmarkEnd w:id="51"/>
      <w:bookmarkEnd w:id="52"/>
      <w:r w:rsidR="000A5DDA" w:rsidRPr="00EB5B1D">
        <w:rPr>
          <w:b/>
          <w:snapToGrid w:val="0"/>
          <w:lang w:val="es-ES_tradnl"/>
        </w:rPr>
        <w:t xml:space="preserve">Envío de una respuesta relativa a las importaciones futuras de un producto químico </w:t>
      </w:r>
      <w:r w:rsidR="000A5DDA" w:rsidRPr="00EB5B1D">
        <w:rPr>
          <w:lang w:val="es-ES_tradnl"/>
        </w:rPr>
        <w:t xml:space="preserve">(párrafos 2, 3 y 4 del </w:t>
      </w:r>
      <w:r w:rsidR="004A20D8" w:rsidRPr="00EB5B1D">
        <w:rPr>
          <w:lang w:val="es-ES_tradnl"/>
        </w:rPr>
        <w:t>artículo</w:t>
      </w:r>
      <w:r w:rsidR="000A5DDA" w:rsidRPr="00EB5B1D">
        <w:rPr>
          <w:lang w:val="es-ES_tradnl"/>
        </w:rPr>
        <w:t xml:space="preserve"> 10)</w:t>
      </w:r>
      <w:bookmarkEnd w:id="53"/>
      <w:r w:rsidRPr="00EB5B1D">
        <w:rPr>
          <w:b/>
          <w:snapToGrid w:val="0"/>
          <w:szCs w:val="22"/>
          <w:lang w:val="fr-CH"/>
        </w:rPr>
        <w:t xml:space="preserve"> </w:t>
      </w:r>
    </w:p>
    <w:p w:rsidR="001F3F1A" w:rsidRPr="00EB5B1D" w:rsidRDefault="001F3F1A" w:rsidP="001F3F1A">
      <w:pPr>
        <w:jc w:val="both"/>
        <w:rPr>
          <w:snapToGrid w:val="0"/>
          <w:szCs w:val="22"/>
          <w:lang w:val="fr-CH"/>
        </w:rPr>
      </w:pPr>
    </w:p>
    <w:p w:rsidR="00D872C1" w:rsidRPr="00EB5B1D" w:rsidRDefault="00D872C1" w:rsidP="00D872C1">
      <w:pPr>
        <w:snapToGrid w:val="0"/>
        <w:ind w:right="-1"/>
        <w:jc w:val="both"/>
        <w:rPr>
          <w:snapToGrid w:val="0"/>
          <w:lang w:val="es-ES_tradnl"/>
        </w:rPr>
      </w:pPr>
      <w:r w:rsidRPr="00EB5B1D">
        <w:rPr>
          <w:snapToGrid w:val="0"/>
          <w:lang w:val="es-ES_tradnl"/>
        </w:rPr>
        <w:t xml:space="preserve">De conformidad con el párrafo 2 del </w:t>
      </w:r>
      <w:r w:rsidR="00CA0C42" w:rsidRPr="00EB5B1D">
        <w:rPr>
          <w:snapToGrid w:val="0"/>
          <w:lang w:val="es-ES_tradnl"/>
        </w:rPr>
        <w:t xml:space="preserve">artículo </w:t>
      </w:r>
      <w:r w:rsidRPr="00EB5B1D">
        <w:rPr>
          <w:snapToGrid w:val="0"/>
          <w:lang w:val="es-ES_tradnl"/>
        </w:rPr>
        <w:t xml:space="preserve">10 del Convenio, cada Parte deberá enviar a la Secretaría, lo antes posible y en cualquier caso no más tarde de nueve meses desde la fecha del envío del documento de orientación para la adopción de decisiones (DOAD), una respuesta relativa a las importaciones futuras del producto químico correspondiente. Si una Parte modifica esta respuesta, la </w:t>
      </w:r>
      <w:r w:rsidR="004E5AEF" w:rsidRPr="00EB5B1D">
        <w:rPr>
          <w:snapToGrid w:val="0"/>
          <w:lang w:val="es-ES_tradnl"/>
        </w:rPr>
        <w:t>Parte</w:t>
      </w:r>
      <w:r w:rsidRPr="00EB5B1D">
        <w:rPr>
          <w:snapToGrid w:val="0"/>
          <w:lang w:val="es-ES_tradnl"/>
        </w:rPr>
        <w:t xml:space="preserve"> deberá enviar inmediatamente la respuesta modificada a la Secretaría. </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ind w:right="-1"/>
        <w:jc w:val="both"/>
        <w:rPr>
          <w:snapToGrid w:val="0"/>
          <w:lang w:val="es-ES_tradnl"/>
        </w:rPr>
      </w:pPr>
      <w:r w:rsidRPr="00EB5B1D">
        <w:rPr>
          <w:snapToGrid w:val="0"/>
          <w:lang w:val="es-ES_tradnl"/>
        </w:rPr>
        <w:t xml:space="preserve">El párrafo 7 del </w:t>
      </w:r>
      <w:r w:rsidR="00CA0C42" w:rsidRPr="00EB5B1D">
        <w:rPr>
          <w:snapToGrid w:val="0"/>
          <w:lang w:val="es-ES_tradnl"/>
        </w:rPr>
        <w:t xml:space="preserve">artículo </w:t>
      </w:r>
      <w:r w:rsidRPr="00EB5B1D">
        <w:rPr>
          <w:snapToGrid w:val="0"/>
          <w:lang w:val="es-ES_tradnl"/>
        </w:rPr>
        <w:t xml:space="preserve">10 del Convenio establece que cada Parte deberá transmitir, </w:t>
      </w:r>
      <w:r w:rsidR="004E5AEF" w:rsidRPr="00EB5B1D">
        <w:rPr>
          <w:snapToGrid w:val="0"/>
          <w:lang w:val="es-ES_tradnl"/>
        </w:rPr>
        <w:t>a</w:t>
      </w:r>
      <w:r w:rsidRPr="00EB5B1D">
        <w:rPr>
          <w:snapToGrid w:val="0"/>
          <w:lang w:val="es-ES_tradnl"/>
        </w:rPr>
        <w:t xml:space="preserve"> más tard</w:t>
      </w:r>
      <w:r w:rsidR="004E5AEF" w:rsidRPr="00EB5B1D">
        <w:rPr>
          <w:snapToGrid w:val="0"/>
          <w:lang w:val="es-ES_tradnl"/>
        </w:rPr>
        <w:t>ar</w:t>
      </w:r>
      <w:r w:rsidRPr="00EB5B1D">
        <w:rPr>
          <w:snapToGrid w:val="0"/>
          <w:lang w:val="es-ES_tradnl"/>
        </w:rPr>
        <w:t xml:space="preserve"> </w:t>
      </w:r>
      <w:r w:rsidR="004E5AEF" w:rsidRPr="00EB5B1D">
        <w:rPr>
          <w:snapToGrid w:val="0"/>
          <w:lang w:val="es-ES_tradnl"/>
        </w:rPr>
        <w:t>en</w:t>
      </w:r>
      <w:r w:rsidRPr="00EB5B1D">
        <w:rPr>
          <w:snapToGrid w:val="0"/>
          <w:lang w:val="es-ES_tradnl"/>
        </w:rPr>
        <w:t xml:space="preserve"> la fecha de entrada en vigor del Convenio para </w:t>
      </w:r>
      <w:r w:rsidR="004E5AEF" w:rsidRPr="00EB5B1D">
        <w:rPr>
          <w:snapToGrid w:val="0"/>
          <w:lang w:val="es-ES_tradnl"/>
        </w:rPr>
        <w:t>la Parte</w:t>
      </w:r>
      <w:r w:rsidR="00723B70" w:rsidRPr="00EB5B1D">
        <w:rPr>
          <w:snapToGrid w:val="0"/>
          <w:lang w:val="es-ES_tradnl"/>
        </w:rPr>
        <w:t>f</w:t>
      </w:r>
      <w:r w:rsidRPr="00EB5B1D">
        <w:rPr>
          <w:snapToGrid w:val="0"/>
          <w:lang w:val="es-ES_tradnl"/>
        </w:rPr>
        <w:t xml:space="preserve">, la respuesta sobre la importación a la Secretaría para cada uno de los productos químicos enumerados en el </w:t>
      </w:r>
      <w:r w:rsidR="00CA0C42" w:rsidRPr="00EB5B1D">
        <w:rPr>
          <w:snapToGrid w:val="0"/>
          <w:lang w:val="es-ES_tradnl"/>
        </w:rPr>
        <w:t xml:space="preserve">anexo </w:t>
      </w:r>
      <w:r w:rsidRPr="00EB5B1D">
        <w:rPr>
          <w:snapToGrid w:val="0"/>
          <w:lang w:val="es-ES_tradnl"/>
        </w:rPr>
        <w:t>III del Convenio.</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ind w:right="-1"/>
        <w:jc w:val="both"/>
        <w:rPr>
          <w:snapToGrid w:val="0"/>
          <w:lang w:val="es-ES_tradnl"/>
        </w:rPr>
      </w:pPr>
      <w:r w:rsidRPr="00EB5B1D">
        <w:rPr>
          <w:snapToGrid w:val="0"/>
          <w:lang w:val="es-ES_tradnl"/>
        </w:rPr>
        <w:t xml:space="preserve">De conformidad con el párrafo 4 del </w:t>
      </w:r>
      <w:r w:rsidR="00CA0C42" w:rsidRPr="00EB5B1D">
        <w:rPr>
          <w:snapToGrid w:val="0"/>
          <w:lang w:val="es-ES_tradnl"/>
        </w:rPr>
        <w:t xml:space="preserve">artículo </w:t>
      </w:r>
      <w:r w:rsidRPr="00EB5B1D">
        <w:rPr>
          <w:snapToGrid w:val="0"/>
          <w:lang w:val="es-ES_tradnl"/>
        </w:rPr>
        <w:t xml:space="preserve">10 del Convenio, la respuesta deberá ser una decisión firme o bien una respuesta provisional. La respuesta provisional puede incluir una decisión provisional relativa a la importación. La respuesta deberá referirse a la categoría o categorías especificadas para el producto químico en el </w:t>
      </w:r>
      <w:r w:rsidR="00CA0C42" w:rsidRPr="00EB5B1D">
        <w:rPr>
          <w:snapToGrid w:val="0"/>
          <w:lang w:val="es-ES_tradnl"/>
        </w:rPr>
        <w:t xml:space="preserve">anexo </w:t>
      </w:r>
      <w:r w:rsidRPr="00EB5B1D">
        <w:rPr>
          <w:snapToGrid w:val="0"/>
          <w:lang w:val="es-ES_tradnl"/>
        </w:rPr>
        <w:t xml:space="preserve">III del Convenio. </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ind w:right="-19"/>
        <w:jc w:val="both"/>
        <w:rPr>
          <w:lang w:val="es-ES_tradnl"/>
        </w:rPr>
      </w:pPr>
      <w:r w:rsidRPr="00EB5B1D">
        <w:rPr>
          <w:lang w:val="es-ES_tradnl"/>
        </w:rPr>
        <w:t xml:space="preserve">Al 30 de abril de 2017, las siguientes Partes han presentado respuestas sobre la importación  para  cada uno de los 47 productos químicos enumerados en el </w:t>
      </w:r>
      <w:r w:rsidR="00CA0C42" w:rsidRPr="00EB5B1D">
        <w:rPr>
          <w:lang w:val="es-ES_tradnl"/>
        </w:rPr>
        <w:t xml:space="preserve">anexo </w:t>
      </w:r>
      <w:r w:rsidRPr="00EB5B1D">
        <w:rPr>
          <w:lang w:val="es-ES_tradnl"/>
        </w:rPr>
        <w:t xml:space="preserve">III del Convenio: Albania, Australia, </w:t>
      </w:r>
      <w:r w:rsidR="00EA65C7" w:rsidRPr="00EB5B1D">
        <w:rPr>
          <w:szCs w:val="22"/>
          <w:lang w:val="fr-CH" w:eastAsia="en-US"/>
        </w:rPr>
        <w:t xml:space="preserve">Bosnia y Herzegovina, </w:t>
      </w:r>
      <w:r w:rsidRPr="00EB5B1D">
        <w:rPr>
          <w:lang w:val="es-ES_tradnl"/>
        </w:rPr>
        <w:t xml:space="preserve">Brasil, China, Chad, </w:t>
      </w:r>
      <w:r w:rsidR="00EA65C7" w:rsidRPr="00EB5B1D">
        <w:rPr>
          <w:szCs w:val="22"/>
          <w:lang w:val="fr-CH" w:eastAsia="en-US"/>
        </w:rPr>
        <w:t xml:space="preserve">El Salvador, </w:t>
      </w:r>
      <w:r w:rsidRPr="00EB5B1D">
        <w:rPr>
          <w:rStyle w:val="shorttext"/>
          <w:lang w:val="es-ES_tradnl"/>
        </w:rPr>
        <w:t>Ex República Yugoslava de Macedonia,</w:t>
      </w:r>
      <w:r w:rsidRPr="00EB5B1D">
        <w:rPr>
          <w:lang w:val="es-ES_tradnl"/>
        </w:rPr>
        <w:t xml:space="preserve"> Guinea-Bissau, Islas Cook, Malasia, Mauricio, Níger, Noruega, República Unida de Tanzania, Senegal, Serbia, Suiza y la </w:t>
      </w:r>
      <w:r w:rsidR="000D7688" w:rsidRPr="00EB5B1D">
        <w:rPr>
          <w:lang w:val="es-ES_tradnl"/>
        </w:rPr>
        <w:t>Unión</w:t>
      </w:r>
      <w:r w:rsidRPr="00EB5B1D">
        <w:rPr>
          <w:lang w:val="es-ES_tradnl"/>
        </w:rPr>
        <w:t xml:space="preserve"> Europea (e</w:t>
      </w:r>
      <w:r w:rsidRPr="00EB5B1D">
        <w:rPr>
          <w:rStyle w:val="shorttext"/>
          <w:lang w:val="es-ES_tradnl"/>
        </w:rPr>
        <w:t>n nombre de sus Estados miembros)</w:t>
      </w:r>
      <w:r w:rsidRPr="00EB5B1D">
        <w:rPr>
          <w:lang w:val="es-ES_tradnl"/>
        </w:rPr>
        <w:t xml:space="preserve">. </w:t>
      </w:r>
      <w:r w:rsidR="00CA0C42" w:rsidRPr="00EB5B1D">
        <w:rPr>
          <w:lang w:val="es-ES_tradnl"/>
        </w:rPr>
        <w:t xml:space="preserve">110 </w:t>
      </w:r>
      <w:r w:rsidRPr="00EB5B1D">
        <w:rPr>
          <w:lang w:val="es-ES_tradnl"/>
        </w:rPr>
        <w:t xml:space="preserve">Partes todavía no han facilitado respuestas sobre la importación para uno o más de los productos químicos enumerados en el </w:t>
      </w:r>
      <w:r w:rsidR="00676D07" w:rsidRPr="00EB5B1D">
        <w:rPr>
          <w:lang w:val="es-ES_tradnl"/>
        </w:rPr>
        <w:t xml:space="preserve">anexo </w:t>
      </w:r>
      <w:r w:rsidRPr="00EB5B1D">
        <w:rPr>
          <w:lang w:val="es-ES_tradnl"/>
        </w:rPr>
        <w:t xml:space="preserve">III del Convenio. </w:t>
      </w:r>
      <w:r w:rsidR="00EA3277" w:rsidRPr="00EB5B1D">
        <w:rPr>
          <w:lang w:val="es-ES_tradnl"/>
        </w:rPr>
        <w:t xml:space="preserve">De </w:t>
      </w:r>
      <w:r w:rsidR="00676D07" w:rsidRPr="00EB5B1D">
        <w:rPr>
          <w:lang w:val="es-ES_tradnl"/>
        </w:rPr>
        <w:t>las cuales</w:t>
      </w:r>
      <w:r w:rsidR="00EA3277" w:rsidRPr="00EB5B1D">
        <w:rPr>
          <w:lang w:val="es-ES_tradnl"/>
        </w:rPr>
        <w:t xml:space="preserve">, </w:t>
      </w:r>
      <w:r w:rsidRPr="00EB5B1D">
        <w:rPr>
          <w:lang w:val="es-ES_tradnl"/>
        </w:rPr>
        <w:t xml:space="preserve">las siguientes 13 Partes todavía no han facilitado ninguna respuesta de importación: </w:t>
      </w:r>
      <w:r w:rsidRPr="00EB5B1D">
        <w:rPr>
          <w:u w:val="single"/>
          <w:lang w:val="es-ES_tradnl"/>
        </w:rPr>
        <w:t>Afganistán</w:t>
      </w:r>
      <w:r w:rsidRPr="00EB5B1D">
        <w:rPr>
          <w:lang w:val="es-ES_tradnl"/>
        </w:rPr>
        <w:t xml:space="preserve">, </w:t>
      </w:r>
      <w:r w:rsidRPr="00EB5B1D">
        <w:rPr>
          <w:u w:val="single"/>
          <w:lang w:val="es-ES_tradnl"/>
        </w:rPr>
        <w:t>Botswana</w:t>
      </w:r>
      <w:r w:rsidRPr="00EB5B1D">
        <w:rPr>
          <w:lang w:val="es-ES_tradnl"/>
        </w:rPr>
        <w:t xml:space="preserve">, </w:t>
      </w:r>
      <w:r w:rsidRPr="00EB5B1D">
        <w:rPr>
          <w:u w:val="single"/>
          <w:lang w:val="es-ES_tradnl"/>
        </w:rPr>
        <w:t>Djibout</w:t>
      </w:r>
      <w:r w:rsidRPr="00EB5B1D">
        <w:rPr>
          <w:lang w:val="es-ES_tradnl"/>
        </w:rPr>
        <w:t xml:space="preserve">i, </w:t>
      </w:r>
      <w:r w:rsidRPr="00EB5B1D">
        <w:rPr>
          <w:u w:val="single"/>
          <w:lang w:val="es-ES_tradnl"/>
        </w:rPr>
        <w:t>Islas Marshall</w:t>
      </w:r>
      <w:r w:rsidRPr="00EB5B1D">
        <w:rPr>
          <w:lang w:val="es-ES_tradnl"/>
        </w:rPr>
        <w:t xml:space="preserve">, </w:t>
      </w:r>
      <w:r w:rsidRPr="00EB5B1D">
        <w:rPr>
          <w:u w:val="single"/>
          <w:lang w:val="es-ES_tradnl"/>
        </w:rPr>
        <w:t>Lesotho</w:t>
      </w:r>
      <w:r w:rsidRPr="00EB5B1D">
        <w:rPr>
          <w:lang w:val="es-ES_tradnl"/>
        </w:rPr>
        <w:t xml:space="preserve">, </w:t>
      </w:r>
      <w:r w:rsidRPr="00EB5B1D">
        <w:rPr>
          <w:u w:val="single"/>
          <w:lang w:val="es-ES_tradnl"/>
        </w:rPr>
        <w:t>Maldivas</w:t>
      </w:r>
      <w:r w:rsidRPr="00EB5B1D">
        <w:rPr>
          <w:lang w:val="es-ES_tradnl"/>
        </w:rPr>
        <w:t xml:space="preserve">, </w:t>
      </w:r>
      <w:r w:rsidRPr="00EB5B1D">
        <w:rPr>
          <w:u w:val="single"/>
          <w:lang w:val="es-ES_tradnl"/>
        </w:rPr>
        <w:t>Montenegro</w:t>
      </w:r>
      <w:r w:rsidRPr="00EB5B1D">
        <w:rPr>
          <w:lang w:val="es-ES_tradnl"/>
        </w:rPr>
        <w:t xml:space="preserve">, </w:t>
      </w:r>
      <w:r w:rsidRPr="00EB5B1D">
        <w:rPr>
          <w:u w:val="single"/>
          <w:lang w:val="es-ES_tradnl"/>
        </w:rPr>
        <w:t>Namibia</w:t>
      </w:r>
      <w:r w:rsidRPr="00EB5B1D">
        <w:rPr>
          <w:lang w:val="es-ES_tradnl"/>
        </w:rPr>
        <w:t xml:space="preserve">, </w:t>
      </w:r>
      <w:r w:rsidRPr="00EB5B1D">
        <w:rPr>
          <w:u w:val="single"/>
          <w:lang w:val="es-ES_tradnl"/>
        </w:rPr>
        <w:t>San Vicente y las Granadinas</w:t>
      </w:r>
      <w:r w:rsidRPr="00EB5B1D">
        <w:rPr>
          <w:lang w:val="es-ES_tradnl"/>
        </w:rPr>
        <w:t xml:space="preserve">, </w:t>
      </w:r>
      <w:r w:rsidRPr="00EB5B1D">
        <w:rPr>
          <w:u w:val="single"/>
          <w:lang w:val="es-ES_tradnl"/>
        </w:rPr>
        <w:t>Sierra Leona</w:t>
      </w:r>
      <w:r w:rsidRPr="00EB5B1D">
        <w:rPr>
          <w:lang w:val="es-ES_tradnl"/>
        </w:rPr>
        <w:t xml:space="preserve">, </w:t>
      </w:r>
      <w:r w:rsidRPr="00EB5B1D">
        <w:rPr>
          <w:u w:val="single"/>
          <w:lang w:val="es-ES_tradnl"/>
        </w:rPr>
        <w:t>Somalia,</w:t>
      </w:r>
      <w:r w:rsidRPr="00EB5B1D">
        <w:rPr>
          <w:lang w:val="es-ES_tradnl"/>
        </w:rPr>
        <w:t xml:space="preserve"> </w:t>
      </w:r>
      <w:r w:rsidRPr="00EB5B1D">
        <w:rPr>
          <w:u w:val="single"/>
          <w:lang w:val="es-ES_tradnl"/>
        </w:rPr>
        <w:t>Tunez,</w:t>
      </w:r>
      <w:r w:rsidRPr="00EB5B1D">
        <w:rPr>
          <w:lang w:val="es-ES_tradnl"/>
        </w:rPr>
        <w:t xml:space="preserve"> y </w:t>
      </w:r>
      <w:r w:rsidRPr="00EB5B1D">
        <w:rPr>
          <w:u w:val="single"/>
          <w:lang w:val="es-ES_tradnl"/>
        </w:rPr>
        <w:t>Ucrania</w:t>
      </w:r>
      <w:r w:rsidRPr="00EB5B1D">
        <w:rPr>
          <w:lang w:val="es-ES_tradnl"/>
        </w:rPr>
        <w:t>.</w:t>
      </w:r>
    </w:p>
    <w:p w:rsidR="00D872C1" w:rsidRPr="00EB5B1D" w:rsidRDefault="00D872C1" w:rsidP="00D872C1">
      <w:pPr>
        <w:snapToGrid w:val="0"/>
        <w:jc w:val="both"/>
        <w:rPr>
          <w:shd w:val="clear" w:color="auto" w:fill="FFFF00"/>
          <w:lang w:val="es-ES_tradnl" w:eastAsia="en-US"/>
        </w:rPr>
      </w:pPr>
    </w:p>
    <w:p w:rsidR="00D872C1" w:rsidRPr="00EB5B1D" w:rsidRDefault="00D872C1" w:rsidP="00D872C1">
      <w:pPr>
        <w:snapToGrid w:val="0"/>
        <w:jc w:val="both"/>
        <w:rPr>
          <w:lang w:val="es-ES_tradnl"/>
        </w:rPr>
      </w:pPr>
      <w:r w:rsidRPr="00EB5B1D">
        <w:rPr>
          <w:lang w:val="es-ES_tradnl"/>
        </w:rPr>
        <w:t>Cuando el Convenio entra en vigor para nuevos países Partes, la Secretaría envía un paquete de bienvenida. El paquete contiene toda la información pertinente a la implementación del Convenio, solicitándole, al mismo tiempo, que envíe las respuestas sobre la importación.</w:t>
      </w:r>
    </w:p>
    <w:p w:rsidR="00D872C1" w:rsidRPr="00EB5B1D" w:rsidRDefault="00D872C1" w:rsidP="00D872C1">
      <w:pPr>
        <w:snapToGrid w:val="0"/>
        <w:jc w:val="both"/>
        <w:rPr>
          <w:lang w:val="es-ES_tradnl"/>
        </w:rPr>
      </w:pPr>
    </w:p>
    <w:p w:rsidR="00D872C1" w:rsidRPr="00EB5B1D" w:rsidRDefault="00D872C1" w:rsidP="00D872C1">
      <w:pPr>
        <w:snapToGrid w:val="0"/>
        <w:ind w:right="-1"/>
        <w:jc w:val="both"/>
        <w:rPr>
          <w:snapToGrid w:val="0"/>
          <w:lang w:val="es-ES_tradnl" w:eastAsia="en-US"/>
        </w:rPr>
      </w:pPr>
      <w:r w:rsidRPr="00EB5B1D">
        <w:rPr>
          <w:snapToGrid w:val="0"/>
          <w:lang w:val="es-ES_tradnl"/>
        </w:rPr>
        <w:t xml:space="preserve">La lista de “Casos de incumplimiento en la presentación de una respuesta” del </w:t>
      </w:r>
      <w:r w:rsidRPr="00EB5B1D">
        <w:rPr>
          <w:b/>
          <w:snapToGrid w:val="0"/>
          <w:lang w:val="es-ES_tradnl"/>
        </w:rPr>
        <w:t>apéndice IV</w:t>
      </w:r>
      <w:r w:rsidRPr="00EB5B1D">
        <w:rPr>
          <w:snapToGrid w:val="0"/>
          <w:lang w:val="es-ES_tradnl"/>
        </w:rPr>
        <w:t xml:space="preserve"> de la Circular CFP sirve como recordatorio de la necesidad de transmitir respuestas sobre la importación para todos los productos químicos del </w:t>
      </w:r>
      <w:r w:rsidR="00743DF0" w:rsidRPr="00EB5B1D">
        <w:rPr>
          <w:snapToGrid w:val="0"/>
          <w:lang w:val="es-ES_tradnl"/>
        </w:rPr>
        <w:t xml:space="preserve">anexo </w:t>
      </w:r>
      <w:r w:rsidRPr="00EB5B1D">
        <w:rPr>
          <w:snapToGrid w:val="0"/>
          <w:lang w:val="es-ES_tradnl"/>
        </w:rPr>
        <w:t>III.</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ind w:right="-1"/>
        <w:jc w:val="both"/>
        <w:rPr>
          <w:snapToGrid w:val="0"/>
          <w:lang w:val="es-ES_tradnl"/>
        </w:rPr>
      </w:pPr>
      <w:r w:rsidRPr="00EB5B1D">
        <w:rPr>
          <w:snapToGrid w:val="0"/>
          <w:lang w:val="es-ES_tradnl"/>
        </w:rPr>
        <w:t xml:space="preserve">Con el fin de facilitar la presentación de respuestas relativas a la importación, se ha elaborado un </w:t>
      </w:r>
      <w:r w:rsidR="00743DF0" w:rsidRPr="00EB5B1D">
        <w:rPr>
          <w:b/>
          <w:snapToGrid w:val="0"/>
          <w:lang w:val="es-ES_tradnl"/>
        </w:rPr>
        <w:t xml:space="preserve">formulario </w:t>
      </w:r>
      <w:r w:rsidRPr="00EB5B1D">
        <w:rPr>
          <w:b/>
          <w:snapToGrid w:val="0"/>
          <w:lang w:val="es-ES_tradnl"/>
        </w:rPr>
        <w:t>de respuesta sobre la importación</w:t>
      </w:r>
      <w:r w:rsidRPr="00EB5B1D">
        <w:rPr>
          <w:i/>
          <w:snapToGrid w:val="0"/>
          <w:lang w:val="es-ES_tradnl"/>
        </w:rPr>
        <w:t xml:space="preserve"> </w:t>
      </w:r>
      <w:r w:rsidRPr="00EB5B1D">
        <w:rPr>
          <w:snapToGrid w:val="0"/>
          <w:lang w:val="es-ES_tradnl"/>
        </w:rPr>
        <w:t xml:space="preserve">e instrucciones para completarlo. Los ejemplares de estos formularios e instrucciones, se pueden obtener en la pagina Web del Convenio de </w:t>
      </w:r>
      <w:r w:rsidR="007D514A" w:rsidRPr="00EB5B1D">
        <w:rPr>
          <w:snapToGrid w:val="0"/>
          <w:lang w:val="es-ES_tradnl"/>
        </w:rPr>
        <w:t>Rotterdam</w:t>
      </w:r>
      <w:r w:rsidRPr="00EB5B1D">
        <w:rPr>
          <w:snapToGrid w:val="0"/>
          <w:lang w:val="es-ES_tradnl"/>
        </w:rPr>
        <w:t xml:space="preserve"> o bien solicitándolos a la Secretaría. </w:t>
      </w:r>
    </w:p>
    <w:p w:rsidR="00D872C1" w:rsidRPr="00EB5B1D" w:rsidRDefault="00D872C1" w:rsidP="00D872C1">
      <w:pPr>
        <w:snapToGrid w:val="0"/>
        <w:ind w:right="-1"/>
        <w:jc w:val="both"/>
        <w:rPr>
          <w:snapToGrid w:val="0"/>
          <w:lang w:val="es-ES_tradnl"/>
        </w:rPr>
      </w:pPr>
    </w:p>
    <w:p w:rsidR="001F3F1A" w:rsidRPr="00EB5B1D" w:rsidRDefault="00D872C1" w:rsidP="00D872C1">
      <w:pPr>
        <w:rPr>
          <w:szCs w:val="22"/>
          <w:lang w:val="fr-CH"/>
        </w:rPr>
      </w:pPr>
      <w:r w:rsidRPr="00EB5B1D">
        <w:rPr>
          <w:snapToGrid w:val="0"/>
          <w:lang w:val="es-ES_tradnl"/>
        </w:rPr>
        <w:t>Las respuestas sobre importación se deberán presentar a través de un canal oficial de comunicación para la Parte</w:t>
      </w:r>
      <w:r w:rsidR="001F3F1A" w:rsidRPr="00EB5B1D">
        <w:rPr>
          <w:szCs w:val="22"/>
          <w:lang w:val="fr-CH"/>
        </w:rPr>
        <w:t>.</w:t>
      </w:r>
    </w:p>
    <w:p w:rsidR="001F3F1A" w:rsidRPr="00EB5B1D" w:rsidRDefault="001F3F1A" w:rsidP="001F3F1A">
      <w:pPr>
        <w:jc w:val="both"/>
        <w:rPr>
          <w:snapToGrid w:val="0"/>
          <w:szCs w:val="22"/>
          <w:lang w:val="fr-CH"/>
        </w:rPr>
      </w:pPr>
    </w:p>
    <w:p w:rsidR="001F3F1A" w:rsidRPr="00EB5B1D" w:rsidRDefault="001F3F1A" w:rsidP="000A5DDA">
      <w:pPr>
        <w:ind w:left="720" w:hanging="720"/>
        <w:jc w:val="both"/>
        <w:outlineLvl w:val="1"/>
        <w:rPr>
          <w:b/>
          <w:snapToGrid w:val="0"/>
          <w:szCs w:val="22"/>
          <w:lang w:val="fr-CH"/>
        </w:rPr>
      </w:pPr>
      <w:bookmarkStart w:id="54" w:name="_Toc264393111"/>
      <w:bookmarkStart w:id="55" w:name="_Toc264391964"/>
      <w:bookmarkStart w:id="56" w:name="_Toc248307666"/>
      <w:bookmarkStart w:id="57" w:name="_Toc248296429"/>
      <w:bookmarkStart w:id="58" w:name="_Toc232307871"/>
      <w:bookmarkStart w:id="59" w:name="_Toc201033296"/>
      <w:bookmarkStart w:id="60" w:name="_Toc199906463"/>
      <w:bookmarkStart w:id="61" w:name="_Toc168731341"/>
      <w:bookmarkStart w:id="62" w:name="_Toc484686623"/>
      <w:r w:rsidRPr="00EB5B1D">
        <w:rPr>
          <w:b/>
          <w:snapToGrid w:val="0"/>
          <w:szCs w:val="22"/>
          <w:lang w:val="fr-CH"/>
        </w:rPr>
        <w:t>2.8</w:t>
      </w:r>
      <w:r w:rsidRPr="00EB5B1D">
        <w:rPr>
          <w:b/>
          <w:snapToGrid w:val="0"/>
          <w:szCs w:val="22"/>
          <w:lang w:val="fr-CH"/>
        </w:rPr>
        <w:tab/>
      </w:r>
      <w:bookmarkEnd w:id="54"/>
      <w:bookmarkEnd w:id="55"/>
      <w:bookmarkEnd w:id="56"/>
      <w:bookmarkEnd w:id="57"/>
      <w:bookmarkEnd w:id="58"/>
      <w:bookmarkEnd w:id="59"/>
      <w:bookmarkEnd w:id="60"/>
      <w:bookmarkEnd w:id="61"/>
      <w:r w:rsidR="000A5DDA" w:rsidRPr="00EB5B1D">
        <w:rPr>
          <w:b/>
          <w:snapToGrid w:val="0"/>
          <w:lang w:val="es-ES_tradnl"/>
        </w:rPr>
        <w:t xml:space="preserve">Información sobre las respuestas recibidas relativas a importaciones futuras de un producto químico </w:t>
      </w:r>
      <w:r w:rsidR="000A5DDA" w:rsidRPr="00EB5B1D">
        <w:rPr>
          <w:lang w:val="es-ES_tradnl"/>
        </w:rPr>
        <w:t xml:space="preserve">(párrafo 10 del </w:t>
      </w:r>
      <w:r w:rsidR="004A20D8" w:rsidRPr="00EB5B1D">
        <w:rPr>
          <w:lang w:val="es-ES_tradnl"/>
        </w:rPr>
        <w:t>artículo</w:t>
      </w:r>
      <w:r w:rsidR="000A5DDA" w:rsidRPr="00EB5B1D">
        <w:rPr>
          <w:lang w:val="es-ES_tradnl"/>
        </w:rPr>
        <w:t xml:space="preserve"> 10 y párrafo 2 del </w:t>
      </w:r>
      <w:r w:rsidR="004A20D8" w:rsidRPr="00EB5B1D">
        <w:rPr>
          <w:lang w:val="es-ES_tradnl"/>
        </w:rPr>
        <w:t>artículo</w:t>
      </w:r>
      <w:r w:rsidR="000A5DDA" w:rsidRPr="00EB5B1D">
        <w:rPr>
          <w:lang w:val="es-ES_tradnl"/>
        </w:rPr>
        <w:t xml:space="preserve"> 11)</w:t>
      </w:r>
      <w:bookmarkEnd w:id="62"/>
      <w:r w:rsidRPr="00EB5B1D">
        <w:rPr>
          <w:b/>
          <w:snapToGrid w:val="0"/>
          <w:szCs w:val="22"/>
          <w:lang w:val="fr-CH"/>
        </w:rPr>
        <w:t xml:space="preserve"> </w:t>
      </w:r>
    </w:p>
    <w:p w:rsidR="001F3F1A" w:rsidRPr="00EB5B1D" w:rsidRDefault="001F3F1A" w:rsidP="001F3F1A">
      <w:pPr>
        <w:jc w:val="both"/>
        <w:rPr>
          <w:snapToGrid w:val="0"/>
          <w:szCs w:val="22"/>
          <w:lang w:val="fr-CH"/>
        </w:rPr>
      </w:pPr>
    </w:p>
    <w:p w:rsidR="00D872C1" w:rsidRPr="00EB5B1D" w:rsidRDefault="00D872C1" w:rsidP="00D872C1">
      <w:pPr>
        <w:snapToGrid w:val="0"/>
        <w:ind w:right="-1"/>
        <w:jc w:val="both"/>
        <w:rPr>
          <w:snapToGrid w:val="0"/>
          <w:lang w:val="es-ES_tradnl"/>
        </w:rPr>
      </w:pPr>
      <w:r w:rsidRPr="00EB5B1D">
        <w:rPr>
          <w:snapToGrid w:val="0"/>
          <w:lang w:val="es-ES_tradnl"/>
        </w:rPr>
        <w:t xml:space="preserve">En el párrafo 10 del </w:t>
      </w:r>
      <w:r w:rsidR="00743DF0" w:rsidRPr="00EB5B1D">
        <w:rPr>
          <w:snapToGrid w:val="0"/>
          <w:lang w:val="es-ES_tradnl"/>
        </w:rPr>
        <w:t xml:space="preserve">artículo </w:t>
      </w:r>
      <w:r w:rsidRPr="00EB5B1D">
        <w:rPr>
          <w:snapToGrid w:val="0"/>
          <w:lang w:val="es-ES_tradnl"/>
        </w:rPr>
        <w:t>10 del Convenio, se declara que la Secretaría deberá informar cada seis meses a todas las Partes sobre las respuestas recibidas, incluida una descripción de las medidas legislativas o administrativas en las que se hayan basado las decisiones, siempre que sea posible, y además informará a las Partes sobre los casos de incumplimiento en la presentación de una respuesta.</w:t>
      </w:r>
    </w:p>
    <w:p w:rsidR="00D872C1" w:rsidRPr="00EB5B1D" w:rsidRDefault="00D872C1" w:rsidP="00D872C1">
      <w:pPr>
        <w:snapToGrid w:val="0"/>
        <w:ind w:right="-1"/>
        <w:jc w:val="both"/>
        <w:rPr>
          <w:snapToGrid w:val="0"/>
          <w:lang w:val="es-ES_tradnl"/>
        </w:rPr>
      </w:pPr>
    </w:p>
    <w:p w:rsidR="00D872C1" w:rsidRPr="00EB5B1D" w:rsidRDefault="00D872C1" w:rsidP="00D872C1">
      <w:pPr>
        <w:snapToGrid w:val="0"/>
        <w:jc w:val="both"/>
        <w:rPr>
          <w:szCs w:val="22"/>
          <w:lang w:val="es-ES_tradnl"/>
        </w:rPr>
      </w:pPr>
      <w:r w:rsidRPr="00EB5B1D">
        <w:rPr>
          <w:szCs w:val="22"/>
          <w:lang w:val="es-ES_tradnl"/>
        </w:rPr>
        <w:t>A partir de la publicación del volumen XLIV</w:t>
      </w:r>
      <w:r w:rsidR="00EA65C7" w:rsidRPr="00EB5B1D">
        <w:rPr>
          <w:szCs w:val="22"/>
          <w:lang w:val="es-ES_tradnl"/>
        </w:rPr>
        <w:t>,</w:t>
      </w:r>
      <w:r w:rsidRPr="00EB5B1D">
        <w:rPr>
          <w:szCs w:val="22"/>
          <w:lang w:val="es-ES_tradnl"/>
        </w:rPr>
        <w:t xml:space="preserve"> diciembre de 2016, la Circular CFP se ha simplificado. El apéndice IV contiene el panorama general de las nuevas respuestas sobre las importaciones recibidas en los últimos seis meses.  Las secciones del apéndice IV, que incluyen todas  las respuestas sobre las importaciones y la lista de las Partes que todavía no han presentado una respuesta sobre la importación, están disponibles mediante un hiperenlace a la base de datos en línea en la página Web del Convenio.</w:t>
      </w:r>
      <w:r w:rsidRPr="00EB5B1D">
        <w:rPr>
          <w:rStyle w:val="FootnoteReference"/>
          <w:szCs w:val="22"/>
          <w:lang w:val="es-ES_tradnl"/>
        </w:rPr>
        <w:footnoteReference w:id="1"/>
      </w:r>
      <w:r w:rsidRPr="00EB5B1D">
        <w:rPr>
          <w:szCs w:val="22"/>
          <w:lang w:val="es-ES_tradnl"/>
        </w:rPr>
        <w:t xml:space="preserve"> El objetivo es hacer un mejor uso de la base de datos en línea la cual es actualizada de manera continua</w:t>
      </w:r>
      <w:r w:rsidRPr="00EB5B1D">
        <w:rPr>
          <w:lang w:val="es-ES_tradnl"/>
        </w:rPr>
        <w:t>.</w:t>
      </w:r>
    </w:p>
    <w:p w:rsidR="00D872C1" w:rsidRPr="00EB5B1D" w:rsidRDefault="00D872C1" w:rsidP="00D872C1">
      <w:pPr>
        <w:snapToGrid w:val="0"/>
        <w:jc w:val="both"/>
        <w:rPr>
          <w:szCs w:val="22"/>
          <w:lang w:val="es-ES_tradnl"/>
        </w:rPr>
      </w:pPr>
    </w:p>
    <w:p w:rsidR="001F3F1A" w:rsidRPr="00EB5B1D" w:rsidRDefault="00D872C1" w:rsidP="00D872C1">
      <w:pPr>
        <w:jc w:val="both"/>
        <w:rPr>
          <w:szCs w:val="22"/>
          <w:lang w:val="fr-CH"/>
        </w:rPr>
      </w:pPr>
      <w:r w:rsidRPr="00EB5B1D">
        <w:rPr>
          <w:lang w:val="es-ES_tradnl"/>
        </w:rPr>
        <w:t xml:space="preserve">La Secretaría invita a todas las Partes a presentar todas las respuestas sobre la importación pendientes para cada uno de los 47 productos químicos incluidos en el </w:t>
      </w:r>
      <w:r w:rsidR="00743DF0" w:rsidRPr="00EB5B1D">
        <w:rPr>
          <w:lang w:val="es-ES_tradnl"/>
        </w:rPr>
        <w:t xml:space="preserve">anexo </w:t>
      </w:r>
      <w:r w:rsidRPr="00EB5B1D">
        <w:rPr>
          <w:lang w:val="es-ES_tradnl"/>
        </w:rPr>
        <w:t xml:space="preserve">III del Convenio, al 30 de abril de 2017,  y agradecería que las AND pusieran especial atención al párrafo 2 del </w:t>
      </w:r>
      <w:r w:rsidR="00676D07" w:rsidRPr="00EB5B1D">
        <w:rPr>
          <w:lang w:val="es-ES_tradnl"/>
        </w:rPr>
        <w:t xml:space="preserve">artículo </w:t>
      </w:r>
      <w:r w:rsidRPr="00EB5B1D">
        <w:rPr>
          <w:lang w:val="es-ES_tradnl"/>
        </w:rPr>
        <w:t>11 del Convenio, en relación con el caso de incumplimiento en la presentación de una respuesta o en presentar una respuesta provisional que no contenga una decisión provisional</w:t>
      </w:r>
      <w:r w:rsidR="001F3F1A" w:rsidRPr="00EB5B1D">
        <w:rPr>
          <w:szCs w:val="22"/>
          <w:lang w:val="fr-CH"/>
        </w:rPr>
        <w:t>.</w:t>
      </w:r>
    </w:p>
    <w:p w:rsidR="0074261B" w:rsidRPr="00EB5B1D" w:rsidRDefault="0074261B" w:rsidP="003E4E99">
      <w:pPr>
        <w:ind w:left="720" w:hanging="720"/>
        <w:jc w:val="both"/>
        <w:outlineLvl w:val="1"/>
        <w:rPr>
          <w:b/>
          <w:snapToGrid w:val="0"/>
          <w:szCs w:val="22"/>
          <w:lang w:val="fr-CH"/>
        </w:rPr>
      </w:pPr>
      <w:bookmarkStart w:id="63" w:name="_Toc248307667"/>
      <w:bookmarkStart w:id="64" w:name="_Toc248296430"/>
      <w:bookmarkStart w:id="65" w:name="_Toc232307872"/>
      <w:bookmarkStart w:id="66" w:name="_Toc264393112"/>
      <w:bookmarkStart w:id="67" w:name="_Toc264391965"/>
      <w:bookmarkStart w:id="68" w:name="_Toc201033297"/>
      <w:bookmarkStart w:id="69" w:name="_Toc199906464"/>
      <w:bookmarkStart w:id="70" w:name="_Toc168731342"/>
    </w:p>
    <w:p w:rsidR="001F3F1A" w:rsidRPr="00EB5B1D" w:rsidRDefault="001F3F1A" w:rsidP="003E4E99">
      <w:pPr>
        <w:ind w:left="720" w:hanging="720"/>
        <w:jc w:val="both"/>
        <w:outlineLvl w:val="1"/>
        <w:rPr>
          <w:b/>
          <w:snapToGrid w:val="0"/>
          <w:szCs w:val="22"/>
          <w:lang w:val="fr-CH"/>
        </w:rPr>
      </w:pPr>
      <w:bookmarkStart w:id="71" w:name="_Toc484686624"/>
      <w:r w:rsidRPr="00EB5B1D">
        <w:rPr>
          <w:b/>
          <w:snapToGrid w:val="0"/>
          <w:szCs w:val="22"/>
          <w:lang w:val="fr-CH"/>
        </w:rPr>
        <w:t>2.9</w:t>
      </w:r>
      <w:r w:rsidRPr="00EB5B1D">
        <w:rPr>
          <w:b/>
          <w:snapToGrid w:val="0"/>
          <w:szCs w:val="22"/>
          <w:lang w:val="fr-CH"/>
        </w:rPr>
        <w:tab/>
      </w:r>
      <w:bookmarkEnd w:id="63"/>
      <w:bookmarkEnd w:id="64"/>
      <w:bookmarkEnd w:id="65"/>
      <w:bookmarkEnd w:id="66"/>
      <w:bookmarkEnd w:id="67"/>
      <w:r w:rsidR="000A5DDA" w:rsidRPr="00EB5B1D">
        <w:rPr>
          <w:b/>
          <w:bCs/>
          <w:snapToGrid w:val="0"/>
          <w:kern w:val="32"/>
          <w:lang w:val="es-ES_tradnl"/>
        </w:rPr>
        <w:t xml:space="preserve">Intercambio de información sobre productos químicos recomendados por el Comité de Examen de Productos Químicos para su inclusión en el </w:t>
      </w:r>
      <w:r w:rsidR="004A20D8" w:rsidRPr="00EB5B1D">
        <w:rPr>
          <w:b/>
          <w:bCs/>
          <w:snapToGrid w:val="0"/>
          <w:kern w:val="32"/>
          <w:lang w:val="es-ES_tradnl"/>
        </w:rPr>
        <w:t>anexo</w:t>
      </w:r>
      <w:r w:rsidR="000A5DDA" w:rsidRPr="00EB5B1D">
        <w:rPr>
          <w:b/>
          <w:bCs/>
          <w:snapToGrid w:val="0"/>
          <w:kern w:val="32"/>
          <w:lang w:val="es-ES_tradnl"/>
        </w:rPr>
        <w:t xml:space="preserve"> III y para los que las Partes tienen todavía que tomar una decisión final </w:t>
      </w:r>
      <w:r w:rsidR="000A5DDA" w:rsidRPr="00EB5B1D">
        <w:rPr>
          <w:bCs/>
          <w:snapToGrid w:val="0"/>
          <w:kern w:val="32"/>
          <w:lang w:val="es-ES_tradnl"/>
        </w:rPr>
        <w:t>(decisiones RC-3/3, RC-4/4</w:t>
      </w:r>
      <w:r w:rsidR="0074261B" w:rsidRPr="00EB5B1D">
        <w:rPr>
          <w:bCs/>
          <w:snapToGrid w:val="0"/>
          <w:kern w:val="32"/>
          <w:lang w:val="es-ES_tradnl"/>
        </w:rPr>
        <w:t>,</w:t>
      </w:r>
      <w:r w:rsidR="000A5DDA" w:rsidRPr="00EB5B1D">
        <w:rPr>
          <w:bCs/>
          <w:snapToGrid w:val="0"/>
          <w:kern w:val="32"/>
          <w:lang w:val="es-ES_tradnl"/>
        </w:rPr>
        <w:t xml:space="preserve"> RC-6/8</w:t>
      </w:r>
      <w:r w:rsidR="0074261B" w:rsidRPr="00EB5B1D">
        <w:rPr>
          <w:snapToGrid w:val="0"/>
          <w:szCs w:val="22"/>
          <w:lang w:val="fr-CH"/>
        </w:rPr>
        <w:t>, RC-8/6 y RC-8/7</w:t>
      </w:r>
      <w:r w:rsidR="000A5DDA" w:rsidRPr="00EB5B1D">
        <w:rPr>
          <w:bCs/>
          <w:snapToGrid w:val="0"/>
          <w:kern w:val="32"/>
          <w:lang w:val="es-ES_tradnl"/>
        </w:rPr>
        <w:t>)</w:t>
      </w:r>
      <w:bookmarkEnd w:id="71"/>
    </w:p>
    <w:p w:rsidR="001F3F1A" w:rsidRPr="00EB5B1D" w:rsidRDefault="001F3F1A" w:rsidP="003E4E99">
      <w:pPr>
        <w:jc w:val="both"/>
        <w:rPr>
          <w:snapToGrid w:val="0"/>
          <w:szCs w:val="22"/>
          <w:lang w:val="fr-CH"/>
        </w:rPr>
      </w:pPr>
    </w:p>
    <w:p w:rsidR="00D872C1" w:rsidRPr="00EB5B1D" w:rsidRDefault="00D872C1" w:rsidP="00D872C1">
      <w:pPr>
        <w:snapToGrid w:val="0"/>
        <w:ind w:right="-19"/>
        <w:jc w:val="both"/>
        <w:rPr>
          <w:snapToGrid w:val="0"/>
          <w:lang w:val="es-ES_tradnl"/>
        </w:rPr>
      </w:pPr>
      <w:r w:rsidRPr="00EB5B1D">
        <w:rPr>
          <w:snapToGrid w:val="0"/>
          <w:lang w:val="es-ES_tradnl"/>
        </w:rPr>
        <w:t xml:space="preserve">El </w:t>
      </w:r>
      <w:r w:rsidR="00676D07" w:rsidRPr="00EB5B1D">
        <w:rPr>
          <w:snapToGrid w:val="0"/>
          <w:lang w:val="es-ES_tradnl"/>
        </w:rPr>
        <w:t xml:space="preserve">artículo </w:t>
      </w:r>
      <w:r w:rsidRPr="00EB5B1D">
        <w:rPr>
          <w:snapToGrid w:val="0"/>
          <w:lang w:val="es-ES_tradnl"/>
        </w:rPr>
        <w:t>14, establece en el párrafo 1, que cada Parte deberá, cuando proceda y de conformidad con los objetivos de este Convenio, facilitar a) el intercambio de información científica, técnica, económica y jurídica relativa a los productos químicos incluidos en el ámbito de este Convenio, incluida información toxicológica, ecotoxicológica y sobre seguridad, b) el suministro de la información disponible públicamente sobre medidas reglamentarias nacionales pertinentes a los objetivos de este Convenio, y c) el suministro de información a las otras Partes, directamente o a través de la Secretaría, sobre las medidas reglamentarias nacionales que restrinjan sustancialmente uno o más usos del producto químico, según proceda.</w:t>
      </w:r>
    </w:p>
    <w:p w:rsidR="00D872C1" w:rsidRPr="00EB5B1D" w:rsidRDefault="00D872C1" w:rsidP="00D872C1">
      <w:pPr>
        <w:snapToGrid w:val="0"/>
        <w:ind w:right="-19"/>
        <w:jc w:val="both"/>
        <w:rPr>
          <w:snapToGrid w:val="0"/>
          <w:lang w:val="es-ES_tradnl"/>
        </w:rPr>
      </w:pPr>
    </w:p>
    <w:p w:rsidR="00D872C1" w:rsidRPr="00EB5B1D" w:rsidRDefault="00D872C1" w:rsidP="00D872C1">
      <w:pPr>
        <w:snapToGrid w:val="0"/>
        <w:jc w:val="both"/>
        <w:rPr>
          <w:rFonts w:eastAsia="Cambria"/>
          <w:lang w:val="es-ES_tradnl"/>
        </w:rPr>
      </w:pPr>
      <w:r w:rsidRPr="00EB5B1D">
        <w:rPr>
          <w:lang w:val="es-ES_tradnl"/>
        </w:rPr>
        <w:t>La Conferencia de las Partes,</w:t>
      </w:r>
      <w:r w:rsidRPr="00EB5B1D">
        <w:rPr>
          <w:b/>
          <w:i/>
          <w:lang w:val="es-ES_tradnl"/>
        </w:rPr>
        <w:t xml:space="preserve"> </w:t>
      </w:r>
      <w:r w:rsidRPr="00EB5B1D">
        <w:rPr>
          <w:lang w:val="es-ES_tradnl"/>
        </w:rPr>
        <w:t xml:space="preserve">en sus decisiones RC-3/3 y RC-4/4 sobre la inclusión del amianto crisotilo en el </w:t>
      </w:r>
      <w:r w:rsidR="00743DF0" w:rsidRPr="00EB5B1D">
        <w:rPr>
          <w:lang w:val="es-ES_tradnl"/>
        </w:rPr>
        <w:t xml:space="preserve">anexo </w:t>
      </w:r>
      <w:r w:rsidRPr="00EB5B1D">
        <w:rPr>
          <w:lang w:val="es-ES_tradnl"/>
        </w:rPr>
        <w:t xml:space="preserve">III, decisión RC-6/8 sobre la consideración de las formulaciones líquidas (concentrado emulsionable y suspensión concentrada) que contienen, como mínimo, 276 g/L de dicloruro de paraquat, equivalente a 200 g/L o más de ión de paraquat </w:t>
      </w:r>
      <w:r w:rsidR="00743DF0" w:rsidRPr="00EB5B1D">
        <w:rPr>
          <w:lang w:val="es-ES_tradnl"/>
        </w:rPr>
        <w:t>para su inclusi</w:t>
      </w:r>
      <w:r w:rsidR="00743DF0" w:rsidRPr="00EB5B1D">
        <w:rPr>
          <w:lang w:val="es-ES"/>
        </w:rPr>
        <w:t>ón en el anexo III de la Convención de Rotterdam</w:t>
      </w:r>
      <w:r w:rsidR="00743DF0" w:rsidRPr="00EB5B1D">
        <w:rPr>
          <w:lang w:val="es-ES_tradnl"/>
        </w:rPr>
        <w:t>, decisión RC-8/6 sobre la consideración del carbosulfán para su inclusión en el anexo III del Convenio de Rotterdam y decisión RC-8/7 sobre la consideración del fentión (formulaciones de ultra bajo volumen (ULV) que contienen como mínimo 640 g/L de ingrediente activo para su inclusión en el anexo III del Convenio de Rotterdam</w:t>
      </w:r>
      <w:r w:rsidR="00676D07" w:rsidRPr="00EB5B1D">
        <w:rPr>
          <w:lang w:val="es-ES_tradnl"/>
        </w:rPr>
        <w:t>,</w:t>
      </w:r>
      <w:r w:rsidR="0074261B" w:rsidRPr="00EB5B1D">
        <w:rPr>
          <w:szCs w:val="22"/>
          <w:lang w:val="es-ES_tradnl"/>
        </w:rPr>
        <w:t xml:space="preserve"> </w:t>
      </w:r>
      <w:r w:rsidRPr="00EB5B1D">
        <w:rPr>
          <w:lang w:val="es-ES_tradnl"/>
        </w:rPr>
        <w:t>invitó a las Parte</w:t>
      </w:r>
      <w:bookmarkStart w:id="72" w:name="OLE_LINK11"/>
      <w:r w:rsidRPr="00EB5B1D">
        <w:rPr>
          <w:lang w:val="es-ES_tradnl"/>
        </w:rPr>
        <w:t xml:space="preserve">s a utilizar toda la información disponible sobre estos productos, ayudar a los demás países, en particular a aquellos en vías de desarrollo y aquellos con economías en transición, a adoptar decisiones </w:t>
      </w:r>
      <w:r w:rsidR="00743DF0" w:rsidRPr="00EB5B1D">
        <w:rPr>
          <w:lang w:val="es-ES_tradnl"/>
        </w:rPr>
        <w:t>fundamentadas</w:t>
      </w:r>
      <w:r w:rsidRPr="00EB5B1D">
        <w:rPr>
          <w:lang w:val="es-ES_tradnl"/>
        </w:rPr>
        <w:t xml:space="preserve"> respecto a su importación y gestión y a informar a otras Partes de esas decisiones utilizando las disposiciones de intercambio de información estipuladas en el </w:t>
      </w:r>
      <w:r w:rsidR="00743DF0" w:rsidRPr="00EB5B1D">
        <w:rPr>
          <w:lang w:val="es-ES_tradnl"/>
        </w:rPr>
        <w:t xml:space="preserve">artículo </w:t>
      </w:r>
      <w:r w:rsidRPr="00EB5B1D">
        <w:rPr>
          <w:lang w:val="es-ES_tradnl"/>
        </w:rPr>
        <w:t xml:space="preserve">14 del Convenio. El </w:t>
      </w:r>
      <w:r w:rsidRPr="00EB5B1D">
        <w:rPr>
          <w:rFonts w:eastAsia="Cambria"/>
          <w:lang w:val="es-ES_tradnl"/>
        </w:rPr>
        <w:t xml:space="preserve">texto completo de estas decisiones puede encontrarse en el anexo I de los informes de las respectivas reuniones de la </w:t>
      </w:r>
      <w:r w:rsidRPr="00EB5B1D">
        <w:rPr>
          <w:lang w:val="es-ES_tradnl"/>
        </w:rPr>
        <w:t>Conferencia de las Partes</w:t>
      </w:r>
      <w:r w:rsidRPr="00EB5B1D">
        <w:rPr>
          <w:rFonts w:eastAsia="Cambria"/>
          <w:lang w:val="es-ES_tradnl"/>
        </w:rPr>
        <w:t xml:space="preserve"> </w:t>
      </w:r>
      <w:r w:rsidRPr="00EB5B1D">
        <w:rPr>
          <w:lang w:val="es-ES_tradnl"/>
        </w:rPr>
        <w:t>(UNEP/FAO/RC/COP.3/26, UNEP/FAO/RC/COP.4/24,  UNEP/FAO/RC/COP.6/20</w:t>
      </w:r>
      <w:r w:rsidR="0074261B" w:rsidRPr="00EB5B1D">
        <w:rPr>
          <w:lang w:val="es-ES_tradnl"/>
        </w:rPr>
        <w:t xml:space="preserve"> y </w:t>
      </w:r>
      <w:r w:rsidR="0074261B" w:rsidRPr="00EB5B1D">
        <w:rPr>
          <w:szCs w:val="22"/>
          <w:lang w:val="fr-CH"/>
        </w:rPr>
        <w:t>UNEP/FAO/RC/COP.8/27</w:t>
      </w:r>
      <w:r w:rsidRPr="00EB5B1D">
        <w:rPr>
          <w:lang w:val="es-ES_tradnl"/>
        </w:rPr>
        <w:t>).</w:t>
      </w:r>
    </w:p>
    <w:p w:rsidR="00D872C1" w:rsidRPr="00EB5B1D" w:rsidRDefault="00D872C1" w:rsidP="00D872C1">
      <w:pPr>
        <w:snapToGrid w:val="0"/>
        <w:jc w:val="both"/>
        <w:rPr>
          <w:rFonts w:eastAsia="Cambria"/>
          <w:lang w:val="es-ES_tradnl"/>
        </w:rPr>
      </w:pPr>
    </w:p>
    <w:bookmarkEnd w:id="72"/>
    <w:p w:rsidR="00D872C1" w:rsidRPr="00EB5B1D" w:rsidRDefault="00D872C1" w:rsidP="00D872C1">
      <w:pPr>
        <w:snapToGrid w:val="0"/>
        <w:jc w:val="both"/>
        <w:rPr>
          <w:snapToGrid w:val="0"/>
          <w:lang w:val="es-ES_tradnl"/>
        </w:rPr>
      </w:pPr>
      <w:r w:rsidRPr="00EB5B1D">
        <w:rPr>
          <w:snapToGrid w:val="0"/>
          <w:lang w:val="es-ES_tradnl"/>
        </w:rPr>
        <w:t xml:space="preserve">En virtud de estas decisiones y en el interés de promover el intercambio de información </w:t>
      </w:r>
      <w:r w:rsidR="00743DF0" w:rsidRPr="00EB5B1D">
        <w:rPr>
          <w:snapToGrid w:val="0"/>
          <w:lang w:val="es-ES_tradnl"/>
        </w:rPr>
        <w:t>sobre productos químicos recomendados por el Comité de Examen de Productos Químicos para su inclusión en el anexo III y para los que las Partes tienen todavía que tomar una decisión final</w:t>
      </w:r>
      <w:r w:rsidRPr="00EB5B1D">
        <w:rPr>
          <w:snapToGrid w:val="0"/>
          <w:lang w:val="es-ES_tradnl"/>
        </w:rPr>
        <w:t xml:space="preserve">, el </w:t>
      </w:r>
      <w:r w:rsidRPr="00EB5B1D">
        <w:rPr>
          <w:b/>
          <w:snapToGrid w:val="0"/>
          <w:lang w:val="es-ES_tradnl"/>
        </w:rPr>
        <w:t>apéndice VI</w:t>
      </w:r>
      <w:r w:rsidRPr="00EB5B1D">
        <w:rPr>
          <w:snapToGrid w:val="0"/>
          <w:lang w:val="es-ES_tradnl"/>
        </w:rPr>
        <w:t xml:space="preserve"> de la Circular CFP se ha añadido a la Circular y se ha dividido en dos partes.</w:t>
      </w:r>
    </w:p>
    <w:p w:rsidR="00D872C1" w:rsidRPr="00EB5B1D" w:rsidRDefault="00D872C1" w:rsidP="00D872C1">
      <w:pPr>
        <w:snapToGrid w:val="0"/>
        <w:rPr>
          <w:snapToGrid w:val="0"/>
          <w:lang w:val="es-ES_tradnl"/>
        </w:rPr>
      </w:pPr>
    </w:p>
    <w:p w:rsidR="00D872C1" w:rsidRPr="00EB5B1D" w:rsidRDefault="00D872C1" w:rsidP="00D872C1">
      <w:pPr>
        <w:snapToGrid w:val="0"/>
        <w:jc w:val="both"/>
        <w:rPr>
          <w:rFonts w:eastAsia="SimSun"/>
          <w:lang w:val="es-ES_tradnl" w:eastAsia="zh-CN"/>
        </w:rPr>
      </w:pPr>
      <w:r w:rsidRPr="00EB5B1D">
        <w:rPr>
          <w:snapToGrid w:val="0"/>
          <w:lang w:val="es-ES_tradnl"/>
        </w:rPr>
        <w:t xml:space="preserve">La </w:t>
      </w:r>
      <w:r w:rsidRPr="00EB5B1D">
        <w:rPr>
          <w:b/>
          <w:snapToGrid w:val="0"/>
          <w:lang w:val="es-ES_tradnl"/>
        </w:rPr>
        <w:t>parte A</w:t>
      </w:r>
      <w:r w:rsidRPr="00EB5B1D">
        <w:rPr>
          <w:snapToGrid w:val="0"/>
          <w:lang w:val="es-ES_tradnl"/>
        </w:rPr>
        <w:t xml:space="preserve"> proporciona una referencia a la información que han facilitado las Partes sobre las decisiones nacionales respecto a la gestión</w:t>
      </w:r>
      <w:r w:rsidR="0074261B" w:rsidRPr="00EB5B1D">
        <w:rPr>
          <w:snapToGrid w:val="0"/>
          <w:lang w:val="es-ES_tradnl"/>
        </w:rPr>
        <w:t xml:space="preserve"> de estos productos químicos</w:t>
      </w:r>
      <w:r w:rsidRPr="00EB5B1D">
        <w:rPr>
          <w:snapToGrid w:val="0"/>
          <w:lang w:val="es-ES_tradnl"/>
        </w:rPr>
        <w:t xml:space="preserve">. Es un </w:t>
      </w:r>
      <w:r w:rsidR="00743DF0" w:rsidRPr="00EB5B1D">
        <w:rPr>
          <w:snapToGrid w:val="0"/>
          <w:lang w:val="es-ES_tradnl"/>
        </w:rPr>
        <w:t xml:space="preserve">cuadro </w:t>
      </w:r>
      <w:r w:rsidRPr="00EB5B1D">
        <w:rPr>
          <w:snapToGrid w:val="0"/>
          <w:lang w:val="es-ES_tradnl"/>
        </w:rPr>
        <w:t xml:space="preserve">resumen que proporciona los detalles de la Parte que presentó la información, con cuál Circular CFP se comunicó la información y la dirección para conectarse a la página del Convenio de </w:t>
      </w:r>
      <w:r w:rsidR="007D514A" w:rsidRPr="00EB5B1D">
        <w:rPr>
          <w:snapToGrid w:val="0"/>
          <w:lang w:val="es-ES_tradnl"/>
        </w:rPr>
        <w:t>Rotterdam</w:t>
      </w:r>
      <w:r w:rsidRPr="00EB5B1D">
        <w:rPr>
          <w:snapToGrid w:val="0"/>
          <w:lang w:val="es-ES_tradnl"/>
        </w:rPr>
        <w:t>, donde poder encontrar toda la información. E</w:t>
      </w:r>
      <w:r w:rsidRPr="00EB5B1D">
        <w:rPr>
          <w:rFonts w:eastAsia="SimSun"/>
          <w:snapToGrid w:val="0"/>
          <w:lang w:val="es-ES_tradnl" w:eastAsia="zh-CN"/>
        </w:rPr>
        <w:t xml:space="preserve">n la sección “Productos Químicos recomendados para su inclusión” de la página web del Convenio de </w:t>
      </w:r>
      <w:r w:rsidR="007D514A" w:rsidRPr="00EB5B1D">
        <w:rPr>
          <w:rFonts w:eastAsia="SimSun"/>
          <w:snapToGrid w:val="0"/>
          <w:lang w:val="es-ES_tradnl" w:eastAsia="zh-CN"/>
        </w:rPr>
        <w:t>Rotterdam</w:t>
      </w:r>
      <w:r w:rsidRPr="00EB5B1D">
        <w:rPr>
          <w:rFonts w:eastAsia="SimSun"/>
          <w:snapToGrid w:val="0"/>
          <w:lang w:val="es-ES_tradnl" w:eastAsia="zh-CN"/>
        </w:rPr>
        <w:t xml:space="preserve">, </w:t>
      </w:r>
      <w:r w:rsidR="006E6B74" w:rsidRPr="00EB5B1D">
        <w:rPr>
          <w:rFonts w:eastAsia="SimSun"/>
          <w:snapToGrid w:val="0"/>
          <w:lang w:val="es-ES_tradnl" w:eastAsia="zh-CN"/>
        </w:rPr>
        <w:t xml:space="preserve">se </w:t>
      </w:r>
      <w:r w:rsidRPr="00EB5B1D">
        <w:rPr>
          <w:rFonts w:eastAsia="SimSun"/>
          <w:snapToGrid w:val="0"/>
          <w:lang w:val="es-ES_tradnl" w:eastAsia="zh-CN"/>
        </w:rPr>
        <w:t xml:space="preserve">encontrará también </w:t>
      </w:r>
      <w:r w:rsidRPr="00EB5B1D">
        <w:rPr>
          <w:rFonts w:eastAsia="SimSun"/>
          <w:lang w:val="es-ES_tradnl" w:eastAsia="zh-CN"/>
        </w:rPr>
        <w:t xml:space="preserve">ulterior información sobre este producto químico incluyendo las notificaciones de medida reglamentaria firme y la documentación de apoyo a disposición del Comité de Examen de Productos Químicos junto con el borrador del documento de orientación para la adopción de decisiones. </w:t>
      </w:r>
    </w:p>
    <w:p w:rsidR="00D872C1" w:rsidRPr="00EB5B1D" w:rsidRDefault="00D872C1" w:rsidP="00D872C1">
      <w:pPr>
        <w:snapToGrid w:val="0"/>
        <w:jc w:val="both"/>
        <w:rPr>
          <w:rFonts w:eastAsia="SimSun"/>
          <w:lang w:val="es-ES_tradnl" w:eastAsia="zh-CN"/>
        </w:rPr>
      </w:pPr>
    </w:p>
    <w:p w:rsidR="00D872C1" w:rsidRPr="00EB5B1D" w:rsidRDefault="00D872C1" w:rsidP="00D872C1">
      <w:pPr>
        <w:snapToGrid w:val="0"/>
        <w:jc w:val="both"/>
        <w:rPr>
          <w:snapToGrid w:val="0"/>
          <w:lang w:val="es-ES_tradnl"/>
        </w:rPr>
      </w:pPr>
      <w:r w:rsidRPr="00EB5B1D">
        <w:rPr>
          <w:rFonts w:eastAsia="SimSun"/>
          <w:snapToGrid w:val="0"/>
          <w:lang w:val="es-ES_tradnl" w:eastAsia="zh-CN"/>
        </w:rPr>
        <w:t>La</w:t>
      </w:r>
      <w:r w:rsidRPr="00EB5B1D">
        <w:rPr>
          <w:rFonts w:eastAsia="SimSun"/>
          <w:b/>
          <w:snapToGrid w:val="0"/>
          <w:lang w:val="es-ES_tradnl" w:eastAsia="zh-CN"/>
        </w:rPr>
        <w:t xml:space="preserve"> parte B</w:t>
      </w:r>
      <w:r w:rsidRPr="00EB5B1D">
        <w:rPr>
          <w:rFonts w:eastAsia="SimSun"/>
          <w:snapToGrid w:val="0"/>
          <w:lang w:val="es-ES_tradnl" w:eastAsia="zh-CN"/>
        </w:rPr>
        <w:t xml:space="preserve"> es una lista con las </w:t>
      </w:r>
      <w:r w:rsidRPr="00EB5B1D">
        <w:rPr>
          <w:snapToGrid w:val="0"/>
          <w:lang w:val="es-ES_tradnl"/>
        </w:rPr>
        <w:t>decisiones s</w:t>
      </w:r>
      <w:r w:rsidRPr="00EB5B1D">
        <w:rPr>
          <w:rFonts w:eastAsia="SimSun"/>
          <w:snapToGrid w:val="0"/>
          <w:lang w:val="es-ES_tradnl" w:eastAsia="zh-CN"/>
        </w:rPr>
        <w:t xml:space="preserve">obre futuras importaciones </w:t>
      </w:r>
      <w:r w:rsidR="0074261B" w:rsidRPr="00EB5B1D">
        <w:rPr>
          <w:rFonts w:eastAsia="SimSun"/>
          <w:snapToGrid w:val="0"/>
          <w:lang w:val="es-ES_tradnl" w:eastAsia="zh-CN"/>
        </w:rPr>
        <w:t xml:space="preserve">de </w:t>
      </w:r>
      <w:r w:rsidR="0074261B" w:rsidRPr="00EB5B1D">
        <w:rPr>
          <w:snapToGrid w:val="0"/>
          <w:lang w:val="es-ES_tradnl"/>
        </w:rPr>
        <w:t>estos productos químicos</w:t>
      </w:r>
      <w:r w:rsidR="0074261B" w:rsidRPr="00EB5B1D" w:rsidDel="0074261B">
        <w:rPr>
          <w:rFonts w:eastAsia="SimSun"/>
          <w:snapToGrid w:val="0"/>
          <w:lang w:val="es-ES_tradnl" w:eastAsia="zh-CN"/>
        </w:rPr>
        <w:t xml:space="preserve"> </w:t>
      </w:r>
      <w:r w:rsidR="0074261B" w:rsidRPr="00EB5B1D">
        <w:rPr>
          <w:rFonts w:eastAsia="SimSun"/>
          <w:snapToGrid w:val="0"/>
          <w:lang w:val="es-ES_tradnl" w:eastAsia="zh-CN"/>
        </w:rPr>
        <w:t xml:space="preserve"> </w:t>
      </w:r>
      <w:r w:rsidRPr="00EB5B1D">
        <w:rPr>
          <w:snapToGrid w:val="0"/>
          <w:lang w:val="es-ES_tradnl"/>
        </w:rPr>
        <w:t xml:space="preserve">que han sido presentadas por las Partes de conformidad con el </w:t>
      </w:r>
      <w:r w:rsidR="006E6B74" w:rsidRPr="00EB5B1D">
        <w:rPr>
          <w:snapToGrid w:val="0"/>
          <w:lang w:val="es-ES_tradnl"/>
        </w:rPr>
        <w:t xml:space="preserve">artículo </w:t>
      </w:r>
      <w:r w:rsidRPr="00EB5B1D">
        <w:rPr>
          <w:snapToGrid w:val="0"/>
          <w:lang w:val="es-ES_tradnl"/>
        </w:rPr>
        <w:t xml:space="preserve">14. Estas decisiones de importación se distribuyen únicamente a título informativo y no constituyen parte de los compromisos jurídicamente vinculantes del procedimiento de CFP. </w:t>
      </w:r>
    </w:p>
    <w:p w:rsidR="00D872C1" w:rsidRPr="00EB5B1D" w:rsidRDefault="00D872C1" w:rsidP="00D872C1">
      <w:pPr>
        <w:snapToGrid w:val="0"/>
        <w:jc w:val="both"/>
        <w:rPr>
          <w:snapToGrid w:val="0"/>
          <w:lang w:val="es-ES_tradnl"/>
        </w:rPr>
      </w:pPr>
    </w:p>
    <w:p w:rsidR="001F3F1A" w:rsidRPr="00EB5B1D" w:rsidRDefault="00D872C1" w:rsidP="00D872C1">
      <w:pPr>
        <w:jc w:val="both"/>
        <w:rPr>
          <w:snapToGrid w:val="0"/>
          <w:szCs w:val="22"/>
          <w:lang w:val="fr-CH"/>
        </w:rPr>
      </w:pPr>
      <w:r w:rsidRPr="00EB5B1D">
        <w:rPr>
          <w:snapToGrid w:val="0"/>
          <w:lang w:val="es-ES_tradnl"/>
        </w:rPr>
        <w:t>E</w:t>
      </w:r>
      <w:r w:rsidRPr="00EB5B1D">
        <w:rPr>
          <w:lang w:val="es-ES_tradnl"/>
        </w:rPr>
        <w:t xml:space="preserve">sta información e información extra relativa a la labor del Comité de Examen de Productos Químicos sobre este producto, se puede encontrar directamente en la página web del Convenio de </w:t>
      </w:r>
      <w:r w:rsidR="007D514A" w:rsidRPr="00EB5B1D">
        <w:rPr>
          <w:lang w:val="es-ES_tradnl"/>
        </w:rPr>
        <w:t>Rotterdam</w:t>
      </w:r>
      <w:r w:rsidRPr="00EB5B1D">
        <w:rPr>
          <w:lang w:val="es-ES_tradnl"/>
        </w:rPr>
        <w:t xml:space="preserve"> en</w:t>
      </w:r>
      <w:r w:rsidR="001F3F1A" w:rsidRPr="00EB5B1D">
        <w:rPr>
          <w:snapToGrid w:val="0"/>
          <w:szCs w:val="22"/>
          <w:lang w:val="fr-CH"/>
        </w:rPr>
        <w:t>.</w:t>
      </w:r>
    </w:p>
    <w:bookmarkEnd w:id="68"/>
    <w:bookmarkEnd w:id="69"/>
    <w:bookmarkEnd w:id="70"/>
    <w:p w:rsidR="001F3F1A" w:rsidRPr="00EB5B1D" w:rsidRDefault="001F3F1A" w:rsidP="001F3F1A">
      <w:pPr>
        <w:jc w:val="both"/>
        <w:rPr>
          <w:snapToGrid w:val="0"/>
          <w:szCs w:val="22"/>
          <w:lang w:val="fr-CH"/>
        </w:rPr>
      </w:pPr>
    </w:p>
    <w:p w:rsidR="001F3F1A" w:rsidRPr="00EB5B1D" w:rsidRDefault="001F3F1A" w:rsidP="001F3F1A">
      <w:pPr>
        <w:jc w:val="both"/>
        <w:outlineLvl w:val="1"/>
        <w:rPr>
          <w:b/>
          <w:snapToGrid w:val="0"/>
          <w:szCs w:val="22"/>
          <w:lang w:val="fr-CH"/>
        </w:rPr>
      </w:pPr>
      <w:bookmarkStart w:id="73" w:name="_Toc264393113"/>
      <w:bookmarkStart w:id="74" w:name="_Toc264391966"/>
      <w:bookmarkStart w:id="75" w:name="_Toc248307668"/>
      <w:bookmarkStart w:id="76" w:name="_Toc248296431"/>
      <w:bookmarkStart w:id="77" w:name="_Toc232307873"/>
      <w:bookmarkStart w:id="78" w:name="_Toc201033298"/>
      <w:bookmarkStart w:id="79" w:name="_Toc199906465"/>
      <w:bookmarkStart w:id="80" w:name="_Toc168731343"/>
      <w:bookmarkStart w:id="81" w:name="_Toc484686625"/>
      <w:r w:rsidRPr="00EB5B1D">
        <w:rPr>
          <w:b/>
          <w:snapToGrid w:val="0"/>
          <w:szCs w:val="22"/>
          <w:lang w:val="fr-CH"/>
        </w:rPr>
        <w:t>2.10</w:t>
      </w:r>
      <w:r w:rsidRPr="00EB5B1D">
        <w:rPr>
          <w:b/>
          <w:snapToGrid w:val="0"/>
          <w:szCs w:val="22"/>
          <w:lang w:val="fr-CH"/>
        </w:rPr>
        <w:tab/>
      </w:r>
      <w:bookmarkEnd w:id="73"/>
      <w:bookmarkEnd w:id="74"/>
      <w:bookmarkEnd w:id="75"/>
      <w:bookmarkEnd w:id="76"/>
      <w:bookmarkEnd w:id="77"/>
      <w:bookmarkEnd w:id="78"/>
      <w:bookmarkEnd w:id="79"/>
      <w:bookmarkEnd w:id="80"/>
      <w:r w:rsidR="00F8382E" w:rsidRPr="00EB5B1D">
        <w:rPr>
          <w:b/>
          <w:snapToGrid w:val="0"/>
          <w:lang w:val="es-ES_tradnl"/>
        </w:rPr>
        <w:t xml:space="preserve">Información sobre los movimientos </w:t>
      </w:r>
      <w:r w:rsidR="00723B70" w:rsidRPr="00EB5B1D">
        <w:rPr>
          <w:b/>
          <w:snapToGrid w:val="0"/>
          <w:lang w:val="es-ES_tradnl"/>
        </w:rPr>
        <w:t>en</w:t>
      </w:r>
      <w:r w:rsidR="00F8382E" w:rsidRPr="00EB5B1D">
        <w:rPr>
          <w:b/>
          <w:snapToGrid w:val="0"/>
          <w:lang w:val="es-ES_tradnl"/>
        </w:rPr>
        <w:t xml:space="preserve"> tránsito </w:t>
      </w:r>
      <w:r w:rsidR="00F8382E" w:rsidRPr="00EB5B1D">
        <w:rPr>
          <w:lang w:val="es-ES_tradnl"/>
        </w:rPr>
        <w:t xml:space="preserve">(párrafo 5 del </w:t>
      </w:r>
      <w:r w:rsidR="004A20D8" w:rsidRPr="00EB5B1D">
        <w:rPr>
          <w:lang w:val="es-ES_tradnl"/>
        </w:rPr>
        <w:t>artículo</w:t>
      </w:r>
      <w:r w:rsidR="00F8382E" w:rsidRPr="00EB5B1D">
        <w:rPr>
          <w:lang w:val="es-ES_tradnl"/>
        </w:rPr>
        <w:t xml:space="preserve"> 14)</w:t>
      </w:r>
      <w:bookmarkEnd w:id="81"/>
    </w:p>
    <w:p w:rsidR="001F3F1A" w:rsidRPr="00EB5B1D" w:rsidRDefault="001F3F1A" w:rsidP="001F3F1A">
      <w:pPr>
        <w:jc w:val="both"/>
        <w:rPr>
          <w:snapToGrid w:val="0"/>
          <w:szCs w:val="22"/>
          <w:lang w:val="fr-CH"/>
        </w:rPr>
      </w:pPr>
    </w:p>
    <w:p w:rsidR="00D872C1" w:rsidRPr="00EB5B1D" w:rsidRDefault="00D872C1" w:rsidP="00D872C1">
      <w:pPr>
        <w:snapToGrid w:val="0"/>
        <w:ind w:right="-1"/>
        <w:jc w:val="both"/>
        <w:rPr>
          <w:snapToGrid w:val="0"/>
          <w:lang w:val="es-ES_tradnl"/>
        </w:rPr>
      </w:pPr>
      <w:r w:rsidRPr="00EB5B1D">
        <w:rPr>
          <w:snapToGrid w:val="0"/>
          <w:lang w:val="es-ES_tradnl"/>
        </w:rPr>
        <w:t xml:space="preserve">Como se indica en el </w:t>
      </w:r>
      <w:r w:rsidR="006E6B74" w:rsidRPr="00EB5B1D">
        <w:rPr>
          <w:snapToGrid w:val="0"/>
          <w:lang w:val="es-ES_tradnl"/>
        </w:rPr>
        <w:t xml:space="preserve">artículo </w:t>
      </w:r>
      <w:r w:rsidRPr="00EB5B1D">
        <w:rPr>
          <w:snapToGrid w:val="0"/>
          <w:lang w:val="es-ES_tradnl"/>
        </w:rPr>
        <w:t>14, párrafo 5, del Convenio, cualquier Parte que necesite información sobre movimientos en tránsito a través de su territorio de productos químicos enumerados en el anexo III, deberá transmitir sus necesidades a la Secretaría</w:t>
      </w:r>
      <w:r w:rsidR="006A4A54" w:rsidRPr="00EB5B1D">
        <w:rPr>
          <w:snapToGrid w:val="0"/>
          <w:lang w:val="es-ES_tradnl"/>
        </w:rPr>
        <w:t>, que</w:t>
      </w:r>
      <w:r w:rsidRPr="00EB5B1D">
        <w:rPr>
          <w:snapToGrid w:val="0"/>
          <w:lang w:val="es-ES_tradnl"/>
        </w:rPr>
        <w:t xml:space="preserve"> informará </w:t>
      </w:r>
      <w:r w:rsidR="006A4A54" w:rsidRPr="00EB5B1D">
        <w:rPr>
          <w:snapToGrid w:val="0"/>
          <w:lang w:val="es-ES_tradnl"/>
        </w:rPr>
        <w:t xml:space="preserve">al efecto </w:t>
      </w:r>
      <w:r w:rsidRPr="00EB5B1D">
        <w:rPr>
          <w:snapToGrid w:val="0"/>
          <w:lang w:val="es-ES_tradnl"/>
        </w:rPr>
        <w:t>a todas las Partes.</w:t>
      </w:r>
    </w:p>
    <w:p w:rsidR="00D872C1" w:rsidRPr="00EB5B1D" w:rsidRDefault="00D872C1" w:rsidP="00D872C1">
      <w:pPr>
        <w:snapToGrid w:val="0"/>
        <w:ind w:right="-1"/>
        <w:jc w:val="both"/>
        <w:rPr>
          <w:snapToGrid w:val="0"/>
          <w:lang w:val="es-ES_tradnl"/>
        </w:rPr>
      </w:pPr>
    </w:p>
    <w:p w:rsidR="001F3F1A" w:rsidRPr="00EB5B1D" w:rsidRDefault="00D872C1" w:rsidP="00D872C1">
      <w:pPr>
        <w:jc w:val="both"/>
        <w:rPr>
          <w:iCs/>
          <w:snapToGrid w:val="0"/>
          <w:szCs w:val="22"/>
          <w:lang w:val="fr-CH"/>
        </w:rPr>
      </w:pPr>
      <w:r w:rsidRPr="00EB5B1D">
        <w:rPr>
          <w:snapToGrid w:val="0"/>
          <w:lang w:val="es-ES_tradnl"/>
        </w:rPr>
        <w:t xml:space="preserve">Desde la última Circular CFP, ninguna Parte ha notificado a la Secretaría su necesidad de información sobre movimientos </w:t>
      </w:r>
      <w:r w:rsidR="00435BA9" w:rsidRPr="00EB5B1D">
        <w:rPr>
          <w:snapToGrid w:val="0"/>
          <w:lang w:val="es-ES_tradnl"/>
        </w:rPr>
        <w:t xml:space="preserve">en </w:t>
      </w:r>
      <w:r w:rsidRPr="00EB5B1D">
        <w:rPr>
          <w:snapToGrid w:val="0"/>
          <w:lang w:val="es-ES_tradnl"/>
        </w:rPr>
        <w:t xml:space="preserve">tránsito de productos químicos incluidos en el </w:t>
      </w:r>
      <w:r w:rsidR="006E6B74" w:rsidRPr="00EB5B1D">
        <w:rPr>
          <w:snapToGrid w:val="0"/>
          <w:lang w:val="es-ES_tradnl"/>
        </w:rPr>
        <w:t xml:space="preserve">anexo </w:t>
      </w:r>
      <w:r w:rsidRPr="00EB5B1D">
        <w:rPr>
          <w:snapToGrid w:val="0"/>
          <w:lang w:val="es-ES_tradnl"/>
        </w:rPr>
        <w:t>III a través de su territorio</w:t>
      </w:r>
      <w:r w:rsidR="001F3F1A" w:rsidRPr="00EB5B1D">
        <w:rPr>
          <w:iCs/>
          <w:snapToGrid w:val="0"/>
          <w:szCs w:val="22"/>
          <w:lang w:val="fr-CH"/>
        </w:rPr>
        <w:t>.</w:t>
      </w:r>
    </w:p>
    <w:p w:rsidR="004B488E" w:rsidRPr="00EB5B1D" w:rsidRDefault="004B488E" w:rsidP="004B488E">
      <w:pPr>
        <w:jc w:val="both"/>
        <w:rPr>
          <w:iCs/>
          <w:snapToGrid w:val="0"/>
          <w:szCs w:val="22"/>
          <w:lang w:val="fr-CH"/>
        </w:rPr>
      </w:pPr>
      <w:bookmarkStart w:id="82" w:name="_Toc201033299"/>
      <w:bookmarkStart w:id="83" w:name="_Toc199906466"/>
      <w:bookmarkStart w:id="84" w:name="_Toc168731344"/>
      <w:bookmarkStart w:id="85" w:name="_Toc264393114"/>
      <w:bookmarkStart w:id="86" w:name="_Toc264391967"/>
      <w:bookmarkStart w:id="87" w:name="_Toc248307669"/>
      <w:bookmarkStart w:id="88" w:name="_Toc248296432"/>
      <w:bookmarkStart w:id="89" w:name="_Toc232307874"/>
    </w:p>
    <w:p w:rsidR="004B488E" w:rsidRPr="00EB5B1D" w:rsidRDefault="004B488E" w:rsidP="004B488E">
      <w:pPr>
        <w:jc w:val="both"/>
        <w:rPr>
          <w:iCs/>
          <w:snapToGrid w:val="0"/>
          <w:szCs w:val="22"/>
          <w:lang w:val="fr-CH"/>
        </w:rPr>
      </w:pPr>
    </w:p>
    <w:p w:rsidR="00D2359C" w:rsidRPr="00EB5B1D" w:rsidRDefault="00D2359C">
      <w:pPr>
        <w:rPr>
          <w:b/>
          <w:snapToGrid w:val="0"/>
          <w:szCs w:val="22"/>
          <w:lang w:val="fr-CH"/>
        </w:rPr>
      </w:pPr>
      <w:bookmarkStart w:id="90" w:name="_Toc484686626"/>
      <w:r w:rsidRPr="00EB5B1D">
        <w:rPr>
          <w:b/>
          <w:snapToGrid w:val="0"/>
          <w:szCs w:val="22"/>
          <w:lang w:val="fr-CH"/>
        </w:rPr>
        <w:br w:type="page"/>
      </w:r>
    </w:p>
    <w:p w:rsidR="001F3F1A" w:rsidRPr="004906B7" w:rsidRDefault="001F3F1A" w:rsidP="001F3F1A">
      <w:pPr>
        <w:jc w:val="both"/>
        <w:outlineLvl w:val="0"/>
        <w:rPr>
          <w:b/>
          <w:snapToGrid w:val="0"/>
          <w:sz w:val="24"/>
          <w:lang w:val="fr-CH"/>
        </w:rPr>
      </w:pPr>
      <w:r w:rsidRPr="004906B7">
        <w:rPr>
          <w:b/>
          <w:snapToGrid w:val="0"/>
          <w:sz w:val="24"/>
          <w:lang w:val="fr-CH"/>
        </w:rPr>
        <w:t>3.</w:t>
      </w:r>
      <w:r w:rsidRPr="004906B7">
        <w:rPr>
          <w:b/>
          <w:snapToGrid w:val="0"/>
          <w:sz w:val="24"/>
          <w:lang w:val="fr-CH"/>
        </w:rPr>
        <w:tab/>
      </w:r>
      <w:bookmarkEnd w:id="82"/>
      <w:bookmarkEnd w:id="83"/>
      <w:bookmarkEnd w:id="84"/>
      <w:bookmarkEnd w:id="85"/>
      <w:bookmarkEnd w:id="86"/>
      <w:bookmarkEnd w:id="87"/>
      <w:bookmarkEnd w:id="88"/>
      <w:bookmarkEnd w:id="89"/>
      <w:r w:rsidR="00F8382E" w:rsidRPr="004906B7">
        <w:rPr>
          <w:b/>
          <w:snapToGrid w:val="0"/>
          <w:sz w:val="24"/>
          <w:lang w:val="es-ES_tradnl"/>
        </w:rPr>
        <w:t>INFORMACIÓN ADICIONAL PARA LAS AND</w:t>
      </w:r>
      <w:bookmarkEnd w:id="90"/>
    </w:p>
    <w:p w:rsidR="007E15AB" w:rsidRPr="00EB5B1D" w:rsidRDefault="007E15AB" w:rsidP="001F3F1A">
      <w:pPr>
        <w:jc w:val="both"/>
        <w:outlineLvl w:val="1"/>
        <w:rPr>
          <w:b/>
          <w:snapToGrid w:val="0"/>
          <w:szCs w:val="22"/>
          <w:lang w:val="fr-CH"/>
        </w:rPr>
      </w:pPr>
      <w:bookmarkStart w:id="91" w:name="_Toc264393115"/>
      <w:bookmarkStart w:id="92" w:name="_Toc264391968"/>
      <w:bookmarkStart w:id="93" w:name="_Toc248307670"/>
      <w:bookmarkStart w:id="94" w:name="_Toc248296433"/>
      <w:bookmarkStart w:id="95" w:name="_Toc232307875"/>
      <w:bookmarkStart w:id="96" w:name="_Toc201033300"/>
      <w:bookmarkStart w:id="97" w:name="_Toc199906467"/>
      <w:bookmarkStart w:id="98" w:name="_Toc168731345"/>
    </w:p>
    <w:p w:rsidR="001F3F1A" w:rsidRPr="00EB5B1D" w:rsidRDefault="001F3F1A" w:rsidP="001F3F1A">
      <w:pPr>
        <w:jc w:val="both"/>
        <w:outlineLvl w:val="1"/>
        <w:rPr>
          <w:b/>
          <w:snapToGrid w:val="0"/>
          <w:szCs w:val="22"/>
          <w:lang w:val="fr-CH"/>
        </w:rPr>
      </w:pPr>
      <w:bookmarkStart w:id="99" w:name="_Toc484686627"/>
      <w:r w:rsidRPr="00EB5B1D">
        <w:rPr>
          <w:b/>
          <w:snapToGrid w:val="0"/>
          <w:szCs w:val="22"/>
          <w:lang w:val="fr-CH"/>
        </w:rPr>
        <w:t>3.1</w:t>
      </w:r>
      <w:r w:rsidRPr="00EB5B1D">
        <w:rPr>
          <w:b/>
          <w:snapToGrid w:val="0"/>
          <w:szCs w:val="22"/>
          <w:lang w:val="fr-CH"/>
        </w:rPr>
        <w:tab/>
      </w:r>
      <w:bookmarkEnd w:id="91"/>
      <w:bookmarkEnd w:id="92"/>
      <w:bookmarkEnd w:id="93"/>
      <w:bookmarkEnd w:id="94"/>
      <w:bookmarkEnd w:id="95"/>
      <w:bookmarkEnd w:id="96"/>
      <w:bookmarkEnd w:id="97"/>
      <w:bookmarkEnd w:id="98"/>
      <w:r w:rsidR="00F8382E" w:rsidRPr="00EB5B1D">
        <w:rPr>
          <w:b/>
          <w:snapToGrid w:val="0"/>
          <w:lang w:val="es-ES_tradnl"/>
        </w:rPr>
        <w:t>Información sobre el estado de ratificación del Convenio</w:t>
      </w:r>
      <w:bookmarkEnd w:id="99"/>
    </w:p>
    <w:p w:rsidR="001F3F1A" w:rsidRPr="00EB5B1D" w:rsidRDefault="001F3F1A" w:rsidP="001F3F1A">
      <w:pPr>
        <w:jc w:val="both"/>
        <w:rPr>
          <w:snapToGrid w:val="0"/>
          <w:szCs w:val="22"/>
          <w:lang w:val="fr-CH"/>
        </w:rPr>
      </w:pPr>
    </w:p>
    <w:p w:rsidR="00D872C1" w:rsidRPr="00EB5B1D" w:rsidRDefault="00D872C1" w:rsidP="00D872C1">
      <w:pPr>
        <w:tabs>
          <w:tab w:val="left" w:pos="720"/>
        </w:tabs>
        <w:snapToGrid w:val="0"/>
        <w:ind w:right="-3"/>
        <w:jc w:val="both"/>
        <w:rPr>
          <w:snapToGrid w:val="0"/>
          <w:lang w:val="es-ES_tradnl"/>
        </w:rPr>
      </w:pPr>
      <w:bookmarkStart w:id="100" w:name="_Toc264537560"/>
      <w:bookmarkStart w:id="101" w:name="_Toc264393116"/>
      <w:bookmarkStart w:id="102" w:name="_Toc264391969"/>
      <w:bookmarkStart w:id="103" w:name="_Toc248307671"/>
      <w:bookmarkStart w:id="104" w:name="_Toc248296434"/>
      <w:bookmarkStart w:id="105" w:name="_Toc232307876"/>
      <w:bookmarkStart w:id="106" w:name="_Toc201033301"/>
      <w:bookmarkStart w:id="107" w:name="_Toc199906468"/>
      <w:bookmarkStart w:id="108" w:name="_Toc168731346"/>
      <w:r w:rsidRPr="00EB5B1D">
        <w:rPr>
          <w:snapToGrid w:val="0"/>
          <w:lang w:val="es-ES_tradnl"/>
        </w:rPr>
        <w:t xml:space="preserve">El Convenio entró en vigor el 24 de febrero de 2004, noventa días después de la fecha de depósito del 50º instrumento de ratificación, aceptación, aprobación o adhesión. Para cada Estado u organización de integración económica regional que ratifica, acepta o aprueba este Convenio o </w:t>
      </w:r>
      <w:r w:rsidR="00435BA9" w:rsidRPr="00EB5B1D">
        <w:rPr>
          <w:snapToGrid w:val="0"/>
          <w:lang w:val="es-ES_tradnl"/>
        </w:rPr>
        <w:t>se adhiera</w:t>
      </w:r>
      <w:r w:rsidRPr="00EB5B1D">
        <w:rPr>
          <w:snapToGrid w:val="0"/>
          <w:lang w:val="es-ES_tradnl"/>
        </w:rPr>
        <w:t xml:space="preserve"> después del 24 de febrero de 2004, el Convenio entrará en vigor noventa días después de la fecha de depósito por parte de ese Estado u organización de integración económica regional de su instrumento de ratificación, aceptación, aprobación o adhesión. </w:t>
      </w:r>
    </w:p>
    <w:p w:rsidR="00D872C1" w:rsidRPr="00EB5B1D" w:rsidRDefault="00D872C1" w:rsidP="00D872C1">
      <w:pPr>
        <w:tabs>
          <w:tab w:val="left" w:pos="851"/>
        </w:tabs>
        <w:snapToGrid w:val="0"/>
        <w:ind w:right="-3"/>
        <w:jc w:val="both"/>
        <w:rPr>
          <w:snapToGrid w:val="0"/>
          <w:lang w:val="es-ES_tradnl"/>
        </w:rPr>
      </w:pPr>
    </w:p>
    <w:p w:rsidR="00D872C1" w:rsidRPr="00EB5B1D" w:rsidRDefault="00D872C1" w:rsidP="00D872C1">
      <w:pPr>
        <w:snapToGrid w:val="0"/>
        <w:ind w:right="-3"/>
        <w:jc w:val="both"/>
        <w:rPr>
          <w:snapToGrid w:val="0"/>
          <w:lang w:val="es-ES_tradnl"/>
        </w:rPr>
      </w:pPr>
      <w:r w:rsidRPr="00EB5B1D">
        <w:rPr>
          <w:snapToGrid w:val="0"/>
          <w:lang w:val="es-ES_tradnl"/>
        </w:rPr>
        <w:t xml:space="preserve">Al 30 de abril de 2017 eran 157 las Partes del Convenio de </w:t>
      </w:r>
      <w:r w:rsidR="007D514A" w:rsidRPr="00EB5B1D">
        <w:rPr>
          <w:snapToGrid w:val="0"/>
          <w:lang w:val="es-ES_tradnl"/>
        </w:rPr>
        <w:t>Rotterdam</w:t>
      </w:r>
      <w:r w:rsidRPr="00EB5B1D">
        <w:rPr>
          <w:snapToGrid w:val="0"/>
          <w:lang w:val="es-ES_tradnl"/>
        </w:rPr>
        <w:t>, éstas incluyen:</w:t>
      </w:r>
    </w:p>
    <w:p w:rsidR="00D872C1" w:rsidRPr="00EB5B1D" w:rsidRDefault="00D872C1" w:rsidP="00D872C1">
      <w:pPr>
        <w:snapToGrid w:val="0"/>
        <w:ind w:right="-3"/>
        <w:jc w:val="both"/>
        <w:rPr>
          <w:snapToGrid w:val="0"/>
          <w:lang w:val="es-ES_tradnl"/>
        </w:rPr>
      </w:pPr>
    </w:p>
    <w:p w:rsidR="00D872C1" w:rsidRPr="00EB5B1D" w:rsidRDefault="00D872C1" w:rsidP="00D872C1">
      <w:pPr>
        <w:snapToGrid w:val="0"/>
        <w:ind w:right="71"/>
        <w:jc w:val="both"/>
        <w:rPr>
          <w:lang w:val="es-ES_tradnl"/>
        </w:rPr>
      </w:pPr>
      <w:r w:rsidRPr="00EB5B1D">
        <w:rPr>
          <w:snapToGrid w:val="0"/>
          <w:lang w:val="es-ES_tradnl"/>
        </w:rPr>
        <w:t>Afganistán, Albania, Alemania, Antigua y Barbuda, Argentina, Armenia, Arabia Saudita, Australia, Austria, Bahrein, Bélgica, Belice,</w:t>
      </w:r>
      <w:r w:rsidRPr="00EB5B1D">
        <w:rPr>
          <w:lang w:val="es-ES_tradnl"/>
        </w:rPr>
        <w:t xml:space="preserve"> Benín, Bolivia (Estado Plurinacional de), Bosnia y Herzegovina, Botswana, Brasil, Bulgaria, Burkina Faso, Burundi, Cabo Verde, Camboya, Camerún, Canadá, Chad, Chile, China, Chipre, Colombia, Congo (República Democrática del), Congo (República del), Corea (República Popular Democrática de), Corea (República de), Costa Rica, Côte d’Ivoire, Croacia, Cuba, Dinamarca, Djibouti, Dominica, Ecuador, El Salvador, Emiratos Árabes Unidos, Eritrea, Eslovaquia, Eslovenia, España, Estonia, Etiopía, la Federación de Rusia, Filipinas, Finlandia, Francia, Gabón, Gambia, Georgia, Ghana, Grecia, Guatemala, Guinea, Guinea Ecuatorial, Guinea-Bissau, Guyana, Honduras, Hungría, India, Indonesia, Irán (Republica Islámica de), Irlanda, Islas Cook, Islas Marshall, Israel, Italia, Jamaica, Jamahiriya Árabe Libia, Japón, Jordania, Kazajstán, Kenya, Kirguistán, Kuwait, Lesotho, Letonia, Líbano, Liechtenstein, Liberia, Lituania, Luxemburgo, Madagascar, Malasia, Malawi, Maldivas, Malí, Malta, Marruecos, Mauricio, Mauritania, México, Moldova (República de), Mongolia, Montenegro, Mozambique, Namibia, Nepal, Nicaragua, Níger, Nigeria, Noruega, Nueva Zelandia, Omán, Países Bajos, Pakistán, Panamá, Paraguay, Perú, Polonia, Portugal, Qatar, Reino Unido de Gran Bretaña e Irlanda del Norte, República Checa, República Dominicana, República Democrática Popular Lao, ex-República Yugoslava de Macedonia, Rumania, Rwanda, Samoa, Saint Kitts y Nevis, Santo Tomé de Príncipe, San Vicente y las Granadinas, Senegal, Serbia (República de), Sierra Leona, Singapur, Siria (República Árabe), Somalia, Sri Lanka, Sudáfrica, Sudán, Suecia, Suiza, Surinam, Swazilandia, Tanzania (República Unida de), Tailandia, Togo, Tonga, Trinidad y Tobago, Túnez, Ucrania, Uganda, Unión Europea, Uruguay, Venezuela, Vietnam, Yemen, Zambia y Zimbabue.</w:t>
      </w:r>
    </w:p>
    <w:p w:rsidR="00D872C1" w:rsidRPr="00EB5B1D" w:rsidRDefault="00D872C1" w:rsidP="00D872C1">
      <w:pPr>
        <w:snapToGrid w:val="0"/>
        <w:ind w:right="-3"/>
        <w:rPr>
          <w:snapToGrid w:val="0"/>
          <w:lang w:val="es-ES_tradnl"/>
        </w:rPr>
      </w:pPr>
    </w:p>
    <w:p w:rsidR="00D872C1" w:rsidRPr="00EB5B1D" w:rsidRDefault="00D872C1" w:rsidP="00D872C1">
      <w:pPr>
        <w:snapToGrid w:val="0"/>
        <w:ind w:right="-3"/>
        <w:jc w:val="both"/>
        <w:rPr>
          <w:snapToGrid w:val="0"/>
          <w:lang w:val="es-ES_tradnl"/>
        </w:rPr>
      </w:pPr>
      <w:r w:rsidRPr="00EB5B1D">
        <w:rPr>
          <w:snapToGrid w:val="0"/>
          <w:lang w:val="es-ES_tradnl"/>
        </w:rPr>
        <w:t>Para aquellos Estados que entren a ser Partes del Convenio después del 30 de abril de 2017 el cambio de estado se reflejará en la próxima Circular CFP.</w:t>
      </w:r>
    </w:p>
    <w:p w:rsidR="00D872C1" w:rsidRPr="00EB5B1D" w:rsidRDefault="00D872C1" w:rsidP="00D872C1">
      <w:pPr>
        <w:snapToGrid w:val="0"/>
        <w:ind w:right="-3"/>
        <w:jc w:val="both"/>
        <w:rPr>
          <w:snapToGrid w:val="0"/>
          <w:lang w:val="es-ES_tradnl"/>
        </w:rPr>
      </w:pPr>
    </w:p>
    <w:p w:rsidR="007E15AB" w:rsidRPr="00EB5B1D" w:rsidRDefault="00D872C1" w:rsidP="00D872C1">
      <w:pPr>
        <w:jc w:val="both"/>
        <w:rPr>
          <w:snapToGrid w:val="0"/>
          <w:szCs w:val="22"/>
          <w:lang w:val="fr-CH"/>
        </w:rPr>
      </w:pPr>
      <w:r w:rsidRPr="00EB5B1D">
        <w:rPr>
          <w:snapToGrid w:val="0"/>
          <w:lang w:val="es-ES_tradnl"/>
        </w:rPr>
        <w:t xml:space="preserve">Para tener una lista completa y actualizada de Estados y organizaciones regionales de integración económica que han ratificado el Convenio de </w:t>
      </w:r>
      <w:r w:rsidR="007D514A" w:rsidRPr="00EB5B1D">
        <w:rPr>
          <w:snapToGrid w:val="0"/>
          <w:lang w:val="es-ES_tradnl"/>
        </w:rPr>
        <w:t>Rotterdam</w:t>
      </w:r>
      <w:r w:rsidRPr="00EB5B1D">
        <w:rPr>
          <w:snapToGrid w:val="0"/>
          <w:lang w:val="es-ES_tradnl"/>
        </w:rPr>
        <w:t>, sírvase consultar la página del Convenio</w:t>
      </w:r>
      <w:r w:rsidR="007E15AB" w:rsidRPr="00EB5B1D">
        <w:rPr>
          <w:snapToGrid w:val="0"/>
          <w:szCs w:val="22"/>
          <w:lang w:val="fr-CH"/>
        </w:rPr>
        <w:t>.</w:t>
      </w:r>
    </w:p>
    <w:p w:rsidR="001F3F1A" w:rsidRPr="00EB5B1D" w:rsidRDefault="001F3F1A" w:rsidP="001F3F1A">
      <w:pPr>
        <w:jc w:val="both"/>
        <w:rPr>
          <w:snapToGrid w:val="0"/>
          <w:szCs w:val="22"/>
          <w:lang w:val="fr-CH"/>
        </w:rPr>
      </w:pPr>
    </w:p>
    <w:p w:rsidR="001F3F1A" w:rsidRPr="00EB5B1D" w:rsidRDefault="001F3F1A" w:rsidP="001F3F1A">
      <w:pPr>
        <w:jc w:val="both"/>
        <w:outlineLvl w:val="1"/>
        <w:rPr>
          <w:b/>
          <w:snapToGrid w:val="0"/>
          <w:szCs w:val="22"/>
          <w:lang w:val="fr-CH"/>
        </w:rPr>
      </w:pPr>
      <w:bookmarkStart w:id="109" w:name="_Toc484686628"/>
      <w:r w:rsidRPr="00EB5B1D">
        <w:rPr>
          <w:b/>
          <w:snapToGrid w:val="0"/>
          <w:szCs w:val="22"/>
          <w:lang w:val="fr-CH"/>
        </w:rPr>
        <w:t>3.2</w:t>
      </w:r>
      <w:r w:rsidRPr="00EB5B1D">
        <w:rPr>
          <w:b/>
          <w:snapToGrid w:val="0"/>
          <w:szCs w:val="22"/>
          <w:lang w:val="fr-CH"/>
        </w:rPr>
        <w:tab/>
      </w:r>
      <w:bookmarkEnd w:id="100"/>
      <w:bookmarkEnd w:id="101"/>
      <w:bookmarkEnd w:id="102"/>
      <w:bookmarkEnd w:id="103"/>
      <w:bookmarkEnd w:id="104"/>
      <w:bookmarkEnd w:id="105"/>
      <w:bookmarkEnd w:id="106"/>
      <w:bookmarkEnd w:id="107"/>
      <w:bookmarkEnd w:id="108"/>
      <w:r w:rsidR="00F8382E" w:rsidRPr="00EB5B1D">
        <w:rPr>
          <w:b/>
          <w:snapToGrid w:val="0"/>
          <w:lang w:val="es-ES_tradnl"/>
        </w:rPr>
        <w:t xml:space="preserve">Lista de Documentos </w:t>
      </w:r>
      <w:proofErr w:type="gramStart"/>
      <w:r w:rsidR="00F8382E" w:rsidRPr="00EB5B1D">
        <w:rPr>
          <w:b/>
          <w:snapToGrid w:val="0"/>
          <w:lang w:val="es-ES_tradnl"/>
        </w:rPr>
        <w:t>de asistencia</w:t>
      </w:r>
      <w:proofErr w:type="gramEnd"/>
      <w:r w:rsidR="00F8382E" w:rsidRPr="00EB5B1D">
        <w:rPr>
          <w:b/>
          <w:snapToGrid w:val="0"/>
          <w:lang w:val="es-ES_tradnl"/>
        </w:rPr>
        <w:t xml:space="preserve"> para la implementación el Convenio de </w:t>
      </w:r>
      <w:r w:rsidR="007D514A" w:rsidRPr="00EB5B1D">
        <w:rPr>
          <w:b/>
          <w:snapToGrid w:val="0"/>
          <w:lang w:val="es-ES_tradnl"/>
        </w:rPr>
        <w:t>Rotterdam</w:t>
      </w:r>
      <w:bookmarkEnd w:id="109"/>
    </w:p>
    <w:p w:rsidR="001F3F1A" w:rsidRPr="00EB5B1D" w:rsidRDefault="001F3F1A" w:rsidP="001F3F1A">
      <w:pPr>
        <w:jc w:val="both"/>
        <w:rPr>
          <w:snapToGrid w:val="0"/>
          <w:szCs w:val="22"/>
          <w:lang w:val="fr-CH"/>
        </w:rPr>
      </w:pPr>
    </w:p>
    <w:p w:rsidR="00F8382E" w:rsidRPr="00EB5B1D" w:rsidRDefault="00F8382E" w:rsidP="00F8382E">
      <w:pPr>
        <w:snapToGrid w:val="0"/>
        <w:ind w:right="-1"/>
        <w:jc w:val="both"/>
        <w:rPr>
          <w:snapToGrid w:val="0"/>
          <w:lang w:val="es-ES_tradnl"/>
        </w:rPr>
      </w:pPr>
      <w:r w:rsidRPr="00EB5B1D">
        <w:rPr>
          <w:snapToGrid w:val="0"/>
          <w:lang w:val="es-ES_tradnl"/>
        </w:rPr>
        <w:t xml:space="preserve">Los </w:t>
      </w:r>
      <w:r w:rsidR="00A63A29" w:rsidRPr="00EB5B1D">
        <w:rPr>
          <w:snapToGrid w:val="0"/>
          <w:lang w:val="es-ES_tradnl"/>
        </w:rPr>
        <w:t xml:space="preserve">siguientes </w:t>
      </w:r>
      <w:r w:rsidRPr="00EB5B1D">
        <w:rPr>
          <w:snapToGrid w:val="0"/>
          <w:lang w:val="es-ES_tradnl"/>
        </w:rPr>
        <w:t xml:space="preserve">documentos </w:t>
      </w:r>
      <w:r w:rsidR="00A63A29" w:rsidRPr="00EB5B1D">
        <w:rPr>
          <w:snapToGrid w:val="0"/>
          <w:lang w:val="es-ES_tradnl"/>
        </w:rPr>
        <w:t>conciernen</w:t>
      </w:r>
      <w:r w:rsidRPr="00EB5B1D">
        <w:rPr>
          <w:snapToGrid w:val="0"/>
          <w:lang w:val="es-ES_tradnl"/>
        </w:rPr>
        <w:t xml:space="preserve"> la implementación del Convenio de </w:t>
      </w:r>
      <w:r w:rsidR="007D514A" w:rsidRPr="00EB5B1D">
        <w:rPr>
          <w:snapToGrid w:val="0"/>
          <w:lang w:val="es-ES_tradnl"/>
        </w:rPr>
        <w:t>Rotterdam</w:t>
      </w:r>
      <w:r w:rsidR="00A63A29" w:rsidRPr="00EB5B1D">
        <w:rPr>
          <w:snapToGrid w:val="0"/>
          <w:lang w:val="es-ES_tradnl"/>
        </w:rPr>
        <w:t xml:space="preserve">, </w:t>
      </w:r>
      <w:r w:rsidRPr="00EB5B1D">
        <w:rPr>
          <w:snapToGrid w:val="0"/>
          <w:lang w:val="es-ES_tradnl"/>
        </w:rPr>
        <w:t xml:space="preserve">se </w:t>
      </w:r>
      <w:r w:rsidR="00A63A29" w:rsidRPr="00EB5B1D">
        <w:rPr>
          <w:snapToGrid w:val="0"/>
          <w:lang w:val="es-ES_tradnl"/>
        </w:rPr>
        <w:t>pueden</w:t>
      </w:r>
      <w:r w:rsidRPr="00EB5B1D">
        <w:rPr>
          <w:snapToGrid w:val="0"/>
          <w:lang w:val="es-ES_tradnl"/>
        </w:rPr>
        <w:t xml:space="preserve"> obtener en la página del Convenio o bien solicitándolos a la Secretaría.  </w:t>
      </w:r>
    </w:p>
    <w:p w:rsidR="00F8382E" w:rsidRPr="00EB5B1D" w:rsidRDefault="00F8382E" w:rsidP="00F8382E">
      <w:pPr>
        <w:snapToGrid w:val="0"/>
        <w:ind w:right="-1"/>
        <w:jc w:val="both"/>
        <w:rPr>
          <w:snapToGrid w:val="0"/>
          <w:lang w:val="es-ES_tradnl"/>
        </w:rPr>
      </w:pPr>
    </w:p>
    <w:p w:rsidR="00F8382E" w:rsidRPr="00EB5B1D" w:rsidRDefault="00F8382E" w:rsidP="00494FD5">
      <w:pPr>
        <w:numPr>
          <w:ilvl w:val="0"/>
          <w:numId w:val="2"/>
        </w:numPr>
        <w:tabs>
          <w:tab w:val="num" w:pos="450"/>
        </w:tabs>
        <w:snapToGrid w:val="0"/>
        <w:spacing w:after="120"/>
        <w:ind w:left="450" w:right="-1" w:hanging="450"/>
        <w:jc w:val="both"/>
        <w:rPr>
          <w:snapToGrid w:val="0"/>
          <w:lang w:val="es-ES_tradnl"/>
        </w:rPr>
      </w:pPr>
      <w:r w:rsidRPr="00EB5B1D">
        <w:rPr>
          <w:snapToGrid w:val="0"/>
          <w:lang w:val="es-ES_tradnl"/>
        </w:rPr>
        <w:t xml:space="preserve">El Convenio de </w:t>
      </w:r>
      <w:r w:rsidR="007D514A" w:rsidRPr="00EB5B1D">
        <w:rPr>
          <w:snapToGrid w:val="0"/>
          <w:lang w:val="es-ES_tradnl"/>
        </w:rPr>
        <w:t>Rotterdam</w:t>
      </w:r>
      <w:r w:rsidRPr="00EB5B1D">
        <w:rPr>
          <w:snapToGrid w:val="0"/>
          <w:lang w:val="es-ES_tradnl"/>
        </w:rPr>
        <w:t xml:space="preserve"> sobre el </w:t>
      </w:r>
      <w:r w:rsidR="00296313" w:rsidRPr="00EB5B1D">
        <w:rPr>
          <w:snapToGrid w:val="0"/>
          <w:lang w:val="es-ES_tradnl"/>
        </w:rPr>
        <w:t>p</w:t>
      </w:r>
      <w:r w:rsidRPr="00EB5B1D">
        <w:rPr>
          <w:snapToGrid w:val="0"/>
          <w:lang w:val="es-ES_tradnl"/>
        </w:rPr>
        <w:t>rocedimiento de Consentimiento Fundamentado Previo aplicable a ciertos plaguicidas y productos químicos peligrosos objeto de Comercio internacional (</w:t>
      </w:r>
      <w:r w:rsidRPr="00EB5B1D">
        <w:rPr>
          <w:i/>
          <w:snapToGrid w:val="0"/>
          <w:lang w:val="es-ES_tradnl"/>
        </w:rPr>
        <w:t>disponible en árabe, chino, español, francés, inglés y ruso</w:t>
      </w:r>
      <w:r w:rsidRPr="00EB5B1D">
        <w:rPr>
          <w:snapToGrid w:val="0"/>
          <w:lang w:val="es-ES_tradnl"/>
        </w:rPr>
        <w:t>);</w:t>
      </w:r>
    </w:p>
    <w:p w:rsidR="00F8382E" w:rsidRPr="00EB5B1D" w:rsidRDefault="00F8382E" w:rsidP="00494FD5">
      <w:pPr>
        <w:numPr>
          <w:ilvl w:val="0"/>
          <w:numId w:val="2"/>
        </w:numPr>
        <w:tabs>
          <w:tab w:val="num" w:pos="450"/>
        </w:tabs>
        <w:snapToGrid w:val="0"/>
        <w:spacing w:after="120"/>
        <w:ind w:left="450" w:hanging="450"/>
        <w:jc w:val="both"/>
        <w:rPr>
          <w:snapToGrid w:val="0"/>
          <w:lang w:val="es-ES_tradnl"/>
        </w:rPr>
      </w:pPr>
      <w:r w:rsidRPr="00EB5B1D">
        <w:rPr>
          <w:snapToGrid w:val="0"/>
          <w:lang w:val="es-ES_tradnl"/>
        </w:rPr>
        <w:t xml:space="preserve">Documentos de orientación para la adopción de decisiones para cada uno de los productos químicos enumerados en el </w:t>
      </w:r>
      <w:r w:rsidR="004A20D8" w:rsidRPr="00EB5B1D">
        <w:rPr>
          <w:snapToGrid w:val="0"/>
          <w:lang w:val="es-ES_tradnl"/>
        </w:rPr>
        <w:t>anexo</w:t>
      </w:r>
      <w:r w:rsidRPr="00EB5B1D">
        <w:rPr>
          <w:snapToGrid w:val="0"/>
          <w:lang w:val="es-ES_tradnl"/>
        </w:rPr>
        <w:t xml:space="preserve"> III del Convenio (</w:t>
      </w:r>
      <w:r w:rsidRPr="00EB5B1D">
        <w:rPr>
          <w:i/>
          <w:snapToGrid w:val="0"/>
          <w:lang w:val="es-ES_tradnl"/>
        </w:rPr>
        <w:t>disponible en español, francés e inglés</w:t>
      </w:r>
      <w:r w:rsidRPr="00EB5B1D">
        <w:rPr>
          <w:snapToGrid w:val="0"/>
          <w:lang w:val="es-ES_tradnl"/>
        </w:rPr>
        <w:t>);</w:t>
      </w:r>
    </w:p>
    <w:p w:rsidR="00F8382E" w:rsidRPr="00EB5B1D" w:rsidRDefault="00F8382E" w:rsidP="00494FD5">
      <w:pPr>
        <w:numPr>
          <w:ilvl w:val="0"/>
          <w:numId w:val="2"/>
        </w:numPr>
        <w:tabs>
          <w:tab w:val="num" w:pos="450"/>
        </w:tabs>
        <w:snapToGrid w:val="0"/>
        <w:spacing w:after="120"/>
        <w:ind w:left="450" w:hanging="450"/>
        <w:jc w:val="both"/>
        <w:rPr>
          <w:snapToGrid w:val="0"/>
          <w:lang w:val="es-ES_tradnl"/>
        </w:rPr>
      </w:pPr>
      <w:r w:rsidRPr="00EB5B1D">
        <w:rPr>
          <w:snapToGrid w:val="0"/>
          <w:lang w:val="es-ES_tradnl"/>
        </w:rPr>
        <w:t>Formulario e instrucciones para la notificación de medida reglamentaria firme para prohibir o restringir rigurosamente un producto químico e instrucciones (</w:t>
      </w:r>
      <w:r w:rsidRPr="00EB5B1D">
        <w:rPr>
          <w:i/>
          <w:snapToGrid w:val="0"/>
          <w:lang w:val="es-ES_tradnl"/>
        </w:rPr>
        <w:t>disponible en español, francés e inglés</w:t>
      </w:r>
      <w:r w:rsidRPr="00EB5B1D">
        <w:rPr>
          <w:snapToGrid w:val="0"/>
          <w:lang w:val="es-ES_tradnl"/>
        </w:rPr>
        <w:t>);</w:t>
      </w:r>
    </w:p>
    <w:p w:rsidR="00F8382E" w:rsidRPr="00EB5B1D" w:rsidRDefault="00F8382E" w:rsidP="00494FD5">
      <w:pPr>
        <w:numPr>
          <w:ilvl w:val="0"/>
          <w:numId w:val="2"/>
        </w:numPr>
        <w:tabs>
          <w:tab w:val="num" w:pos="450"/>
        </w:tabs>
        <w:snapToGrid w:val="0"/>
        <w:spacing w:after="120"/>
        <w:ind w:left="450" w:hanging="450"/>
        <w:jc w:val="both"/>
        <w:rPr>
          <w:snapToGrid w:val="0"/>
          <w:lang w:val="es-ES_tradnl"/>
        </w:rPr>
      </w:pPr>
      <w:r w:rsidRPr="00EB5B1D">
        <w:rPr>
          <w:snapToGrid w:val="0"/>
          <w:lang w:val="es-ES_tradnl"/>
        </w:rPr>
        <w:t>Formulario e instrucciones para la respuesta sobre la importación (</w:t>
      </w:r>
      <w:r w:rsidRPr="00EB5B1D">
        <w:rPr>
          <w:i/>
          <w:snapToGrid w:val="0"/>
          <w:lang w:val="es-ES_tradnl"/>
        </w:rPr>
        <w:t>disponible en español, francés e inglés</w:t>
      </w:r>
      <w:r w:rsidRPr="00EB5B1D">
        <w:rPr>
          <w:snapToGrid w:val="0"/>
          <w:lang w:val="es-ES_tradnl"/>
        </w:rPr>
        <w:t>);</w:t>
      </w:r>
    </w:p>
    <w:p w:rsidR="00F8382E" w:rsidRPr="00EB5B1D" w:rsidRDefault="00F8382E" w:rsidP="00494FD5">
      <w:pPr>
        <w:numPr>
          <w:ilvl w:val="0"/>
          <w:numId w:val="2"/>
        </w:numPr>
        <w:tabs>
          <w:tab w:val="num" w:pos="450"/>
        </w:tabs>
        <w:snapToGrid w:val="0"/>
        <w:spacing w:after="120"/>
        <w:ind w:left="450" w:hanging="450"/>
        <w:jc w:val="both"/>
        <w:rPr>
          <w:snapToGrid w:val="0"/>
          <w:lang w:val="es-ES_tradnl"/>
        </w:rPr>
      </w:pPr>
      <w:r w:rsidRPr="00EB5B1D">
        <w:rPr>
          <w:snapToGrid w:val="0"/>
          <w:lang w:val="es-ES_tradnl"/>
        </w:rPr>
        <w:t>Formulario e instrucciones sobre los incidentes para la salud humana y los incidentes del medio ambiente sobre las formulaciones plaguicidas extremadamente peligrosas (FPEP) (</w:t>
      </w:r>
      <w:r w:rsidRPr="00EB5B1D">
        <w:rPr>
          <w:i/>
          <w:snapToGrid w:val="0"/>
          <w:lang w:val="es-ES_tradnl"/>
        </w:rPr>
        <w:t>disponible en español, francés e inglés</w:t>
      </w:r>
      <w:r w:rsidRPr="00EB5B1D">
        <w:rPr>
          <w:snapToGrid w:val="0"/>
          <w:lang w:val="es-ES_tradnl"/>
        </w:rPr>
        <w:t>);</w:t>
      </w:r>
    </w:p>
    <w:p w:rsidR="00F8382E" w:rsidRPr="00EB5B1D" w:rsidRDefault="00F8382E" w:rsidP="00494FD5">
      <w:pPr>
        <w:numPr>
          <w:ilvl w:val="0"/>
          <w:numId w:val="2"/>
        </w:numPr>
        <w:tabs>
          <w:tab w:val="num" w:pos="450"/>
        </w:tabs>
        <w:snapToGrid w:val="0"/>
        <w:spacing w:after="120"/>
        <w:ind w:left="450" w:hanging="450"/>
        <w:jc w:val="both"/>
        <w:rPr>
          <w:snapToGrid w:val="0"/>
          <w:lang w:val="es-ES_tradnl"/>
        </w:rPr>
      </w:pPr>
      <w:r w:rsidRPr="00EB5B1D">
        <w:rPr>
          <w:snapToGrid w:val="0"/>
          <w:lang w:val="es-ES_tradnl"/>
        </w:rPr>
        <w:t>Formulario e instrucciones para la notificación de exportación (</w:t>
      </w:r>
      <w:r w:rsidRPr="00EB5B1D">
        <w:rPr>
          <w:i/>
          <w:snapToGrid w:val="0"/>
          <w:lang w:val="es-ES_tradnl"/>
        </w:rPr>
        <w:t>disponible en español, francés e inglés</w:t>
      </w:r>
      <w:r w:rsidRPr="00EB5B1D">
        <w:rPr>
          <w:snapToGrid w:val="0"/>
          <w:lang w:val="es-ES_tradnl"/>
        </w:rPr>
        <w:t>);</w:t>
      </w:r>
    </w:p>
    <w:p w:rsidR="00F8382E" w:rsidRPr="00EB5B1D" w:rsidRDefault="00F8382E" w:rsidP="00494FD5">
      <w:pPr>
        <w:numPr>
          <w:ilvl w:val="0"/>
          <w:numId w:val="2"/>
        </w:numPr>
        <w:tabs>
          <w:tab w:val="num" w:pos="450"/>
        </w:tabs>
        <w:snapToGrid w:val="0"/>
        <w:spacing w:after="120"/>
        <w:ind w:left="450" w:hanging="450"/>
        <w:jc w:val="both"/>
        <w:rPr>
          <w:snapToGrid w:val="0"/>
          <w:lang w:val="es-ES_tradnl"/>
        </w:rPr>
      </w:pPr>
      <w:r w:rsidRPr="00EB5B1D">
        <w:rPr>
          <w:snapToGrid w:val="0"/>
          <w:lang w:val="es-ES_tradnl"/>
        </w:rPr>
        <w:t>Formulario de notificación de nombramiento(s) de contacto(s) (</w:t>
      </w:r>
      <w:r w:rsidRPr="00EB5B1D">
        <w:rPr>
          <w:i/>
          <w:snapToGrid w:val="0"/>
          <w:lang w:val="es-ES_tradnl"/>
        </w:rPr>
        <w:t>disponible en español, francés e inglés</w:t>
      </w:r>
      <w:r w:rsidRPr="00EB5B1D">
        <w:rPr>
          <w:snapToGrid w:val="0"/>
          <w:lang w:val="es-ES_tradnl"/>
        </w:rPr>
        <w:t>);</w:t>
      </w:r>
    </w:p>
    <w:p w:rsidR="00F8382E" w:rsidRPr="00EB5B1D" w:rsidRDefault="00F8382E" w:rsidP="00494FD5">
      <w:pPr>
        <w:numPr>
          <w:ilvl w:val="0"/>
          <w:numId w:val="2"/>
        </w:numPr>
        <w:tabs>
          <w:tab w:val="num" w:pos="450"/>
        </w:tabs>
        <w:snapToGrid w:val="0"/>
        <w:spacing w:after="120"/>
        <w:ind w:left="450" w:hanging="450"/>
        <w:jc w:val="both"/>
        <w:rPr>
          <w:snapToGrid w:val="0"/>
          <w:u w:val="single"/>
          <w:lang w:val="es-ES_tradnl"/>
        </w:rPr>
      </w:pPr>
      <w:r w:rsidRPr="00EB5B1D">
        <w:rPr>
          <w:snapToGrid w:val="0"/>
          <w:lang w:val="es-ES_tradnl"/>
        </w:rPr>
        <w:t>Todas las Circulares CFP anteriores (</w:t>
      </w:r>
      <w:r w:rsidRPr="00EB5B1D">
        <w:rPr>
          <w:i/>
          <w:snapToGrid w:val="0"/>
          <w:lang w:val="es-ES_tradnl"/>
        </w:rPr>
        <w:t>disponible español, francés e inglés</w:t>
      </w:r>
      <w:r w:rsidRPr="00EB5B1D">
        <w:rPr>
          <w:snapToGrid w:val="0"/>
          <w:lang w:val="es-ES_tradnl"/>
        </w:rPr>
        <w:t>).</w:t>
      </w:r>
    </w:p>
    <w:p w:rsidR="001F3F1A" w:rsidRPr="00EB5B1D" w:rsidRDefault="00F8382E" w:rsidP="00494FD5">
      <w:pPr>
        <w:numPr>
          <w:ilvl w:val="0"/>
          <w:numId w:val="2"/>
        </w:numPr>
        <w:tabs>
          <w:tab w:val="num" w:pos="450"/>
        </w:tabs>
        <w:snapToGrid w:val="0"/>
        <w:spacing w:after="120"/>
        <w:ind w:left="450" w:hanging="450"/>
        <w:jc w:val="both"/>
        <w:rPr>
          <w:snapToGrid w:val="0"/>
          <w:u w:val="single"/>
          <w:lang w:val="es-ES_tradnl"/>
        </w:rPr>
      </w:pPr>
      <w:r w:rsidRPr="00EB5B1D">
        <w:rPr>
          <w:snapToGrid w:val="0"/>
          <w:lang w:val="es-ES_tradnl"/>
        </w:rPr>
        <w:t xml:space="preserve">Registro de las Autoridades Nacionales Designadas para el Convenio de </w:t>
      </w:r>
      <w:r w:rsidR="007D514A" w:rsidRPr="00EB5B1D">
        <w:rPr>
          <w:snapToGrid w:val="0"/>
          <w:lang w:val="es-ES_tradnl"/>
        </w:rPr>
        <w:t>Rotterdam</w:t>
      </w:r>
      <w:r w:rsidRPr="00EB5B1D">
        <w:rPr>
          <w:snapToGrid w:val="0"/>
          <w:lang w:val="es-ES_tradnl"/>
        </w:rPr>
        <w:t xml:space="preserve"> (</w:t>
      </w:r>
      <w:r w:rsidRPr="00EB5B1D">
        <w:rPr>
          <w:i/>
          <w:snapToGrid w:val="0"/>
          <w:lang w:val="es-ES_tradnl"/>
        </w:rPr>
        <w:t>disponible solamente en inglés</w:t>
      </w:r>
      <w:r w:rsidRPr="00EB5B1D">
        <w:rPr>
          <w:snapToGrid w:val="0"/>
          <w:lang w:val="es-ES_tradnl"/>
        </w:rPr>
        <w:t>).</w:t>
      </w:r>
    </w:p>
    <w:p w:rsidR="001F3F1A" w:rsidRPr="00EB5B1D" w:rsidRDefault="001F3F1A" w:rsidP="001F3F1A">
      <w:pPr>
        <w:jc w:val="both"/>
        <w:rPr>
          <w:snapToGrid w:val="0"/>
          <w:szCs w:val="22"/>
          <w:lang w:val="fr-CH"/>
        </w:rPr>
      </w:pPr>
    </w:p>
    <w:p w:rsidR="001F3F1A" w:rsidRPr="00EB5B1D" w:rsidRDefault="001F3F1A" w:rsidP="001F3F1A">
      <w:pPr>
        <w:jc w:val="both"/>
        <w:outlineLvl w:val="1"/>
        <w:rPr>
          <w:b/>
          <w:snapToGrid w:val="0"/>
          <w:szCs w:val="22"/>
          <w:lang w:val="fr-CH"/>
        </w:rPr>
      </w:pPr>
      <w:bookmarkStart w:id="110" w:name="_Toc264393117"/>
      <w:bookmarkStart w:id="111" w:name="_Toc264391970"/>
      <w:bookmarkStart w:id="112" w:name="_Toc484686629"/>
      <w:r w:rsidRPr="00EB5B1D">
        <w:rPr>
          <w:b/>
          <w:snapToGrid w:val="0"/>
          <w:szCs w:val="22"/>
          <w:lang w:val="fr-CH"/>
        </w:rPr>
        <w:t>3.3</w:t>
      </w:r>
      <w:r w:rsidRPr="00EB5B1D">
        <w:rPr>
          <w:b/>
          <w:snapToGrid w:val="0"/>
          <w:szCs w:val="22"/>
          <w:lang w:val="fr-CH"/>
        </w:rPr>
        <w:tab/>
      </w:r>
      <w:bookmarkEnd w:id="110"/>
      <w:bookmarkEnd w:id="111"/>
      <w:r w:rsidR="00F8382E" w:rsidRPr="00EB5B1D">
        <w:rPr>
          <w:b/>
          <w:snapToGrid w:val="0"/>
          <w:szCs w:val="22"/>
          <w:lang w:val="fr-CH"/>
        </w:rPr>
        <w:t xml:space="preserve">Kit de Recursos </w:t>
      </w:r>
      <w:proofErr w:type="gramStart"/>
      <w:r w:rsidR="00F8382E" w:rsidRPr="00EB5B1D">
        <w:rPr>
          <w:b/>
          <w:snapToGrid w:val="0"/>
          <w:szCs w:val="22"/>
          <w:lang w:val="fr-CH"/>
        </w:rPr>
        <w:t>de información</w:t>
      </w:r>
      <w:proofErr w:type="gramEnd"/>
      <w:r w:rsidR="00F8382E" w:rsidRPr="00EB5B1D">
        <w:rPr>
          <w:b/>
          <w:snapToGrid w:val="0"/>
          <w:szCs w:val="22"/>
          <w:lang w:val="fr-CH"/>
        </w:rPr>
        <w:t xml:space="preserve"> sobre el Convenio de </w:t>
      </w:r>
      <w:r w:rsidR="007D514A" w:rsidRPr="00EB5B1D">
        <w:rPr>
          <w:b/>
          <w:snapToGrid w:val="0"/>
          <w:szCs w:val="22"/>
          <w:lang w:val="fr-CH"/>
        </w:rPr>
        <w:t>Rotterdam</w:t>
      </w:r>
      <w:bookmarkEnd w:id="112"/>
    </w:p>
    <w:p w:rsidR="001F3F1A" w:rsidRPr="00EB5B1D" w:rsidRDefault="001F3F1A" w:rsidP="001F3F1A">
      <w:pPr>
        <w:jc w:val="both"/>
        <w:rPr>
          <w:b/>
          <w:i/>
          <w:snapToGrid w:val="0"/>
          <w:szCs w:val="22"/>
          <w:lang w:val="fr-CH"/>
        </w:rPr>
      </w:pPr>
    </w:p>
    <w:p w:rsidR="00D872C1" w:rsidRPr="00EB5B1D" w:rsidRDefault="00D872C1" w:rsidP="00D872C1">
      <w:pPr>
        <w:snapToGrid w:val="0"/>
        <w:ind w:right="71"/>
        <w:jc w:val="both"/>
        <w:rPr>
          <w:snapToGrid w:val="0"/>
          <w:lang w:val="es-ES_tradnl"/>
        </w:rPr>
      </w:pPr>
      <w:r w:rsidRPr="00EB5B1D">
        <w:rPr>
          <w:snapToGrid w:val="0"/>
          <w:lang w:val="es-ES_tradnl"/>
        </w:rPr>
        <w:t xml:space="preserve">El Kit de recursos es una recopilación de publicaciones que contienen información sobre el Convenio de </w:t>
      </w:r>
      <w:r w:rsidR="007D514A" w:rsidRPr="00EB5B1D">
        <w:rPr>
          <w:snapToGrid w:val="0"/>
          <w:lang w:val="es-ES_tradnl"/>
        </w:rPr>
        <w:t>Rotterdam</w:t>
      </w:r>
      <w:r w:rsidRPr="00EB5B1D">
        <w:rPr>
          <w:snapToGrid w:val="0"/>
          <w:lang w:val="es-ES_tradnl"/>
        </w:rPr>
        <w:t xml:space="preserve">. Se ha preparado teniendo en cuenta una gama de usuarios finales que incluye el público en general, las Autoridades Nacionales Designadas y las entidades interesadas en la implementación del Convenio. Incluye elementos para ofrecer asistencia en actividades de sensibilización e información técnica detallada, y materiales de capacitación dirigidos a facilitar la implementación del Convenio. Todos los documentos contenidos en el kit de Recursos se pueden obtener en la página web del Convenio de </w:t>
      </w:r>
      <w:r w:rsidR="007D514A" w:rsidRPr="00EB5B1D">
        <w:rPr>
          <w:snapToGrid w:val="0"/>
          <w:lang w:val="es-ES_tradnl"/>
        </w:rPr>
        <w:t>Rotterdam</w:t>
      </w:r>
      <w:r w:rsidRPr="00EB5B1D">
        <w:rPr>
          <w:snapToGrid w:val="0"/>
          <w:lang w:val="es-ES_tradnl"/>
        </w:rPr>
        <w:t xml:space="preserve"> </w:t>
      </w:r>
      <w:r w:rsidRPr="00EB5B1D">
        <w:rPr>
          <w:lang w:val="es-ES_tradnl"/>
        </w:rPr>
        <w:t xml:space="preserve">o bien solicitándolos a la Secretaría. </w:t>
      </w:r>
    </w:p>
    <w:p w:rsidR="00D872C1" w:rsidRPr="00EB5B1D" w:rsidRDefault="00D872C1" w:rsidP="00D872C1">
      <w:pPr>
        <w:snapToGrid w:val="0"/>
        <w:ind w:right="71"/>
        <w:jc w:val="both"/>
        <w:rPr>
          <w:snapToGrid w:val="0"/>
          <w:lang w:val="es-ES_tradnl"/>
        </w:rPr>
      </w:pPr>
    </w:p>
    <w:p w:rsidR="001F3F1A" w:rsidRPr="00EB5B1D" w:rsidRDefault="00D872C1" w:rsidP="00D872C1">
      <w:pPr>
        <w:jc w:val="both"/>
        <w:rPr>
          <w:snapToGrid w:val="0"/>
          <w:szCs w:val="22"/>
          <w:lang w:val="fr-CH"/>
        </w:rPr>
      </w:pPr>
      <w:r w:rsidRPr="00EB5B1D">
        <w:rPr>
          <w:lang w:val="es-ES_tradnl"/>
        </w:rPr>
        <w:t>La Guía Progresiva es un documento elaborado como introducción al Kit de Recursos y a las publicaciones que incluye. Ofrece una breve reseña del contenido de cada publicación, indicando a qué usuario está destinada y también en qué idiomas está disponible (la mayoría de las publicaciones están disponibles actualmente en seis idiomas</w:t>
      </w:r>
      <w:r w:rsidR="00F8382E" w:rsidRPr="00EB5B1D">
        <w:rPr>
          <w:lang w:val="es-ES_tradnl"/>
        </w:rPr>
        <w:t>).</w:t>
      </w:r>
      <w:r w:rsidR="001F3F1A" w:rsidRPr="00EB5B1D">
        <w:rPr>
          <w:snapToGrid w:val="0"/>
          <w:szCs w:val="22"/>
          <w:lang w:val="fr-CH"/>
        </w:rPr>
        <w:t xml:space="preserve"> </w:t>
      </w:r>
    </w:p>
    <w:p w:rsidR="001F3F1A" w:rsidRPr="00EB5B1D" w:rsidRDefault="001F3F1A" w:rsidP="001F3F1A">
      <w:pPr>
        <w:jc w:val="both"/>
        <w:rPr>
          <w:snapToGrid w:val="0"/>
          <w:szCs w:val="22"/>
          <w:lang w:val="fr-CH"/>
        </w:rPr>
      </w:pPr>
    </w:p>
    <w:p w:rsidR="001F3F1A" w:rsidRPr="00EB5B1D" w:rsidRDefault="001F3F1A" w:rsidP="001F3F1A">
      <w:pPr>
        <w:jc w:val="both"/>
        <w:rPr>
          <w:snapToGrid w:val="0"/>
          <w:szCs w:val="22"/>
          <w:lang w:val="fr-CH"/>
        </w:rPr>
      </w:pPr>
    </w:p>
    <w:p w:rsidR="00544A0D" w:rsidRPr="00EB5B1D" w:rsidRDefault="00544A0D" w:rsidP="001F3F1A">
      <w:pPr>
        <w:jc w:val="both"/>
        <w:rPr>
          <w:snapToGrid w:val="0"/>
          <w:szCs w:val="22"/>
          <w:lang w:val="fr-CH"/>
        </w:rPr>
      </w:pPr>
    </w:p>
    <w:p w:rsidR="001F3F1A" w:rsidRPr="00EB5B1D" w:rsidRDefault="00F8382E" w:rsidP="001F3F1A">
      <w:pPr>
        <w:jc w:val="both"/>
        <w:rPr>
          <w:b/>
          <w:snapToGrid w:val="0"/>
          <w:szCs w:val="22"/>
          <w:lang w:val="fr-CH"/>
        </w:rPr>
      </w:pPr>
      <w:r w:rsidRPr="00EB5B1D">
        <w:rPr>
          <w:b/>
          <w:snapToGrid w:val="0"/>
          <w:lang w:val="es-ES_tradnl"/>
        </w:rPr>
        <w:t xml:space="preserve">Para cualquier aclaración respecto el desarrollo y funcionamiento del Convenio de </w:t>
      </w:r>
      <w:r w:rsidR="007D514A" w:rsidRPr="00EB5B1D">
        <w:rPr>
          <w:b/>
          <w:snapToGrid w:val="0"/>
          <w:lang w:val="es-ES_tradnl"/>
        </w:rPr>
        <w:t>Rotterdam</w:t>
      </w:r>
      <w:r w:rsidRPr="00EB5B1D">
        <w:rPr>
          <w:b/>
          <w:snapToGrid w:val="0"/>
          <w:lang w:val="es-ES_tradnl"/>
        </w:rPr>
        <w:t>, rogamos se ponga en contacto con la Secretaría a las direcciones siguientes</w:t>
      </w:r>
      <w:r w:rsidR="001F3F1A" w:rsidRPr="00EB5B1D">
        <w:rPr>
          <w:b/>
          <w:snapToGrid w:val="0"/>
          <w:szCs w:val="22"/>
          <w:lang w:val="fr-CH"/>
        </w:rPr>
        <w:t>:</w:t>
      </w:r>
    </w:p>
    <w:p w:rsidR="001F3F1A" w:rsidRPr="00EB5B1D" w:rsidRDefault="001F3F1A" w:rsidP="001F3F1A">
      <w:pPr>
        <w:jc w:val="both"/>
        <w:rPr>
          <w:snapToGrid w:val="0"/>
          <w:szCs w:val="22"/>
          <w:lang w:val="fr-CH"/>
        </w:rPr>
      </w:pPr>
    </w:p>
    <w:tbl>
      <w:tblPr>
        <w:tblW w:w="9080" w:type="dxa"/>
        <w:jc w:val="center"/>
        <w:tblLayout w:type="fixed"/>
        <w:tblLook w:val="04A0" w:firstRow="1" w:lastRow="0" w:firstColumn="1" w:lastColumn="0" w:noHBand="0" w:noVBand="1"/>
      </w:tblPr>
      <w:tblGrid>
        <w:gridCol w:w="4540"/>
        <w:gridCol w:w="4540"/>
      </w:tblGrid>
      <w:tr w:rsidR="001F3F1A" w:rsidRPr="00EB5B1D" w:rsidTr="001F3F1A">
        <w:trPr>
          <w:trHeight w:val="1805"/>
          <w:jc w:val="center"/>
        </w:trPr>
        <w:tc>
          <w:tcPr>
            <w:tcW w:w="4540" w:type="dxa"/>
          </w:tcPr>
          <w:p w:rsidR="001F3F1A" w:rsidRPr="00EB5B1D" w:rsidRDefault="00F8382E" w:rsidP="001F3F1A">
            <w:pPr>
              <w:jc w:val="both"/>
              <w:rPr>
                <w:b/>
                <w:snapToGrid w:val="0"/>
                <w:lang w:val="fr-CH"/>
              </w:rPr>
            </w:pPr>
            <w:r w:rsidRPr="00EB5B1D">
              <w:rPr>
                <w:b/>
                <w:snapToGrid w:val="0"/>
                <w:lang w:val="es-ES_tradnl"/>
              </w:rPr>
              <w:t xml:space="preserve">Secretaría para el Convenio de </w:t>
            </w:r>
            <w:r w:rsidR="007D514A" w:rsidRPr="00EB5B1D">
              <w:rPr>
                <w:b/>
                <w:snapToGrid w:val="0"/>
                <w:lang w:val="es-ES_tradnl"/>
              </w:rPr>
              <w:t>Rotterdam</w:t>
            </w:r>
          </w:p>
          <w:p w:rsidR="001F3F1A" w:rsidRPr="00EB5B1D" w:rsidRDefault="001F3F1A" w:rsidP="00703DBB">
            <w:pPr>
              <w:spacing w:after="120"/>
              <w:jc w:val="both"/>
              <w:rPr>
                <w:b/>
                <w:snapToGrid w:val="0"/>
                <w:lang w:val="fr-CH"/>
              </w:rPr>
            </w:pPr>
            <w:r w:rsidRPr="00EB5B1D">
              <w:rPr>
                <w:b/>
                <w:snapToGrid w:val="0"/>
                <w:szCs w:val="22"/>
                <w:lang w:val="fr-CH"/>
              </w:rPr>
              <w:t>(FAO)</w:t>
            </w:r>
          </w:p>
          <w:p w:rsidR="001F3F1A" w:rsidRPr="00EB5B1D" w:rsidRDefault="001F3F1A" w:rsidP="001F3F1A">
            <w:pPr>
              <w:jc w:val="both"/>
              <w:rPr>
                <w:snapToGrid w:val="0"/>
                <w:lang w:val="it-IT"/>
              </w:rPr>
            </w:pPr>
            <w:r w:rsidRPr="00EB5B1D">
              <w:rPr>
                <w:snapToGrid w:val="0"/>
                <w:szCs w:val="22"/>
                <w:lang w:val="it-IT"/>
              </w:rPr>
              <w:t>Viale delle Terme di Caracalla</w:t>
            </w:r>
          </w:p>
          <w:p w:rsidR="001F3F1A" w:rsidRPr="00EB5B1D" w:rsidRDefault="001F3F1A" w:rsidP="001F3F1A">
            <w:pPr>
              <w:jc w:val="both"/>
              <w:rPr>
                <w:snapToGrid w:val="0"/>
                <w:lang w:val="it-IT"/>
              </w:rPr>
            </w:pPr>
            <w:r w:rsidRPr="00EB5B1D">
              <w:rPr>
                <w:snapToGrid w:val="0"/>
                <w:szCs w:val="22"/>
                <w:lang w:val="it-IT"/>
              </w:rPr>
              <w:t>00153 Rom</w:t>
            </w:r>
            <w:r w:rsidR="00A63A29" w:rsidRPr="00EB5B1D">
              <w:rPr>
                <w:snapToGrid w:val="0"/>
                <w:szCs w:val="22"/>
                <w:lang w:val="it-IT"/>
              </w:rPr>
              <w:t>a</w:t>
            </w:r>
            <w:r w:rsidRPr="00EB5B1D">
              <w:rPr>
                <w:snapToGrid w:val="0"/>
                <w:szCs w:val="22"/>
                <w:lang w:val="it-IT"/>
              </w:rPr>
              <w:t xml:space="preserve">, </w:t>
            </w:r>
            <w:r w:rsidR="006D3C1C" w:rsidRPr="00EB5B1D">
              <w:rPr>
                <w:snapToGrid w:val="0"/>
                <w:szCs w:val="22"/>
                <w:lang w:val="it-IT"/>
              </w:rPr>
              <w:t>Italia</w:t>
            </w:r>
          </w:p>
          <w:p w:rsidR="001F3F1A" w:rsidRPr="00EB5B1D" w:rsidRDefault="006950ED" w:rsidP="001F3F1A">
            <w:pPr>
              <w:jc w:val="both"/>
              <w:rPr>
                <w:snapToGrid w:val="0"/>
                <w:lang w:val="pt-PT"/>
              </w:rPr>
            </w:pPr>
            <w:r w:rsidRPr="00EB5B1D">
              <w:rPr>
                <w:snapToGrid w:val="0"/>
                <w:szCs w:val="22"/>
                <w:lang w:val="pt-PT"/>
              </w:rPr>
              <w:t xml:space="preserve">Fax: </w:t>
            </w:r>
            <w:r w:rsidR="001F3F1A" w:rsidRPr="00EB5B1D">
              <w:rPr>
                <w:snapToGrid w:val="0"/>
                <w:szCs w:val="22"/>
                <w:lang w:val="pt-PT"/>
              </w:rPr>
              <w:t>+39 06 5705 3224</w:t>
            </w:r>
          </w:p>
          <w:p w:rsidR="001F3F1A" w:rsidRPr="00EB5B1D" w:rsidRDefault="00F8382E">
            <w:pPr>
              <w:jc w:val="both"/>
              <w:rPr>
                <w:b/>
                <w:snapToGrid w:val="0"/>
                <w:lang w:val="it-IT"/>
              </w:rPr>
            </w:pPr>
            <w:r w:rsidRPr="00EB5B1D">
              <w:rPr>
                <w:snapToGrid w:val="0"/>
                <w:szCs w:val="22"/>
                <w:lang w:val="it-IT"/>
              </w:rPr>
              <w:t>Correo electrónico</w:t>
            </w:r>
            <w:r w:rsidR="001F3F1A" w:rsidRPr="00EB5B1D">
              <w:rPr>
                <w:snapToGrid w:val="0"/>
                <w:szCs w:val="22"/>
                <w:lang w:val="it-IT"/>
              </w:rPr>
              <w:t>:</w:t>
            </w:r>
            <w:r w:rsidR="00BE79A9" w:rsidRPr="00EB5B1D">
              <w:rPr>
                <w:snapToGrid w:val="0"/>
                <w:szCs w:val="22"/>
                <w:lang w:val="it-IT"/>
              </w:rPr>
              <w:t xml:space="preserve"> </w:t>
            </w:r>
            <w:hyperlink r:id="rId18" w:history="1">
              <w:r w:rsidR="00676D07" w:rsidRPr="00EB5B1D">
                <w:rPr>
                  <w:rStyle w:val="Hyperlink"/>
                  <w:snapToGrid w:val="0"/>
                  <w:color w:val="auto"/>
                  <w:szCs w:val="22"/>
                  <w:lang w:val="it-IT"/>
                </w:rPr>
                <w:t>pic@fao.org</w:t>
              </w:r>
            </w:hyperlink>
            <w:r w:rsidR="00676D07" w:rsidRPr="00EB5B1D">
              <w:rPr>
                <w:snapToGrid w:val="0"/>
                <w:szCs w:val="22"/>
                <w:lang w:val="it-IT"/>
              </w:rPr>
              <w:t xml:space="preserve"> </w:t>
            </w:r>
          </w:p>
        </w:tc>
        <w:tc>
          <w:tcPr>
            <w:tcW w:w="4540" w:type="dxa"/>
          </w:tcPr>
          <w:p w:rsidR="001F3F1A" w:rsidRPr="00EB5B1D" w:rsidRDefault="00F8382E" w:rsidP="001F3F1A">
            <w:pPr>
              <w:jc w:val="both"/>
              <w:rPr>
                <w:b/>
                <w:snapToGrid w:val="0"/>
                <w:lang w:val="fr-CH"/>
              </w:rPr>
            </w:pPr>
            <w:r w:rsidRPr="00EB5B1D">
              <w:rPr>
                <w:b/>
                <w:snapToGrid w:val="0"/>
                <w:lang w:val="es-ES_tradnl"/>
              </w:rPr>
              <w:t xml:space="preserve">Secretaría para el Convenio de </w:t>
            </w:r>
            <w:r w:rsidR="007D514A" w:rsidRPr="00EB5B1D">
              <w:rPr>
                <w:b/>
                <w:snapToGrid w:val="0"/>
                <w:lang w:val="es-ES_tradnl"/>
              </w:rPr>
              <w:t>Rotterdam</w:t>
            </w:r>
          </w:p>
          <w:p w:rsidR="001F3F1A" w:rsidRPr="00EB5B1D" w:rsidRDefault="001F3F1A" w:rsidP="00703DBB">
            <w:pPr>
              <w:keepNext/>
              <w:snapToGrid w:val="0"/>
              <w:spacing w:after="120"/>
              <w:jc w:val="both"/>
              <w:outlineLvl w:val="3"/>
              <w:rPr>
                <w:b/>
                <w:szCs w:val="22"/>
                <w:lang w:val="fr-CH" w:eastAsia="en-US"/>
              </w:rPr>
            </w:pPr>
            <w:r w:rsidRPr="00EB5B1D">
              <w:rPr>
                <w:b/>
                <w:szCs w:val="22"/>
                <w:lang w:val="fr-CH" w:eastAsia="en-US"/>
              </w:rPr>
              <w:t>(</w:t>
            </w:r>
            <w:r w:rsidR="00F8382E" w:rsidRPr="00EB5B1D">
              <w:rPr>
                <w:b/>
                <w:szCs w:val="22"/>
                <w:lang w:val="fr-CH" w:eastAsia="en-US"/>
              </w:rPr>
              <w:t>PNUMA</w:t>
            </w:r>
            <w:r w:rsidRPr="00EB5B1D">
              <w:rPr>
                <w:b/>
                <w:szCs w:val="22"/>
                <w:lang w:val="fr-CH" w:eastAsia="en-US"/>
              </w:rPr>
              <w:t>)</w:t>
            </w:r>
          </w:p>
          <w:p w:rsidR="001F3F1A" w:rsidRPr="00EB5B1D" w:rsidRDefault="001F3F1A" w:rsidP="001F3F1A">
            <w:pPr>
              <w:jc w:val="both"/>
              <w:rPr>
                <w:snapToGrid w:val="0"/>
                <w:lang w:val="fr-FR"/>
              </w:rPr>
            </w:pPr>
            <w:r w:rsidRPr="00EB5B1D">
              <w:rPr>
                <w:snapToGrid w:val="0"/>
                <w:szCs w:val="22"/>
                <w:lang w:val="fr-FR"/>
              </w:rPr>
              <w:t xml:space="preserve">11-13, </w:t>
            </w:r>
            <w:r w:rsidR="00EB4A13" w:rsidRPr="00EB5B1D">
              <w:rPr>
                <w:snapToGrid w:val="0"/>
                <w:szCs w:val="22"/>
                <w:lang w:val="fr-FR"/>
              </w:rPr>
              <w:t>c</w:t>
            </w:r>
            <w:r w:rsidRPr="00EB5B1D">
              <w:rPr>
                <w:snapToGrid w:val="0"/>
                <w:szCs w:val="22"/>
                <w:lang w:val="fr-FR"/>
              </w:rPr>
              <w:t>hemin des Anémones</w:t>
            </w:r>
          </w:p>
          <w:p w:rsidR="001F3F1A" w:rsidRPr="00EB5B1D" w:rsidRDefault="001F3F1A" w:rsidP="001F3F1A">
            <w:pPr>
              <w:jc w:val="both"/>
              <w:rPr>
                <w:snapToGrid w:val="0"/>
                <w:lang w:val="fr-FR"/>
              </w:rPr>
            </w:pPr>
            <w:r w:rsidRPr="00EB5B1D">
              <w:rPr>
                <w:snapToGrid w:val="0"/>
                <w:szCs w:val="22"/>
                <w:lang w:val="fr-FR"/>
              </w:rPr>
              <w:t>CH</w:t>
            </w:r>
            <w:r w:rsidR="00C865D3" w:rsidRPr="00EB5B1D">
              <w:rPr>
                <w:snapToGrid w:val="0"/>
                <w:szCs w:val="22"/>
                <w:lang w:val="fr-FR"/>
              </w:rPr>
              <w:t>-</w:t>
            </w:r>
            <w:r w:rsidRPr="00EB5B1D">
              <w:rPr>
                <w:snapToGrid w:val="0"/>
                <w:szCs w:val="22"/>
                <w:lang w:val="fr-FR"/>
              </w:rPr>
              <w:t xml:space="preserve">1219 Châtelaine, </w:t>
            </w:r>
            <w:r w:rsidR="006D3C1C" w:rsidRPr="00EB5B1D">
              <w:rPr>
                <w:snapToGrid w:val="0"/>
                <w:szCs w:val="22"/>
                <w:lang w:val="fr-FR"/>
              </w:rPr>
              <w:t>Ginebra</w:t>
            </w:r>
            <w:r w:rsidRPr="00EB5B1D">
              <w:rPr>
                <w:snapToGrid w:val="0"/>
                <w:szCs w:val="22"/>
                <w:lang w:val="fr-FR"/>
              </w:rPr>
              <w:t xml:space="preserve">, </w:t>
            </w:r>
            <w:r w:rsidR="006D3C1C" w:rsidRPr="00EB5B1D">
              <w:rPr>
                <w:snapToGrid w:val="0"/>
                <w:szCs w:val="22"/>
                <w:lang w:val="fr-FR"/>
              </w:rPr>
              <w:t>Suiza</w:t>
            </w:r>
          </w:p>
          <w:p w:rsidR="001F3F1A" w:rsidRPr="00EB5B1D" w:rsidRDefault="001F3F1A" w:rsidP="001F3F1A">
            <w:pPr>
              <w:jc w:val="both"/>
              <w:rPr>
                <w:snapToGrid w:val="0"/>
                <w:lang w:val="pt-PT"/>
              </w:rPr>
            </w:pPr>
            <w:r w:rsidRPr="00EB5B1D">
              <w:rPr>
                <w:snapToGrid w:val="0"/>
                <w:szCs w:val="22"/>
                <w:lang w:val="pt-PT"/>
              </w:rPr>
              <w:t>Fax: +41 22 917 8082</w:t>
            </w:r>
          </w:p>
          <w:p w:rsidR="00676D07" w:rsidRPr="00EB5B1D" w:rsidRDefault="00F8382E" w:rsidP="00703DBB">
            <w:pPr>
              <w:jc w:val="both"/>
              <w:rPr>
                <w:snapToGrid w:val="0"/>
                <w:szCs w:val="22"/>
                <w:lang w:val="it-IT"/>
              </w:rPr>
            </w:pPr>
            <w:r w:rsidRPr="00EB5B1D">
              <w:rPr>
                <w:snapToGrid w:val="0"/>
                <w:szCs w:val="22"/>
                <w:lang w:val="it-IT"/>
              </w:rPr>
              <w:t>Correo electrónico</w:t>
            </w:r>
            <w:r w:rsidR="001F3F1A" w:rsidRPr="00EB5B1D">
              <w:rPr>
                <w:snapToGrid w:val="0"/>
                <w:szCs w:val="22"/>
                <w:lang w:val="it-IT"/>
              </w:rPr>
              <w:t xml:space="preserve">: </w:t>
            </w:r>
            <w:hyperlink r:id="rId19" w:history="1">
              <w:r w:rsidR="00676D07" w:rsidRPr="00EB5B1D">
                <w:rPr>
                  <w:rStyle w:val="Hyperlink"/>
                  <w:snapToGrid w:val="0"/>
                  <w:color w:val="auto"/>
                  <w:szCs w:val="22"/>
                  <w:lang w:val="it-IT"/>
                </w:rPr>
                <w:t>pic@pic.int</w:t>
              </w:r>
            </w:hyperlink>
            <w:r w:rsidR="00676D07" w:rsidRPr="00EB5B1D">
              <w:rPr>
                <w:snapToGrid w:val="0"/>
                <w:szCs w:val="22"/>
                <w:lang w:val="it-IT"/>
              </w:rPr>
              <w:t>;</w:t>
            </w:r>
          </w:p>
          <w:p w:rsidR="001F3F1A" w:rsidRPr="00EB5B1D" w:rsidRDefault="00FC4140" w:rsidP="00703DBB">
            <w:pPr>
              <w:ind w:left="1830" w:hanging="1830"/>
              <w:jc w:val="both"/>
              <w:rPr>
                <w:b/>
                <w:snapToGrid w:val="0"/>
                <w:lang w:val="it-IT"/>
              </w:rPr>
            </w:pPr>
            <w:hyperlink r:id="rId20" w:history="1">
              <w:r w:rsidR="00676D07" w:rsidRPr="00EB5B1D">
                <w:rPr>
                  <w:rStyle w:val="Hyperlink"/>
                  <w:snapToGrid w:val="0"/>
                  <w:color w:val="auto"/>
                  <w:szCs w:val="22"/>
                  <w:lang w:val="it-IT"/>
                </w:rPr>
                <w:t>pic@brsmeas.org</w:t>
              </w:r>
            </w:hyperlink>
            <w:r w:rsidR="00676D07" w:rsidRPr="00EB5B1D">
              <w:rPr>
                <w:snapToGrid w:val="0"/>
                <w:szCs w:val="22"/>
                <w:lang w:val="it-IT"/>
              </w:rPr>
              <w:t xml:space="preserve"> </w:t>
            </w:r>
          </w:p>
        </w:tc>
      </w:tr>
    </w:tbl>
    <w:p w:rsidR="00D74544" w:rsidRPr="00EB5B1D" w:rsidRDefault="00D74544">
      <w:pPr>
        <w:rPr>
          <w:rFonts w:ascii="Arial" w:hAnsi="Arial" w:cs="Arial"/>
          <w:sz w:val="32"/>
          <w:szCs w:val="32"/>
        </w:rPr>
      </w:pPr>
    </w:p>
    <w:p w:rsidR="00D74544" w:rsidRPr="00EB5B1D" w:rsidRDefault="00D74544">
      <w:pPr>
        <w:rPr>
          <w:rFonts w:ascii="Arial" w:hAnsi="Arial" w:cs="Arial"/>
          <w:sz w:val="32"/>
          <w:szCs w:val="32"/>
        </w:rPr>
        <w:sectPr w:rsidR="00D74544" w:rsidRPr="00EB5B1D" w:rsidSect="000A5DDA">
          <w:headerReference w:type="default" r:id="rId21"/>
          <w:footerReference w:type="default" r:id="rId22"/>
          <w:pgSz w:w="11907" w:h="16839" w:code="9"/>
          <w:pgMar w:top="1138" w:right="1411" w:bottom="1138" w:left="1411" w:header="706" w:footer="288" w:gutter="0"/>
          <w:pgNumType w:start="1"/>
          <w:cols w:space="720"/>
          <w:docGrid w:linePitch="326"/>
        </w:sectPr>
      </w:pPr>
    </w:p>
    <w:p w:rsidR="00F02205" w:rsidRPr="00EB5B1D" w:rsidRDefault="00EB4A13" w:rsidP="007B68CF">
      <w:pPr>
        <w:ind w:left="605" w:right="792"/>
        <w:jc w:val="center"/>
        <w:outlineLvl w:val="0"/>
        <w:rPr>
          <w:b/>
          <w:sz w:val="24"/>
          <w:lang w:val="fr-CH"/>
        </w:rPr>
      </w:pPr>
      <w:bookmarkStart w:id="113" w:name="_Toc469002202"/>
      <w:bookmarkStart w:id="114" w:name="_Toc469005863"/>
      <w:bookmarkStart w:id="115" w:name="_Toc469052700"/>
      <w:bookmarkStart w:id="116" w:name="_Toc484686630"/>
      <w:bookmarkStart w:id="117" w:name="_Toc327357865"/>
      <w:bookmarkStart w:id="118" w:name="_Toc405887614"/>
      <w:bookmarkStart w:id="119" w:name="_Toc421544484"/>
      <w:r w:rsidRPr="00EB5B1D">
        <w:rPr>
          <w:b/>
          <w:sz w:val="24"/>
          <w:lang w:val="fr-CH"/>
        </w:rPr>
        <w:t>APÉNDICE I</w:t>
      </w:r>
      <w:bookmarkEnd w:id="113"/>
      <w:bookmarkEnd w:id="114"/>
      <w:bookmarkEnd w:id="115"/>
      <w:bookmarkEnd w:id="116"/>
    </w:p>
    <w:p w:rsidR="00F02205" w:rsidRPr="00EB5B1D" w:rsidRDefault="00F02205" w:rsidP="007B68CF">
      <w:pPr>
        <w:ind w:left="605" w:right="792"/>
        <w:jc w:val="center"/>
        <w:outlineLvl w:val="0"/>
        <w:rPr>
          <w:b/>
          <w:sz w:val="24"/>
          <w:lang w:val="fr-CH"/>
        </w:rPr>
      </w:pPr>
    </w:p>
    <w:p w:rsidR="007B68CF" w:rsidRPr="00EB5B1D" w:rsidRDefault="00EB4A13" w:rsidP="007B68CF">
      <w:pPr>
        <w:ind w:left="605" w:right="792"/>
        <w:jc w:val="center"/>
        <w:outlineLvl w:val="0"/>
        <w:rPr>
          <w:b/>
          <w:sz w:val="24"/>
          <w:lang w:val="fr-CH"/>
        </w:rPr>
      </w:pPr>
      <w:bookmarkStart w:id="120" w:name="_Toc484686631"/>
      <w:bookmarkEnd w:id="117"/>
      <w:bookmarkEnd w:id="118"/>
      <w:bookmarkEnd w:id="119"/>
      <w:r w:rsidRPr="00EB5B1D">
        <w:rPr>
          <w:b/>
          <w:sz w:val="24"/>
          <w:lang w:val="fr-CH"/>
        </w:rPr>
        <w:t xml:space="preserve">SINOPSIS </w:t>
      </w:r>
      <w:r w:rsidR="00A61D8A" w:rsidRPr="00EB5B1D">
        <w:rPr>
          <w:b/>
          <w:sz w:val="24"/>
          <w:lang w:val="fr-CH"/>
        </w:rPr>
        <w:t>DE LAS NOTIFICACIONES DE MEDIDA REGLAMENTARIA FIRME</w:t>
      </w:r>
      <w:r w:rsidRPr="00EB5B1D">
        <w:rPr>
          <w:b/>
          <w:sz w:val="24"/>
          <w:lang w:val="fr-CH"/>
        </w:rPr>
        <w:t xml:space="preserve"> RECIBIDAS </w:t>
      </w:r>
      <w:r w:rsidR="0010040D" w:rsidRPr="00EB5B1D">
        <w:rPr>
          <w:b/>
          <w:sz w:val="24"/>
          <w:lang w:val="fr-CH"/>
        </w:rPr>
        <w:t xml:space="preserve">DESDE LA </w:t>
      </w:r>
      <w:r w:rsidR="006D3C1C" w:rsidRPr="00EB5B1D">
        <w:rPr>
          <w:b/>
          <w:snapToGrid w:val="0"/>
          <w:sz w:val="24"/>
          <w:lang w:val="es-ES_tradnl"/>
        </w:rPr>
        <w:t>Ú</w:t>
      </w:r>
      <w:r w:rsidR="0010040D" w:rsidRPr="00EB5B1D">
        <w:rPr>
          <w:b/>
          <w:sz w:val="24"/>
          <w:lang w:val="fr-CH"/>
        </w:rPr>
        <w:t>LTIMA CIRCULAR</w:t>
      </w:r>
      <w:r w:rsidRPr="00EB5B1D">
        <w:rPr>
          <w:b/>
          <w:sz w:val="24"/>
          <w:lang w:val="fr-CH"/>
        </w:rPr>
        <w:t xml:space="preserve"> CFP</w:t>
      </w:r>
      <w:bookmarkEnd w:id="120"/>
    </w:p>
    <w:p w:rsidR="007B68CF" w:rsidRPr="00EB5B1D" w:rsidRDefault="007B68CF" w:rsidP="007B68CF">
      <w:pPr>
        <w:ind w:right="70"/>
        <w:rPr>
          <w:szCs w:val="22"/>
          <w:lang w:val="fr-CH"/>
        </w:rPr>
      </w:pPr>
    </w:p>
    <w:p w:rsidR="00A61D8A" w:rsidRPr="00EB5B1D" w:rsidRDefault="00A61D8A" w:rsidP="00A61D8A">
      <w:pPr>
        <w:jc w:val="both"/>
        <w:rPr>
          <w:szCs w:val="22"/>
          <w:lang w:val="fr-CH"/>
        </w:rPr>
      </w:pPr>
      <w:r w:rsidRPr="00EB5B1D">
        <w:rPr>
          <w:szCs w:val="22"/>
          <w:lang w:val="fr-CH"/>
        </w:rPr>
        <w:t>Este apéndice está compuesto de tres partes:</w:t>
      </w:r>
    </w:p>
    <w:p w:rsidR="00A61D8A" w:rsidRPr="00EB5B1D" w:rsidRDefault="00A61D8A" w:rsidP="00A61D8A">
      <w:pPr>
        <w:jc w:val="both"/>
        <w:rPr>
          <w:szCs w:val="22"/>
          <w:lang w:val="fr-CH"/>
        </w:rPr>
      </w:pPr>
    </w:p>
    <w:p w:rsidR="00A61D8A" w:rsidRPr="00EB5B1D" w:rsidRDefault="00A61D8A" w:rsidP="00A61D8A">
      <w:pPr>
        <w:tabs>
          <w:tab w:val="left" w:pos="900"/>
        </w:tabs>
        <w:ind w:left="900" w:hanging="900"/>
        <w:jc w:val="both"/>
        <w:rPr>
          <w:b/>
          <w:szCs w:val="22"/>
          <w:lang w:val="fr-CH"/>
        </w:rPr>
      </w:pPr>
      <w:r w:rsidRPr="00EB5B1D">
        <w:rPr>
          <w:b/>
          <w:szCs w:val="22"/>
          <w:lang w:val="fr-CH"/>
        </w:rPr>
        <w:t xml:space="preserve">Parte A: </w:t>
      </w:r>
      <w:r w:rsidR="00ED16B5" w:rsidRPr="00EB5B1D">
        <w:rPr>
          <w:b/>
          <w:szCs w:val="22"/>
          <w:lang w:val="fr-CH"/>
        </w:rPr>
        <w:t>Sinopsis</w:t>
      </w:r>
      <w:r w:rsidRPr="00EB5B1D">
        <w:rPr>
          <w:b/>
          <w:szCs w:val="22"/>
          <w:lang w:val="fr-CH"/>
        </w:rPr>
        <w:t xml:space="preserve"> de </w:t>
      </w:r>
      <w:r w:rsidR="00ED16B5" w:rsidRPr="00EB5B1D">
        <w:rPr>
          <w:b/>
          <w:szCs w:val="22"/>
          <w:lang w:val="fr-CH"/>
        </w:rPr>
        <w:t xml:space="preserve">las </w:t>
      </w:r>
      <w:r w:rsidRPr="00EB5B1D">
        <w:rPr>
          <w:b/>
          <w:szCs w:val="22"/>
          <w:lang w:val="fr-CH"/>
        </w:rPr>
        <w:t>notificaci</w:t>
      </w:r>
      <w:r w:rsidR="00ED16B5" w:rsidRPr="00EB5B1D">
        <w:rPr>
          <w:b/>
          <w:szCs w:val="22"/>
          <w:lang w:val="fr-CH"/>
        </w:rPr>
        <w:t>ones</w:t>
      </w:r>
      <w:r w:rsidRPr="00EB5B1D">
        <w:rPr>
          <w:b/>
          <w:szCs w:val="22"/>
          <w:lang w:val="fr-CH"/>
        </w:rPr>
        <w:t xml:space="preserve"> de medida reglamentaria firme </w:t>
      </w:r>
      <w:r w:rsidR="00ED16B5" w:rsidRPr="00EB5B1D">
        <w:rPr>
          <w:b/>
          <w:szCs w:val="22"/>
          <w:lang w:val="fr-CH"/>
        </w:rPr>
        <w:t>que se ha v</w:t>
      </w:r>
      <w:r w:rsidRPr="00EB5B1D">
        <w:rPr>
          <w:b/>
          <w:szCs w:val="22"/>
          <w:lang w:val="fr-CH"/>
        </w:rPr>
        <w:t>erificad</w:t>
      </w:r>
      <w:r w:rsidR="00ED16B5" w:rsidRPr="00EB5B1D">
        <w:rPr>
          <w:b/>
          <w:szCs w:val="22"/>
          <w:lang w:val="fr-CH"/>
        </w:rPr>
        <w:t>o</w:t>
      </w:r>
      <w:r w:rsidRPr="00EB5B1D">
        <w:rPr>
          <w:b/>
          <w:szCs w:val="22"/>
          <w:lang w:val="fr-CH"/>
        </w:rPr>
        <w:t xml:space="preserve"> que contiene</w:t>
      </w:r>
      <w:r w:rsidR="00ED16B5" w:rsidRPr="00EB5B1D">
        <w:rPr>
          <w:b/>
          <w:szCs w:val="22"/>
          <w:lang w:val="fr-CH"/>
        </w:rPr>
        <w:t>n</w:t>
      </w:r>
      <w:r w:rsidRPr="00EB5B1D">
        <w:rPr>
          <w:b/>
          <w:szCs w:val="22"/>
          <w:lang w:val="fr-CH"/>
        </w:rPr>
        <w:t xml:space="preserve"> toda la información estipulada en el </w:t>
      </w:r>
      <w:r w:rsidR="004A20D8" w:rsidRPr="00EB5B1D">
        <w:rPr>
          <w:b/>
          <w:szCs w:val="22"/>
          <w:lang w:val="fr-CH"/>
        </w:rPr>
        <w:t>anexo</w:t>
      </w:r>
      <w:r w:rsidRPr="00EB5B1D">
        <w:rPr>
          <w:b/>
          <w:szCs w:val="22"/>
          <w:lang w:val="fr-CH"/>
        </w:rPr>
        <w:t xml:space="preserve"> I del Convenio</w:t>
      </w:r>
    </w:p>
    <w:p w:rsidR="00A61D8A" w:rsidRPr="00EB5B1D" w:rsidRDefault="00A61D8A" w:rsidP="00A61D8A">
      <w:pPr>
        <w:jc w:val="both"/>
        <w:rPr>
          <w:b/>
          <w:szCs w:val="22"/>
          <w:lang w:val="fr-CH"/>
        </w:rPr>
      </w:pPr>
    </w:p>
    <w:p w:rsidR="00A61D8A" w:rsidRPr="00EB5B1D" w:rsidRDefault="00A61D8A" w:rsidP="00A61D8A">
      <w:pPr>
        <w:jc w:val="both"/>
        <w:rPr>
          <w:szCs w:val="22"/>
          <w:lang w:val="fr-CH"/>
        </w:rPr>
      </w:pPr>
      <w:r w:rsidRPr="00EB5B1D">
        <w:rPr>
          <w:szCs w:val="22"/>
          <w:lang w:val="fr-CH"/>
        </w:rPr>
        <w:t>Notificaciones de medida</w:t>
      </w:r>
      <w:r w:rsidR="00692E96" w:rsidRPr="00EB5B1D">
        <w:rPr>
          <w:szCs w:val="22"/>
          <w:lang w:val="fr-CH"/>
        </w:rPr>
        <w:t xml:space="preserve"> reglamentaria firme</w:t>
      </w:r>
      <w:r w:rsidR="00ED16B5" w:rsidRPr="00EB5B1D">
        <w:rPr>
          <w:szCs w:val="22"/>
          <w:lang w:val="fr-CH"/>
        </w:rPr>
        <w:t xml:space="preserve"> que se ha</w:t>
      </w:r>
      <w:r w:rsidRPr="00EB5B1D">
        <w:rPr>
          <w:szCs w:val="22"/>
          <w:lang w:val="fr-CH"/>
        </w:rPr>
        <w:t xml:space="preserve"> verificado </w:t>
      </w:r>
      <w:r w:rsidR="00ED16B5" w:rsidRPr="00EB5B1D">
        <w:rPr>
          <w:szCs w:val="22"/>
          <w:lang w:val="fr-CH"/>
        </w:rPr>
        <w:t xml:space="preserve">que </w:t>
      </w:r>
      <w:r w:rsidRPr="00EB5B1D">
        <w:rPr>
          <w:szCs w:val="22"/>
          <w:lang w:val="fr-CH"/>
        </w:rPr>
        <w:t xml:space="preserve">contienen toda la información estipulada en el </w:t>
      </w:r>
      <w:r w:rsidR="004A20D8" w:rsidRPr="00EB5B1D">
        <w:rPr>
          <w:szCs w:val="22"/>
          <w:lang w:val="fr-CH"/>
        </w:rPr>
        <w:t>anexo</w:t>
      </w:r>
      <w:r w:rsidRPr="00EB5B1D">
        <w:rPr>
          <w:szCs w:val="22"/>
          <w:lang w:val="fr-CH"/>
        </w:rPr>
        <w:t xml:space="preserve"> I del Convenio, recibidas entre el 1 d</w:t>
      </w:r>
      <w:r w:rsidRPr="00EB5B1D">
        <w:rPr>
          <w:szCs w:val="22"/>
          <w:lang w:val="es-ES_tradnl"/>
        </w:rPr>
        <w:t xml:space="preserve">e </w:t>
      </w:r>
      <w:r w:rsidR="00E839E9" w:rsidRPr="00EB5B1D">
        <w:rPr>
          <w:snapToGrid w:val="0"/>
          <w:lang w:val="es-ES_tradnl"/>
        </w:rPr>
        <w:t>noviembre</w:t>
      </w:r>
      <w:r w:rsidRPr="00EB5B1D">
        <w:rPr>
          <w:szCs w:val="22"/>
          <w:lang w:val="es-ES_tradnl"/>
        </w:rPr>
        <w:t xml:space="preserve"> de 2016 </w:t>
      </w:r>
      <w:r w:rsidR="00692E96" w:rsidRPr="00EB5B1D">
        <w:rPr>
          <w:szCs w:val="22"/>
          <w:lang w:val="es-ES_tradnl"/>
        </w:rPr>
        <w:t xml:space="preserve">y </w:t>
      </w:r>
      <w:r w:rsidR="00E839E9" w:rsidRPr="00EB5B1D">
        <w:rPr>
          <w:szCs w:val="22"/>
          <w:lang w:val="es-ES_tradnl"/>
        </w:rPr>
        <w:t>al 30 de abril de 2017</w:t>
      </w:r>
      <w:r w:rsidRPr="00EB5B1D">
        <w:rPr>
          <w:szCs w:val="22"/>
          <w:lang w:val="fr-CH"/>
        </w:rPr>
        <w:t>.</w:t>
      </w:r>
    </w:p>
    <w:p w:rsidR="00A61D8A" w:rsidRPr="00EB5B1D" w:rsidRDefault="00A61D8A" w:rsidP="00A61D8A">
      <w:pPr>
        <w:jc w:val="both"/>
        <w:rPr>
          <w:szCs w:val="22"/>
          <w:lang w:val="fr-CH"/>
        </w:rPr>
      </w:pPr>
    </w:p>
    <w:p w:rsidR="00A61D8A" w:rsidRPr="00EB5B1D" w:rsidRDefault="00A61D8A" w:rsidP="00A61D8A">
      <w:pPr>
        <w:widowControl w:val="0"/>
        <w:tabs>
          <w:tab w:val="left" w:pos="900"/>
        </w:tabs>
        <w:autoSpaceDE w:val="0"/>
        <w:autoSpaceDN w:val="0"/>
        <w:adjustRightInd w:val="0"/>
        <w:ind w:left="900" w:hanging="900"/>
        <w:jc w:val="both"/>
        <w:rPr>
          <w:b/>
          <w:szCs w:val="22"/>
          <w:lang w:val="fr-CH"/>
        </w:rPr>
      </w:pPr>
      <w:r w:rsidRPr="00EB5B1D">
        <w:rPr>
          <w:b/>
          <w:szCs w:val="22"/>
          <w:lang w:val="fr-CH"/>
        </w:rPr>
        <w:t xml:space="preserve">Parte B: </w:t>
      </w:r>
      <w:r w:rsidR="00ED16B5" w:rsidRPr="00EB5B1D">
        <w:rPr>
          <w:b/>
          <w:szCs w:val="22"/>
          <w:lang w:val="fr-CH"/>
        </w:rPr>
        <w:t>N</w:t>
      </w:r>
      <w:r w:rsidRPr="00EB5B1D">
        <w:rPr>
          <w:b/>
          <w:szCs w:val="22"/>
          <w:lang w:val="fr-CH"/>
        </w:rPr>
        <w:t>otificaciones de medida reglamentaria firme que se ha verificado que no contiene</w:t>
      </w:r>
      <w:r w:rsidR="0010040D" w:rsidRPr="00EB5B1D">
        <w:rPr>
          <w:b/>
          <w:szCs w:val="22"/>
          <w:lang w:val="fr-CH"/>
        </w:rPr>
        <w:t>n</w:t>
      </w:r>
      <w:r w:rsidRPr="00EB5B1D">
        <w:rPr>
          <w:b/>
          <w:szCs w:val="22"/>
          <w:lang w:val="fr-CH"/>
        </w:rPr>
        <w:t xml:space="preserve"> toda la información estipulada en el </w:t>
      </w:r>
      <w:r w:rsidR="004A20D8" w:rsidRPr="00EB5B1D">
        <w:rPr>
          <w:b/>
          <w:szCs w:val="22"/>
          <w:lang w:val="fr-CH"/>
        </w:rPr>
        <w:t>anexo</w:t>
      </w:r>
      <w:r w:rsidRPr="00EB5B1D">
        <w:rPr>
          <w:b/>
          <w:szCs w:val="22"/>
          <w:lang w:val="fr-CH"/>
        </w:rPr>
        <w:t xml:space="preserve"> I del Convenio</w:t>
      </w:r>
    </w:p>
    <w:p w:rsidR="00A61D8A" w:rsidRPr="00EB5B1D" w:rsidRDefault="00A61D8A" w:rsidP="00A61D8A">
      <w:pPr>
        <w:widowControl w:val="0"/>
        <w:autoSpaceDE w:val="0"/>
        <w:autoSpaceDN w:val="0"/>
        <w:adjustRightInd w:val="0"/>
        <w:jc w:val="both"/>
        <w:rPr>
          <w:szCs w:val="22"/>
          <w:lang w:val="fr-CH"/>
        </w:rPr>
      </w:pPr>
    </w:p>
    <w:p w:rsidR="00A61D8A" w:rsidRPr="00EB5B1D" w:rsidRDefault="00A61D8A" w:rsidP="00A61D8A">
      <w:pPr>
        <w:jc w:val="both"/>
        <w:rPr>
          <w:szCs w:val="22"/>
          <w:lang w:val="fr-CH"/>
        </w:rPr>
      </w:pPr>
      <w:r w:rsidRPr="00EB5B1D">
        <w:rPr>
          <w:szCs w:val="22"/>
          <w:lang w:val="fr-CH" w:eastAsia="fr-FR"/>
        </w:rPr>
        <w:t xml:space="preserve">Notificaciones de medida reglamentaria firme que se ha verificado </w:t>
      </w:r>
      <w:r w:rsidR="0010040D" w:rsidRPr="00EB5B1D">
        <w:rPr>
          <w:szCs w:val="22"/>
          <w:lang w:val="es-ES_tradnl" w:eastAsia="fr-FR"/>
        </w:rPr>
        <w:t>que</w:t>
      </w:r>
      <w:r w:rsidR="0010040D" w:rsidRPr="00EB5B1D">
        <w:rPr>
          <w:szCs w:val="22"/>
          <w:lang w:val="fr-CH" w:eastAsia="fr-FR"/>
        </w:rPr>
        <w:t xml:space="preserve"> </w:t>
      </w:r>
      <w:r w:rsidRPr="00EB5B1D">
        <w:rPr>
          <w:szCs w:val="22"/>
          <w:lang w:val="fr-CH" w:eastAsia="fr-FR"/>
        </w:rPr>
        <w:t xml:space="preserve">no contienen toda la información estipulada en el </w:t>
      </w:r>
      <w:r w:rsidR="004A20D8" w:rsidRPr="00EB5B1D">
        <w:rPr>
          <w:szCs w:val="22"/>
          <w:lang w:val="fr-CH" w:eastAsia="fr-FR"/>
        </w:rPr>
        <w:t>anexo</w:t>
      </w:r>
      <w:r w:rsidRPr="00EB5B1D">
        <w:rPr>
          <w:szCs w:val="22"/>
          <w:lang w:val="fr-CH" w:eastAsia="fr-FR"/>
        </w:rPr>
        <w:t xml:space="preserve"> I del Convenio</w:t>
      </w:r>
      <w:r w:rsidR="0010040D" w:rsidRPr="00EB5B1D">
        <w:rPr>
          <w:szCs w:val="22"/>
          <w:lang w:val="fr-CH" w:eastAsia="fr-FR"/>
        </w:rPr>
        <w:t>,</w:t>
      </w:r>
      <w:r w:rsidRPr="00EB5B1D">
        <w:rPr>
          <w:szCs w:val="22"/>
          <w:lang w:val="fr-CH" w:eastAsia="fr-FR"/>
        </w:rPr>
        <w:t xml:space="preserve"> recibidas </w:t>
      </w:r>
      <w:r w:rsidRPr="00EB5B1D">
        <w:rPr>
          <w:szCs w:val="22"/>
          <w:lang w:val="fr-CH"/>
        </w:rPr>
        <w:t>entre el 1 d</w:t>
      </w:r>
      <w:r w:rsidRPr="00EB5B1D">
        <w:rPr>
          <w:szCs w:val="22"/>
          <w:lang w:val="es-ES_tradnl"/>
        </w:rPr>
        <w:t xml:space="preserve">e </w:t>
      </w:r>
      <w:r w:rsidR="00E839E9" w:rsidRPr="00EB5B1D">
        <w:rPr>
          <w:snapToGrid w:val="0"/>
          <w:lang w:val="es-ES_tradnl"/>
        </w:rPr>
        <w:t>noviembre</w:t>
      </w:r>
      <w:r w:rsidRPr="00EB5B1D">
        <w:rPr>
          <w:szCs w:val="22"/>
          <w:lang w:val="es-ES_tradnl"/>
        </w:rPr>
        <w:t xml:space="preserve"> de 2016</w:t>
      </w:r>
      <w:r w:rsidR="00692E96" w:rsidRPr="00EB5B1D">
        <w:rPr>
          <w:szCs w:val="22"/>
          <w:lang w:val="es-ES_tradnl"/>
        </w:rPr>
        <w:t xml:space="preserve"> y </w:t>
      </w:r>
      <w:r w:rsidR="00E839E9" w:rsidRPr="00EB5B1D">
        <w:rPr>
          <w:szCs w:val="22"/>
          <w:lang w:val="es-ES_tradnl"/>
        </w:rPr>
        <w:t>al 30 de abril de 2017</w:t>
      </w:r>
    </w:p>
    <w:p w:rsidR="00A61D8A" w:rsidRPr="00EB5B1D" w:rsidRDefault="00A61D8A" w:rsidP="00A61D8A">
      <w:pPr>
        <w:jc w:val="both"/>
        <w:rPr>
          <w:b/>
          <w:szCs w:val="22"/>
          <w:lang w:val="fr-CH"/>
        </w:rPr>
      </w:pPr>
    </w:p>
    <w:p w:rsidR="00A61D8A" w:rsidRPr="00EB5B1D" w:rsidRDefault="00A61D8A" w:rsidP="00A61D8A">
      <w:pPr>
        <w:tabs>
          <w:tab w:val="left" w:pos="851"/>
        </w:tabs>
        <w:autoSpaceDE w:val="0"/>
        <w:autoSpaceDN w:val="0"/>
        <w:adjustRightInd w:val="0"/>
        <w:jc w:val="both"/>
        <w:rPr>
          <w:b/>
          <w:szCs w:val="22"/>
          <w:lang w:val="fr-CH"/>
        </w:rPr>
      </w:pPr>
      <w:r w:rsidRPr="00EB5B1D">
        <w:rPr>
          <w:b/>
          <w:szCs w:val="22"/>
          <w:lang w:val="fr-CH"/>
        </w:rPr>
        <w:t>Parte C: Notificaciones de medida reglamentaria firme todavía en fase de verificación</w:t>
      </w:r>
    </w:p>
    <w:p w:rsidR="00A61D8A" w:rsidRPr="00EB5B1D" w:rsidRDefault="00A61D8A" w:rsidP="00A61D8A">
      <w:pPr>
        <w:widowControl w:val="0"/>
        <w:autoSpaceDE w:val="0"/>
        <w:autoSpaceDN w:val="0"/>
        <w:adjustRightInd w:val="0"/>
        <w:jc w:val="both"/>
        <w:rPr>
          <w:b/>
          <w:szCs w:val="22"/>
          <w:lang w:val="fr-CH"/>
        </w:rPr>
      </w:pPr>
    </w:p>
    <w:p w:rsidR="007B68CF" w:rsidRPr="00EB5B1D" w:rsidRDefault="0010040D" w:rsidP="00A61D8A">
      <w:pPr>
        <w:widowControl w:val="0"/>
        <w:autoSpaceDE w:val="0"/>
        <w:autoSpaceDN w:val="0"/>
        <w:adjustRightInd w:val="0"/>
        <w:jc w:val="both"/>
        <w:rPr>
          <w:szCs w:val="22"/>
          <w:lang w:val="fr-CH"/>
        </w:rPr>
      </w:pPr>
      <w:r w:rsidRPr="00EB5B1D">
        <w:rPr>
          <w:szCs w:val="22"/>
          <w:lang w:val="fr-CH" w:eastAsia="fr-FR"/>
        </w:rPr>
        <w:t>N</w:t>
      </w:r>
      <w:r w:rsidR="00A61D8A" w:rsidRPr="00EB5B1D">
        <w:rPr>
          <w:szCs w:val="22"/>
          <w:lang w:val="fr-CH" w:eastAsia="fr-FR"/>
        </w:rPr>
        <w:t xml:space="preserve">otificaciones de medida reglamentaria firme </w:t>
      </w:r>
      <w:r w:rsidRPr="00EB5B1D">
        <w:rPr>
          <w:szCs w:val="22"/>
          <w:lang w:val="es-ES_tradnl" w:eastAsia="fr-FR"/>
        </w:rPr>
        <w:t>recibidas por la Secretaría para las cuales el proceso de verificación</w:t>
      </w:r>
      <w:r w:rsidRPr="00EB5B1D">
        <w:rPr>
          <w:szCs w:val="22"/>
          <w:lang w:val="fr-CH" w:eastAsia="fr-FR"/>
        </w:rPr>
        <w:t xml:space="preserve"> </w:t>
      </w:r>
      <w:r w:rsidR="00A61D8A" w:rsidRPr="00EB5B1D">
        <w:rPr>
          <w:szCs w:val="22"/>
          <w:lang w:val="fr-CH" w:eastAsia="fr-FR"/>
        </w:rPr>
        <w:t>todavía no ha sido completado.</w:t>
      </w:r>
    </w:p>
    <w:p w:rsidR="007B68CF" w:rsidRPr="00EB5B1D" w:rsidRDefault="007B68CF" w:rsidP="007B68CF">
      <w:pPr>
        <w:widowControl w:val="0"/>
        <w:autoSpaceDE w:val="0"/>
        <w:autoSpaceDN w:val="0"/>
        <w:adjustRightInd w:val="0"/>
        <w:jc w:val="both"/>
        <w:rPr>
          <w:szCs w:val="22"/>
          <w:lang w:val="fr-CH"/>
        </w:rPr>
      </w:pPr>
    </w:p>
    <w:p w:rsidR="007B68CF" w:rsidRPr="00EB5B1D" w:rsidRDefault="007B68CF" w:rsidP="007B68CF">
      <w:pPr>
        <w:ind w:right="23"/>
        <w:jc w:val="center"/>
        <w:outlineLvl w:val="0"/>
        <w:rPr>
          <w:rFonts w:ascii="Arial" w:hAnsi="Arial" w:cs="Arial"/>
          <w:b/>
          <w:szCs w:val="17"/>
          <w:lang w:val="fr-CH"/>
        </w:rPr>
        <w:sectPr w:rsidR="007B68CF" w:rsidRPr="00EB5B1D" w:rsidSect="008A1D9E">
          <w:headerReference w:type="default" r:id="rId23"/>
          <w:pgSz w:w="11907" w:h="16839" w:code="9"/>
          <w:pgMar w:top="1134" w:right="1418" w:bottom="1134" w:left="1418" w:header="709" w:footer="284" w:gutter="0"/>
          <w:cols w:space="720"/>
          <w:docGrid w:linePitch="326"/>
        </w:sectPr>
      </w:pPr>
      <w:bookmarkStart w:id="121" w:name="_Toc216258155"/>
      <w:bookmarkStart w:id="122" w:name="_Toc231189215"/>
    </w:p>
    <w:p w:rsidR="00A04A26" w:rsidRPr="00EB5B1D" w:rsidRDefault="00A04A26" w:rsidP="00340E2B">
      <w:pPr>
        <w:ind w:right="23"/>
        <w:jc w:val="center"/>
        <w:outlineLvl w:val="1"/>
        <w:rPr>
          <w:b/>
          <w:szCs w:val="22"/>
          <w:lang w:val="fr-CH"/>
        </w:rPr>
      </w:pPr>
      <w:bookmarkStart w:id="123" w:name="_Toc469002204"/>
      <w:bookmarkStart w:id="124" w:name="_Toc469005865"/>
      <w:bookmarkStart w:id="125" w:name="_Toc469052702"/>
      <w:bookmarkStart w:id="126" w:name="_Toc484686632"/>
      <w:bookmarkStart w:id="127" w:name="_Toc421544485"/>
      <w:bookmarkStart w:id="128" w:name="_Toc468869211"/>
      <w:bookmarkStart w:id="129" w:name="_Toc468870495"/>
      <w:bookmarkEnd w:id="121"/>
      <w:bookmarkEnd w:id="122"/>
      <w:r w:rsidRPr="00EB5B1D">
        <w:rPr>
          <w:b/>
          <w:szCs w:val="22"/>
          <w:lang w:val="fr-CH"/>
        </w:rPr>
        <w:t xml:space="preserve">Sinopsis de las notificaciones de medida reglamentaria firme recibidas en el marco </w:t>
      </w:r>
      <w:r w:rsidR="00AE7152" w:rsidRPr="00EB5B1D">
        <w:rPr>
          <w:szCs w:val="22"/>
          <w:lang w:val="fr-CH"/>
        </w:rPr>
        <w:br/>
      </w:r>
      <w:r w:rsidRPr="00EB5B1D">
        <w:rPr>
          <w:b/>
          <w:szCs w:val="22"/>
          <w:lang w:val="fr-CH"/>
        </w:rPr>
        <w:t xml:space="preserve">del procedimiento de </w:t>
      </w:r>
      <w:r w:rsidR="00692E96" w:rsidRPr="00EB5B1D">
        <w:rPr>
          <w:b/>
          <w:szCs w:val="22"/>
          <w:lang w:val="fr-CH"/>
        </w:rPr>
        <w:t>CFP</w:t>
      </w:r>
      <w:bookmarkEnd w:id="123"/>
      <w:bookmarkEnd w:id="124"/>
      <w:bookmarkEnd w:id="125"/>
      <w:bookmarkEnd w:id="126"/>
    </w:p>
    <w:p w:rsidR="00A04A26" w:rsidRPr="00EB5B1D" w:rsidRDefault="00A04A26" w:rsidP="00340E2B">
      <w:pPr>
        <w:ind w:right="23"/>
        <w:jc w:val="center"/>
        <w:outlineLvl w:val="1"/>
        <w:rPr>
          <w:b/>
          <w:sz w:val="24"/>
          <w:u w:val="single"/>
          <w:lang w:val="fr-CH"/>
        </w:rPr>
      </w:pPr>
    </w:p>
    <w:p w:rsidR="00340E2B" w:rsidRPr="00EB5B1D" w:rsidRDefault="00BC73C4" w:rsidP="00340E2B">
      <w:pPr>
        <w:ind w:right="23"/>
        <w:jc w:val="center"/>
        <w:outlineLvl w:val="1"/>
        <w:rPr>
          <w:b/>
          <w:sz w:val="24"/>
          <w:u w:val="single"/>
          <w:lang w:val="fr-CH"/>
        </w:rPr>
      </w:pPr>
      <w:bookmarkStart w:id="130" w:name="_Toc469002205"/>
      <w:bookmarkStart w:id="131" w:name="_Toc469005866"/>
      <w:bookmarkStart w:id="132" w:name="_Toc469052703"/>
      <w:bookmarkStart w:id="133" w:name="_Toc484686633"/>
      <w:r w:rsidRPr="00EB5B1D">
        <w:rPr>
          <w:b/>
          <w:sz w:val="24"/>
          <w:u w:val="single"/>
          <w:lang w:val="fr-CH"/>
        </w:rPr>
        <w:t>PART</w:t>
      </w:r>
      <w:r w:rsidR="00721070" w:rsidRPr="00EB5B1D">
        <w:rPr>
          <w:b/>
          <w:sz w:val="24"/>
          <w:u w:val="single"/>
          <w:lang w:val="fr-CH"/>
        </w:rPr>
        <w:t>E</w:t>
      </w:r>
      <w:r w:rsidRPr="00EB5B1D">
        <w:rPr>
          <w:b/>
          <w:sz w:val="24"/>
          <w:u w:val="single"/>
          <w:lang w:val="fr-CH"/>
        </w:rPr>
        <w:t xml:space="preserve"> A</w:t>
      </w:r>
      <w:bookmarkEnd w:id="127"/>
      <w:bookmarkEnd w:id="128"/>
      <w:bookmarkEnd w:id="129"/>
      <w:bookmarkEnd w:id="130"/>
      <w:bookmarkEnd w:id="131"/>
      <w:bookmarkEnd w:id="132"/>
      <w:bookmarkEnd w:id="133"/>
    </w:p>
    <w:p w:rsidR="007B68CF" w:rsidRPr="00EB5B1D" w:rsidRDefault="007B68CF" w:rsidP="007B68CF">
      <w:pPr>
        <w:ind w:right="23"/>
        <w:jc w:val="center"/>
        <w:rPr>
          <w:b/>
          <w:sz w:val="24"/>
          <w:lang w:val="fr-CH"/>
        </w:rPr>
      </w:pPr>
    </w:p>
    <w:p w:rsidR="007B68CF" w:rsidRPr="00EB5B1D" w:rsidRDefault="00BA6B4B" w:rsidP="00544A0D">
      <w:pPr>
        <w:ind w:right="23"/>
        <w:jc w:val="center"/>
        <w:rPr>
          <w:b/>
          <w:sz w:val="24"/>
          <w:lang w:val="fr-CH"/>
        </w:rPr>
      </w:pPr>
      <w:r w:rsidRPr="00EB5B1D">
        <w:rPr>
          <w:b/>
          <w:sz w:val="24"/>
          <w:lang w:val="fr-CH"/>
        </w:rPr>
        <w:t>SINOPSIS DE LAS NOTIFICACIONES DE MEDIDA REGLAMENTARIA FIRME QUE SE HA VERIFICADO QUE CONTIENEN TODA LA INFORMACIÓN ESTIPULADA EN EL ANEXO I DEL CONVENIO</w:t>
      </w:r>
    </w:p>
    <w:p w:rsidR="007B68CF" w:rsidRPr="00EB5B1D" w:rsidRDefault="007B68CF" w:rsidP="008C1FD5">
      <w:pPr>
        <w:autoSpaceDE w:val="0"/>
        <w:autoSpaceDN w:val="0"/>
        <w:adjustRightInd w:val="0"/>
        <w:ind w:right="23"/>
        <w:jc w:val="both"/>
        <w:rPr>
          <w:szCs w:val="22"/>
          <w:lang w:val="fr-CH" w:eastAsia="fr-FR"/>
        </w:rPr>
      </w:pPr>
    </w:p>
    <w:p w:rsidR="001920DD" w:rsidRPr="001920DD" w:rsidRDefault="001920DD" w:rsidP="001920DD">
      <w:pPr>
        <w:widowControl w:val="0"/>
        <w:pBdr>
          <w:bottom w:val="single" w:sz="4" w:space="1" w:color="auto"/>
        </w:pBdr>
        <w:snapToGrid w:val="0"/>
        <w:spacing w:after="60"/>
        <w:jc w:val="both"/>
        <w:rPr>
          <w:b/>
          <w:caps/>
          <w:szCs w:val="22"/>
          <w:lang w:val="fr-CH"/>
        </w:rPr>
      </w:pPr>
      <w:r w:rsidRPr="001920DD">
        <w:rPr>
          <w:b/>
          <w:caps/>
          <w:szCs w:val="22"/>
          <w:lang w:val="fr-CH"/>
        </w:rPr>
        <w:t>BRASIL</w:t>
      </w:r>
    </w:p>
    <w:p w:rsidR="001920DD" w:rsidRPr="00EB5B1D" w:rsidRDefault="001920DD" w:rsidP="001920DD">
      <w:pPr>
        <w:widowControl w:val="0"/>
        <w:snapToGrid w:val="0"/>
        <w:spacing w:after="60"/>
        <w:rPr>
          <w:b/>
          <w:i/>
          <w:szCs w:val="22"/>
          <w:lang w:val="fr-CH"/>
        </w:rPr>
      </w:pPr>
      <w:r w:rsidRPr="00EB5B1D">
        <w:rPr>
          <w:b/>
          <w:i/>
          <w:szCs w:val="22"/>
          <w:lang w:val="fr-CH"/>
        </w:rPr>
        <w:t xml:space="preserve">Nombre común: </w:t>
      </w:r>
      <w:r>
        <w:rPr>
          <w:szCs w:val="22"/>
          <w:lang w:val="fr-CH"/>
        </w:rPr>
        <w:t>Forato</w:t>
      </w:r>
      <w:r w:rsidRPr="00EB5B1D">
        <w:rPr>
          <w:szCs w:val="22"/>
          <w:lang w:val="fr-CH"/>
        </w:rPr>
        <w:t xml:space="preserve"> </w:t>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t xml:space="preserve">Número de CAS: </w:t>
      </w:r>
      <w:r w:rsidRPr="001920DD">
        <w:rPr>
          <w:szCs w:val="22"/>
          <w:lang w:val="fr-CH"/>
        </w:rPr>
        <w:t>298-02-2</w:t>
      </w:r>
    </w:p>
    <w:p w:rsidR="001920DD" w:rsidRPr="001920DD" w:rsidRDefault="001920DD" w:rsidP="001920DD">
      <w:pPr>
        <w:widowControl w:val="0"/>
        <w:snapToGrid w:val="0"/>
        <w:spacing w:after="60"/>
        <w:rPr>
          <w:b/>
          <w:i/>
          <w:szCs w:val="22"/>
          <w:lang w:val="en-GB"/>
        </w:rPr>
      </w:pPr>
      <w:r w:rsidRPr="001920DD">
        <w:rPr>
          <w:b/>
          <w:i/>
          <w:szCs w:val="22"/>
          <w:lang w:val="en-GB"/>
        </w:rPr>
        <w:t xml:space="preserve">Nombre químico: </w:t>
      </w:r>
      <w:r w:rsidRPr="001920DD">
        <w:rPr>
          <w:szCs w:val="22"/>
          <w:lang w:val="en-GB"/>
        </w:rPr>
        <w:t xml:space="preserve">Phosphorodithioic acid, </w:t>
      </w:r>
      <w:r w:rsidRPr="00985C05">
        <w:rPr>
          <w:i/>
          <w:szCs w:val="22"/>
          <w:lang w:val="en-GB"/>
        </w:rPr>
        <w:t>O</w:t>
      </w:r>
      <w:proofErr w:type="gramStart"/>
      <w:r w:rsidRPr="00985C05">
        <w:rPr>
          <w:i/>
          <w:szCs w:val="22"/>
          <w:lang w:val="en-GB"/>
        </w:rPr>
        <w:t>,O</w:t>
      </w:r>
      <w:proofErr w:type="gramEnd"/>
      <w:r w:rsidRPr="001920DD">
        <w:rPr>
          <w:szCs w:val="22"/>
          <w:lang w:val="en-GB"/>
        </w:rPr>
        <w:t>-diethyl S-[(ethylthio)methyl] ester</w:t>
      </w:r>
    </w:p>
    <w:p w:rsidR="001920DD" w:rsidRPr="00EB5B1D" w:rsidRDefault="001920DD" w:rsidP="001920DD">
      <w:pPr>
        <w:widowControl w:val="0"/>
        <w:snapToGrid w:val="0"/>
        <w:spacing w:after="60"/>
        <w:rPr>
          <w:b/>
          <w:i/>
          <w:szCs w:val="22"/>
          <w:lang w:val="it-IT"/>
        </w:rPr>
      </w:pPr>
      <w:r w:rsidRPr="00EB5B1D">
        <w:rPr>
          <w:b/>
          <w:i/>
          <w:szCs w:val="22"/>
          <w:lang w:val="it-IT"/>
        </w:rPr>
        <w:t xml:space="preserve">Medida reglamentaria firme que se ha tomado para la categoría: </w:t>
      </w:r>
      <w:r w:rsidRPr="00EB5B1D">
        <w:rPr>
          <w:szCs w:val="22"/>
          <w:lang w:val="it-IT"/>
        </w:rPr>
        <w:t>Plaguicida</w:t>
      </w:r>
    </w:p>
    <w:p w:rsidR="001920DD" w:rsidRPr="00EB5B1D" w:rsidRDefault="001920DD" w:rsidP="001920DD">
      <w:pPr>
        <w:widowControl w:val="0"/>
        <w:snapToGrid w:val="0"/>
        <w:spacing w:after="60"/>
        <w:rPr>
          <w:szCs w:val="22"/>
          <w:lang w:val="it-IT"/>
        </w:rPr>
      </w:pPr>
      <w:r w:rsidRPr="00EB5B1D">
        <w:rPr>
          <w:b/>
          <w:i/>
          <w:szCs w:val="22"/>
          <w:lang w:val="it-IT"/>
        </w:rPr>
        <w:t xml:space="preserve">Medida reglamentaria firme: </w:t>
      </w:r>
      <w:r w:rsidRPr="001920DD">
        <w:rPr>
          <w:szCs w:val="22"/>
          <w:lang w:val="it-IT"/>
        </w:rPr>
        <w:t>El producto químico es prohibido</w:t>
      </w:r>
      <w:r w:rsidRPr="00EB5B1D">
        <w:rPr>
          <w:szCs w:val="22"/>
          <w:lang w:val="it-IT"/>
        </w:rPr>
        <w:t>.</w:t>
      </w:r>
    </w:p>
    <w:p w:rsidR="001920DD" w:rsidRPr="00EB5B1D" w:rsidRDefault="001920DD" w:rsidP="001920DD">
      <w:pPr>
        <w:widowControl w:val="0"/>
        <w:autoSpaceDE w:val="0"/>
        <w:autoSpaceDN w:val="0"/>
        <w:adjustRightInd w:val="0"/>
        <w:snapToGrid w:val="0"/>
        <w:spacing w:after="60"/>
        <w:rPr>
          <w:szCs w:val="22"/>
          <w:lang w:val="es-ES_tradnl"/>
        </w:rPr>
      </w:pPr>
      <w:r w:rsidRPr="00EB5B1D">
        <w:rPr>
          <w:b/>
          <w:i/>
          <w:szCs w:val="22"/>
          <w:lang w:val="it-IT"/>
        </w:rPr>
        <w:t xml:space="preserve">Uso o usos prohibidos por la medida reglamentaria firme: </w:t>
      </w:r>
      <w:r w:rsidRPr="001920DD">
        <w:rPr>
          <w:szCs w:val="22"/>
          <w:lang w:val="es-ES_tradnl"/>
        </w:rPr>
        <w:t>Todos los usos</w:t>
      </w:r>
      <w:r w:rsidRPr="00EB5B1D">
        <w:rPr>
          <w:szCs w:val="22"/>
          <w:lang w:val="es-ES_tradnl"/>
        </w:rPr>
        <w:t>.</w:t>
      </w:r>
    </w:p>
    <w:p w:rsidR="001920DD" w:rsidRPr="00EB5B1D" w:rsidRDefault="001920DD" w:rsidP="001920DD">
      <w:pPr>
        <w:widowControl w:val="0"/>
        <w:autoSpaceDE w:val="0"/>
        <w:autoSpaceDN w:val="0"/>
        <w:adjustRightInd w:val="0"/>
        <w:snapToGrid w:val="0"/>
        <w:spacing w:after="60"/>
        <w:jc w:val="both"/>
        <w:rPr>
          <w:szCs w:val="22"/>
          <w:lang w:val="es-ES_tradnl"/>
        </w:rPr>
      </w:pPr>
      <w:r w:rsidRPr="00EB5B1D">
        <w:rPr>
          <w:b/>
          <w:i/>
          <w:szCs w:val="22"/>
          <w:lang w:val="it-IT"/>
        </w:rPr>
        <w:t xml:space="preserve">Uso o usos que siguen autorizados: </w:t>
      </w:r>
      <w:r w:rsidRPr="00EB5B1D">
        <w:rPr>
          <w:szCs w:val="22"/>
          <w:lang w:val="es-ES_tradnl"/>
        </w:rPr>
        <w:t>Ninguno</w:t>
      </w:r>
    </w:p>
    <w:p w:rsidR="001920DD" w:rsidRPr="00EB5B1D" w:rsidRDefault="001920DD" w:rsidP="001920DD">
      <w:pPr>
        <w:widowControl w:val="0"/>
        <w:autoSpaceDE w:val="0"/>
        <w:autoSpaceDN w:val="0"/>
        <w:adjustRightInd w:val="0"/>
        <w:snapToGrid w:val="0"/>
        <w:spacing w:after="60"/>
        <w:rPr>
          <w:szCs w:val="22"/>
          <w:lang w:val="it-IT"/>
        </w:rPr>
      </w:pPr>
      <w:r w:rsidRPr="00EB5B1D">
        <w:rPr>
          <w:b/>
          <w:i/>
          <w:szCs w:val="22"/>
          <w:lang w:val="it-IT"/>
        </w:rPr>
        <w:t xml:space="preserve">La medida reglamentaria firme se tomó sobre la base de una evaluación de riesgos o peligros: </w:t>
      </w:r>
      <w:r w:rsidRPr="00EB5B1D">
        <w:rPr>
          <w:szCs w:val="22"/>
          <w:lang w:val="it-IT"/>
        </w:rPr>
        <w:t>Si</w:t>
      </w:r>
    </w:p>
    <w:p w:rsidR="001920DD" w:rsidRPr="00EB5B1D" w:rsidRDefault="001920DD" w:rsidP="001920DD">
      <w:pPr>
        <w:widowControl w:val="0"/>
        <w:autoSpaceDE w:val="0"/>
        <w:autoSpaceDN w:val="0"/>
        <w:adjustRightInd w:val="0"/>
        <w:snapToGrid w:val="0"/>
        <w:spacing w:after="60"/>
        <w:rPr>
          <w:szCs w:val="22"/>
          <w:lang w:val="es-ES_tradnl"/>
        </w:rPr>
      </w:pPr>
      <w:r w:rsidRPr="00EB5B1D">
        <w:rPr>
          <w:b/>
          <w:i/>
          <w:szCs w:val="22"/>
          <w:lang w:val="it-IT"/>
        </w:rPr>
        <w:t xml:space="preserve">Resumen de la medida reglamentaria firme: </w:t>
      </w:r>
      <w:r w:rsidRPr="001920DD">
        <w:rPr>
          <w:szCs w:val="22"/>
          <w:lang w:val="es-ES_tradnl"/>
        </w:rPr>
        <w:t>Prohibición de todos los productos técnicos y formulados a base de forato ingrediente activo. Por tanto, la producción, el uso, el comercio, la importación y la exportación de forato han sido prohibidos</w:t>
      </w:r>
      <w:r w:rsidRPr="00EB5B1D">
        <w:rPr>
          <w:szCs w:val="22"/>
          <w:lang w:val="es-ES_tradnl"/>
        </w:rPr>
        <w:t>.</w:t>
      </w:r>
    </w:p>
    <w:p w:rsidR="001920DD" w:rsidRPr="00EB5B1D" w:rsidRDefault="001920DD" w:rsidP="001920DD">
      <w:pPr>
        <w:widowControl w:val="0"/>
        <w:autoSpaceDE w:val="0"/>
        <w:autoSpaceDN w:val="0"/>
        <w:adjustRightInd w:val="0"/>
        <w:snapToGrid w:val="0"/>
        <w:spacing w:after="60"/>
        <w:rPr>
          <w:szCs w:val="22"/>
          <w:lang w:val="it-IT"/>
        </w:rPr>
      </w:pPr>
      <w:r w:rsidRPr="00EB5B1D">
        <w:rPr>
          <w:b/>
          <w:i/>
          <w:szCs w:val="22"/>
          <w:lang w:val="it-IT"/>
        </w:rPr>
        <w:t xml:space="preserve">El motivo por el que se adoptó la medida reglamentaria firme guarda relación con: </w:t>
      </w:r>
      <w:r w:rsidRPr="00EB5B1D">
        <w:rPr>
          <w:szCs w:val="22"/>
          <w:lang w:val="it-IT"/>
        </w:rPr>
        <w:t>La salud humana.</w:t>
      </w:r>
    </w:p>
    <w:p w:rsidR="001920DD" w:rsidRPr="00EB5B1D" w:rsidRDefault="001920DD" w:rsidP="001920DD">
      <w:pPr>
        <w:widowControl w:val="0"/>
        <w:autoSpaceDE w:val="0"/>
        <w:autoSpaceDN w:val="0"/>
        <w:adjustRightInd w:val="0"/>
        <w:snapToGrid w:val="0"/>
        <w:spacing w:after="60"/>
        <w:rPr>
          <w:b/>
          <w:i/>
          <w:szCs w:val="22"/>
          <w:lang w:val="fr-CH"/>
        </w:rPr>
      </w:pPr>
      <w:r w:rsidRPr="00EB5B1D">
        <w:rPr>
          <w:b/>
          <w:i/>
          <w:szCs w:val="22"/>
          <w:lang w:val="fr-CH"/>
        </w:rPr>
        <w:t xml:space="preserve">Resumen de los peligros y los riesgos conocidos respecto a la salud humana: </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El forato fue un insecticida autorizado en Brasil exclusivamente para cultivos de algodón, papa, café, frijoles y maíz. En 2008 la Agencia Brasileña de Vigilancia Sanitaria (ANVISA) inició la revaluación toxicológica del forato debido a evidencias de alta toxicidad aguda y neurotoxicidad de este ingrediente activo en los plaguicidas.</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La ley brasileña predice que los plaguicidas pueden tener sus registros cancelados en el país cuando se encuentran bajo las siguientes condiciones relacionadas con la salud humana: cuando no tienen antídoto o tratamiento efectivo en Brasil; si son teratogénicos, mutagénicos o carcinógenos; si causan alteraciones hormonales y daños al sistema reproductivo o si son más peligrosos para los seres humanos que lo demostrado con animales de laboratorio. El forato y sus metabolitos se absorben fácilmente a través de la piel y las membranas de las mucosas, y bloquean irreversiblemente la actividad catalítica de la acetilcolinesterasa (AChE), la enzima responsable para la mediación de la hidrólisis de la acetilcolina en ácido acético y ácido colínico. Por tanto, interrumpen la transmisión de los impulsos nerviosos en las sinapsis colinérgicas del sistema nervioso central (SNC), el sistema nervioso autónomo (SNA) y la unión neuromuscular. La inactivación de la AChE causa hiperestimulación colinérgica por la acumulación de acetilcolina en la fisura sináptica.</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El forato es considerado uno de los inhibidores organofosforados de la AChE más tóxicos, con DL50 oral medio para ratones que oscilan entre 1,4 y 10 mg/kg peso corporal. Puede causar manifestaciones clínicas complejas en seres humanos, tales como encefalopatía, síndrome intermedio y poli neuropatía, descritas por diversos autores (Young, Jung, Ayer, 1979, Kashyap et al., 1984, Kusic et al, 1991, Dobozy, 1998, Das y Jena, 2000, Thanal, 2001, Jayakumar, 2002, Misión, 2006, Peter, Prabhakar y Picharnuthu, 2008 a, 2008 b).</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Sin embargo, en animales de laboratorio suministrados con forato no hubo casos de síndrome intermedia o polineuropatía tardía, lo que muestra que este plaguicida es más tóxico para los seres humanos que lo demostrado en ensayos con animales de laboratorio, un criterio prohibitivo para el registro de plaguicidas en Brasil.</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Además de sus efectos neurotóxicos, el forato demostró tener potencial para causar efectos adversos a los procesos de regulación endocrina de las hormonas esteroides en los seres humanos (Usmani, 2003), lo que puede contribuir al aumento de</w:t>
      </w:r>
      <w:r w:rsidR="00985C05">
        <w:rPr>
          <w:szCs w:val="22"/>
          <w:lang w:val="es-ES_tradnl"/>
        </w:rPr>
        <w:t xml:space="preserve"> casos de cáncer (Mahavan et al.</w:t>
      </w:r>
      <w:r w:rsidRPr="001920DD">
        <w:rPr>
          <w:szCs w:val="22"/>
          <w:lang w:val="es-ES_tradnl"/>
        </w:rPr>
        <w:t>, Koutros et al., 2010).</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Con respecto a la exposición humana Usha y Harikrishnan (2004) informaron varios casos de intoxicación aguda en comunidades de Kerala, India. Entre estos, 5 de ellos, ocurridos entre 1999 y 2002, están asociados con la exposición al forato. Según los autores, en julio de 1999, alrededor de 12 personas que vivían en zonas de cultivo de plátanos sufrieron grave envenenamiento por el forato.</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Después de usar del producto, llovió en esta región, haciendo que el producto se evaporara rápidamente y se extendiera a las zonas cercanas, llegando a los hogares. Poco después de la aplicación del producto, aparecieron los síntomas y los afectados necesitaron hospitalización. En junio de 2001, un niño de 16 años murió como resultado de la exposición ocupacional al forato por un período de una semana. Ese mismo año, 40 trabajadoras rurales en una plantación de té se intoxicaron durante la cosecha, los síntomas aparecieron 30 minutos después de la exposición, presentando aturdimiento, mareos, visión borrosa y vómito. Treinta y siete mujeres fueron más graves y permanecieron hospitalizadas por dos días. Los autores señalan que en julio de 2002, 31 niños de una escuela primaria superior sufrieron envenenamiento por el forato aplicado en las plantaciones cercanas a la escuela.</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Los niños mostraron dolor de cabeza persistente, dolor en el pecho, dificultad para respirar, náuseas, mareos, visión borrosa y dolor de estómago, y uno de ellos mostró contracciones musculares incontroladas y convulsiones incluso después de 24 horas del tratamiento.</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El 21 de julio de 2006, 20 residentes de la aldea de Salkiana, distrito de Jalandhar en India, tuvieron que ser de inmediato trasladados a un hospital cuando se observaron síntomas neurotóxicos de exposición aguda al forato, el producto se usó en un cultivo cercano de caña de azúcar. Los más afectados fueron los alumnos de una escuela primaria. Los maestros y los estudiantes comenzaron a quejarse de un olor extraño y de la falta de respiro, de repente un estudiante cayó inconsciente y entonces los estudiantes comenzaron a desmayarse. En los diez minutos siguientes, 16 estudiantes se desmayaron después de inhalar algo tóxico, además de dificultad respiratoria, los síntomas más frecuentes fueron dolor de cabeza, irritación ocular, mareos, náuseas, vómitos, lagrimeo, salivación excesiva, calambres musculares y dolor. Seis días después de la exposición al forato, varios pacientes todavía acusaban síntomas como irritación ocular, reaccio</w:t>
      </w:r>
      <w:r w:rsidR="00985C05">
        <w:rPr>
          <w:szCs w:val="22"/>
          <w:lang w:val="es-ES_tradnl"/>
        </w:rPr>
        <w:t>nes dérmicas y malestar general</w:t>
      </w:r>
      <w:r w:rsidRPr="001920DD">
        <w:rPr>
          <w:szCs w:val="22"/>
          <w:lang w:val="es-ES_tradnl"/>
        </w:rPr>
        <w:t xml:space="preserve"> (Misión, 2006).</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Varios estudios muestran que los trabajadores agrícolas expuestos al forato son víctimas de intoxicaciones y muertes relacionadas con las características de toxicidad del ingrediente activo. La exposición se vuelve aún más peligrosa debido a las dificultades relacionadas con la disponibilidad y/o ineficiencia de los PPE (equipos de protección). Además, estas distintas cuestiones sociales (baja instrucción, bajos ingresos) y biológicas (edad y género) son factores que aumentan el riesgo y la gravedad de los envenenamientos causado por este organofosforado.</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 xml:space="preserve">Por tanto, a partir de la reevaluación de los efectos sobre la salud del forato, concluida en 2015, la ANVISA concluyó que este ingrediente activo de plaguicidas tiene potencial de causar alteraciones hormonales en los seres humanos y es más tóxico para los mismos que lo demostrado en ensayos con animales de laboratorio, que son criterios prohibitivos para el registro de plaguicidas en Brasil. </w:t>
      </w:r>
    </w:p>
    <w:p w:rsidR="001920DD" w:rsidRPr="001920DD" w:rsidRDefault="001920DD" w:rsidP="001920DD">
      <w:pPr>
        <w:widowControl w:val="0"/>
        <w:autoSpaceDE w:val="0"/>
        <w:autoSpaceDN w:val="0"/>
        <w:adjustRightInd w:val="0"/>
        <w:snapToGrid w:val="0"/>
        <w:spacing w:after="60"/>
        <w:jc w:val="both"/>
        <w:rPr>
          <w:szCs w:val="22"/>
          <w:lang w:val="es-ES_tradnl"/>
        </w:rPr>
      </w:pPr>
      <w:r w:rsidRPr="001920DD">
        <w:rPr>
          <w:szCs w:val="22"/>
          <w:lang w:val="es-ES_tradnl"/>
        </w:rPr>
        <w:t>El forato fue prohibido en Brasil el 16 de marzo de 2014, y no se comercializaba desde 2011.</w:t>
      </w:r>
    </w:p>
    <w:p w:rsidR="001920DD" w:rsidRPr="00EB5B1D" w:rsidRDefault="001920DD" w:rsidP="001920DD">
      <w:pPr>
        <w:widowControl w:val="0"/>
        <w:autoSpaceDE w:val="0"/>
        <w:autoSpaceDN w:val="0"/>
        <w:adjustRightInd w:val="0"/>
        <w:snapToGrid w:val="0"/>
        <w:spacing w:after="60"/>
        <w:jc w:val="both"/>
        <w:rPr>
          <w:szCs w:val="22"/>
          <w:lang w:val="es-ES_tradnl"/>
        </w:rPr>
      </w:pPr>
      <w:r w:rsidRPr="00EB5B1D">
        <w:rPr>
          <w:b/>
          <w:i/>
          <w:szCs w:val="22"/>
          <w:lang w:val="fr-CH"/>
        </w:rPr>
        <w:t xml:space="preserve">Efecto previsto de la medida reglamentaria firme en relación con la salud humana: </w:t>
      </w:r>
      <w:r w:rsidRPr="001920DD">
        <w:rPr>
          <w:szCs w:val="22"/>
          <w:lang w:val="es-ES_tradnl"/>
        </w:rPr>
        <w:t>Eliminar los riesgos que presenta el fo</w:t>
      </w:r>
      <w:r>
        <w:rPr>
          <w:szCs w:val="22"/>
          <w:lang w:val="es-ES_tradnl"/>
        </w:rPr>
        <w:t>rato</w:t>
      </w:r>
      <w:r w:rsidRPr="00EB5B1D">
        <w:rPr>
          <w:szCs w:val="22"/>
          <w:lang w:val="es-ES_tradnl"/>
        </w:rPr>
        <w:t>.</w:t>
      </w:r>
    </w:p>
    <w:p w:rsidR="001920DD" w:rsidRPr="00EB5B1D" w:rsidRDefault="001920DD" w:rsidP="001920DD">
      <w:pPr>
        <w:widowControl w:val="0"/>
        <w:autoSpaceDE w:val="0"/>
        <w:autoSpaceDN w:val="0"/>
        <w:adjustRightInd w:val="0"/>
        <w:snapToGrid w:val="0"/>
        <w:spacing w:after="60"/>
        <w:rPr>
          <w:szCs w:val="22"/>
          <w:lang w:val="fr-CH"/>
        </w:rPr>
      </w:pPr>
      <w:r w:rsidRPr="00EB5B1D">
        <w:rPr>
          <w:b/>
          <w:i/>
          <w:szCs w:val="22"/>
          <w:lang w:val="fr-CH"/>
        </w:rPr>
        <w:t xml:space="preserve">Fecha </w:t>
      </w:r>
      <w:proofErr w:type="gramStart"/>
      <w:r w:rsidRPr="00EB5B1D">
        <w:rPr>
          <w:b/>
          <w:i/>
          <w:szCs w:val="22"/>
          <w:lang w:val="fr-CH"/>
        </w:rPr>
        <w:t>de entrada</w:t>
      </w:r>
      <w:proofErr w:type="gramEnd"/>
      <w:r w:rsidRPr="00EB5B1D">
        <w:rPr>
          <w:b/>
          <w:i/>
          <w:szCs w:val="22"/>
          <w:lang w:val="fr-CH"/>
        </w:rPr>
        <w:t xml:space="preserve"> en vigor de la medida reglamentaria firme: </w:t>
      </w:r>
      <w:r>
        <w:rPr>
          <w:szCs w:val="22"/>
          <w:lang w:val="fr-CH"/>
        </w:rPr>
        <w:t>16/03/2015</w:t>
      </w:r>
    </w:p>
    <w:p w:rsidR="001920DD" w:rsidRPr="001920DD" w:rsidRDefault="001920DD" w:rsidP="00FD2F13">
      <w:pPr>
        <w:widowControl w:val="0"/>
        <w:pBdr>
          <w:bottom w:val="single" w:sz="4" w:space="1" w:color="auto"/>
        </w:pBdr>
        <w:snapToGrid w:val="0"/>
        <w:spacing w:after="60"/>
        <w:jc w:val="both"/>
        <w:rPr>
          <w:b/>
          <w:caps/>
          <w:szCs w:val="22"/>
          <w:lang w:val="fr-CH"/>
        </w:rPr>
      </w:pPr>
    </w:p>
    <w:p w:rsidR="00E839E9" w:rsidRPr="00EB5B1D" w:rsidRDefault="00FD2F13" w:rsidP="00FD2F13">
      <w:pPr>
        <w:widowControl w:val="0"/>
        <w:pBdr>
          <w:bottom w:val="single" w:sz="4" w:space="1" w:color="auto"/>
        </w:pBdr>
        <w:snapToGrid w:val="0"/>
        <w:spacing w:after="60"/>
        <w:jc w:val="both"/>
        <w:rPr>
          <w:b/>
          <w:caps/>
          <w:szCs w:val="22"/>
        </w:rPr>
      </w:pPr>
      <w:r w:rsidRPr="00EB5B1D">
        <w:rPr>
          <w:b/>
          <w:caps/>
          <w:szCs w:val="22"/>
        </w:rPr>
        <w:t xml:space="preserve">BURKINA FASO, CABO VERDE, CHAD, GAMBIA, GUINEA-BISSAU, </w:t>
      </w:r>
      <w:r w:rsidR="00F304EA" w:rsidRPr="00EB5B1D">
        <w:rPr>
          <w:b/>
          <w:caps/>
          <w:szCs w:val="22"/>
        </w:rPr>
        <w:t>Malí</w:t>
      </w:r>
      <w:r w:rsidRPr="00EB5B1D">
        <w:rPr>
          <w:b/>
          <w:caps/>
          <w:szCs w:val="22"/>
        </w:rPr>
        <w:t xml:space="preserve">, MAURITANIA, </w:t>
      </w:r>
      <w:r w:rsidR="00F304EA" w:rsidRPr="00EB5B1D">
        <w:rPr>
          <w:b/>
          <w:caps/>
          <w:szCs w:val="22"/>
        </w:rPr>
        <w:t>NÍGER</w:t>
      </w:r>
      <w:r w:rsidRPr="00EB5B1D">
        <w:rPr>
          <w:b/>
          <w:caps/>
          <w:szCs w:val="22"/>
        </w:rPr>
        <w:t>, SENEGAL, TOGO</w:t>
      </w:r>
    </w:p>
    <w:p w:rsidR="00AC6116" w:rsidRPr="00EB5B1D" w:rsidRDefault="00663362" w:rsidP="00FD2F13">
      <w:pPr>
        <w:widowControl w:val="0"/>
        <w:snapToGrid w:val="0"/>
        <w:spacing w:after="60"/>
        <w:rPr>
          <w:b/>
          <w:i/>
          <w:szCs w:val="22"/>
          <w:lang w:val="fr-CH"/>
        </w:rPr>
      </w:pPr>
      <w:r w:rsidRPr="00EB5B1D">
        <w:rPr>
          <w:b/>
          <w:i/>
          <w:szCs w:val="22"/>
          <w:lang w:val="fr-CH"/>
        </w:rPr>
        <w:t>Nombre común:</w:t>
      </w:r>
      <w:r w:rsidR="00AC6116" w:rsidRPr="00EB5B1D">
        <w:rPr>
          <w:b/>
          <w:i/>
          <w:szCs w:val="22"/>
          <w:lang w:val="fr-CH"/>
        </w:rPr>
        <w:t xml:space="preserve"> </w:t>
      </w:r>
      <w:r w:rsidR="00AC6116" w:rsidRPr="00EB5B1D">
        <w:rPr>
          <w:szCs w:val="22"/>
          <w:lang w:val="fr-CH"/>
        </w:rPr>
        <w:t xml:space="preserve">Acetoclor </w:t>
      </w:r>
      <w:r w:rsidR="00AC6116" w:rsidRPr="00EB5B1D">
        <w:rPr>
          <w:b/>
          <w:i/>
          <w:szCs w:val="22"/>
          <w:lang w:val="fr-CH"/>
        </w:rPr>
        <w:tab/>
      </w:r>
      <w:r w:rsidR="00AC6116" w:rsidRPr="00EB5B1D">
        <w:rPr>
          <w:b/>
          <w:i/>
          <w:szCs w:val="22"/>
          <w:lang w:val="fr-CH"/>
        </w:rPr>
        <w:tab/>
      </w:r>
      <w:r w:rsidR="00AC6116" w:rsidRPr="00EB5B1D">
        <w:rPr>
          <w:b/>
          <w:i/>
          <w:szCs w:val="22"/>
          <w:lang w:val="fr-CH"/>
        </w:rPr>
        <w:tab/>
      </w:r>
      <w:r w:rsidR="00AC6116" w:rsidRPr="00EB5B1D">
        <w:rPr>
          <w:b/>
          <w:i/>
          <w:szCs w:val="22"/>
          <w:lang w:val="fr-CH"/>
        </w:rPr>
        <w:tab/>
      </w:r>
      <w:r w:rsidR="00AC6116" w:rsidRPr="00EB5B1D">
        <w:rPr>
          <w:b/>
          <w:i/>
          <w:szCs w:val="22"/>
          <w:lang w:val="fr-CH"/>
        </w:rPr>
        <w:tab/>
      </w:r>
      <w:r w:rsidRPr="00EB5B1D">
        <w:rPr>
          <w:b/>
          <w:i/>
          <w:szCs w:val="22"/>
          <w:lang w:val="fr-CH"/>
        </w:rPr>
        <w:tab/>
      </w:r>
      <w:r w:rsidRPr="00EB5B1D">
        <w:rPr>
          <w:b/>
          <w:i/>
          <w:szCs w:val="22"/>
          <w:lang w:val="fr-CH"/>
        </w:rPr>
        <w:tab/>
        <w:t>Número de CAS:</w:t>
      </w:r>
      <w:r w:rsidR="00AC6116" w:rsidRPr="00EB5B1D">
        <w:rPr>
          <w:b/>
          <w:i/>
          <w:szCs w:val="22"/>
          <w:lang w:val="fr-CH"/>
        </w:rPr>
        <w:t xml:space="preserve"> </w:t>
      </w:r>
      <w:r w:rsidR="00AC6116" w:rsidRPr="00EB5B1D">
        <w:rPr>
          <w:szCs w:val="22"/>
          <w:lang w:val="fr-CH"/>
        </w:rPr>
        <w:t>34256-82-1</w:t>
      </w:r>
    </w:p>
    <w:p w:rsidR="00E839E9" w:rsidRPr="00EB5B1D" w:rsidRDefault="00E839E9" w:rsidP="00FD2F13">
      <w:pPr>
        <w:widowControl w:val="0"/>
        <w:snapToGrid w:val="0"/>
        <w:spacing w:after="60"/>
        <w:rPr>
          <w:b/>
          <w:i/>
          <w:szCs w:val="22"/>
          <w:lang w:val="fr-CH"/>
        </w:rPr>
      </w:pPr>
      <w:r w:rsidRPr="00EB5B1D">
        <w:rPr>
          <w:b/>
          <w:i/>
          <w:szCs w:val="22"/>
          <w:lang w:val="fr-CH"/>
        </w:rPr>
        <w:t xml:space="preserve">Nombre químico: </w:t>
      </w:r>
      <w:r w:rsidRPr="00EB5B1D">
        <w:rPr>
          <w:szCs w:val="22"/>
          <w:lang w:val="fr-CH"/>
        </w:rPr>
        <w:t>2-cloro-N (etoximetil)-N-(2-etil-6-metilfenil)-acetamida</w:t>
      </w:r>
    </w:p>
    <w:p w:rsidR="00E839E9" w:rsidRPr="00EB5B1D" w:rsidRDefault="00E839E9" w:rsidP="00FD2F13">
      <w:pPr>
        <w:widowControl w:val="0"/>
        <w:snapToGrid w:val="0"/>
        <w:spacing w:after="60"/>
        <w:rPr>
          <w:b/>
          <w:i/>
          <w:szCs w:val="22"/>
          <w:lang w:val="it-IT"/>
        </w:rPr>
      </w:pPr>
      <w:r w:rsidRPr="00EB5B1D">
        <w:rPr>
          <w:b/>
          <w:i/>
          <w:szCs w:val="22"/>
          <w:lang w:val="it-IT"/>
        </w:rPr>
        <w:t xml:space="preserve">Medida reglamentaria firme que se ha tomado para la categoría: </w:t>
      </w:r>
      <w:r w:rsidRPr="00EB5B1D">
        <w:rPr>
          <w:szCs w:val="22"/>
          <w:lang w:val="it-IT"/>
        </w:rPr>
        <w:t>Plaguicida</w:t>
      </w:r>
    </w:p>
    <w:p w:rsidR="00E839E9" w:rsidRPr="00EB5B1D" w:rsidRDefault="00E839E9" w:rsidP="00FD2F13">
      <w:pPr>
        <w:widowControl w:val="0"/>
        <w:snapToGrid w:val="0"/>
        <w:spacing w:after="60"/>
        <w:rPr>
          <w:szCs w:val="22"/>
          <w:lang w:val="it-IT"/>
        </w:rPr>
      </w:pPr>
      <w:r w:rsidRPr="00EB5B1D">
        <w:rPr>
          <w:b/>
          <w:i/>
          <w:szCs w:val="22"/>
          <w:lang w:val="it-IT"/>
        </w:rPr>
        <w:t xml:space="preserve">Medida reglamentaria firme: </w:t>
      </w:r>
      <w:r w:rsidRPr="00EB5B1D">
        <w:rPr>
          <w:szCs w:val="22"/>
          <w:lang w:val="it-IT"/>
        </w:rPr>
        <w:t>El producto químico está prohibido</w:t>
      </w:r>
      <w:r w:rsidR="00AC6116" w:rsidRPr="00EB5B1D">
        <w:rPr>
          <w:szCs w:val="22"/>
          <w:lang w:val="it-IT"/>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it-IT"/>
        </w:rPr>
        <w:t xml:space="preserve">Uso o usos prohibidos por la medida reglamentaria firme: </w:t>
      </w:r>
      <w:r w:rsidRPr="00EB5B1D">
        <w:rPr>
          <w:szCs w:val="22"/>
          <w:lang w:val="es-ES_tradnl"/>
        </w:rPr>
        <w:t>Se prohíbe cualquier preparación que contenga acetocloro. Queda prohibido todo uso.</w:t>
      </w:r>
    </w:p>
    <w:p w:rsidR="00E839E9" w:rsidRPr="00EB5B1D" w:rsidRDefault="00E839E9" w:rsidP="00FD2F13">
      <w:pPr>
        <w:widowControl w:val="0"/>
        <w:autoSpaceDE w:val="0"/>
        <w:autoSpaceDN w:val="0"/>
        <w:adjustRightInd w:val="0"/>
        <w:snapToGrid w:val="0"/>
        <w:spacing w:after="60"/>
        <w:jc w:val="both"/>
        <w:rPr>
          <w:szCs w:val="22"/>
          <w:lang w:val="es-ES_tradnl"/>
        </w:rPr>
      </w:pPr>
      <w:r w:rsidRPr="00EB5B1D">
        <w:rPr>
          <w:b/>
          <w:i/>
          <w:szCs w:val="22"/>
          <w:lang w:val="it-IT"/>
        </w:rPr>
        <w:t xml:space="preserve">Uso o usos que siguen autorizados: </w:t>
      </w:r>
      <w:r w:rsidRPr="00EB5B1D">
        <w:rPr>
          <w:szCs w:val="22"/>
          <w:lang w:val="es-ES_tradnl"/>
        </w:rPr>
        <w:t>Ninguno</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La medida reglamentaria firme se tomó sobre la base de una evaluación de riesgos o peligros: </w:t>
      </w:r>
      <w:r w:rsidRPr="00EB5B1D">
        <w:rPr>
          <w:szCs w:val="22"/>
          <w:lang w:val="it-IT"/>
        </w:rPr>
        <w:t>Si</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it-IT"/>
        </w:rPr>
        <w:t xml:space="preserve">Resumen de la medida reglamentaria firme: </w:t>
      </w:r>
      <w:r w:rsidRPr="00EB5B1D">
        <w:rPr>
          <w:szCs w:val="22"/>
          <w:lang w:val="es-ES_tradnl"/>
        </w:rPr>
        <w:t>Por recomendación del Comité de Plaguicidas del Sahel (CSP) la Decisión Nº 002 / MC / 2017 para la prohibición de todos los productos que contienen acetocloro fue firmada por el Ministro Coordinador del CILSS el 20 de marzo de 2017.</w:t>
      </w:r>
      <w:r w:rsidR="00A232FF" w:rsidRPr="00EB5B1D">
        <w:rPr>
          <w:szCs w:val="22"/>
          <w:lang w:val="es-ES_tradnl"/>
        </w:rPr>
        <w:t xml:space="preserve"> </w:t>
      </w:r>
      <w:r w:rsidRPr="00EB5B1D">
        <w:rPr>
          <w:szCs w:val="22"/>
          <w:lang w:val="es-ES_tradnl"/>
        </w:rPr>
        <w:t>La medida reglamentaria firme entró en vigor el 20 de marzo de 2017.</w:t>
      </w:r>
      <w:r w:rsidR="00A232FF" w:rsidRPr="00EB5B1D">
        <w:rPr>
          <w:szCs w:val="22"/>
          <w:lang w:val="es-ES_tradnl"/>
        </w:rPr>
        <w:t xml:space="preserve"> </w:t>
      </w:r>
      <w:r w:rsidRPr="00EB5B1D">
        <w:rPr>
          <w:szCs w:val="22"/>
          <w:lang w:val="es-ES_tradnl"/>
        </w:rPr>
        <w:t>Queda prohibido el uso de todo plaguicida que contenga acetocloro debido al potencial de contaminación del agua. También se prohíbe la importación, la fabricación para su uso en el país, la distribución y la venta.</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El motivo por el que se adoptó la medida reglamentaria firme guarda relación con: </w:t>
      </w:r>
      <w:r w:rsidRPr="00EB5B1D">
        <w:rPr>
          <w:szCs w:val="22"/>
          <w:lang w:val="it-IT"/>
        </w:rPr>
        <w:t>La salud humana y el medio ambiente</w:t>
      </w:r>
      <w:r w:rsidR="00CA368A" w:rsidRPr="00EB5B1D">
        <w:rPr>
          <w:szCs w:val="22"/>
          <w:lang w:val="it-IT"/>
        </w:rPr>
        <w:t>.</w:t>
      </w:r>
    </w:p>
    <w:p w:rsidR="00F0768C" w:rsidRDefault="00F0768C" w:rsidP="00FD2F13">
      <w:pPr>
        <w:widowControl w:val="0"/>
        <w:autoSpaceDE w:val="0"/>
        <w:autoSpaceDN w:val="0"/>
        <w:adjustRightInd w:val="0"/>
        <w:snapToGrid w:val="0"/>
        <w:spacing w:after="60"/>
        <w:rPr>
          <w:b/>
          <w:i/>
          <w:szCs w:val="22"/>
          <w:lang w:val="fr-CH"/>
        </w:rPr>
      </w:pPr>
    </w:p>
    <w:p w:rsidR="00FD2F13"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Resumen de los peligros y los riesgos conocidos respecto a la salud humana: </w:t>
      </w:r>
    </w:p>
    <w:p w:rsidR="00E839E9" w:rsidRPr="00EB5B1D" w:rsidRDefault="00E839E9" w:rsidP="002D7689">
      <w:pPr>
        <w:pStyle w:val="ListParagraph"/>
        <w:widowControl w:val="0"/>
        <w:numPr>
          <w:ilvl w:val="0"/>
          <w:numId w:val="10"/>
        </w:numPr>
        <w:autoSpaceDE w:val="0"/>
        <w:autoSpaceDN w:val="0"/>
        <w:adjustRightInd w:val="0"/>
        <w:snapToGrid w:val="0"/>
        <w:spacing w:after="60"/>
        <w:contextualSpacing w:val="0"/>
        <w:rPr>
          <w:szCs w:val="22"/>
          <w:lang w:val="es-ES_tradnl"/>
        </w:rPr>
      </w:pPr>
      <w:r w:rsidRPr="00EB5B1D">
        <w:rPr>
          <w:szCs w:val="22"/>
          <w:lang w:val="es-ES_tradnl"/>
        </w:rPr>
        <w:t>Alto riesgo de contaminación de las aguas superficiales y de las aguas subterráneas por el acetocloro y sus metabolitos;</w:t>
      </w:r>
    </w:p>
    <w:p w:rsidR="00E839E9" w:rsidRPr="00EB5B1D" w:rsidRDefault="00E839E9" w:rsidP="002D7689">
      <w:pPr>
        <w:pStyle w:val="ListParagraph"/>
        <w:widowControl w:val="0"/>
        <w:numPr>
          <w:ilvl w:val="0"/>
          <w:numId w:val="10"/>
        </w:numPr>
        <w:autoSpaceDE w:val="0"/>
        <w:autoSpaceDN w:val="0"/>
        <w:adjustRightInd w:val="0"/>
        <w:snapToGrid w:val="0"/>
        <w:spacing w:after="60"/>
        <w:contextualSpacing w:val="0"/>
        <w:rPr>
          <w:szCs w:val="22"/>
          <w:lang w:val="es-ES_tradnl"/>
        </w:rPr>
      </w:pPr>
      <w:r w:rsidRPr="00EB5B1D">
        <w:rPr>
          <w:szCs w:val="22"/>
          <w:lang w:val="es-ES_tradnl"/>
        </w:rPr>
        <w:t>Riesgo potencial de la exposición humana por la contaminación de las aguas superficiales y las aguas subterráneas por el metabolito t-norcloro acetocloro que es genotóxico: las aguas subterráneas se utilizan como reserva de agua potable y las de superficie se utilizan como agua potable para los hombres y los animales;</w:t>
      </w:r>
    </w:p>
    <w:p w:rsidR="00E839E9" w:rsidRPr="00EB5B1D" w:rsidRDefault="00E839E9" w:rsidP="002D7689">
      <w:pPr>
        <w:pStyle w:val="ListParagraph"/>
        <w:widowControl w:val="0"/>
        <w:numPr>
          <w:ilvl w:val="0"/>
          <w:numId w:val="10"/>
        </w:numPr>
        <w:autoSpaceDE w:val="0"/>
        <w:autoSpaceDN w:val="0"/>
        <w:adjustRightInd w:val="0"/>
        <w:snapToGrid w:val="0"/>
        <w:spacing w:after="60"/>
        <w:contextualSpacing w:val="0"/>
        <w:rPr>
          <w:szCs w:val="22"/>
          <w:lang w:val="es-ES_tradnl"/>
        </w:rPr>
      </w:pPr>
      <w:r w:rsidRPr="00EB5B1D">
        <w:rPr>
          <w:szCs w:val="22"/>
          <w:lang w:val="es-ES_tradnl"/>
        </w:rPr>
        <w:t>La dificultad de las personas para encontrar equipos de protección personal adecuados;</w:t>
      </w:r>
    </w:p>
    <w:p w:rsidR="00E839E9" w:rsidRPr="00EB5B1D" w:rsidRDefault="00E839E9" w:rsidP="002D7689">
      <w:pPr>
        <w:pStyle w:val="ListParagraph"/>
        <w:widowControl w:val="0"/>
        <w:numPr>
          <w:ilvl w:val="0"/>
          <w:numId w:val="10"/>
        </w:numPr>
        <w:autoSpaceDE w:val="0"/>
        <w:autoSpaceDN w:val="0"/>
        <w:adjustRightInd w:val="0"/>
        <w:snapToGrid w:val="0"/>
        <w:spacing w:after="60"/>
        <w:contextualSpacing w:val="0"/>
        <w:rPr>
          <w:szCs w:val="22"/>
          <w:lang w:val="es-ES_tradnl"/>
        </w:rPr>
      </w:pPr>
      <w:r w:rsidRPr="00EB5B1D">
        <w:rPr>
          <w:szCs w:val="22"/>
          <w:lang w:val="es-ES_tradnl"/>
        </w:rPr>
        <w:t>La frágil ecología de los países del CILSS caracterizados a veces por lluvias torrenciales en los terrenos a menudo pobres de materias orgánicas y muy susceptibles a la erosión y a la lixiviación;</w:t>
      </w:r>
    </w:p>
    <w:p w:rsidR="00E839E9" w:rsidRPr="00EB5B1D" w:rsidRDefault="00E839E9" w:rsidP="002D7689">
      <w:pPr>
        <w:pStyle w:val="ListParagraph"/>
        <w:widowControl w:val="0"/>
        <w:numPr>
          <w:ilvl w:val="0"/>
          <w:numId w:val="10"/>
        </w:numPr>
        <w:autoSpaceDE w:val="0"/>
        <w:autoSpaceDN w:val="0"/>
        <w:adjustRightInd w:val="0"/>
        <w:snapToGrid w:val="0"/>
        <w:spacing w:after="60"/>
        <w:contextualSpacing w:val="0"/>
        <w:rPr>
          <w:szCs w:val="22"/>
          <w:lang w:val="es-ES_tradnl"/>
        </w:rPr>
      </w:pPr>
      <w:r w:rsidRPr="00EB5B1D">
        <w:rPr>
          <w:szCs w:val="22"/>
          <w:lang w:val="es-ES_tradnl"/>
        </w:rPr>
        <w:t>La falta de un sistema de gestión ambiental con respecto a zonas tampón entre las campos tratados y los cursos de agua; esta precaución no es posible en el Sahel siendo el riesgo inaceptable para la s</w:t>
      </w:r>
      <w:r w:rsidR="00FD2F13" w:rsidRPr="00EB5B1D">
        <w:rPr>
          <w:szCs w:val="22"/>
          <w:lang w:val="es-ES_tradnl"/>
        </w:rPr>
        <w:t>alud humana y el medio ambiente;</w:t>
      </w:r>
    </w:p>
    <w:p w:rsidR="00E839E9" w:rsidRPr="00EB5B1D" w:rsidRDefault="00E839E9" w:rsidP="002D7689">
      <w:pPr>
        <w:pStyle w:val="ListParagraph"/>
        <w:widowControl w:val="0"/>
        <w:numPr>
          <w:ilvl w:val="0"/>
          <w:numId w:val="10"/>
        </w:numPr>
        <w:autoSpaceDE w:val="0"/>
        <w:autoSpaceDN w:val="0"/>
        <w:adjustRightInd w:val="0"/>
        <w:snapToGrid w:val="0"/>
        <w:spacing w:after="60"/>
        <w:contextualSpacing w:val="0"/>
        <w:jc w:val="both"/>
        <w:rPr>
          <w:szCs w:val="22"/>
          <w:lang w:val="es-ES_tradnl"/>
        </w:rPr>
      </w:pPr>
      <w:r w:rsidRPr="00EB5B1D">
        <w:rPr>
          <w:szCs w:val="22"/>
          <w:lang w:val="es-ES_tradnl"/>
        </w:rPr>
        <w:t>El acetocloro tien</w:t>
      </w:r>
      <w:r w:rsidR="00FD2F13" w:rsidRPr="00EB5B1D">
        <w:rPr>
          <w:szCs w:val="22"/>
          <w:lang w:val="es-ES_tradnl"/>
        </w:rPr>
        <w:t>e un uso limitado en los EE.UU.</w:t>
      </w:r>
      <w:r w:rsidRPr="00EB5B1D">
        <w:rPr>
          <w:szCs w:val="22"/>
          <w:lang w:val="es-ES_tradnl"/>
        </w:rPr>
        <w:t xml:space="preserve"> Sólo puede ser aplicado por aplicadores certificados. No se puede aplicar a terrenos toscos (por ejemplo, arenosos con menos de un 3% de materia orgánica) o donde la profundidad de las aguas subterráneas sea inferior a 30 pies. El acetocloro no se puede aplicar por cualquier sistema de riego (incluyendo el riego por inundación), ni por medio de la aplicación aérea. El acetocloro no se puede aplicar directamente al agua o en zonas donde haya agua superficial. Además, el acetocloro no debe ser mezclado o cargado a menos de 50 pies de las aguas de superficie o pozos, a menos que existan apropiadas medi</w:t>
      </w:r>
      <w:r w:rsidR="00FD2F13" w:rsidRPr="00EB5B1D">
        <w:rPr>
          <w:szCs w:val="22"/>
          <w:lang w:val="es-ES_tradnl"/>
        </w:rPr>
        <w:t>das de contención y eliminación;</w:t>
      </w:r>
    </w:p>
    <w:p w:rsidR="00E839E9" w:rsidRPr="00EB5B1D" w:rsidRDefault="00E839E9" w:rsidP="002D7689">
      <w:pPr>
        <w:pStyle w:val="ListParagraph"/>
        <w:widowControl w:val="0"/>
        <w:numPr>
          <w:ilvl w:val="0"/>
          <w:numId w:val="10"/>
        </w:numPr>
        <w:autoSpaceDE w:val="0"/>
        <w:autoSpaceDN w:val="0"/>
        <w:adjustRightInd w:val="0"/>
        <w:snapToGrid w:val="0"/>
        <w:spacing w:after="60"/>
        <w:contextualSpacing w:val="0"/>
        <w:jc w:val="both"/>
        <w:rPr>
          <w:szCs w:val="22"/>
          <w:lang w:val="es-ES_tradnl"/>
        </w:rPr>
      </w:pPr>
      <w:r w:rsidRPr="00EB5B1D">
        <w:rPr>
          <w:szCs w:val="22"/>
          <w:lang w:val="es-ES_tradnl"/>
        </w:rPr>
        <w:t>El informe de la EFSA (EFSA, 2011) menciona que los riesgos para la salud de los operadores se acentuaron porque a pesar de utilizar pulverizador a tracción, las estimaciones de la exposición para las formulaciones de EC dieron valores superiores (entre 1435 y 5550%) al nivel aceptable de exp</w:t>
      </w:r>
      <w:r w:rsidR="00FD2F13" w:rsidRPr="00EB5B1D">
        <w:rPr>
          <w:szCs w:val="22"/>
          <w:lang w:val="es-ES_tradnl"/>
        </w:rPr>
        <w:t>osición para el operador (AOEL);</w:t>
      </w:r>
    </w:p>
    <w:p w:rsidR="00E839E9" w:rsidRPr="00EB5B1D" w:rsidRDefault="00E839E9" w:rsidP="002D7689">
      <w:pPr>
        <w:pStyle w:val="ListParagraph"/>
        <w:widowControl w:val="0"/>
        <w:numPr>
          <w:ilvl w:val="0"/>
          <w:numId w:val="10"/>
        </w:numPr>
        <w:autoSpaceDE w:val="0"/>
        <w:autoSpaceDN w:val="0"/>
        <w:adjustRightInd w:val="0"/>
        <w:snapToGrid w:val="0"/>
        <w:spacing w:after="60"/>
        <w:contextualSpacing w:val="0"/>
        <w:jc w:val="both"/>
        <w:rPr>
          <w:szCs w:val="22"/>
          <w:lang w:val="es-ES_tradnl"/>
        </w:rPr>
      </w:pPr>
      <w:r w:rsidRPr="00EB5B1D">
        <w:rPr>
          <w:szCs w:val="22"/>
          <w:lang w:val="es-ES_tradnl"/>
        </w:rPr>
        <w:t>El uso recomendado en los países del Sahel fue la aplicación, contrariamente a los de EE.UU. y a los países de la Unión Europea, a bajo volumen (con pulverizador a mochila) de la formulación diluida con agua a dosis comprendidas entre 2,5 y 3,5 l/ha para el algodón. La frecuencia de aplicación fue de sólo una vez por cultivo. Las condiciones de protección recomendadas son el uso de ropa, guantes y gafas de protección. La evaluación de la exposición de los aplicadores al nivel de uso del acetocloro en las condiciones de uso recomendadas en el Sahel dio un valor de entre 15 305 y 20 095% del AOEL.</w:t>
      </w:r>
    </w:p>
    <w:p w:rsidR="00E839E9" w:rsidRPr="00EB5B1D" w:rsidRDefault="00E839E9" w:rsidP="00FD2F13">
      <w:pPr>
        <w:widowControl w:val="0"/>
        <w:autoSpaceDE w:val="0"/>
        <w:autoSpaceDN w:val="0"/>
        <w:adjustRightInd w:val="0"/>
        <w:snapToGrid w:val="0"/>
        <w:spacing w:after="60"/>
        <w:jc w:val="both"/>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La reducción de riesgos para la salud humana asociados con el uso de plaguicidas que contienen acetocloro.</w:t>
      </w:r>
    </w:p>
    <w:p w:rsidR="00FD2F13"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Resumen de los peligros y los riesgos conocidos respecto al medio ambiente: </w:t>
      </w:r>
      <w:r w:rsidRPr="00EB5B1D">
        <w:rPr>
          <w:szCs w:val="22"/>
          <w:lang w:val="es-ES_tradnl"/>
        </w:rPr>
        <w:t>·</w:t>
      </w:r>
    </w:p>
    <w:p w:rsidR="00E839E9" w:rsidRPr="00EB5B1D" w:rsidRDefault="00E839E9" w:rsidP="002D7689">
      <w:pPr>
        <w:pStyle w:val="ListParagraph"/>
        <w:widowControl w:val="0"/>
        <w:numPr>
          <w:ilvl w:val="0"/>
          <w:numId w:val="11"/>
        </w:numPr>
        <w:autoSpaceDE w:val="0"/>
        <w:autoSpaceDN w:val="0"/>
        <w:adjustRightInd w:val="0"/>
        <w:snapToGrid w:val="0"/>
        <w:spacing w:after="60"/>
        <w:contextualSpacing w:val="0"/>
        <w:rPr>
          <w:szCs w:val="22"/>
          <w:lang w:val="es-ES_tradnl"/>
        </w:rPr>
      </w:pPr>
      <w:r w:rsidRPr="00EB5B1D">
        <w:rPr>
          <w:szCs w:val="22"/>
          <w:lang w:val="es-ES_tradnl"/>
        </w:rPr>
        <w:t>Riesgo elevado para las plantas terrestres no objetivo;</w:t>
      </w:r>
    </w:p>
    <w:p w:rsidR="00E839E9" w:rsidRPr="00EB5B1D" w:rsidRDefault="00E839E9" w:rsidP="002D7689">
      <w:pPr>
        <w:pStyle w:val="ListParagraph"/>
        <w:widowControl w:val="0"/>
        <w:numPr>
          <w:ilvl w:val="0"/>
          <w:numId w:val="11"/>
        </w:numPr>
        <w:autoSpaceDE w:val="0"/>
        <w:autoSpaceDN w:val="0"/>
        <w:adjustRightInd w:val="0"/>
        <w:snapToGrid w:val="0"/>
        <w:spacing w:after="60"/>
        <w:contextualSpacing w:val="0"/>
        <w:rPr>
          <w:szCs w:val="22"/>
          <w:lang w:val="es-ES_tradnl"/>
        </w:rPr>
      </w:pPr>
      <w:r w:rsidRPr="00EB5B1D">
        <w:rPr>
          <w:szCs w:val="22"/>
          <w:lang w:val="es-ES_tradnl"/>
        </w:rPr>
        <w:t>Riesgo elevado a largo plazo para las aves herbívoras;</w:t>
      </w:r>
    </w:p>
    <w:p w:rsidR="00E839E9" w:rsidRPr="00EB5B1D" w:rsidRDefault="00E839E9" w:rsidP="002D7689">
      <w:pPr>
        <w:pStyle w:val="ListParagraph"/>
        <w:widowControl w:val="0"/>
        <w:numPr>
          <w:ilvl w:val="0"/>
          <w:numId w:val="11"/>
        </w:numPr>
        <w:autoSpaceDE w:val="0"/>
        <w:autoSpaceDN w:val="0"/>
        <w:adjustRightInd w:val="0"/>
        <w:snapToGrid w:val="0"/>
        <w:spacing w:after="60"/>
        <w:contextualSpacing w:val="0"/>
        <w:rPr>
          <w:szCs w:val="22"/>
          <w:lang w:val="es-ES_tradnl"/>
        </w:rPr>
      </w:pPr>
      <w:r w:rsidRPr="00EB5B1D">
        <w:rPr>
          <w:szCs w:val="22"/>
          <w:lang w:val="es-ES_tradnl"/>
        </w:rPr>
        <w:t>Contaminación de las aguas superficiales y riesgo elevado para los organismos acuáticos (concentración agua superficial: 10</w:t>
      </w:r>
      <w:r w:rsidR="00AC6116" w:rsidRPr="00EB5B1D">
        <w:rPr>
          <w:szCs w:val="22"/>
          <w:lang w:val="es-ES_tradnl"/>
        </w:rPr>
        <w:t>.</w:t>
      </w:r>
      <w:r w:rsidRPr="00EB5B1D">
        <w:rPr>
          <w:szCs w:val="22"/>
          <w:lang w:val="es-ES_tradnl"/>
        </w:rPr>
        <w:t>6 a 76</w:t>
      </w:r>
      <w:r w:rsidR="00AC6116" w:rsidRPr="00EB5B1D">
        <w:rPr>
          <w:szCs w:val="22"/>
          <w:lang w:val="es-ES_tradnl"/>
        </w:rPr>
        <w:t>.</w:t>
      </w:r>
      <w:r w:rsidRPr="00EB5B1D">
        <w:rPr>
          <w:szCs w:val="22"/>
          <w:lang w:val="es-ES_tradnl"/>
        </w:rPr>
        <w:t>6 g /l (Soleri, 2013);</w:t>
      </w:r>
    </w:p>
    <w:p w:rsidR="00E839E9" w:rsidRPr="00EB5B1D" w:rsidRDefault="00E839E9" w:rsidP="002D7689">
      <w:pPr>
        <w:pStyle w:val="ListParagraph"/>
        <w:widowControl w:val="0"/>
        <w:numPr>
          <w:ilvl w:val="0"/>
          <w:numId w:val="11"/>
        </w:numPr>
        <w:autoSpaceDE w:val="0"/>
        <w:autoSpaceDN w:val="0"/>
        <w:adjustRightInd w:val="0"/>
        <w:snapToGrid w:val="0"/>
        <w:spacing w:after="60"/>
        <w:contextualSpacing w:val="0"/>
        <w:rPr>
          <w:szCs w:val="22"/>
          <w:lang w:val="es-ES_tradnl"/>
        </w:rPr>
      </w:pPr>
      <w:r w:rsidRPr="00EB5B1D">
        <w:rPr>
          <w:szCs w:val="22"/>
          <w:lang w:val="es-ES_tradnl"/>
        </w:rPr>
        <w:t>En Burkina Faso, el acetocloro tiene un gran potencial (dependiendo del escenario 1 SHOCAP) de contaminación de los lagos Lemouroudougou Karfiguela  y un potencial extremadamente según el escenario 3 (Ouedraogo R. et al, 2012.);</w:t>
      </w:r>
    </w:p>
    <w:p w:rsidR="00E839E9" w:rsidRPr="00EB5B1D" w:rsidRDefault="00E839E9" w:rsidP="002D7689">
      <w:pPr>
        <w:pStyle w:val="ListParagraph"/>
        <w:widowControl w:val="0"/>
        <w:numPr>
          <w:ilvl w:val="0"/>
          <w:numId w:val="11"/>
        </w:numPr>
        <w:autoSpaceDE w:val="0"/>
        <w:autoSpaceDN w:val="0"/>
        <w:adjustRightInd w:val="0"/>
        <w:snapToGrid w:val="0"/>
        <w:spacing w:after="60"/>
        <w:contextualSpacing w:val="0"/>
        <w:rPr>
          <w:szCs w:val="22"/>
          <w:lang w:val="es-ES_tradnl"/>
        </w:rPr>
      </w:pPr>
      <w:r w:rsidRPr="00EB5B1D">
        <w:rPr>
          <w:szCs w:val="22"/>
          <w:lang w:val="es-ES_tradnl"/>
        </w:rPr>
        <w:t>Riesgo elevado a corto plazo para las aves que beben agua contaminada después del tratamiento de post-emergencia;</w:t>
      </w:r>
    </w:p>
    <w:p w:rsidR="00E839E9" w:rsidRPr="00EB5B1D" w:rsidRDefault="00E839E9" w:rsidP="002D7689">
      <w:pPr>
        <w:pStyle w:val="ListParagraph"/>
        <w:widowControl w:val="0"/>
        <w:numPr>
          <w:ilvl w:val="0"/>
          <w:numId w:val="11"/>
        </w:numPr>
        <w:autoSpaceDE w:val="0"/>
        <w:autoSpaceDN w:val="0"/>
        <w:adjustRightInd w:val="0"/>
        <w:snapToGrid w:val="0"/>
        <w:spacing w:after="60"/>
        <w:contextualSpacing w:val="0"/>
        <w:rPr>
          <w:szCs w:val="22"/>
          <w:lang w:val="es-ES_tradnl"/>
        </w:rPr>
      </w:pPr>
      <w:r w:rsidRPr="00EB5B1D">
        <w:rPr>
          <w:szCs w:val="22"/>
          <w:lang w:val="es-ES_tradnl"/>
        </w:rPr>
        <w:t>Riesgo de empobrecimiento de los terrenos del Sahel.</w:t>
      </w:r>
    </w:p>
    <w:p w:rsidR="00E839E9" w:rsidRPr="00EB5B1D" w:rsidRDefault="00E839E9" w:rsidP="00FD2F13">
      <w:pPr>
        <w:widowControl w:val="0"/>
        <w:autoSpaceDE w:val="0"/>
        <w:autoSpaceDN w:val="0"/>
        <w:adjustRightInd w:val="0"/>
        <w:snapToGrid w:val="0"/>
        <w:spacing w:after="60"/>
        <w:jc w:val="both"/>
        <w:rPr>
          <w:szCs w:val="22"/>
          <w:lang w:val="es-ES_tradnl"/>
        </w:rPr>
      </w:pPr>
      <w:r w:rsidRPr="00EB5B1D">
        <w:rPr>
          <w:b/>
          <w:i/>
          <w:szCs w:val="22"/>
          <w:lang w:val="it-IT"/>
        </w:rPr>
        <w:t xml:space="preserve">Efecto previsto de la medida reglamentaria firme en relación con el medio ambiente: </w:t>
      </w:r>
      <w:r w:rsidRPr="00EB5B1D">
        <w:rPr>
          <w:szCs w:val="22"/>
          <w:lang w:val="es-ES_tradnl"/>
        </w:rPr>
        <w:t>La reducción de riesgos para el medio ambiente asociados con el uso de plaguicidas que contienen acetocloro.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Fecha </w:t>
      </w:r>
      <w:proofErr w:type="gramStart"/>
      <w:r w:rsidRPr="00EB5B1D">
        <w:rPr>
          <w:b/>
          <w:i/>
          <w:szCs w:val="22"/>
          <w:lang w:val="fr-CH"/>
        </w:rPr>
        <w:t>de entrada</w:t>
      </w:r>
      <w:proofErr w:type="gramEnd"/>
      <w:r w:rsidRPr="00EB5B1D">
        <w:rPr>
          <w:b/>
          <w:i/>
          <w:szCs w:val="22"/>
          <w:lang w:val="fr-CH"/>
        </w:rPr>
        <w:t xml:space="preserve"> en vigor de la medida reglamentaria firme: </w:t>
      </w:r>
      <w:r w:rsidRPr="00EB5B1D">
        <w:rPr>
          <w:szCs w:val="22"/>
          <w:lang w:val="fr-CH"/>
        </w:rPr>
        <w:t>20/03/2017</w:t>
      </w:r>
    </w:p>
    <w:p w:rsidR="00E839E9" w:rsidRPr="00EB5B1D" w:rsidRDefault="00E839E9" w:rsidP="00FD2F13">
      <w:pPr>
        <w:widowControl w:val="0"/>
        <w:pBdr>
          <w:bottom w:val="single" w:sz="4" w:space="1" w:color="auto"/>
        </w:pBdr>
        <w:autoSpaceDE w:val="0"/>
        <w:autoSpaceDN w:val="0"/>
        <w:adjustRightInd w:val="0"/>
        <w:snapToGrid w:val="0"/>
        <w:spacing w:after="60"/>
        <w:rPr>
          <w:szCs w:val="22"/>
          <w:lang w:val="fr-CH"/>
        </w:rPr>
      </w:pPr>
    </w:p>
    <w:p w:rsidR="00E839E9" w:rsidRPr="00EB5B1D" w:rsidRDefault="00C64BCA" w:rsidP="00FD2F13">
      <w:pPr>
        <w:widowControl w:val="0"/>
        <w:pBdr>
          <w:bottom w:val="single" w:sz="4" w:space="1" w:color="auto"/>
        </w:pBdr>
        <w:autoSpaceDE w:val="0"/>
        <w:autoSpaceDN w:val="0"/>
        <w:adjustRightInd w:val="0"/>
        <w:snapToGrid w:val="0"/>
        <w:spacing w:after="60"/>
        <w:rPr>
          <w:b/>
          <w:caps/>
          <w:szCs w:val="22"/>
        </w:rPr>
      </w:pPr>
      <w:r w:rsidRPr="00EB5B1D">
        <w:rPr>
          <w:b/>
          <w:szCs w:val="22"/>
        </w:rPr>
        <w:t xml:space="preserve">BURKINA FASO, CABO VERDE, CHAD, GAMBIA, GUINEA-BISSAU, </w:t>
      </w:r>
      <w:r w:rsidR="00F304EA" w:rsidRPr="00EB5B1D">
        <w:rPr>
          <w:b/>
          <w:caps/>
          <w:szCs w:val="22"/>
        </w:rPr>
        <w:t>Malí</w:t>
      </w:r>
      <w:r w:rsidRPr="00EB5B1D">
        <w:rPr>
          <w:b/>
          <w:szCs w:val="22"/>
        </w:rPr>
        <w:t xml:space="preserve">, MAURITANIA, </w:t>
      </w:r>
      <w:r w:rsidR="00F304EA" w:rsidRPr="00EB5B1D">
        <w:rPr>
          <w:b/>
          <w:szCs w:val="22"/>
        </w:rPr>
        <w:t>NÍGER</w:t>
      </w:r>
      <w:r w:rsidRPr="00EB5B1D">
        <w:rPr>
          <w:b/>
          <w:szCs w:val="22"/>
        </w:rPr>
        <w:t>, SENEGAL, TOGO</w:t>
      </w:r>
    </w:p>
    <w:p w:rsidR="00AC6116"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Nombre común:</w:t>
      </w:r>
      <w:r w:rsidR="00AC6116" w:rsidRPr="00EB5B1D">
        <w:rPr>
          <w:b/>
          <w:i/>
          <w:szCs w:val="22"/>
          <w:lang w:val="fr-CH"/>
        </w:rPr>
        <w:t xml:space="preserve"> </w:t>
      </w:r>
      <w:r w:rsidR="00AC6116" w:rsidRPr="00EB5B1D">
        <w:rPr>
          <w:szCs w:val="22"/>
          <w:lang w:val="fr-CH"/>
        </w:rPr>
        <w:t>Hexazinona</w:t>
      </w:r>
      <w:r w:rsidR="00AC6116" w:rsidRPr="00EB5B1D">
        <w:rPr>
          <w:b/>
          <w:i/>
          <w:szCs w:val="22"/>
          <w:lang w:val="fr-CH"/>
        </w:rPr>
        <w:tab/>
      </w:r>
      <w:r w:rsidR="00AC6116" w:rsidRPr="00EB5B1D">
        <w:rPr>
          <w:b/>
          <w:i/>
          <w:szCs w:val="22"/>
          <w:lang w:val="fr-CH"/>
        </w:rPr>
        <w:tab/>
      </w:r>
      <w:r w:rsidR="00AC6116" w:rsidRPr="00EB5B1D">
        <w:rPr>
          <w:b/>
          <w:i/>
          <w:szCs w:val="22"/>
          <w:lang w:val="fr-CH"/>
        </w:rPr>
        <w:tab/>
      </w:r>
      <w:r w:rsidR="00AC6116" w:rsidRPr="00EB5B1D">
        <w:rPr>
          <w:b/>
          <w:i/>
          <w:szCs w:val="22"/>
          <w:lang w:val="fr-CH"/>
        </w:rPr>
        <w:tab/>
      </w:r>
      <w:r w:rsidR="00AC6116" w:rsidRPr="00EB5B1D">
        <w:rPr>
          <w:b/>
          <w:i/>
          <w:szCs w:val="22"/>
          <w:lang w:val="fr-CH"/>
        </w:rPr>
        <w:tab/>
      </w:r>
      <w:r w:rsidRPr="00EB5B1D">
        <w:rPr>
          <w:b/>
          <w:i/>
          <w:szCs w:val="22"/>
          <w:lang w:val="fr-CH"/>
        </w:rPr>
        <w:tab/>
        <w:t>Número de CAS:</w:t>
      </w:r>
      <w:r w:rsidR="00AC6116" w:rsidRPr="00EB5B1D">
        <w:rPr>
          <w:b/>
          <w:i/>
          <w:szCs w:val="22"/>
          <w:lang w:val="fr-CH"/>
        </w:rPr>
        <w:t xml:space="preserve"> </w:t>
      </w:r>
      <w:r w:rsidR="00AC6116" w:rsidRPr="00EB5B1D">
        <w:rPr>
          <w:szCs w:val="22"/>
          <w:lang w:val="fr-CH"/>
        </w:rPr>
        <w:t>51235-04-2</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002D7689" w:rsidRPr="00EB5B1D">
        <w:rPr>
          <w:lang w:val="fr-CH"/>
        </w:rPr>
        <w:t>3-Cyclohexyl-6-dimethylamino-1-methyl-1</w:t>
      </w:r>
      <w:proofErr w:type="gramStart"/>
      <w:r w:rsidR="002D7689" w:rsidRPr="00EB5B1D">
        <w:rPr>
          <w:lang w:val="fr-CH"/>
        </w:rPr>
        <w:t>,3,5</w:t>
      </w:r>
      <w:proofErr w:type="gramEnd"/>
      <w:r w:rsidR="002D7689" w:rsidRPr="00EB5B1D">
        <w:rPr>
          <w:lang w:val="fr-CH"/>
        </w:rPr>
        <w:t>-triazine- 2,4(1H, 3H)-dione</w:t>
      </w:r>
    </w:p>
    <w:p w:rsidR="00E839E9" w:rsidRPr="00EB5B1D" w:rsidRDefault="00E839E9" w:rsidP="00FD2F13">
      <w:pPr>
        <w:widowControl w:val="0"/>
        <w:autoSpaceDE w:val="0"/>
        <w:autoSpaceDN w:val="0"/>
        <w:adjustRightInd w:val="0"/>
        <w:snapToGrid w:val="0"/>
        <w:spacing w:after="60"/>
        <w:rPr>
          <w:b/>
          <w:i/>
          <w:szCs w:val="22"/>
          <w:lang w:val="it-IT"/>
        </w:rPr>
      </w:pPr>
      <w:r w:rsidRPr="00EB5B1D">
        <w:rPr>
          <w:b/>
          <w:i/>
          <w:szCs w:val="22"/>
          <w:lang w:val="it-IT"/>
        </w:rPr>
        <w:t xml:space="preserve">Medida reglamentaria firme que se ha tomado para la categoría: </w:t>
      </w:r>
      <w:r w:rsidRPr="00EB5B1D">
        <w:rPr>
          <w:szCs w:val="22"/>
          <w:lang w:val="it-IT"/>
        </w:rPr>
        <w:t>Plaguicida</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Medida reglamentaria firme: </w:t>
      </w:r>
      <w:r w:rsidRPr="00EB5B1D">
        <w:rPr>
          <w:szCs w:val="22"/>
          <w:lang w:val="it-IT"/>
        </w:rPr>
        <w:t>El producto químico está prohibido</w:t>
      </w:r>
      <w:r w:rsidR="00AC6116" w:rsidRPr="00EB5B1D">
        <w:rPr>
          <w:szCs w:val="22"/>
          <w:lang w:val="it-IT"/>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it-IT"/>
        </w:rPr>
        <w:t xml:space="preserve">Uso o usos prohibidos por la medida reglamentaria firme: </w:t>
      </w:r>
      <w:r w:rsidRPr="00EB5B1D">
        <w:rPr>
          <w:szCs w:val="22"/>
          <w:lang w:val="es-ES_tradnl"/>
        </w:rPr>
        <w:t>Se prohíbe cualquier preparación que contenga hexazinona. Queda prohibido todo uso.</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it-IT"/>
        </w:rPr>
        <w:t xml:space="preserve">Uso o usos que siguen autorizados: </w:t>
      </w:r>
      <w:r w:rsidRPr="00EB5B1D">
        <w:rPr>
          <w:szCs w:val="22"/>
          <w:lang w:val="es-ES_tradnl"/>
        </w:rPr>
        <w:t>Ninguno</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La medida reglamentaria firme se tomó sobre la base de una evaluación de riesgos o peligros: </w:t>
      </w:r>
      <w:r w:rsidRPr="00EB5B1D">
        <w:rPr>
          <w:szCs w:val="22"/>
          <w:lang w:val="it-IT"/>
        </w:rPr>
        <w:t>Si</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it-IT"/>
        </w:rPr>
        <w:t xml:space="preserve">Resumen de la medida reglamentaria firme: </w:t>
      </w:r>
      <w:r w:rsidRPr="00EB5B1D">
        <w:rPr>
          <w:szCs w:val="22"/>
          <w:lang w:val="es-ES_tradnl"/>
        </w:rPr>
        <w:t>Por recomendación del Comité de Plaguicidas del Sahel (CSP) la Decisión Nº 003 /MC/2017 para prohibir todo producto que contenga hexazinona fue firmada por el Ministro Coordinador del CILSS el 20 de marzo de 2017.</w:t>
      </w:r>
      <w:r w:rsidR="00A232FF" w:rsidRPr="00EB5B1D">
        <w:rPr>
          <w:szCs w:val="22"/>
          <w:lang w:val="es-ES_tradnl"/>
        </w:rPr>
        <w:t xml:space="preserve"> </w:t>
      </w:r>
      <w:r w:rsidRPr="00EB5B1D">
        <w:rPr>
          <w:szCs w:val="22"/>
          <w:lang w:val="es-ES_tradnl"/>
        </w:rPr>
        <w:t>La medida reglamentaria firme entró en vigor el 20 de marzo de 2017.</w:t>
      </w:r>
      <w:r w:rsidR="00A232FF" w:rsidRPr="00EB5B1D">
        <w:rPr>
          <w:szCs w:val="22"/>
          <w:lang w:val="es-ES_tradnl"/>
        </w:rPr>
        <w:t xml:space="preserve"> </w:t>
      </w:r>
      <w:r w:rsidRPr="00EB5B1D">
        <w:rPr>
          <w:szCs w:val="22"/>
          <w:lang w:val="es-ES_tradnl"/>
        </w:rPr>
        <w:t>El uso de cualquier plaguicida que contiene hexazinona fue prohibido debido al potencial de contaminación de las aguas. También se prohíbe la importación, la fabricación para el empleo industrial en el país, la distribución y la venta.</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El motivo por el que se adoptó la medida reglamentaria firme guarda relación con: </w:t>
      </w:r>
      <w:r w:rsidRPr="00EB5B1D">
        <w:rPr>
          <w:szCs w:val="22"/>
          <w:lang w:val="it-IT"/>
        </w:rPr>
        <w:t>La salud humana y el medio ambiente</w:t>
      </w:r>
      <w:r w:rsidR="00CA368A" w:rsidRPr="00EB5B1D">
        <w:rPr>
          <w:szCs w:val="22"/>
          <w:lang w:val="it-IT"/>
        </w:rPr>
        <w:t>.</w:t>
      </w:r>
    </w:p>
    <w:p w:rsidR="00A232FF"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Resumen de los peligros y los riesgos conocidos respecto a la salud humana:</w:t>
      </w:r>
    </w:p>
    <w:p w:rsidR="00E839E9" w:rsidRPr="00EB5B1D" w:rsidRDefault="00E839E9" w:rsidP="002D7689">
      <w:pPr>
        <w:pStyle w:val="ListParagraph"/>
        <w:widowControl w:val="0"/>
        <w:numPr>
          <w:ilvl w:val="0"/>
          <w:numId w:val="12"/>
        </w:numPr>
        <w:autoSpaceDE w:val="0"/>
        <w:autoSpaceDN w:val="0"/>
        <w:adjustRightInd w:val="0"/>
        <w:snapToGrid w:val="0"/>
        <w:spacing w:after="60"/>
        <w:contextualSpacing w:val="0"/>
        <w:rPr>
          <w:szCs w:val="22"/>
          <w:lang w:val="es-ES_tradnl"/>
        </w:rPr>
      </w:pPr>
      <w:r w:rsidRPr="00EB5B1D">
        <w:rPr>
          <w:bCs/>
          <w:iCs/>
          <w:szCs w:val="22"/>
          <w:lang w:val="es-ES_tradnl"/>
        </w:rPr>
        <w:t xml:space="preserve">Riesgo </w:t>
      </w:r>
      <w:r w:rsidRPr="00EB5B1D">
        <w:rPr>
          <w:szCs w:val="22"/>
          <w:lang w:val="es-ES_tradnl"/>
        </w:rPr>
        <w:t>e</w:t>
      </w:r>
      <w:r w:rsidRPr="00EB5B1D">
        <w:rPr>
          <w:bCs/>
          <w:iCs/>
          <w:szCs w:val="22"/>
          <w:lang w:val="es-ES_tradnl"/>
        </w:rPr>
        <w:t>lev</w:t>
      </w:r>
      <w:r w:rsidRPr="00EB5B1D">
        <w:rPr>
          <w:szCs w:val="22"/>
          <w:lang w:val="es-ES_tradnl"/>
        </w:rPr>
        <w:t>ado</w:t>
      </w:r>
      <w:r w:rsidRPr="00EB5B1D">
        <w:rPr>
          <w:bCs/>
          <w:iCs/>
          <w:szCs w:val="22"/>
          <w:lang w:val="es-ES_tradnl"/>
        </w:rPr>
        <w:t xml:space="preserve"> de contaminación de las aguas subterráneas y de superficie por la hexazinona:</w:t>
      </w:r>
    </w:p>
    <w:p w:rsidR="00E839E9" w:rsidRPr="00EB5B1D" w:rsidRDefault="00E839E9" w:rsidP="002D7689">
      <w:pPr>
        <w:pStyle w:val="ListParagraph"/>
        <w:widowControl w:val="0"/>
        <w:numPr>
          <w:ilvl w:val="1"/>
          <w:numId w:val="12"/>
        </w:numPr>
        <w:autoSpaceDE w:val="0"/>
        <w:autoSpaceDN w:val="0"/>
        <w:adjustRightInd w:val="0"/>
        <w:snapToGrid w:val="0"/>
        <w:spacing w:after="60"/>
        <w:contextualSpacing w:val="0"/>
        <w:rPr>
          <w:szCs w:val="22"/>
          <w:lang w:val="es-ES_tradnl"/>
        </w:rPr>
      </w:pPr>
      <w:r w:rsidRPr="00EB5B1D">
        <w:rPr>
          <w:szCs w:val="22"/>
          <w:lang w:val="es-ES_tradnl"/>
        </w:rPr>
        <w:t>La frágil ecología de los países del CILSS veces caracterizados por lluvias torrenciales en suelos a menudo pobres de materia orgánica y muy susceptibles a la erosión y la lixiviación;</w:t>
      </w:r>
    </w:p>
    <w:p w:rsidR="00E839E9" w:rsidRPr="00EB5B1D" w:rsidRDefault="00E839E9" w:rsidP="002D7689">
      <w:pPr>
        <w:pStyle w:val="ListParagraph"/>
        <w:widowControl w:val="0"/>
        <w:numPr>
          <w:ilvl w:val="1"/>
          <w:numId w:val="12"/>
        </w:numPr>
        <w:autoSpaceDE w:val="0"/>
        <w:autoSpaceDN w:val="0"/>
        <w:adjustRightInd w:val="0"/>
        <w:snapToGrid w:val="0"/>
        <w:spacing w:after="60"/>
        <w:contextualSpacing w:val="0"/>
        <w:rPr>
          <w:szCs w:val="22"/>
          <w:lang w:val="es-ES_tradnl"/>
        </w:rPr>
      </w:pPr>
      <w:r w:rsidRPr="00EB5B1D">
        <w:rPr>
          <w:szCs w:val="22"/>
          <w:lang w:val="es-ES_tradnl"/>
        </w:rPr>
        <w:t>La ausencia de un sistema de gestión del medio ambiente con zonas tampón entre las zonas tratadas y los cursos de agua. Esta precaución no es posible en el Sahel y el riesgo es inaceptable para la salud humana y el medio ambiente</w:t>
      </w:r>
      <w:r w:rsidR="00A232FF" w:rsidRPr="00EB5B1D">
        <w:rPr>
          <w:szCs w:val="22"/>
          <w:lang w:val="es-ES_tradnl"/>
        </w:rPr>
        <w:t>;</w:t>
      </w:r>
    </w:p>
    <w:p w:rsidR="00E839E9" w:rsidRPr="00EB5B1D" w:rsidRDefault="00E839E9" w:rsidP="002D7689">
      <w:pPr>
        <w:pStyle w:val="ListParagraph"/>
        <w:widowControl w:val="0"/>
        <w:numPr>
          <w:ilvl w:val="1"/>
          <w:numId w:val="12"/>
        </w:numPr>
        <w:autoSpaceDE w:val="0"/>
        <w:autoSpaceDN w:val="0"/>
        <w:adjustRightInd w:val="0"/>
        <w:snapToGrid w:val="0"/>
        <w:spacing w:after="60"/>
        <w:contextualSpacing w:val="0"/>
        <w:rPr>
          <w:szCs w:val="22"/>
          <w:lang w:val="es-ES_tradnl"/>
        </w:rPr>
      </w:pPr>
      <w:r w:rsidRPr="00EB5B1D">
        <w:rPr>
          <w:szCs w:val="22"/>
          <w:lang w:val="es-ES_tradnl"/>
        </w:rPr>
        <w:t xml:space="preserve">La hexazinona es </w:t>
      </w:r>
      <w:r w:rsidR="00A232FF" w:rsidRPr="00EB5B1D">
        <w:rPr>
          <w:szCs w:val="22"/>
          <w:lang w:val="es-ES_tradnl"/>
        </w:rPr>
        <w:t>muy móvil en el suelo (Koc GUS);</w:t>
      </w:r>
    </w:p>
    <w:p w:rsidR="00E839E9" w:rsidRPr="00EB5B1D" w:rsidRDefault="00E839E9" w:rsidP="002D7689">
      <w:pPr>
        <w:pStyle w:val="ListParagraph"/>
        <w:widowControl w:val="0"/>
        <w:numPr>
          <w:ilvl w:val="1"/>
          <w:numId w:val="12"/>
        </w:numPr>
        <w:autoSpaceDE w:val="0"/>
        <w:autoSpaceDN w:val="0"/>
        <w:adjustRightInd w:val="0"/>
        <w:snapToGrid w:val="0"/>
        <w:spacing w:after="60"/>
        <w:contextualSpacing w:val="0"/>
        <w:rPr>
          <w:szCs w:val="22"/>
          <w:lang w:val="es-ES_tradnl"/>
        </w:rPr>
      </w:pPr>
      <w:r w:rsidRPr="00EB5B1D">
        <w:rPr>
          <w:szCs w:val="22"/>
          <w:lang w:val="es-ES_tradnl"/>
        </w:rPr>
        <w:t>Un estudio canadiense ha demostrado que el 40% de los depósitos de agua potabl</w:t>
      </w:r>
      <w:r w:rsidR="00A232FF" w:rsidRPr="00EB5B1D">
        <w:rPr>
          <w:szCs w:val="22"/>
          <w:lang w:val="es-ES_tradnl"/>
        </w:rPr>
        <w:t>e muestreados contenían hasta 6.</w:t>
      </w:r>
      <w:r w:rsidRPr="00EB5B1D">
        <w:rPr>
          <w:szCs w:val="22"/>
          <w:lang w:val="es-ES_tradnl"/>
        </w:rPr>
        <w:t xml:space="preserve">7 </w:t>
      </w:r>
      <w:r w:rsidR="00A232FF" w:rsidRPr="00EB5B1D">
        <w:rPr>
          <w:szCs w:val="22"/>
          <w:lang w:val="fr-CH"/>
        </w:rPr>
        <w:t>µ</w:t>
      </w:r>
      <w:r w:rsidRPr="00EB5B1D">
        <w:rPr>
          <w:szCs w:val="22"/>
          <w:lang w:val="es-ES_tradnl"/>
        </w:rPr>
        <w:t xml:space="preserve">g /l de hexazinona. En el Sahel, </w:t>
      </w:r>
      <w:r w:rsidRPr="00EB5B1D">
        <w:rPr>
          <w:bCs/>
          <w:szCs w:val="22"/>
          <w:lang w:val="es-ES_tradnl"/>
        </w:rPr>
        <w:t>las aguas subterráneas se utilizan como reservas de agua potable y las aguas de superficie se utilizan como agua potable para los seres humanos y animales</w:t>
      </w:r>
      <w:r w:rsidRPr="00EB5B1D">
        <w:rPr>
          <w:szCs w:val="22"/>
          <w:lang w:val="es-ES_tradnl"/>
        </w:rPr>
        <w:t>, lo que representa un riesgo inaceptable para la s</w:t>
      </w:r>
      <w:r w:rsidR="00A232FF" w:rsidRPr="00EB5B1D">
        <w:rPr>
          <w:szCs w:val="22"/>
          <w:lang w:val="es-ES_tradnl"/>
        </w:rPr>
        <w:t>alud humana y el medio ambiente;</w:t>
      </w:r>
    </w:p>
    <w:p w:rsidR="00E839E9" w:rsidRPr="00EB5B1D" w:rsidRDefault="00E839E9" w:rsidP="002D7689">
      <w:pPr>
        <w:pStyle w:val="ListParagraph"/>
        <w:widowControl w:val="0"/>
        <w:numPr>
          <w:ilvl w:val="1"/>
          <w:numId w:val="12"/>
        </w:numPr>
        <w:autoSpaceDE w:val="0"/>
        <w:autoSpaceDN w:val="0"/>
        <w:adjustRightInd w:val="0"/>
        <w:snapToGrid w:val="0"/>
        <w:spacing w:after="60"/>
        <w:contextualSpacing w:val="0"/>
        <w:rPr>
          <w:szCs w:val="22"/>
          <w:lang w:val="es-ES_tradnl"/>
        </w:rPr>
      </w:pPr>
      <w:r w:rsidRPr="00EB5B1D">
        <w:rPr>
          <w:szCs w:val="22"/>
          <w:lang w:val="es-ES_tradnl"/>
        </w:rPr>
        <w:t>Para ciertas áreas sensibles Canadá ha impuesto zonas tampón a causa del riesgo de contaminación de las aguas subterráneas.</w:t>
      </w:r>
    </w:p>
    <w:p w:rsidR="00E839E9" w:rsidRPr="00EB5B1D" w:rsidRDefault="00E839E9" w:rsidP="002D7689">
      <w:pPr>
        <w:pStyle w:val="ListParagraph"/>
        <w:widowControl w:val="0"/>
        <w:numPr>
          <w:ilvl w:val="0"/>
          <w:numId w:val="12"/>
        </w:numPr>
        <w:autoSpaceDE w:val="0"/>
        <w:autoSpaceDN w:val="0"/>
        <w:adjustRightInd w:val="0"/>
        <w:snapToGrid w:val="0"/>
        <w:spacing w:after="60"/>
        <w:contextualSpacing w:val="0"/>
        <w:rPr>
          <w:szCs w:val="22"/>
          <w:lang w:val="es-ES_tradnl"/>
        </w:rPr>
      </w:pPr>
      <w:r w:rsidRPr="00EB5B1D">
        <w:rPr>
          <w:bCs/>
          <w:iCs/>
          <w:szCs w:val="22"/>
          <w:lang w:val="es-ES_tradnl"/>
        </w:rPr>
        <w:t>Riesgo potencial de la exposición humana a través de la contaminación de las aguas superficiales y las aguas subterráneas por la hexazinona:</w:t>
      </w:r>
    </w:p>
    <w:p w:rsidR="00E839E9" w:rsidRPr="00EB5B1D" w:rsidRDefault="00E839E9" w:rsidP="002D7689">
      <w:pPr>
        <w:pStyle w:val="ListParagraph"/>
        <w:widowControl w:val="0"/>
        <w:numPr>
          <w:ilvl w:val="1"/>
          <w:numId w:val="12"/>
        </w:numPr>
        <w:autoSpaceDE w:val="0"/>
        <w:autoSpaceDN w:val="0"/>
        <w:adjustRightInd w:val="0"/>
        <w:snapToGrid w:val="0"/>
        <w:spacing w:after="60"/>
        <w:contextualSpacing w:val="0"/>
        <w:rPr>
          <w:szCs w:val="22"/>
          <w:lang w:val="es-ES_tradnl"/>
        </w:rPr>
      </w:pPr>
      <w:r w:rsidRPr="00EB5B1D">
        <w:rPr>
          <w:szCs w:val="22"/>
          <w:lang w:val="es-ES_tradnl"/>
        </w:rPr>
        <w:t>La utilización de las aguas superficiales como agua potable para los seres humanos y los animales;</w:t>
      </w:r>
    </w:p>
    <w:p w:rsidR="00E839E9" w:rsidRPr="00EB5B1D" w:rsidRDefault="00E839E9" w:rsidP="002D7689">
      <w:pPr>
        <w:pStyle w:val="ListParagraph"/>
        <w:widowControl w:val="0"/>
        <w:numPr>
          <w:ilvl w:val="1"/>
          <w:numId w:val="12"/>
        </w:numPr>
        <w:autoSpaceDE w:val="0"/>
        <w:autoSpaceDN w:val="0"/>
        <w:adjustRightInd w:val="0"/>
        <w:snapToGrid w:val="0"/>
        <w:spacing w:after="60"/>
        <w:contextualSpacing w:val="0"/>
        <w:rPr>
          <w:szCs w:val="22"/>
          <w:lang w:val="es-ES_tradnl"/>
        </w:rPr>
      </w:pPr>
      <w:r w:rsidRPr="00EB5B1D">
        <w:rPr>
          <w:szCs w:val="22"/>
          <w:lang w:val="es-ES_tradnl"/>
        </w:rPr>
        <w:t>La utilización de aguas subterráneas como depósito de agua potable</w:t>
      </w:r>
      <w:r w:rsidR="00A232FF" w:rsidRPr="00EB5B1D">
        <w:rPr>
          <w:szCs w:val="22"/>
          <w:lang w:val="es-ES_tradnl"/>
        </w:rPr>
        <w:t>.</w:t>
      </w:r>
    </w:p>
    <w:p w:rsidR="00AC6116"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Efecto previsto de la medida reglamentaria firme en relación con la salud humana: </w:t>
      </w:r>
      <w:r w:rsidR="00AC6116" w:rsidRPr="00EB5B1D">
        <w:rPr>
          <w:szCs w:val="22"/>
          <w:lang w:val="es-ES_tradnl"/>
        </w:rPr>
        <w:t>La reducción de los riesgos para la salud humana asociados con el uso de plaguicidas que contienen hexazinona</w:t>
      </w:r>
      <w:r w:rsidR="00CA368A" w:rsidRPr="00EB5B1D">
        <w:rPr>
          <w:szCs w:val="22"/>
          <w:lang w:val="es-ES_tradnl"/>
        </w:rPr>
        <w:t>.</w:t>
      </w:r>
    </w:p>
    <w:p w:rsidR="00906B91" w:rsidRPr="00EB5B1D" w:rsidRDefault="00E839E9" w:rsidP="00FD2F13">
      <w:pPr>
        <w:widowControl w:val="0"/>
        <w:autoSpaceDE w:val="0"/>
        <w:autoSpaceDN w:val="0"/>
        <w:adjustRightInd w:val="0"/>
        <w:snapToGrid w:val="0"/>
        <w:spacing w:after="60"/>
        <w:rPr>
          <w:b/>
          <w:i/>
          <w:szCs w:val="22"/>
          <w:lang w:val="es-ES_tradnl"/>
        </w:rPr>
      </w:pPr>
      <w:r w:rsidRPr="00EB5B1D">
        <w:rPr>
          <w:b/>
          <w:i/>
          <w:szCs w:val="22"/>
          <w:lang w:val="es-ES_tradnl"/>
        </w:rPr>
        <w:t>Resumen de los peligros y los riesgos conocidos respecto al medio ambiente:</w:t>
      </w:r>
    </w:p>
    <w:p w:rsidR="00E839E9" w:rsidRPr="00EB5B1D" w:rsidRDefault="00E839E9" w:rsidP="002D7689">
      <w:pPr>
        <w:pStyle w:val="ListParagraph"/>
        <w:widowControl w:val="0"/>
        <w:numPr>
          <w:ilvl w:val="0"/>
          <w:numId w:val="14"/>
        </w:numPr>
        <w:autoSpaceDE w:val="0"/>
        <w:autoSpaceDN w:val="0"/>
        <w:adjustRightInd w:val="0"/>
        <w:snapToGrid w:val="0"/>
        <w:spacing w:after="60"/>
        <w:contextualSpacing w:val="0"/>
        <w:rPr>
          <w:szCs w:val="22"/>
          <w:lang w:val="es-ES_tradnl"/>
        </w:rPr>
      </w:pPr>
      <w:r w:rsidRPr="00EB5B1D">
        <w:rPr>
          <w:szCs w:val="22"/>
          <w:lang w:val="es-ES_tradnl"/>
        </w:rPr>
        <w:t>Alto riesgo para las plantas terrestres no objetivo;</w:t>
      </w:r>
    </w:p>
    <w:p w:rsidR="00E839E9" w:rsidRPr="00EB5B1D" w:rsidRDefault="00E839E9" w:rsidP="002D7689">
      <w:pPr>
        <w:pStyle w:val="ListParagraph"/>
        <w:widowControl w:val="0"/>
        <w:numPr>
          <w:ilvl w:val="0"/>
          <w:numId w:val="13"/>
        </w:numPr>
        <w:autoSpaceDE w:val="0"/>
        <w:autoSpaceDN w:val="0"/>
        <w:adjustRightInd w:val="0"/>
        <w:snapToGrid w:val="0"/>
        <w:spacing w:after="60"/>
        <w:contextualSpacing w:val="0"/>
        <w:rPr>
          <w:szCs w:val="22"/>
          <w:lang w:val="es-ES_tradnl"/>
        </w:rPr>
      </w:pPr>
      <w:r w:rsidRPr="00EB5B1D">
        <w:rPr>
          <w:szCs w:val="22"/>
          <w:lang w:val="es-ES_tradnl"/>
        </w:rPr>
        <w:t>Riesgo elevado a largo plazo para las aves herbívoras y los organismos acuáticos en un ecosistema muy frágil donde la fauna ya está en peligro de desaparecer;</w:t>
      </w:r>
    </w:p>
    <w:p w:rsidR="00E839E9" w:rsidRPr="00EB5B1D" w:rsidRDefault="00E839E9" w:rsidP="002D7689">
      <w:pPr>
        <w:pStyle w:val="ListParagraph"/>
        <w:widowControl w:val="0"/>
        <w:numPr>
          <w:ilvl w:val="0"/>
          <w:numId w:val="13"/>
        </w:numPr>
        <w:autoSpaceDE w:val="0"/>
        <w:autoSpaceDN w:val="0"/>
        <w:adjustRightInd w:val="0"/>
        <w:snapToGrid w:val="0"/>
        <w:spacing w:after="60"/>
        <w:contextualSpacing w:val="0"/>
        <w:rPr>
          <w:szCs w:val="22"/>
          <w:lang w:val="es-ES_tradnl"/>
        </w:rPr>
      </w:pPr>
      <w:r w:rsidRPr="00EB5B1D">
        <w:rPr>
          <w:szCs w:val="22"/>
          <w:lang w:val="es-ES_tradnl"/>
        </w:rPr>
        <w:t>Riesgo elevado a corto plazo para las aves al beber agua contaminada después del tratamiento;</w:t>
      </w:r>
    </w:p>
    <w:p w:rsidR="00E839E9" w:rsidRPr="00EB5B1D" w:rsidRDefault="00E839E9" w:rsidP="002D7689">
      <w:pPr>
        <w:pStyle w:val="ListParagraph"/>
        <w:widowControl w:val="0"/>
        <w:numPr>
          <w:ilvl w:val="0"/>
          <w:numId w:val="13"/>
        </w:numPr>
        <w:autoSpaceDE w:val="0"/>
        <w:autoSpaceDN w:val="0"/>
        <w:adjustRightInd w:val="0"/>
        <w:snapToGrid w:val="0"/>
        <w:spacing w:after="60"/>
        <w:contextualSpacing w:val="0"/>
        <w:rPr>
          <w:szCs w:val="22"/>
          <w:lang w:val="es-ES_tradnl"/>
        </w:rPr>
      </w:pPr>
      <w:r w:rsidRPr="00EB5B1D">
        <w:rPr>
          <w:szCs w:val="22"/>
          <w:lang w:val="es-ES_tradnl"/>
        </w:rPr>
        <w:t>Riesgo de empobrecimiento de los suelos del Sahel.</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 xml:space="preserve">La reducción de riesgos para el medio ambiente por </w:t>
      </w:r>
      <w:proofErr w:type="gramStart"/>
      <w:r w:rsidRPr="00EB5B1D">
        <w:rPr>
          <w:szCs w:val="22"/>
          <w:lang w:val="es-ES_tradnl"/>
        </w:rPr>
        <w:t>la utilización</w:t>
      </w:r>
      <w:proofErr w:type="gramEnd"/>
      <w:r w:rsidRPr="00EB5B1D">
        <w:rPr>
          <w:szCs w:val="22"/>
          <w:lang w:val="es-ES_tradnl"/>
        </w:rPr>
        <w:t xml:space="preserve"> de plaguicidas que contienen hexazinona.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Fecha </w:t>
      </w:r>
      <w:proofErr w:type="gramStart"/>
      <w:r w:rsidRPr="00EB5B1D">
        <w:rPr>
          <w:b/>
          <w:i/>
          <w:szCs w:val="22"/>
          <w:lang w:val="fr-CH"/>
        </w:rPr>
        <w:t>de entrada</w:t>
      </w:r>
      <w:proofErr w:type="gramEnd"/>
      <w:r w:rsidRPr="00EB5B1D">
        <w:rPr>
          <w:b/>
          <w:i/>
          <w:szCs w:val="22"/>
          <w:lang w:val="fr-CH"/>
        </w:rPr>
        <w:t xml:space="preserve"> en vigor de la medida reglamentaria firme: </w:t>
      </w:r>
      <w:r w:rsidRPr="00EB5B1D">
        <w:rPr>
          <w:szCs w:val="22"/>
          <w:lang w:val="fr-CH"/>
        </w:rPr>
        <w:t>20/03/2017</w:t>
      </w:r>
    </w:p>
    <w:p w:rsidR="006F4865" w:rsidRPr="00EB5B1D" w:rsidRDefault="006F4865" w:rsidP="006F4865">
      <w:pPr>
        <w:widowControl w:val="0"/>
        <w:pBdr>
          <w:bottom w:val="single" w:sz="4" w:space="1" w:color="auto"/>
        </w:pBdr>
        <w:autoSpaceDE w:val="0"/>
        <w:autoSpaceDN w:val="0"/>
        <w:adjustRightInd w:val="0"/>
        <w:snapToGrid w:val="0"/>
        <w:spacing w:after="60"/>
        <w:rPr>
          <w:szCs w:val="22"/>
          <w:lang w:val="es-ES"/>
        </w:rPr>
      </w:pPr>
    </w:p>
    <w:p w:rsidR="006F4865" w:rsidRPr="00EB5B1D" w:rsidRDefault="006F4865" w:rsidP="006F4865">
      <w:pPr>
        <w:widowControl w:val="0"/>
        <w:pBdr>
          <w:bottom w:val="single" w:sz="4" w:space="1" w:color="auto"/>
        </w:pBdr>
        <w:autoSpaceDE w:val="0"/>
        <w:autoSpaceDN w:val="0"/>
        <w:adjustRightInd w:val="0"/>
        <w:snapToGrid w:val="0"/>
        <w:spacing w:after="60"/>
        <w:rPr>
          <w:b/>
          <w:caps/>
          <w:szCs w:val="22"/>
          <w:lang w:val="es-ES"/>
        </w:rPr>
      </w:pPr>
      <w:r w:rsidRPr="00EB5B1D">
        <w:rPr>
          <w:b/>
          <w:caps/>
          <w:szCs w:val="22"/>
          <w:lang w:val="es-ES"/>
        </w:rPr>
        <w:t>China</w:t>
      </w:r>
    </w:p>
    <w:p w:rsidR="00AC6116" w:rsidRPr="00EB5B1D" w:rsidRDefault="00663362" w:rsidP="006F4865">
      <w:pPr>
        <w:widowControl w:val="0"/>
        <w:autoSpaceDE w:val="0"/>
        <w:autoSpaceDN w:val="0"/>
        <w:adjustRightInd w:val="0"/>
        <w:snapToGrid w:val="0"/>
        <w:spacing w:after="60"/>
        <w:rPr>
          <w:szCs w:val="22"/>
          <w:lang w:val="es-ES"/>
        </w:rPr>
      </w:pPr>
      <w:r w:rsidRPr="00EB5B1D">
        <w:rPr>
          <w:b/>
          <w:i/>
          <w:szCs w:val="22"/>
          <w:lang w:val="es-ES"/>
        </w:rPr>
        <w:t>Nombre común:</w:t>
      </w:r>
      <w:r w:rsidR="00AC6116" w:rsidRPr="00EB5B1D">
        <w:rPr>
          <w:b/>
          <w:i/>
          <w:szCs w:val="22"/>
          <w:lang w:val="es-ES"/>
        </w:rPr>
        <w:t xml:space="preserve"> </w:t>
      </w:r>
      <w:r w:rsidR="00AC6116" w:rsidRPr="00EB5B1D">
        <w:rPr>
          <w:szCs w:val="22"/>
          <w:lang w:val="es-ES"/>
        </w:rPr>
        <w:t>Hexaclorociclohexano, isómero alfa</w:t>
      </w:r>
      <w:r w:rsidR="00AC6116" w:rsidRPr="00EB5B1D">
        <w:rPr>
          <w:b/>
          <w:i/>
          <w:szCs w:val="22"/>
          <w:lang w:val="es-ES"/>
        </w:rPr>
        <w:tab/>
      </w:r>
      <w:r w:rsidR="00AC6116" w:rsidRPr="00EB5B1D">
        <w:rPr>
          <w:b/>
          <w:i/>
          <w:szCs w:val="22"/>
          <w:lang w:val="es-ES"/>
        </w:rPr>
        <w:tab/>
      </w:r>
      <w:r w:rsidRPr="00EB5B1D">
        <w:rPr>
          <w:b/>
          <w:i/>
          <w:szCs w:val="22"/>
          <w:lang w:val="es-ES"/>
        </w:rPr>
        <w:tab/>
        <w:t>Número de CAS:</w:t>
      </w:r>
      <w:r w:rsidR="00AC6116" w:rsidRPr="00EB5B1D">
        <w:rPr>
          <w:b/>
          <w:i/>
          <w:szCs w:val="22"/>
          <w:lang w:val="es-ES"/>
        </w:rPr>
        <w:t xml:space="preserve"> </w:t>
      </w:r>
      <w:r w:rsidR="00AC6116" w:rsidRPr="00EB5B1D">
        <w:rPr>
          <w:szCs w:val="22"/>
          <w:lang w:val="es-ES"/>
        </w:rPr>
        <w:t>319-84-6</w:t>
      </w:r>
    </w:p>
    <w:p w:rsidR="006F4865" w:rsidRPr="00EB5B1D" w:rsidRDefault="006F4865" w:rsidP="006F4865">
      <w:pPr>
        <w:widowControl w:val="0"/>
        <w:autoSpaceDE w:val="0"/>
        <w:autoSpaceDN w:val="0"/>
        <w:adjustRightInd w:val="0"/>
        <w:snapToGrid w:val="0"/>
        <w:spacing w:after="60"/>
        <w:rPr>
          <w:b/>
          <w:i/>
          <w:szCs w:val="22"/>
          <w:lang w:val="es-ES"/>
        </w:rPr>
      </w:pPr>
      <w:r w:rsidRPr="00EB5B1D">
        <w:rPr>
          <w:b/>
          <w:i/>
          <w:szCs w:val="22"/>
          <w:lang w:val="es-ES"/>
        </w:rPr>
        <w:t xml:space="preserve">Nombre químico: </w:t>
      </w:r>
      <w:r w:rsidRPr="00EB5B1D">
        <w:rPr>
          <w:szCs w:val="22"/>
          <w:lang w:val="es-ES"/>
        </w:rPr>
        <w:t>Cyclohexane, 1,2,3,4,5,6-hexachloro-, (1.alpha.,2.alpha.,3.beta.,4.alpha.,5.beta.,6.beta.)</w:t>
      </w:r>
    </w:p>
    <w:p w:rsidR="006F4865" w:rsidRPr="00EB5B1D" w:rsidRDefault="006F4865" w:rsidP="006F4865">
      <w:pPr>
        <w:widowControl w:val="0"/>
        <w:autoSpaceDE w:val="0"/>
        <w:autoSpaceDN w:val="0"/>
        <w:adjustRightInd w:val="0"/>
        <w:snapToGrid w:val="0"/>
        <w:spacing w:after="60"/>
        <w:rPr>
          <w:b/>
          <w:i/>
          <w:szCs w:val="22"/>
          <w:lang w:val="fr-CH"/>
        </w:rPr>
      </w:pPr>
      <w:r w:rsidRPr="00EB5B1D">
        <w:rPr>
          <w:b/>
          <w:i/>
          <w:szCs w:val="22"/>
          <w:lang w:val="fr-CH"/>
        </w:rPr>
        <w:t xml:space="preserve">Medida reglamentaria firme que se ha tomado para la categoría: </w:t>
      </w:r>
      <w:r w:rsidRPr="00EB5B1D">
        <w:rPr>
          <w:szCs w:val="22"/>
          <w:lang w:val="fr-CH"/>
        </w:rPr>
        <w:t>Plaguicida</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p>
    <w:p w:rsidR="00F0768C" w:rsidRDefault="00F0768C" w:rsidP="006F4865">
      <w:pPr>
        <w:widowControl w:val="0"/>
        <w:autoSpaceDE w:val="0"/>
        <w:autoSpaceDN w:val="0"/>
        <w:adjustRightInd w:val="0"/>
        <w:snapToGrid w:val="0"/>
        <w:spacing w:after="60"/>
        <w:rPr>
          <w:b/>
          <w:i/>
          <w:szCs w:val="22"/>
          <w:lang w:val="fr-CH"/>
        </w:rPr>
      </w:pPr>
    </w:p>
    <w:p w:rsidR="006F4865" w:rsidRPr="00EB5B1D" w:rsidRDefault="006F4865" w:rsidP="006F4865">
      <w:pPr>
        <w:widowControl w:val="0"/>
        <w:autoSpaceDE w:val="0"/>
        <w:autoSpaceDN w:val="0"/>
        <w:adjustRightInd w:val="0"/>
        <w:snapToGrid w:val="0"/>
        <w:spacing w:after="60"/>
        <w:rPr>
          <w:szCs w:val="22"/>
          <w:lang w:val="fr-FR"/>
        </w:rPr>
      </w:pPr>
      <w:r w:rsidRPr="00EB5B1D">
        <w:rPr>
          <w:b/>
          <w:i/>
          <w:szCs w:val="22"/>
          <w:lang w:val="fr-CH"/>
        </w:rPr>
        <w:t>Uso o usos prohibidos por la medida reglamentaria firme:</w:t>
      </w:r>
      <w:r w:rsidRPr="00EB5B1D">
        <w:rPr>
          <w:szCs w:val="22"/>
          <w:shd w:val="clear" w:color="auto" w:fill="FFFFFF"/>
          <w:lang w:val="fr-FR"/>
        </w:rPr>
        <w:t xml:space="preserve"> Queda prohibido en China la producci</w:t>
      </w:r>
      <w:r w:rsidRPr="00EB5B1D">
        <w:rPr>
          <w:szCs w:val="22"/>
          <w:lang w:val="fr-FR"/>
        </w:rPr>
        <w:t>ón, comercio, uso, importación y exportación del alfa-HCH.</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La medida reglamentaria firme se tomó sobre la base de una evaluación de riesgos o peligros: </w:t>
      </w:r>
      <w:r w:rsidRPr="00EB5B1D">
        <w:rPr>
          <w:szCs w:val="22"/>
          <w:lang w:val="fr-CH"/>
        </w:rPr>
        <w:t>Si</w:t>
      </w:r>
    </w:p>
    <w:p w:rsidR="006F4865" w:rsidRPr="00EB5B1D" w:rsidRDefault="006F4865" w:rsidP="00703DBB">
      <w:pPr>
        <w:shd w:val="clear" w:color="auto" w:fill="FFFFFF"/>
        <w:snapToGrid w:val="0"/>
        <w:spacing w:after="60"/>
        <w:rPr>
          <w:szCs w:val="22"/>
          <w:lang w:val="fr-FR" w:eastAsia="en-GB"/>
        </w:rPr>
      </w:pPr>
      <w:r w:rsidRPr="00EB5B1D">
        <w:rPr>
          <w:b/>
          <w:bCs/>
          <w:i/>
          <w:szCs w:val="22"/>
          <w:lang w:val="fr-FR" w:eastAsia="en-GB"/>
        </w:rPr>
        <w:t>Resumen de la medida reglamentaria firme</w:t>
      </w:r>
      <w:r w:rsidRPr="00EB5B1D">
        <w:rPr>
          <w:b/>
          <w:i/>
          <w:szCs w:val="22"/>
          <w:lang w:val="fr-FR" w:eastAsia="en-GB"/>
        </w:rPr>
        <w:t>:</w:t>
      </w:r>
      <w:r w:rsidRPr="00EB5B1D">
        <w:rPr>
          <w:szCs w:val="22"/>
          <w:lang w:val="fr-FR" w:eastAsia="en-GB"/>
        </w:rPr>
        <w:t xml:space="preserve"> </w:t>
      </w:r>
      <w:r w:rsidRPr="00EB5B1D">
        <w:rPr>
          <w:szCs w:val="22"/>
          <w:lang w:val="es-ES_tradnl"/>
        </w:rPr>
        <w:t>Desde el 26</w:t>
      </w:r>
      <w:r w:rsidRPr="00EB5B1D">
        <w:rPr>
          <w:szCs w:val="22"/>
          <w:lang w:val="fr-FR" w:eastAsia="en-GB"/>
        </w:rPr>
        <w:t xml:space="preserve"> de marzo de 2014, queda prohibido en China la producción, comercio, uso, importación y exportación del alfa-HCH.</w:t>
      </w:r>
    </w:p>
    <w:p w:rsidR="006F4865" w:rsidRPr="00EB5B1D" w:rsidRDefault="006F4865" w:rsidP="00703DBB">
      <w:pPr>
        <w:shd w:val="clear" w:color="auto" w:fill="FFFFFF"/>
        <w:snapToGrid w:val="0"/>
        <w:spacing w:after="60"/>
        <w:rPr>
          <w:szCs w:val="22"/>
          <w:lang w:val="es-ES_tradnl"/>
        </w:rPr>
      </w:pPr>
      <w:r w:rsidRPr="00EB5B1D">
        <w:rPr>
          <w:b/>
          <w:bCs/>
          <w:i/>
          <w:szCs w:val="22"/>
          <w:lang w:val="fr-FR" w:eastAsia="en-GB"/>
        </w:rPr>
        <w:t>El motivo por el que se adoptó la medida reglamentaria firme</w:t>
      </w:r>
      <w:r w:rsidRPr="00EB5B1D">
        <w:rPr>
          <w:b/>
          <w:i/>
          <w:szCs w:val="22"/>
          <w:lang w:val="es-ES_tradnl"/>
        </w:rPr>
        <w:t>:</w:t>
      </w:r>
      <w:r w:rsidRPr="00EB5B1D">
        <w:rPr>
          <w:szCs w:val="22"/>
          <w:lang w:val="es-ES_tradnl"/>
        </w:rPr>
        <w:t xml:space="preserve"> La salud humana y el medio ambiente</w:t>
      </w:r>
    </w:p>
    <w:p w:rsidR="006F4865" w:rsidRPr="00EB5B1D" w:rsidRDefault="006F4865" w:rsidP="00703DBB">
      <w:pPr>
        <w:shd w:val="clear" w:color="auto" w:fill="FFFFFF"/>
        <w:snapToGrid w:val="0"/>
        <w:spacing w:after="60"/>
        <w:rPr>
          <w:szCs w:val="22"/>
          <w:lang w:val="fr-FR" w:eastAsia="en-GB"/>
        </w:rPr>
      </w:pPr>
      <w:r w:rsidRPr="00EB5B1D">
        <w:rPr>
          <w:b/>
          <w:bCs/>
          <w:i/>
          <w:szCs w:val="22"/>
          <w:lang w:val="fr-FR" w:eastAsia="en-GB"/>
        </w:rPr>
        <w:t>Resumen de los peligros y los riesgos conocidos respecto la salud humana</w:t>
      </w:r>
      <w:r w:rsidRPr="00EB5B1D">
        <w:rPr>
          <w:b/>
          <w:i/>
          <w:szCs w:val="22"/>
          <w:lang w:val="fr-FR" w:eastAsia="en-GB"/>
        </w:rPr>
        <w:t>:</w:t>
      </w:r>
      <w:r w:rsidRPr="00EB5B1D">
        <w:rPr>
          <w:szCs w:val="22"/>
          <w:lang w:val="fr-FR" w:eastAsia="en-GB"/>
        </w:rPr>
        <w:t xml:space="preserve"> </w:t>
      </w:r>
      <w:r w:rsidRPr="00EB5B1D">
        <w:rPr>
          <w:szCs w:val="22"/>
          <w:lang w:val="es-ES_tradnl"/>
        </w:rPr>
        <w:t>El alfa-HCH es el isómero con mayor potencial neurotóxico que existe después del gamma-HCH. El alfa-HCH fue clasificado entre los posibles carcinógenos para los seres humanos (grupo 2B) por el Centro Internacional de Investigación sobre el Cáncer (IARC),</w:t>
      </w:r>
      <w:r w:rsidRPr="00EB5B1D">
        <w:rPr>
          <w:szCs w:val="22"/>
          <w:lang w:val="fr-FR" w:eastAsia="en-GB"/>
        </w:rPr>
        <w:t xml:space="preserve"> </w:t>
      </w:r>
      <w:r w:rsidRPr="00EB5B1D">
        <w:rPr>
          <w:szCs w:val="22"/>
          <w:lang w:val="es-ES_tradnl"/>
        </w:rPr>
        <w:t>con pocos datos sobre su carcinogenicidad en seres humanos y suficiente información al respecto en los animales. El alfa-HCH causa hiperplasia y tumores en el hígado en roedores (de laboratorio). Se sabe, de experimentos con animales, que el alfa-HCH afecta al sistema inmunológico; también se observaron efectos inmunosupresivos en seres humanos expuestos al HCH técnico. Los estudios epidemiológicos indican un gran número de casos de cáncer de mama después de la exposición al alfa-HCH, así como trastornos hormonales que han desembocado en infecundidad y abortos. Se ha planteado también su posible asociación con un retraso del crecimiento intrauterino y anemia aplásica.</w:t>
      </w:r>
      <w:r w:rsidRPr="00EB5B1D">
        <w:rPr>
          <w:szCs w:val="22"/>
          <w:lang w:val="fr-FR" w:eastAsia="en-GB"/>
        </w:rPr>
        <w:t xml:space="preserve"> </w:t>
      </w:r>
      <w:r w:rsidRPr="00EB5B1D">
        <w:rPr>
          <w:szCs w:val="22"/>
          <w:lang w:val="es-ES_tradnl"/>
        </w:rPr>
        <w:t>El perfil de riesgos y situaciones hipotéticas de exposición permiten concluir que el alfa-HCH puede tener efectos adversos en la flora y fauna silvestres y en la salud humana en las regiones contaminadas. La Agencia de Protección Ambiental de los Estados Unidos (USEPA) calculó, sobre la base de coeficientes de ingesta diaria de la población del Ártico, elevados porcentajes de cáncer, aunque estas estimaciones son muy conservadoras. Se considera que el hígado es el órgano a donde van a parar todos los isómeros de HCH, por lo que existe el riesgo de aumento de los efectos.</w:t>
      </w:r>
    </w:p>
    <w:p w:rsidR="006F4865" w:rsidRPr="00EB5B1D" w:rsidRDefault="006F4865" w:rsidP="00703DBB">
      <w:pPr>
        <w:shd w:val="clear" w:color="auto" w:fill="FFFFFF"/>
        <w:snapToGrid w:val="0"/>
        <w:spacing w:after="60"/>
        <w:jc w:val="both"/>
        <w:rPr>
          <w:szCs w:val="22"/>
          <w:lang w:val="es-ES_tradnl"/>
        </w:rPr>
      </w:pPr>
      <w:r w:rsidRPr="00EB5B1D">
        <w:rPr>
          <w:szCs w:val="22"/>
          <w:lang w:val="es-ES_tradnl"/>
        </w:rPr>
        <w:t>Además, la población autóctona del Ártico, así como su fauna y flora, están expuestas a muy diversos POP incluidos todos los isómeros de HCH y otros contaminantes que probablemente tengan efectos aditivos. Sin embargo, las autoridades de salud pública del Ártico consideran que los importantes beneficios sociales, culturales y económicos de los alimentos tradicionales superan en estos momentos los riesgos de contaminantes como el HCH, aunque ofrecen otra razón para el control y la eliminación rápidos de todos los isómeros de HCH de los alimentos tradicionales.</w:t>
      </w:r>
    </w:p>
    <w:p w:rsidR="006F4865" w:rsidRPr="00EB5B1D" w:rsidRDefault="006F4865" w:rsidP="00703DBB">
      <w:pPr>
        <w:shd w:val="clear" w:color="auto" w:fill="FFFFFF"/>
        <w:snapToGrid w:val="0"/>
        <w:spacing w:after="60"/>
        <w:rPr>
          <w:szCs w:val="22"/>
          <w:lang w:val="fr-FR" w:eastAsia="en-GB"/>
        </w:rPr>
      </w:pPr>
      <w:r w:rsidRPr="00EB5B1D">
        <w:rPr>
          <w:b/>
          <w:bCs/>
          <w:i/>
          <w:szCs w:val="22"/>
          <w:lang w:val="fr-FR" w:eastAsia="en-GB"/>
        </w:rPr>
        <w:t>Efecto previsto de la medida reglamentaria firme con la salud humana</w:t>
      </w:r>
      <w:r w:rsidRPr="00EB5B1D">
        <w:rPr>
          <w:b/>
          <w:i/>
          <w:szCs w:val="22"/>
          <w:lang w:val="fr-FR" w:eastAsia="en-GB"/>
        </w:rPr>
        <w:t>:</w:t>
      </w:r>
      <w:r w:rsidRPr="00EB5B1D">
        <w:rPr>
          <w:szCs w:val="22"/>
          <w:lang w:val="fr-FR" w:eastAsia="en-GB"/>
        </w:rPr>
        <w:t xml:space="preserve"> </w:t>
      </w:r>
      <w:r w:rsidRPr="00EB5B1D">
        <w:rPr>
          <w:szCs w:val="22"/>
          <w:lang w:val="es-ES_tradnl"/>
        </w:rPr>
        <w:t>Proteger la salud humana y el medio ambiente</w:t>
      </w:r>
      <w:r w:rsidR="00CA368A" w:rsidRPr="00EB5B1D">
        <w:rPr>
          <w:szCs w:val="22"/>
          <w:lang w:val="es-ES_tradnl"/>
        </w:rPr>
        <w:t>.</w:t>
      </w:r>
    </w:p>
    <w:p w:rsidR="006F4865" w:rsidRPr="00EB5B1D" w:rsidRDefault="006F4865" w:rsidP="00703DBB">
      <w:pPr>
        <w:shd w:val="clear" w:color="auto" w:fill="FFFFFF"/>
        <w:snapToGrid w:val="0"/>
        <w:spacing w:after="60"/>
        <w:rPr>
          <w:szCs w:val="22"/>
          <w:lang w:val="fr-FR" w:eastAsia="en-GB"/>
        </w:rPr>
      </w:pPr>
      <w:r w:rsidRPr="00EB5B1D">
        <w:rPr>
          <w:b/>
          <w:bCs/>
          <w:i/>
          <w:szCs w:val="22"/>
          <w:lang w:val="fr-FR" w:eastAsia="en-GB"/>
        </w:rPr>
        <w:t>Resumen de los peligros y los riesgos conocidos respecto al medio ambiente</w:t>
      </w:r>
      <w:r w:rsidRPr="00EB5B1D">
        <w:rPr>
          <w:b/>
          <w:i/>
          <w:szCs w:val="22"/>
          <w:lang w:val="fr-FR" w:eastAsia="en-GB"/>
        </w:rPr>
        <w:t xml:space="preserve">: </w:t>
      </w:r>
      <w:r w:rsidRPr="00EB5B1D">
        <w:rPr>
          <w:szCs w:val="22"/>
          <w:lang w:val="es-ES_tradnl"/>
        </w:rPr>
        <w:t xml:space="preserve">El alfa-HCH es, en principio, susceptible a la degradación en compartimientos ambientales mediante procesos abióticos, a cantidades y grado variables, dependiendo de la media ambiental, lugar y clima. Se espera que el alfa-HCH se degrade rápidamente en condiciones tropicales, mientras que se acumuló en climas </w:t>
      </w:r>
      <w:r w:rsidR="00F7239D" w:rsidRPr="00EB5B1D">
        <w:rPr>
          <w:szCs w:val="22"/>
          <w:lang w:val="es-ES_tradnl"/>
        </w:rPr>
        <w:t>más</w:t>
      </w:r>
      <w:r w:rsidRPr="00EB5B1D">
        <w:rPr>
          <w:szCs w:val="22"/>
          <w:lang w:val="es-ES_tradnl"/>
        </w:rPr>
        <w:t xml:space="preserve"> fríos. El alfa-HCH es moderadamente persistente en el terreno; basándose en los valores de ambientes acuáticos, p.ej. aguas dulces y saladas del Ártico, se puede concluir que el alfa-HCH demuestra una alta persistencia en las aguas de las regiones mas frías.</w:t>
      </w:r>
      <w:r w:rsidRPr="00EB5B1D">
        <w:rPr>
          <w:szCs w:val="22"/>
          <w:lang w:val="es-ES_tradnl" w:eastAsia="en-GB"/>
        </w:rPr>
        <w:t xml:space="preserve"> </w:t>
      </w:r>
      <w:r w:rsidRPr="00EB5B1D">
        <w:rPr>
          <w:szCs w:val="22"/>
          <w:lang w:val="es-ES_tradnl"/>
        </w:rPr>
        <w:t>Las propiedades físico-químicas del alfa-HCH permiten la dispersión de la sustancia desde su origen al Ártico mediante una combinación de transporte atmosférico de largo alcance y corrientes oceánicas. Se han detectado altos niveles de alfa-HCH en el Océano Ártico, donde ha construido una gran reserva y está presente tanto en especies marinas como terrestres.</w:t>
      </w:r>
      <w:r w:rsidRPr="00EB5B1D">
        <w:rPr>
          <w:szCs w:val="22"/>
          <w:lang w:val="es-ES_tradnl" w:eastAsia="en-GB"/>
        </w:rPr>
        <w:t xml:space="preserve"> </w:t>
      </w:r>
      <w:r w:rsidRPr="00EB5B1D">
        <w:rPr>
          <w:szCs w:val="22"/>
          <w:lang w:val="es-ES_tradnl"/>
        </w:rPr>
        <w:t xml:space="preserve">Los niveles de exposición al alfa-HCH en las áreas locales han disminuido después de las prohibiciones y restricciones mundiales. Sin embargo, las regiones con exposición reciente y/o alta contaminación pueden mostrar niveles elevados. Una preocupación especial también surge por la exposición de los lugares de desechos peligrosos y vertederos de residuos de alfa-HCH consecuentes de la producción de lindano. Debido a su persistencia, el alfa-HCH aún se puede detectar regularmente a bajos niveles de fondo en el medio ambiente. También se han notificado niveles elevados del Ártico (los niveles en el Océano Ártico son más altos que en los océanos templados y los lagos). Aunque los niveles de alfa-HCH en el aire disminuyeron más de veinte veces a partir de los años ochenta, sólo ha habido un cambio modesto en los depredadores marinos y terrestres superiores, p.ej. Lobos marinos </w:t>
      </w:r>
      <w:proofErr w:type="gramStart"/>
      <w:r w:rsidRPr="00EB5B1D">
        <w:rPr>
          <w:szCs w:val="22"/>
          <w:lang w:val="es-ES_tradnl"/>
        </w:rPr>
        <w:t>o</w:t>
      </w:r>
      <w:proofErr w:type="gramEnd"/>
      <w:r w:rsidRPr="00EB5B1D">
        <w:rPr>
          <w:szCs w:val="22"/>
          <w:lang w:val="es-ES_tradnl"/>
        </w:rPr>
        <w:t xml:space="preserve"> osos polares.</w:t>
      </w:r>
    </w:p>
    <w:p w:rsidR="006F4865" w:rsidRPr="00EB5B1D" w:rsidRDefault="006F4865" w:rsidP="006F4865">
      <w:pPr>
        <w:widowControl w:val="0"/>
        <w:shd w:val="clear" w:color="auto" w:fill="FFFFFF"/>
        <w:autoSpaceDE w:val="0"/>
        <w:autoSpaceDN w:val="0"/>
        <w:adjustRightInd w:val="0"/>
        <w:snapToGrid w:val="0"/>
        <w:spacing w:after="60"/>
        <w:rPr>
          <w:szCs w:val="22"/>
          <w:lang w:val="es-ES_tradnl"/>
        </w:rPr>
      </w:pPr>
      <w:r w:rsidRPr="00EB5B1D">
        <w:rPr>
          <w:szCs w:val="22"/>
          <w:lang w:val="es-ES_tradnl"/>
        </w:rPr>
        <w:t>Debido a que el alfa-HCH está presente en las cadenas alimenticias terrestres y acuáticas, el alfa-HCH se puede bioacumular y bio-magnificar en la biota y las redes alimenticias del Ártico. Los factores de bio-amplificación (comparación predador-presa) para muchas de las especies examinadas son mayores que I (uno). Algunos animales, especialmente las aves, pero también los mamíferos, tienen el potencial de metabolizar alfa-HCH. Como se trata de una biotransformación enantioselectiva, una acumulación distintiva de (+) o (-) alfa-HCH puede ocurrir en los mamíferos (dependiendo de la especie).</w:t>
      </w:r>
    </w:p>
    <w:p w:rsidR="006F4865" w:rsidRPr="00EB5B1D" w:rsidRDefault="006F4865" w:rsidP="00703DBB">
      <w:pPr>
        <w:shd w:val="clear" w:color="auto" w:fill="FFFFFF"/>
        <w:snapToGrid w:val="0"/>
        <w:spacing w:after="60"/>
        <w:rPr>
          <w:szCs w:val="22"/>
          <w:lang w:val="es-ES_tradnl"/>
        </w:rPr>
      </w:pPr>
      <w:r w:rsidRPr="00EB5B1D">
        <w:rPr>
          <w:b/>
          <w:bCs/>
          <w:i/>
          <w:szCs w:val="22"/>
          <w:lang w:val="fr-FR" w:eastAsia="en-GB"/>
        </w:rPr>
        <w:t>Efecto previsto de la medida reglamentaria firme con el medio ambiente</w:t>
      </w:r>
      <w:r w:rsidRPr="00EB5B1D">
        <w:rPr>
          <w:b/>
          <w:i/>
          <w:szCs w:val="22"/>
          <w:lang w:val="fr-FR" w:eastAsia="en-GB"/>
        </w:rPr>
        <w:t>:</w:t>
      </w:r>
      <w:r w:rsidRPr="00EB5B1D">
        <w:rPr>
          <w:szCs w:val="22"/>
          <w:lang w:val="fr-FR" w:eastAsia="en-GB"/>
        </w:rPr>
        <w:t xml:space="preserve"> </w:t>
      </w:r>
      <w:r w:rsidRPr="00EB5B1D">
        <w:rPr>
          <w:szCs w:val="22"/>
          <w:lang w:val="es-ES_tradnl"/>
        </w:rPr>
        <w:t>Proteger la salud humana y el medio ambiente</w:t>
      </w:r>
      <w:r w:rsidR="00CA368A" w:rsidRPr="00EB5B1D">
        <w:rPr>
          <w:szCs w:val="22"/>
          <w:lang w:val="es-ES_tradnl"/>
        </w:rPr>
        <w:t>.</w:t>
      </w:r>
    </w:p>
    <w:p w:rsidR="006F4865" w:rsidRPr="00EB5B1D" w:rsidRDefault="006F4865" w:rsidP="00703DBB">
      <w:pPr>
        <w:shd w:val="clear" w:color="auto" w:fill="FFFFFF"/>
        <w:snapToGrid w:val="0"/>
        <w:spacing w:after="60"/>
        <w:rPr>
          <w:szCs w:val="22"/>
          <w:lang w:val="es-ES_tradnl"/>
        </w:rPr>
      </w:pPr>
      <w:r w:rsidRPr="00EB5B1D">
        <w:rPr>
          <w:b/>
          <w:bCs/>
          <w:i/>
          <w:szCs w:val="22"/>
          <w:lang w:val="fr-FR" w:eastAsia="en-GB"/>
        </w:rPr>
        <w:t>Fecha de l’entrada en vigor de la medida reglamentaria firme</w:t>
      </w:r>
      <w:r w:rsidRPr="00EB5B1D">
        <w:rPr>
          <w:b/>
          <w:i/>
          <w:szCs w:val="22"/>
          <w:lang w:val="fr-FR" w:eastAsia="en-GB"/>
        </w:rPr>
        <w:t>:</w:t>
      </w:r>
      <w:r w:rsidRPr="00EB5B1D">
        <w:rPr>
          <w:szCs w:val="22"/>
          <w:lang w:val="fr-FR" w:eastAsia="en-GB"/>
        </w:rPr>
        <w:t xml:space="preserve"> </w:t>
      </w:r>
      <w:r w:rsidRPr="00EB5B1D">
        <w:rPr>
          <w:szCs w:val="22"/>
          <w:lang w:val="es-ES_tradnl"/>
        </w:rPr>
        <w:t>26/03/2014</w:t>
      </w:r>
    </w:p>
    <w:p w:rsidR="006F4865" w:rsidRPr="00EB5B1D" w:rsidRDefault="006F4865" w:rsidP="00FD2F13">
      <w:pPr>
        <w:widowControl w:val="0"/>
        <w:pBdr>
          <w:bottom w:val="single" w:sz="4" w:space="1" w:color="auto"/>
        </w:pBdr>
        <w:autoSpaceDE w:val="0"/>
        <w:autoSpaceDN w:val="0"/>
        <w:adjustRightInd w:val="0"/>
        <w:snapToGrid w:val="0"/>
        <w:spacing w:after="60"/>
        <w:rPr>
          <w:b/>
          <w:caps/>
          <w:szCs w:val="22"/>
          <w:lang w:val="es-ES_tradnl"/>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China</w:t>
      </w:r>
    </w:p>
    <w:p w:rsidR="00CA368A"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Nombre común:</w:t>
      </w:r>
      <w:r w:rsidR="00CA368A" w:rsidRPr="00EB5B1D">
        <w:rPr>
          <w:b/>
          <w:i/>
          <w:szCs w:val="22"/>
          <w:lang w:val="fr-CH"/>
        </w:rPr>
        <w:t xml:space="preserve"> </w:t>
      </w:r>
      <w:r w:rsidR="00CA368A" w:rsidRPr="00EB5B1D">
        <w:rPr>
          <w:i/>
          <w:szCs w:val="22"/>
          <w:lang w:val="fr-CH"/>
        </w:rPr>
        <w:t>beta-Hexaclorociclohexano</w:t>
      </w:r>
      <w:r w:rsidR="00CA368A" w:rsidRPr="00EB5B1D">
        <w:rPr>
          <w:b/>
          <w:i/>
          <w:szCs w:val="22"/>
          <w:lang w:val="fr-CH"/>
        </w:rPr>
        <w:tab/>
      </w:r>
      <w:r w:rsidR="00CA368A" w:rsidRPr="00EB5B1D">
        <w:rPr>
          <w:b/>
          <w:i/>
          <w:szCs w:val="22"/>
          <w:lang w:val="fr-CH"/>
        </w:rPr>
        <w:tab/>
      </w:r>
      <w:r w:rsidR="00CA368A" w:rsidRPr="00EB5B1D">
        <w:rPr>
          <w:b/>
          <w:i/>
          <w:szCs w:val="22"/>
          <w:lang w:val="fr-CH"/>
        </w:rPr>
        <w:tab/>
      </w:r>
      <w:r w:rsidR="00CA368A" w:rsidRPr="00EB5B1D">
        <w:rPr>
          <w:b/>
          <w:i/>
          <w:szCs w:val="22"/>
          <w:lang w:val="fr-CH"/>
        </w:rPr>
        <w:tab/>
      </w:r>
      <w:r w:rsidRPr="00EB5B1D">
        <w:rPr>
          <w:b/>
          <w:i/>
          <w:szCs w:val="22"/>
          <w:lang w:val="fr-CH"/>
        </w:rPr>
        <w:t>Número de CAS:</w:t>
      </w:r>
      <w:r w:rsidR="00CA368A" w:rsidRPr="00EB5B1D">
        <w:rPr>
          <w:b/>
          <w:i/>
          <w:szCs w:val="22"/>
          <w:lang w:val="fr-CH"/>
        </w:rPr>
        <w:t xml:space="preserve"> </w:t>
      </w:r>
      <w:r w:rsidR="00CA368A" w:rsidRPr="00EB5B1D">
        <w:rPr>
          <w:szCs w:val="22"/>
          <w:lang w:val="fr-CH"/>
        </w:rPr>
        <w:t>319-85-7</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003412BF" w:rsidRPr="00EB5B1D">
        <w:rPr>
          <w:szCs w:val="22"/>
          <w:lang w:val="fr-CH"/>
        </w:rPr>
        <w:t>beta-1</w:t>
      </w:r>
      <w:proofErr w:type="gramStart"/>
      <w:r w:rsidR="003412BF" w:rsidRPr="00EB5B1D">
        <w:rPr>
          <w:szCs w:val="22"/>
          <w:lang w:val="fr-CH"/>
        </w:rPr>
        <w:t>,2,3,4,5,6</w:t>
      </w:r>
      <w:proofErr w:type="gramEnd"/>
      <w:r w:rsidR="003412BF" w:rsidRPr="00EB5B1D">
        <w:rPr>
          <w:szCs w:val="22"/>
          <w:lang w:val="fr-CH"/>
        </w:rPr>
        <w:t>- Hexaclorociclohexano</w:t>
      </w:r>
    </w:p>
    <w:p w:rsidR="00E839E9" w:rsidRPr="00EB5B1D" w:rsidRDefault="00E839E9" w:rsidP="00FD2F13">
      <w:pPr>
        <w:widowControl w:val="0"/>
        <w:autoSpaceDE w:val="0"/>
        <w:autoSpaceDN w:val="0"/>
        <w:adjustRightInd w:val="0"/>
        <w:snapToGrid w:val="0"/>
        <w:spacing w:after="60"/>
        <w:rPr>
          <w:b/>
          <w:i/>
          <w:szCs w:val="22"/>
          <w:lang w:val="it-IT"/>
        </w:rPr>
      </w:pPr>
      <w:r w:rsidRPr="00EB5B1D">
        <w:rPr>
          <w:b/>
          <w:i/>
          <w:szCs w:val="22"/>
          <w:lang w:val="it-IT"/>
        </w:rPr>
        <w:t xml:space="preserve">Medida reglamentaria firme que se ha tomado para la categoría: </w:t>
      </w:r>
      <w:r w:rsidRPr="00EB5B1D">
        <w:rPr>
          <w:szCs w:val="22"/>
          <w:lang w:val="it-IT"/>
        </w:rPr>
        <w:t>Plaguicida</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Medida reglamentaria firme: </w:t>
      </w:r>
      <w:r w:rsidRPr="00EB5B1D">
        <w:rPr>
          <w:szCs w:val="22"/>
          <w:lang w:val="it-IT"/>
        </w:rPr>
        <w:t>El producto químico está prohibido</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it-IT"/>
        </w:rPr>
        <w:t xml:space="preserve">Uso o usos prohibidos por la medida reglamentaria firme: </w:t>
      </w:r>
      <w:r w:rsidRPr="00EB5B1D">
        <w:rPr>
          <w:szCs w:val="22"/>
          <w:lang w:val="es-ES_tradnl"/>
        </w:rPr>
        <w:t>Prohibida la producción, comercio, uso, importación y exportación de la beta-HCH en China.</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La medida reglamentaria firme se tomó sobre la base de una evaluación de riesgos o peligros: </w:t>
      </w:r>
      <w:r w:rsidRPr="00EB5B1D">
        <w:rPr>
          <w:szCs w:val="22"/>
          <w:lang w:val="it-IT"/>
        </w:rPr>
        <w:t>Si</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it-IT"/>
        </w:rPr>
        <w:t xml:space="preserve">Resumen de la medida reglamentaria firme: </w:t>
      </w:r>
      <w:r w:rsidRPr="00EB5B1D">
        <w:rPr>
          <w:szCs w:val="22"/>
          <w:lang w:val="es-ES_tradnl"/>
        </w:rPr>
        <w:t>Desde el 26 de marzo 2014, esta prohibida la producción, comercio, uso, importación y exportación de la beta-HCH en China.</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El motivo por el que se adoptó la medida reglamentaria firme guarda relación con: </w:t>
      </w:r>
      <w:r w:rsidRPr="00EB5B1D">
        <w:rPr>
          <w:szCs w:val="22"/>
          <w:lang w:val="it-IT"/>
        </w:rPr>
        <w:t>La salud humana y el medio ambiente</w:t>
      </w:r>
      <w:r w:rsidR="00CA368A" w:rsidRPr="00EB5B1D">
        <w:rPr>
          <w:szCs w:val="22"/>
          <w:lang w:val="it-IT"/>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 xml:space="preserve">El beta-HCH se halla presente en las cadenas alimentarias terrestre y acuática. Puede bioacumularse y biomagnificarse en la biota y en redes alimentarias del Ártico, sobre todo en los niveles tróficos superiores. En los seres humanos puede producirse acumulación en el tejido adiposo y altas concentraciones en la sangre y la leche materna. El beta-HCH se transfiere de madres a embriones y lactantes. </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 xml:space="preserve">Estudios toxicológicos realizados con beta-HCH han demostrado neurotoxicidad y hepatotoxicidad. También se observaron efectos reproductivos, inmunodepresores y en la fecundidad en animales de laboratorio. El Organismo Internacional de Investigación sobre el Cáncer (IARC) ha clasificado el beta-HCH en el grupo 2B como posiblemente carcinogénico para los seres humanos. Varios estudios epidemiológicos indican que el beta-HCH podría desempeñar una función importante en el cáncer de mama. </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 xml:space="preserve">La exposición de los seres humanos al beta-HCH se produce sobre todo por la ingestión de plantas, animales y productos de origen animal contaminados. Se prevé un alto grado de exposición en zonas contaminadas debido al uso extensivo, la producción anterior, los lugares de eliminación y las existencias. </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 xml:space="preserve">Habida cuenta del perfil de riesgos y los niveles de exposición en el medio ambiente, incluida la cadena alimentaria, puede concluirse que el beta-HCH puede afectar adversamente a la flora y </w:t>
      </w:r>
      <w:proofErr w:type="gramStart"/>
      <w:r w:rsidRPr="00EB5B1D">
        <w:rPr>
          <w:szCs w:val="22"/>
          <w:lang w:val="es-ES_tradnl"/>
        </w:rPr>
        <w:t>la fauna silvestres</w:t>
      </w:r>
      <w:proofErr w:type="gramEnd"/>
      <w:r w:rsidRPr="00EB5B1D">
        <w:rPr>
          <w:szCs w:val="22"/>
          <w:lang w:val="es-ES_tradnl"/>
        </w:rPr>
        <w:t xml:space="preserve"> y la salud humana en las regiones remotas y contaminadas, incluida la región del Ártico. Las autoridades de salud pública del Ártico consideran que en la actualidad los importantes beneficios sociales, culturales y económicos de los alimentos tradicionales superan con mucho los riesgos de contaminantes como el HCH, aunque son otra razón para que se proceda al rápido control y eliminación de todos los isómeros del HCH en los alimentos tradicionales. </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Sobre la base del perfil de riesgos, junto con la ingesta diaria estimada de beta-HCH de la población indígena del Ártico que supera los valores de referencia de ingesta segura, y dada la presencia extendida de beta-HCH en la biota, aun en zonas remotas alejadas de las fuentes probables, se llega a la conclusión de que es probable que la sustancia, como resultado de su transporte ambiental a gran distancia, suponga efectos perjudiciales para la salud humana y el medio ambiente.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it-IT"/>
        </w:rPr>
        <w:t xml:space="preserve">Efecto previsto de la medida reglamentaria firme en relación con la salud humana: </w:t>
      </w:r>
      <w:r w:rsidRPr="00EB5B1D">
        <w:rPr>
          <w:szCs w:val="22"/>
          <w:lang w:val="es-ES_tradnl"/>
        </w:rPr>
        <w:t>Proteger la salud humana y el medio ambiente.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it-IT"/>
        </w:rPr>
        <w:t xml:space="preserve">Resumen de los peligros y los riesgos conocidos respecto al medio ambiente: </w:t>
      </w:r>
      <w:r w:rsidRPr="00EB5B1D">
        <w:rPr>
          <w:szCs w:val="22"/>
          <w:lang w:val="es-ES_tradnl"/>
        </w:rPr>
        <w:t>Los procesos de degradación abiótica no desempeñan un papel importante en el destino del beta-HCH en el medio ambiente. Así, la fotólisis y la hidrólisis no son significativas. En condiciones favorables, el beta-HCH es susceptible a la biodegradación. Con todo, en comparación con el gamma-HCH y el alfa-HCH, es el isómero más recalcitrante. Los datos de laboratorio y de campo, incluido un estudio de suelos a largo plazo, sugieren que el beta-HCH es persistente en el suelo, sobre todo en temperaturas bajas. Está asociado</w:t>
      </w:r>
      <w:r w:rsidR="00032FF7" w:rsidRPr="00EB5B1D">
        <w:rPr>
          <w:szCs w:val="22"/>
          <w:lang w:val="es-ES_tradnl"/>
        </w:rPr>
        <w:t xml:space="preserve"> </w:t>
      </w:r>
      <w:r w:rsidRPr="00EB5B1D">
        <w:rPr>
          <w:szCs w:val="22"/>
          <w:lang w:val="es-ES_tradnl"/>
        </w:rPr>
        <w:t xml:space="preserve">fundamentalmente a las partículas y tiene bajo potencial de lixiviación. </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 xml:space="preserve">Las propiedades físico-químicas del beta-HCH permiten la dispersión de la sustancia de sus fuentes al Ártico principalmente mediante el transporte ambiental a larga distancia a través de las corrientes oceánicas. El beta-HCH ha sido detectado en el Océano Ártico y se halla presente en especies marinas y terrestres y en seres humanos. </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 xml:space="preserve">Los niveles de exposición del beta-HCH en zonas locales han descendido después de las prohibiciones y restricciones impuestas a nivel mundial. No obstante, las regiones con exposiciones recientes o alto grado de contaminación, o ambos, pueden registrar aún niveles elevados. También suscita una preocupación especial la exposición debida a emplazamientos de desechos peligrosos y vertederos de residuos de beta-HCH procedentes de la producción de lindano. A causa de su persistencia el beta-HCH puede seguirse detectando a bajos niveles de fondo en todos los medios ambientales salvo en las regiones en que se ha utilizado recientemente o ha habido un alto grado de contaminación. Los datos del medio ambiente abiótico del Ártico son escasos en parte debido a los bajos niveles registrados en comparación con los otros isómeros del HCH. En cambio, se detectaron concentraciones bastante altas en la biota del Ártico, incluidos mamíferos y aves marinos con niveles cada vez mayores. </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El beta-HCH es extremadamente tóxico para los organismos acuáticos y muestra efectos estrogénicos en los peces. La reducción de la capacidad reproductiva en las aves, así como la reducción de las concentraciones de retinol en los osos polares se asocia con los niveles de beta-HCH y HCH.</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it-IT"/>
        </w:rPr>
        <w:t xml:space="preserve">Efecto previsto de la medida reglamentaria firme en relación con el medio ambiente: </w:t>
      </w:r>
      <w:r w:rsidRPr="00EB5B1D">
        <w:rPr>
          <w:szCs w:val="22"/>
          <w:lang w:val="es-ES_tradnl"/>
        </w:rPr>
        <w:t>Proteger el medio ambiente y la salud humana.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Fecha </w:t>
      </w:r>
      <w:proofErr w:type="gramStart"/>
      <w:r w:rsidRPr="00EB5B1D">
        <w:rPr>
          <w:b/>
          <w:i/>
          <w:szCs w:val="22"/>
          <w:lang w:val="fr-CH"/>
        </w:rPr>
        <w:t>de entrada</w:t>
      </w:r>
      <w:proofErr w:type="gramEnd"/>
      <w:r w:rsidRPr="00EB5B1D">
        <w:rPr>
          <w:b/>
          <w:i/>
          <w:szCs w:val="22"/>
          <w:lang w:val="fr-CH"/>
        </w:rPr>
        <w:t xml:space="preserve"> en vigor de la medida reglamentaria firme: </w:t>
      </w:r>
      <w:r w:rsidRPr="00EB5B1D">
        <w:rPr>
          <w:szCs w:val="22"/>
          <w:lang w:val="fr-CH"/>
        </w:rPr>
        <w:t>26/03/2014</w:t>
      </w:r>
    </w:p>
    <w:p w:rsidR="00E839E9" w:rsidRPr="00EB5B1D" w:rsidRDefault="00E839E9" w:rsidP="00FD2F13">
      <w:pPr>
        <w:widowControl w:val="0"/>
        <w:pBdr>
          <w:bottom w:val="single" w:sz="4" w:space="1" w:color="auto"/>
        </w:pBdr>
        <w:autoSpaceDE w:val="0"/>
        <w:autoSpaceDN w:val="0"/>
        <w:adjustRightInd w:val="0"/>
        <w:snapToGrid w:val="0"/>
        <w:spacing w:after="60"/>
        <w:rPr>
          <w:szCs w:val="22"/>
          <w:lang w:val="fr-CH"/>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China</w:t>
      </w:r>
    </w:p>
    <w:p w:rsidR="00CA368A"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Nombre común:</w:t>
      </w:r>
      <w:r w:rsidR="00CA368A" w:rsidRPr="00EB5B1D">
        <w:rPr>
          <w:b/>
          <w:i/>
          <w:szCs w:val="22"/>
          <w:lang w:val="fr-CH"/>
        </w:rPr>
        <w:t xml:space="preserve"> </w:t>
      </w:r>
      <w:r w:rsidR="00CA368A" w:rsidRPr="00EB5B1D">
        <w:rPr>
          <w:i/>
          <w:szCs w:val="22"/>
          <w:lang w:val="fr-CH"/>
        </w:rPr>
        <w:t>Clordecona</w:t>
      </w:r>
      <w:r w:rsidR="00CA368A" w:rsidRPr="00EB5B1D">
        <w:rPr>
          <w:b/>
          <w:i/>
          <w:szCs w:val="22"/>
          <w:lang w:val="fr-CH"/>
        </w:rPr>
        <w:tab/>
      </w:r>
      <w:r w:rsidR="00CA368A" w:rsidRPr="00EB5B1D">
        <w:rPr>
          <w:b/>
          <w:i/>
          <w:szCs w:val="22"/>
          <w:lang w:val="fr-CH"/>
        </w:rPr>
        <w:tab/>
      </w:r>
      <w:r w:rsidR="00CA368A" w:rsidRPr="00EB5B1D">
        <w:rPr>
          <w:b/>
          <w:i/>
          <w:szCs w:val="22"/>
          <w:lang w:val="fr-CH"/>
        </w:rPr>
        <w:tab/>
      </w:r>
      <w:r w:rsidR="00CA368A" w:rsidRPr="00EB5B1D">
        <w:rPr>
          <w:b/>
          <w:i/>
          <w:szCs w:val="22"/>
          <w:lang w:val="fr-CH"/>
        </w:rPr>
        <w:tab/>
      </w:r>
      <w:r w:rsidR="00CA368A" w:rsidRPr="00EB5B1D">
        <w:rPr>
          <w:b/>
          <w:i/>
          <w:szCs w:val="22"/>
          <w:lang w:val="fr-CH"/>
        </w:rPr>
        <w:tab/>
      </w:r>
      <w:r w:rsidRPr="00EB5B1D">
        <w:rPr>
          <w:b/>
          <w:i/>
          <w:szCs w:val="22"/>
          <w:lang w:val="fr-CH"/>
        </w:rPr>
        <w:tab/>
        <w:t>Número de CAS:</w:t>
      </w:r>
      <w:r w:rsidR="00CA368A" w:rsidRPr="00EB5B1D">
        <w:rPr>
          <w:b/>
          <w:i/>
          <w:szCs w:val="22"/>
          <w:lang w:val="fr-CH"/>
        </w:rPr>
        <w:t xml:space="preserve"> </w:t>
      </w:r>
      <w:r w:rsidR="00CA368A" w:rsidRPr="00EB5B1D">
        <w:rPr>
          <w:szCs w:val="22"/>
          <w:lang w:val="fr-CH"/>
        </w:rPr>
        <w:t>143-50-0</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Nombre químico:</w:t>
      </w:r>
      <w:r w:rsidR="00546545" w:rsidRPr="00EB5B1D">
        <w:rPr>
          <w:szCs w:val="17"/>
          <w:lang w:val="fr-CH"/>
        </w:rPr>
        <w:t xml:space="preserve"> Decacloropentaciclo [5.3.0.0</w:t>
      </w:r>
      <w:r w:rsidR="00546545" w:rsidRPr="00EB5B1D">
        <w:rPr>
          <w:szCs w:val="17"/>
          <w:vertAlign w:val="superscript"/>
          <w:lang w:val="fr-CH"/>
        </w:rPr>
        <w:t>2.6.</w:t>
      </w:r>
      <w:r w:rsidR="00546545" w:rsidRPr="00EB5B1D">
        <w:rPr>
          <w:szCs w:val="17"/>
          <w:lang w:val="fr-CH"/>
        </w:rPr>
        <w:t>0</w:t>
      </w:r>
      <w:r w:rsidR="00546545" w:rsidRPr="00EB5B1D">
        <w:rPr>
          <w:szCs w:val="17"/>
          <w:vertAlign w:val="superscript"/>
          <w:lang w:val="fr-CH"/>
        </w:rPr>
        <w:t>3.9.</w:t>
      </w:r>
      <w:r w:rsidR="00546545" w:rsidRPr="00EB5B1D">
        <w:rPr>
          <w:szCs w:val="17"/>
          <w:lang w:val="fr-CH"/>
        </w:rPr>
        <w:t>0</w:t>
      </w:r>
      <w:r w:rsidR="00546545" w:rsidRPr="00EB5B1D">
        <w:rPr>
          <w:szCs w:val="17"/>
          <w:vertAlign w:val="superscript"/>
          <w:lang w:val="fr-CH"/>
        </w:rPr>
        <w:t>4.8</w:t>
      </w:r>
      <w:r w:rsidR="00546545" w:rsidRPr="00EB5B1D">
        <w:rPr>
          <w:szCs w:val="17"/>
          <w:lang w:val="fr-CH"/>
        </w:rPr>
        <w:t>] decan-5-ona</w:t>
      </w:r>
    </w:p>
    <w:p w:rsidR="00E839E9" w:rsidRPr="00EB5B1D" w:rsidRDefault="00E839E9" w:rsidP="00FD2F13">
      <w:pPr>
        <w:widowControl w:val="0"/>
        <w:autoSpaceDE w:val="0"/>
        <w:autoSpaceDN w:val="0"/>
        <w:adjustRightInd w:val="0"/>
        <w:snapToGrid w:val="0"/>
        <w:spacing w:after="60"/>
        <w:rPr>
          <w:b/>
          <w:i/>
          <w:szCs w:val="22"/>
          <w:lang w:val="it-IT"/>
        </w:rPr>
      </w:pPr>
      <w:r w:rsidRPr="00EB5B1D">
        <w:rPr>
          <w:b/>
          <w:i/>
          <w:szCs w:val="22"/>
          <w:lang w:val="it-IT"/>
        </w:rPr>
        <w:t xml:space="preserve">Medida reglamentaria firme que se ha tomado para la categoría: </w:t>
      </w:r>
      <w:r w:rsidRPr="00EB5B1D">
        <w:rPr>
          <w:szCs w:val="22"/>
          <w:lang w:val="it-IT"/>
        </w:rPr>
        <w:t>Plaguicida</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Medida reglamentaria firme: </w:t>
      </w:r>
      <w:r w:rsidRPr="00EB5B1D">
        <w:rPr>
          <w:szCs w:val="22"/>
          <w:lang w:val="it-IT"/>
        </w:rPr>
        <w:t>El producto químico está prohibido</w:t>
      </w:r>
      <w:r w:rsidR="00CA368A" w:rsidRPr="00EB5B1D">
        <w:rPr>
          <w:szCs w:val="22"/>
          <w:lang w:val="it-IT"/>
        </w:rPr>
        <w:t>.</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it-IT"/>
        </w:rPr>
        <w:t xml:space="preserve">Uso o usos prohibidos por la medida reglamentaria firme: </w:t>
      </w:r>
      <w:r w:rsidRPr="00EB5B1D">
        <w:rPr>
          <w:szCs w:val="22"/>
          <w:lang w:val="es-ES_tradnl"/>
        </w:rPr>
        <w:t xml:space="preserve">Prohibida la producción, comercio, uso, importación y exportación de la clordecona en China. </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it-IT"/>
        </w:rPr>
        <w:t xml:space="preserve">Uso o usos que siguen autorizados: </w:t>
      </w:r>
      <w:r w:rsidRPr="00EB5B1D">
        <w:rPr>
          <w:szCs w:val="22"/>
          <w:lang w:val="es-ES_tradnl"/>
        </w:rPr>
        <w:t>Ninguno</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La medida reglamentaria firme se tomó sobre la base de una evaluación de riesgos o peligros: </w:t>
      </w:r>
      <w:r w:rsidRPr="00EB5B1D">
        <w:rPr>
          <w:szCs w:val="22"/>
          <w:lang w:val="it-IT"/>
        </w:rPr>
        <w:t>Si</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it-IT"/>
        </w:rPr>
        <w:t xml:space="preserve">Resumen de la medida reglamentaria firme: </w:t>
      </w:r>
      <w:r w:rsidRPr="00EB5B1D">
        <w:rPr>
          <w:szCs w:val="22"/>
          <w:lang w:val="es-ES_tradnl"/>
        </w:rPr>
        <w:t>Desde el 26 de marzo 2014, la producción, comercio, uso, importación y exportación de clordecona han sido prohibidos en China.</w:t>
      </w:r>
    </w:p>
    <w:p w:rsidR="00E839E9" w:rsidRPr="00EB5B1D" w:rsidRDefault="00E839E9" w:rsidP="00FD2F13">
      <w:pPr>
        <w:widowControl w:val="0"/>
        <w:autoSpaceDE w:val="0"/>
        <w:autoSpaceDN w:val="0"/>
        <w:adjustRightInd w:val="0"/>
        <w:snapToGrid w:val="0"/>
        <w:spacing w:after="60"/>
        <w:rPr>
          <w:szCs w:val="22"/>
          <w:lang w:val="it-IT"/>
        </w:rPr>
      </w:pPr>
      <w:r w:rsidRPr="00EB5B1D">
        <w:rPr>
          <w:b/>
          <w:i/>
          <w:szCs w:val="22"/>
          <w:lang w:val="it-IT"/>
        </w:rPr>
        <w:t xml:space="preserve">El motivo por el que se adoptó la medida reglamentaria firme guarda relación con: </w:t>
      </w:r>
      <w:r w:rsidRPr="00EB5B1D">
        <w:rPr>
          <w:szCs w:val="22"/>
          <w:lang w:val="it-IT"/>
        </w:rPr>
        <w:t>La salud humana y el medio ambiente</w:t>
      </w:r>
      <w:r w:rsidR="00CA368A" w:rsidRPr="00EB5B1D">
        <w:rPr>
          <w:szCs w:val="22"/>
          <w:lang w:val="it-IT"/>
        </w:rPr>
        <w:t>.</w:t>
      </w:r>
    </w:p>
    <w:p w:rsidR="00E839E9" w:rsidRPr="00EB5B1D" w:rsidRDefault="00E839E9" w:rsidP="00FD2F13">
      <w:pPr>
        <w:widowControl w:val="0"/>
        <w:autoSpaceDE w:val="0"/>
        <w:autoSpaceDN w:val="0"/>
        <w:adjustRightInd w:val="0"/>
        <w:snapToGrid w:val="0"/>
        <w:spacing w:after="60"/>
        <w:jc w:val="both"/>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 xml:space="preserve">En el organismo, la clordecona se absorbe fácilmente y se acumula después de una exposición prolongada. El plaguicida tiene toxicidad aguda y crónica; produce neurotoxicidad, inmunotoxicidad, toxicidad reproductiva, musculo esquelética y hepática con dosis de 1 a 10 mg/kg peso corporal/día en estudios experimentales en animales. Se indujo cáncer de hígado en ratas con dosis de 1 mg/kg de peso corporal por día y con niveles de dosis similares se observaron efectos reproductivos. La Agencia Internacional de Investigaciones sobre el Cáncer clasificó a la clordecona como posible carcinógeno en seres humanos (IARC, grupo 2B). </w:t>
      </w:r>
    </w:p>
    <w:p w:rsidR="00E839E9" w:rsidRPr="00EB5B1D" w:rsidRDefault="00E839E9" w:rsidP="00FD2F13">
      <w:pPr>
        <w:widowControl w:val="0"/>
        <w:autoSpaceDE w:val="0"/>
        <w:autoSpaceDN w:val="0"/>
        <w:adjustRightInd w:val="0"/>
        <w:snapToGrid w:val="0"/>
        <w:spacing w:after="60"/>
        <w:jc w:val="both"/>
        <w:rPr>
          <w:szCs w:val="22"/>
          <w:lang w:val="es-ES_tradnl"/>
        </w:rPr>
      </w:pPr>
      <w:r w:rsidRPr="00EB5B1D">
        <w:rPr>
          <w:szCs w:val="22"/>
          <w:lang w:val="es-ES_tradnl"/>
        </w:rPr>
        <w:t xml:space="preserve">Más aún, la clordecona es muy tóxica para los organismos acuáticos; el grupo más sensible es el de los invertebrados. </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Proteger la salud humana y el medio ambiente.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No se espera que la clordecona experimente hidrólisis o biodegradación en medios acuáticos ni en el suelo, sin embargo existe evidencia de degradación bajo condiciones anaeróbicas. La foto degradación directa no es significativa. Basándose en todos los datos disponibles, la clordecona se considera altamente persistente en el medio ambiente.</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 xml:space="preserve">Se han medido factores de bioconcentración (BCF) de hasta 6.000 en algas, hasta 21.600 en invertebrados y hasta 60.200 en peces y se han documentado ejemplos de biomagnificación, se considera que la clordecona tiene un alto potencial de bioacumulación y biomagnificación. </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 xml:space="preserve">En resumen, con respecto al transporte atmosférico a larga distancia de la clordecona en forma gaseosa, los datos disponibles no son concluyentes. Sin embargo, el transporte atmosférico de sustancias unidas a partículas, el transporte de partículas sedimentarias en corrientes del mar y el transporte biótico también </w:t>
      </w:r>
      <w:proofErr w:type="gramStart"/>
      <w:r w:rsidRPr="00EB5B1D">
        <w:rPr>
          <w:szCs w:val="22"/>
          <w:lang w:val="es-ES_tradnl"/>
        </w:rPr>
        <w:t>podrían</w:t>
      </w:r>
      <w:proofErr w:type="gramEnd"/>
      <w:r w:rsidRPr="00EB5B1D">
        <w:rPr>
          <w:szCs w:val="22"/>
          <w:lang w:val="es-ES_tradnl"/>
        </w:rPr>
        <w:t xml:space="preserve"> contribuir con el transporte ambiental a larga distancia de la clordecona. </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Proteger la salud humana y el medio ambiente.</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Fecha </w:t>
      </w:r>
      <w:proofErr w:type="gramStart"/>
      <w:r w:rsidRPr="00EB5B1D">
        <w:rPr>
          <w:b/>
          <w:i/>
          <w:szCs w:val="22"/>
          <w:lang w:val="fr-CH"/>
        </w:rPr>
        <w:t>de entrada</w:t>
      </w:r>
      <w:proofErr w:type="gramEnd"/>
      <w:r w:rsidRPr="00EB5B1D">
        <w:rPr>
          <w:b/>
          <w:i/>
          <w:szCs w:val="22"/>
          <w:lang w:val="fr-CH"/>
        </w:rPr>
        <w:t xml:space="preserve"> en vigor de la medida reglamentaria firme: </w:t>
      </w:r>
      <w:r w:rsidRPr="00EB5B1D">
        <w:rPr>
          <w:szCs w:val="22"/>
          <w:lang w:val="fr-CH"/>
        </w:rPr>
        <w:t>26/03/2014</w:t>
      </w:r>
    </w:p>
    <w:p w:rsidR="00032FF7" w:rsidRPr="00EB5B1D" w:rsidRDefault="00032FF7" w:rsidP="00032FF7">
      <w:pPr>
        <w:spacing w:after="60"/>
        <w:rPr>
          <w:lang w:val="fr-CH"/>
        </w:rPr>
      </w:pPr>
    </w:p>
    <w:p w:rsidR="00E839E9" w:rsidRPr="00EB5B1D" w:rsidRDefault="00032FF7" w:rsidP="00032FF7">
      <w:pPr>
        <w:pBdr>
          <w:bottom w:val="single" w:sz="6" w:space="1" w:color="auto"/>
        </w:pBdr>
        <w:tabs>
          <w:tab w:val="left" w:pos="945"/>
        </w:tabs>
        <w:spacing w:after="60"/>
        <w:rPr>
          <w:b/>
          <w:lang w:val="fr-CH"/>
        </w:rPr>
      </w:pPr>
      <w:r w:rsidRPr="00EB5B1D">
        <w:rPr>
          <w:b/>
          <w:lang w:val="fr-CH"/>
        </w:rPr>
        <w:t>CHINA</w:t>
      </w:r>
    </w:p>
    <w:p w:rsidR="00CA368A" w:rsidRPr="00EB5B1D" w:rsidRDefault="00663362" w:rsidP="00032FF7">
      <w:pPr>
        <w:spacing w:after="60"/>
        <w:rPr>
          <w:b/>
          <w:i/>
          <w:lang w:val="fr-CH"/>
        </w:rPr>
      </w:pPr>
      <w:r w:rsidRPr="00EB5B1D">
        <w:rPr>
          <w:b/>
          <w:i/>
          <w:lang w:val="fr-CH"/>
        </w:rPr>
        <w:t>Nombre común:</w:t>
      </w:r>
      <w:r w:rsidR="00CA368A" w:rsidRPr="00EB5B1D">
        <w:rPr>
          <w:b/>
          <w:i/>
          <w:lang w:val="fr-CH"/>
        </w:rPr>
        <w:t xml:space="preserve"> </w:t>
      </w:r>
      <w:r w:rsidR="00CA368A" w:rsidRPr="00EB5B1D">
        <w:rPr>
          <w:lang w:val="fr-CH"/>
        </w:rPr>
        <w:t>Endosulfán</w:t>
      </w:r>
      <w:r w:rsidR="00CA368A" w:rsidRPr="00EB5B1D">
        <w:rPr>
          <w:b/>
          <w:i/>
          <w:lang w:val="fr-CH"/>
        </w:rPr>
        <w:tab/>
      </w:r>
      <w:r w:rsidR="00CA368A" w:rsidRPr="00EB5B1D">
        <w:rPr>
          <w:b/>
          <w:i/>
          <w:lang w:val="fr-CH"/>
        </w:rPr>
        <w:tab/>
      </w:r>
      <w:r w:rsidR="00CA368A" w:rsidRPr="00EB5B1D">
        <w:rPr>
          <w:b/>
          <w:i/>
          <w:lang w:val="fr-CH"/>
        </w:rPr>
        <w:tab/>
      </w:r>
      <w:r w:rsidR="00CA368A" w:rsidRPr="00EB5B1D">
        <w:rPr>
          <w:b/>
          <w:i/>
          <w:lang w:val="fr-CH"/>
        </w:rPr>
        <w:tab/>
      </w:r>
      <w:r w:rsidR="00CA368A" w:rsidRPr="00EB5B1D">
        <w:rPr>
          <w:b/>
          <w:i/>
          <w:lang w:val="fr-CH"/>
        </w:rPr>
        <w:tab/>
      </w:r>
      <w:r w:rsidRPr="00EB5B1D">
        <w:rPr>
          <w:b/>
          <w:i/>
          <w:lang w:val="fr-CH"/>
        </w:rPr>
        <w:tab/>
        <w:t>Número de CAS:</w:t>
      </w:r>
      <w:r w:rsidR="00CA368A" w:rsidRPr="00EB5B1D">
        <w:rPr>
          <w:b/>
          <w:i/>
          <w:lang w:val="fr-CH"/>
        </w:rPr>
        <w:t xml:space="preserve"> </w:t>
      </w:r>
      <w:r w:rsidR="00CA368A" w:rsidRPr="00EB5B1D">
        <w:rPr>
          <w:lang w:val="fr-CH"/>
        </w:rPr>
        <w:t>115-29-7</w:t>
      </w:r>
    </w:p>
    <w:p w:rsidR="00E839E9" w:rsidRPr="00EB5B1D" w:rsidRDefault="00E839E9" w:rsidP="00032FF7">
      <w:pPr>
        <w:spacing w:after="60"/>
        <w:rPr>
          <w:lang w:val="fr-CH"/>
        </w:rPr>
      </w:pPr>
      <w:r w:rsidRPr="00EB5B1D">
        <w:rPr>
          <w:b/>
          <w:i/>
          <w:lang w:val="fr-CH"/>
        </w:rPr>
        <w:t>Nombre químico:</w:t>
      </w:r>
      <w:r w:rsidRPr="00EB5B1D">
        <w:rPr>
          <w:lang w:val="fr-CH"/>
        </w:rPr>
        <w:t xml:space="preserve"> sulfito de 1</w:t>
      </w:r>
      <w:proofErr w:type="gramStart"/>
      <w:r w:rsidRPr="00EB5B1D">
        <w:rPr>
          <w:lang w:val="fr-CH"/>
        </w:rPr>
        <w:t>,2,3,4,7,7</w:t>
      </w:r>
      <w:proofErr w:type="gramEnd"/>
      <w:r w:rsidRPr="00EB5B1D">
        <w:rPr>
          <w:lang w:val="fr-CH"/>
        </w:rPr>
        <w:t>-hexacloro-8,9,10-trinorborn-2-en-5,6-ilendimetilo</w:t>
      </w:r>
    </w:p>
    <w:p w:rsidR="00E839E9" w:rsidRPr="00EB5B1D" w:rsidRDefault="00E839E9" w:rsidP="00032FF7">
      <w:pPr>
        <w:spacing w:after="60"/>
        <w:rPr>
          <w:lang w:val="fr-CH"/>
        </w:rPr>
      </w:pPr>
      <w:r w:rsidRPr="00EB5B1D">
        <w:rPr>
          <w:b/>
          <w:i/>
          <w:lang w:val="fr-CH"/>
        </w:rPr>
        <w:t>Medida reglamentaria firme que se ha tomado para la categoría:</w:t>
      </w:r>
      <w:r w:rsidRPr="00EB5B1D">
        <w:rPr>
          <w:lang w:val="fr-CH"/>
        </w:rPr>
        <w:t xml:space="preserve"> Plaguicida</w:t>
      </w:r>
    </w:p>
    <w:p w:rsidR="00E839E9" w:rsidRPr="00EB5B1D" w:rsidRDefault="00E839E9" w:rsidP="00032FF7">
      <w:pPr>
        <w:spacing w:after="60"/>
        <w:rPr>
          <w:lang w:val="fr-CH"/>
        </w:rPr>
      </w:pPr>
      <w:r w:rsidRPr="00EB5B1D">
        <w:rPr>
          <w:b/>
          <w:i/>
          <w:lang w:val="fr-CH"/>
        </w:rPr>
        <w:t>Medida reglamentaria firme:</w:t>
      </w:r>
      <w:r w:rsidRPr="00EB5B1D">
        <w:rPr>
          <w:lang w:val="fr-CH"/>
        </w:rPr>
        <w:t xml:space="preserve"> El producto químico está rigurosamente restringido</w:t>
      </w:r>
    </w:p>
    <w:p w:rsidR="00E839E9" w:rsidRPr="00EB5B1D" w:rsidRDefault="00E839E9" w:rsidP="00032FF7">
      <w:pPr>
        <w:spacing w:after="60"/>
        <w:rPr>
          <w:lang w:val="fr-CH"/>
        </w:rPr>
      </w:pPr>
      <w:r w:rsidRPr="00EB5B1D">
        <w:rPr>
          <w:b/>
          <w:i/>
          <w:lang w:val="fr-CH"/>
        </w:rPr>
        <w:t>Uso o usos prohibidos por la medida reglamentaria firme:</w:t>
      </w:r>
      <w:r w:rsidRPr="00EB5B1D">
        <w:rPr>
          <w:lang w:val="fr-CH"/>
        </w:rPr>
        <w:t xml:space="preserve"> Prohibida la producción, comercio, uso, importación y exportación del endosulfán en China, excepto usos para un propósito aceptable o una exención especifica.</w:t>
      </w:r>
    </w:p>
    <w:p w:rsidR="00E839E9" w:rsidRPr="00EB5B1D" w:rsidRDefault="00E839E9" w:rsidP="00FD2F13">
      <w:pPr>
        <w:widowControl w:val="0"/>
        <w:shd w:val="clear" w:color="auto" w:fill="FFFFFF"/>
        <w:autoSpaceDE w:val="0"/>
        <w:autoSpaceDN w:val="0"/>
        <w:adjustRightInd w:val="0"/>
        <w:snapToGrid w:val="0"/>
        <w:spacing w:after="60"/>
        <w:jc w:val="both"/>
        <w:rPr>
          <w:szCs w:val="22"/>
          <w:lang w:val="es-ES_tradnl"/>
        </w:rPr>
      </w:pPr>
      <w:r w:rsidRPr="00EB5B1D">
        <w:rPr>
          <w:b/>
          <w:i/>
          <w:szCs w:val="22"/>
          <w:lang w:val="fr-CH"/>
        </w:rPr>
        <w:t xml:space="preserve">Uso o usos que siguen autorizados: </w:t>
      </w:r>
      <w:r w:rsidRPr="00EB5B1D">
        <w:rPr>
          <w:szCs w:val="22"/>
          <w:lang w:val="es-ES_tradnl"/>
        </w:rPr>
        <w:t>Exención especifica: La producción y uso de endosulfán para el control de gusano de la cápsula del algodón y la oruga del tabaco.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La medida reglamentaria firme se tomó sobre la base de una evaluación de riesgos o peligros: </w:t>
      </w:r>
      <w:r w:rsidRPr="00EB5B1D">
        <w:rPr>
          <w:szCs w:val="22"/>
          <w:lang w:val="fr-CH"/>
        </w:rPr>
        <w:t>Si</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Desde el 26 de marzo de 2014, la producción, comercio, uso, importación y exportación de</w:t>
      </w:r>
      <w:r w:rsidR="00032FF7" w:rsidRPr="00EB5B1D">
        <w:rPr>
          <w:szCs w:val="22"/>
          <w:lang w:val="es-ES_tradnl"/>
        </w:rPr>
        <w:t xml:space="preserve"> </w:t>
      </w:r>
      <w:r w:rsidRPr="00EB5B1D">
        <w:rPr>
          <w:szCs w:val="22"/>
          <w:lang w:val="es-ES_tradnl"/>
        </w:rPr>
        <w:t>endosulfán han sido prohibidos en China excepto para un propósito aceptable o una exención específica.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El motivo por el que se adoptó la medida reglamentaria firme guarda relación con: </w:t>
      </w:r>
      <w:r w:rsidRPr="00EB5B1D">
        <w:rPr>
          <w:szCs w:val="22"/>
          <w:lang w:val="fr-CH"/>
        </w:rPr>
        <w:t>La salud humana y el medio ambiente</w:t>
      </w:r>
      <w:r w:rsidR="00CA368A" w:rsidRPr="00EB5B1D">
        <w:rPr>
          <w:szCs w:val="22"/>
          <w:lang w:val="fr-CH"/>
        </w:rPr>
        <w:t>.</w:t>
      </w:r>
    </w:p>
    <w:p w:rsidR="00E839E9" w:rsidRPr="00EB5B1D" w:rsidRDefault="00E839E9" w:rsidP="00FD2F13">
      <w:pPr>
        <w:widowControl w:val="0"/>
        <w:shd w:val="clear" w:color="auto" w:fill="FFFFFF"/>
        <w:autoSpaceDE w:val="0"/>
        <w:autoSpaceDN w:val="0"/>
        <w:adjustRightInd w:val="0"/>
        <w:snapToGrid w:val="0"/>
        <w:spacing w:after="60"/>
        <w:jc w:val="both"/>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La toxicidad y ecotoxicidad del endosulfán está bien documentada. El endosulfán es altamente tóxico para los seres humanos y para la mayoría de las especies animales, mostrando efectos agudos y crónicos a niveles de exposición relativamente bajos. Se ha observado intoxicación letal aguda en los seres humanos y claros efectos ambientales en comunidades acuáticas y terrestres bajo condiciones de uso estándar cuando no se han seguido las medidas para la mitigación del riesgo. Varios países han encontrado que el endosulfán plantea riesgos inaceptables, o ha causado daños inaceptables para la salud humana y el medio ambiente, y de consecuencia los ha prohibido o restringido severamente.</w:t>
      </w:r>
    </w:p>
    <w:p w:rsidR="00E839E9" w:rsidRPr="00EB5B1D" w:rsidRDefault="00E839E9" w:rsidP="00FD2F13">
      <w:pPr>
        <w:widowControl w:val="0"/>
        <w:shd w:val="clear" w:color="auto" w:fill="FFFFFF"/>
        <w:autoSpaceDE w:val="0"/>
        <w:autoSpaceDN w:val="0"/>
        <w:adjustRightInd w:val="0"/>
        <w:snapToGrid w:val="0"/>
        <w:spacing w:after="60"/>
        <w:jc w:val="both"/>
        <w:rPr>
          <w:szCs w:val="22"/>
          <w:lang w:val="es-ES_tradnl"/>
        </w:rPr>
      </w:pPr>
      <w:r w:rsidRPr="00EB5B1D">
        <w:rPr>
          <w:szCs w:val="22"/>
          <w:lang w:val="es-ES_tradnl"/>
        </w:rPr>
        <w:t>Sin embargo, la información sobre su genotoxicidad y su potencial de alteración endocrina no es totalmente concluyente. Por último, el papel de los metabolitos del endosulfán distintos del sulfato de endosulfán ha recibido una atención limitada. El endosulfan lactona tiene el mismo valor crónico de NOEC que los isómeros matriz del endosulfán.</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La evaluación de las características del endosulfán como POP, incluido el sulfato de endosulfán, confirma la preocupación por el endosulfán y su principal metabolito; también se debe considerar que otros metabolitos, formados a través de transformaciones tanto del ambiente como de la biota, mantienen la estructura química y presentan en algunos casos toxicidad significativa.</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Sobre la base de las propiedades inherentes y dada la amplia presencia en los compartimientos ambientales y en la biota en zonas remotas, junto con la incertidumbre asociada con el papel insuficientemente comprendido de los metabolitos que mantienen la estructura química del endosulfán, se concluye que el endosulfán es probable que, debido a su transporte a larga distancia en el medioambiente, probablemente provocará efectos adversos significativos para la salud humana y el medio ambiente que justifican la adopción de medidas a nivel mundial.</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Proteger la salud humana y el medio ambiente.</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La transformación aeróbica del endosulfán ocurre por medio de la oxidación biológica. El principal metabolito formado es el sulfato de endosulfán. Este compuesto se degrada lentamente en metabolitos más polares como endosulfán diol, endosulfán lactona, endosulfán éter. La media combinada de la vida media DT50 medida en estudios de laboratorio sea para el 13-endosulfán que para el endosulfán sulfato, se seleccionó como parámetro relevante para cuantificar la persistencia, que oscila entre 28 y 391 días. En el ambiente acuático, el endosulfán es estable a la fotólisis; sólo se observa una rápida hidrólisis a valores de pH elevados y no es fácilmente biodegradable. En sistemas de agua/sedimentos, se demostró un DT50&gt; 120 d. Existe incertidumbre sobre el nivel de degradación del endosulfán en la atmósfera, sin embargo se piensa que la vida media exceda el umbral de 2 días. El potencial de bioconcentración del endosulfán en los organismos acuáticos está confirmado mediante datos experimentales. Los valores validados del factor de bioconcentración (BCF) oscilan entre 1000 y 3000 para los peces, de 12 a 600 para los invertebrados acuáticos, y de hasta 3278 en algas. Por lo tanto, los BCF reportados están por debajo del criterio de 5.000; y el log Kow resulta 4,7, lo cual está por debajo del criterio de 5. Sin embargo, el BAF y el BMF medidos en organismos árticos muestran que el endosulfán tiene un alto potencial ínsito de bioacumulación y biomagnificación. Además, se detectó endosulfán en el tejido adiposo y sangre de animales en el Ártico y en el Antártico. El endosulfán también se ha detectado en la grasa de las ballenas minke y en el hígado de los fulmares del norte. Por lo tanto, existen pruebas suficientes de que el endosulfán entre en la cadena alimentaria y se bioacumule, y tiene potencial de biomagnificarse en las cadenas alimenticias.</w:t>
      </w:r>
    </w:p>
    <w:p w:rsidR="00E839E9" w:rsidRPr="00EB5B1D" w:rsidRDefault="00E839E9" w:rsidP="00FD2F13">
      <w:pPr>
        <w:widowControl w:val="0"/>
        <w:shd w:val="clear" w:color="auto" w:fill="FFFFFF"/>
        <w:autoSpaceDE w:val="0"/>
        <w:autoSpaceDN w:val="0"/>
        <w:adjustRightInd w:val="0"/>
        <w:snapToGrid w:val="0"/>
        <w:spacing w:after="60"/>
        <w:jc w:val="both"/>
        <w:rPr>
          <w:szCs w:val="22"/>
          <w:lang w:val="es-ES_tradnl"/>
        </w:rPr>
      </w:pPr>
      <w:r w:rsidRPr="00EB5B1D">
        <w:rPr>
          <w:szCs w:val="22"/>
          <w:lang w:val="es-ES_tradnl"/>
        </w:rPr>
        <w:t>El potencial del endosulfán para el transporte de largo alcance se ha confirmado a partir de tres fuentes principales de información: el análisis de las propiedades del endosulfán, la aplicación de modelos LRT y la revisión de los datos de monitoreo existentes en áreas remotas.</w:t>
      </w:r>
    </w:p>
    <w:p w:rsidR="00E839E9" w:rsidRPr="00EB5B1D" w:rsidRDefault="00E839E9" w:rsidP="00FD2F13">
      <w:pPr>
        <w:widowControl w:val="0"/>
        <w:shd w:val="clear" w:color="auto" w:fill="FFFFFF"/>
        <w:autoSpaceDE w:val="0"/>
        <w:autoSpaceDN w:val="0"/>
        <w:adjustRightInd w:val="0"/>
        <w:snapToGrid w:val="0"/>
        <w:spacing w:after="60"/>
        <w:jc w:val="both"/>
        <w:rPr>
          <w:szCs w:val="22"/>
          <w:lang w:val="es-ES_tradnl"/>
        </w:rPr>
      </w:pPr>
      <w:r w:rsidRPr="00EB5B1D">
        <w:rPr>
          <w:szCs w:val="22"/>
          <w:lang w:val="es-ES_tradnl"/>
        </w:rPr>
        <w:t>El LRT se ha confirmado por la presencia de endosulfán en el aire y en la biota de áreas remotas. La mayoría de los estudios miden el a- y el 13-endosulfán y, en algunos casos, sulfato de endosulfán. Otros metabolitos del endosulfán son raramente cuantificados. Se ha confirmado la presencia de endosulfán en zonas remotas, lejos de las zonas de uso intensivo, en particular en el Ártico y en la Antártida. El potencial de LRT parece estar relacionado principalmente con la volatilización seguida por la transferencia atmosférica, también se ha observado su deposición en zonas montañosas de gran altitud.</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Preocupaciones similares a las identificadas se pueden encontrar en otros países donde el plaguicida está todavía en uso.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Fecha </w:t>
      </w:r>
      <w:proofErr w:type="gramStart"/>
      <w:r w:rsidRPr="00EB5B1D">
        <w:rPr>
          <w:b/>
          <w:i/>
          <w:szCs w:val="22"/>
          <w:lang w:val="fr-CH"/>
        </w:rPr>
        <w:t>de entrada</w:t>
      </w:r>
      <w:proofErr w:type="gramEnd"/>
      <w:r w:rsidRPr="00EB5B1D">
        <w:rPr>
          <w:b/>
          <w:i/>
          <w:szCs w:val="22"/>
          <w:lang w:val="fr-CH"/>
        </w:rPr>
        <w:t xml:space="preserve"> en vigor de la medida reglamentaria firme: </w:t>
      </w:r>
      <w:r w:rsidRPr="00EB5B1D">
        <w:rPr>
          <w:szCs w:val="22"/>
          <w:lang w:val="fr-CH"/>
        </w:rPr>
        <w:t>26/03/2014</w:t>
      </w:r>
    </w:p>
    <w:p w:rsidR="00E839E9" w:rsidRPr="00EB5B1D" w:rsidRDefault="00E839E9" w:rsidP="00FD2F13">
      <w:pPr>
        <w:widowControl w:val="0"/>
        <w:pBdr>
          <w:bottom w:val="single" w:sz="4" w:space="1" w:color="auto"/>
        </w:pBdr>
        <w:autoSpaceDE w:val="0"/>
        <w:autoSpaceDN w:val="0"/>
        <w:adjustRightInd w:val="0"/>
        <w:snapToGrid w:val="0"/>
        <w:spacing w:after="60"/>
        <w:rPr>
          <w:szCs w:val="22"/>
          <w:lang w:val="fr-CH"/>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China</w:t>
      </w:r>
    </w:p>
    <w:p w:rsidR="00E839E9" w:rsidRPr="00EB5B1D" w:rsidRDefault="00663362" w:rsidP="00FD2F13">
      <w:pPr>
        <w:widowControl w:val="0"/>
        <w:autoSpaceDE w:val="0"/>
        <w:autoSpaceDN w:val="0"/>
        <w:adjustRightInd w:val="0"/>
        <w:snapToGrid w:val="0"/>
        <w:spacing w:after="60"/>
        <w:rPr>
          <w:szCs w:val="22"/>
          <w:lang w:val="fr-CH"/>
        </w:rPr>
      </w:pPr>
      <w:r w:rsidRPr="00EB5B1D">
        <w:rPr>
          <w:b/>
          <w:i/>
          <w:szCs w:val="22"/>
          <w:lang w:val="fr-CH"/>
        </w:rPr>
        <w:t>Nombre común:</w:t>
      </w:r>
      <w:r w:rsidR="00E839E9" w:rsidRPr="00EB5B1D">
        <w:rPr>
          <w:b/>
          <w:i/>
          <w:szCs w:val="22"/>
          <w:lang w:val="fr-CH"/>
        </w:rPr>
        <w:t xml:space="preserve"> </w:t>
      </w:r>
      <w:r w:rsidR="00E839E9" w:rsidRPr="00EB5B1D">
        <w:rPr>
          <w:szCs w:val="22"/>
          <w:lang w:val="fr-CH"/>
        </w:rPr>
        <w:t>Hexabromociclododecano</w:t>
      </w:r>
      <w:r w:rsidR="00676D07" w:rsidRPr="00EB5B1D">
        <w:rPr>
          <w:szCs w:val="22"/>
          <w:lang w:val="fr-CH"/>
        </w:rPr>
        <w:t xml:space="preserve"> </w:t>
      </w:r>
      <w:r w:rsidR="00676D07" w:rsidRPr="00EB5B1D">
        <w:rPr>
          <w:szCs w:val="22"/>
          <w:lang w:val="es-ES"/>
        </w:rPr>
        <w:t>y sus principales diastereoisómeros</w:t>
      </w:r>
    </w:p>
    <w:p w:rsidR="00E839E9" w:rsidRPr="00EB5B1D" w:rsidRDefault="00663362" w:rsidP="00FD2F13">
      <w:pPr>
        <w:widowControl w:val="0"/>
        <w:autoSpaceDE w:val="0"/>
        <w:autoSpaceDN w:val="0"/>
        <w:adjustRightInd w:val="0"/>
        <w:snapToGrid w:val="0"/>
        <w:spacing w:after="60"/>
        <w:rPr>
          <w:szCs w:val="22"/>
          <w:lang w:val="fr-CH"/>
        </w:rPr>
      </w:pPr>
      <w:r w:rsidRPr="00EB5B1D">
        <w:rPr>
          <w:b/>
          <w:i/>
          <w:szCs w:val="22"/>
          <w:lang w:val="fr-CH"/>
        </w:rPr>
        <w:t>Número de CAS:</w:t>
      </w:r>
      <w:r w:rsidR="00E839E9" w:rsidRPr="00EB5B1D">
        <w:rPr>
          <w:szCs w:val="22"/>
          <w:lang w:val="fr-CH"/>
        </w:rPr>
        <w:t>134237-50-6, 134237-51-7, 134237-52-8, 25637-99-4, 3194-55-6</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fr-CH"/>
        </w:rPr>
        <w:t>1</w:t>
      </w:r>
      <w:proofErr w:type="gramStart"/>
      <w:r w:rsidRPr="00EB5B1D">
        <w:rPr>
          <w:szCs w:val="22"/>
          <w:lang w:val="fr-CH"/>
        </w:rPr>
        <w:t>,2,5,6,9,10</w:t>
      </w:r>
      <w:proofErr w:type="gramEnd"/>
      <w:r w:rsidRPr="00EB5B1D">
        <w:rPr>
          <w:szCs w:val="22"/>
          <w:lang w:val="fr-CH"/>
        </w:rPr>
        <w:t>-Hexabromociclododecano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rigurosamente restringido</w:t>
      </w:r>
      <w:r w:rsidR="00CA368A"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es-ES"/>
        </w:rPr>
      </w:pPr>
      <w:r w:rsidRPr="00EB5B1D">
        <w:rPr>
          <w:b/>
          <w:i/>
          <w:szCs w:val="22"/>
          <w:lang w:val="fr-CH"/>
        </w:rPr>
        <w:t xml:space="preserve">Uso o usos prohibidos por la medida reglamentaria firme: </w:t>
      </w:r>
      <w:r w:rsidRPr="00EB5B1D">
        <w:rPr>
          <w:szCs w:val="22"/>
          <w:lang w:val="es-ES"/>
        </w:rPr>
        <w:t xml:space="preserve">Se ha prohibido la producción, utilización, importación y exportación de hexabromociclododecano en China, excepto en los siguientes casos: </w:t>
      </w:r>
    </w:p>
    <w:p w:rsidR="00E839E9" w:rsidRPr="00EB5B1D" w:rsidRDefault="00E839E9" w:rsidP="00546545">
      <w:pPr>
        <w:pStyle w:val="ListParagraph"/>
        <w:widowControl w:val="0"/>
        <w:numPr>
          <w:ilvl w:val="0"/>
          <w:numId w:val="17"/>
        </w:numPr>
        <w:autoSpaceDE w:val="0"/>
        <w:autoSpaceDN w:val="0"/>
        <w:adjustRightInd w:val="0"/>
        <w:snapToGrid w:val="0"/>
        <w:spacing w:after="60"/>
        <w:contextualSpacing w:val="0"/>
        <w:rPr>
          <w:szCs w:val="22"/>
          <w:lang w:val="es-ES"/>
        </w:rPr>
      </w:pPr>
      <w:r w:rsidRPr="00EB5B1D">
        <w:rPr>
          <w:szCs w:val="22"/>
          <w:lang w:val="es-ES"/>
        </w:rPr>
        <w:t>Se permitirá la producción, utilización, importación y exportación de hexabromociclododecano utilizado para el poliestireno expandido y el poliestireno extrudido en edificios (utilizado principalmente como retardante de llamas), dentro del plazo de validez de la exención específica. La validez de la exención específica concluirá a los 5 años contados a partir de que se haga efectiva la enmienda en Chi</w:t>
      </w:r>
      <w:r w:rsidR="00032FF7" w:rsidRPr="00EB5B1D">
        <w:rPr>
          <w:szCs w:val="22"/>
          <w:lang w:val="es-ES"/>
        </w:rPr>
        <w:t>na (el 25 de diciembre de 2021);</w:t>
      </w:r>
    </w:p>
    <w:p w:rsidR="00E839E9" w:rsidRPr="00EB5B1D" w:rsidRDefault="00E839E9" w:rsidP="00546545">
      <w:pPr>
        <w:pStyle w:val="ListParagraph"/>
        <w:widowControl w:val="0"/>
        <w:numPr>
          <w:ilvl w:val="0"/>
          <w:numId w:val="17"/>
        </w:numPr>
        <w:autoSpaceDE w:val="0"/>
        <w:autoSpaceDN w:val="0"/>
        <w:adjustRightInd w:val="0"/>
        <w:snapToGrid w:val="0"/>
        <w:spacing w:after="60"/>
        <w:contextualSpacing w:val="0"/>
        <w:rPr>
          <w:szCs w:val="22"/>
          <w:lang w:val="es-ES"/>
        </w:rPr>
      </w:pPr>
      <w:r w:rsidRPr="00EB5B1D">
        <w:rPr>
          <w:szCs w:val="22"/>
          <w:lang w:val="es-ES"/>
        </w:rPr>
        <w:t>Se permitirá la producción, utilización, importación y exportación de hexabromociclododecano para la investigación a escala de laboratorio o como norma de referencia.</w:t>
      </w:r>
    </w:p>
    <w:p w:rsidR="00032FF7"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Uso o usos que siguen autorizados: </w:t>
      </w:r>
    </w:p>
    <w:p w:rsidR="00E839E9" w:rsidRPr="00EB5B1D" w:rsidRDefault="00E839E9" w:rsidP="00546545">
      <w:pPr>
        <w:pStyle w:val="ListParagraph"/>
        <w:widowControl w:val="0"/>
        <w:numPr>
          <w:ilvl w:val="0"/>
          <w:numId w:val="18"/>
        </w:numPr>
        <w:autoSpaceDE w:val="0"/>
        <w:autoSpaceDN w:val="0"/>
        <w:adjustRightInd w:val="0"/>
        <w:snapToGrid w:val="0"/>
        <w:spacing w:after="60"/>
        <w:contextualSpacing w:val="0"/>
        <w:rPr>
          <w:szCs w:val="22"/>
          <w:lang w:val="es-ES"/>
        </w:rPr>
      </w:pPr>
      <w:r w:rsidRPr="00EB5B1D">
        <w:rPr>
          <w:szCs w:val="22"/>
          <w:lang w:val="es-ES"/>
        </w:rPr>
        <w:t>Poliestireno expandido y poliestireno extrudido en edificios (utilizado principalm</w:t>
      </w:r>
      <w:r w:rsidR="00032FF7" w:rsidRPr="00EB5B1D">
        <w:rPr>
          <w:szCs w:val="22"/>
          <w:lang w:val="es-ES"/>
        </w:rPr>
        <w:t>ente como retardante de llamas);</w:t>
      </w:r>
    </w:p>
    <w:p w:rsidR="00E839E9" w:rsidRPr="00EB5B1D" w:rsidRDefault="00E839E9" w:rsidP="00546545">
      <w:pPr>
        <w:pStyle w:val="ListParagraph"/>
        <w:widowControl w:val="0"/>
        <w:numPr>
          <w:ilvl w:val="0"/>
          <w:numId w:val="18"/>
        </w:numPr>
        <w:autoSpaceDE w:val="0"/>
        <w:autoSpaceDN w:val="0"/>
        <w:adjustRightInd w:val="0"/>
        <w:snapToGrid w:val="0"/>
        <w:spacing w:after="60"/>
        <w:contextualSpacing w:val="0"/>
        <w:rPr>
          <w:szCs w:val="22"/>
          <w:lang w:val="es-ES"/>
        </w:rPr>
      </w:pPr>
      <w:r w:rsidRPr="00EB5B1D">
        <w:rPr>
          <w:szCs w:val="22"/>
          <w:lang w:val="es-ES"/>
        </w:rPr>
        <w:t>Para la investigación a escala de laboratorio o como norma de referencia.</w:t>
      </w:r>
    </w:p>
    <w:p w:rsidR="00E839E9" w:rsidRPr="00EB5B1D" w:rsidRDefault="00E839E9" w:rsidP="00FD2F13">
      <w:pPr>
        <w:widowControl w:val="0"/>
        <w:autoSpaceDE w:val="0"/>
        <w:autoSpaceDN w:val="0"/>
        <w:adjustRightInd w:val="0"/>
        <w:snapToGrid w:val="0"/>
        <w:spacing w:after="60"/>
        <w:rPr>
          <w:szCs w:val="22"/>
          <w:lang w:val="es-ES"/>
        </w:rPr>
      </w:pPr>
      <w:r w:rsidRPr="00EB5B1D">
        <w:rPr>
          <w:b/>
          <w:i/>
          <w:szCs w:val="22"/>
          <w:lang w:val="es-ES"/>
        </w:rPr>
        <w:t xml:space="preserve">La medida reglamentaria firme se tomó sobre la base de una evaluación de riesgos o peligros: </w:t>
      </w:r>
      <w:r w:rsidRPr="00EB5B1D">
        <w:rPr>
          <w:szCs w:val="22"/>
          <w:lang w:val="es-ES"/>
        </w:rPr>
        <w:t>No</w:t>
      </w:r>
    </w:p>
    <w:p w:rsidR="00E839E9" w:rsidRPr="00EB5B1D" w:rsidRDefault="00E839E9" w:rsidP="00FD2F13">
      <w:pPr>
        <w:widowControl w:val="0"/>
        <w:autoSpaceDE w:val="0"/>
        <w:autoSpaceDN w:val="0"/>
        <w:adjustRightInd w:val="0"/>
        <w:snapToGrid w:val="0"/>
        <w:spacing w:after="60"/>
        <w:rPr>
          <w:szCs w:val="22"/>
          <w:lang w:val="es-ES"/>
        </w:rPr>
      </w:pPr>
      <w:r w:rsidRPr="00EB5B1D">
        <w:rPr>
          <w:b/>
          <w:i/>
          <w:szCs w:val="22"/>
          <w:lang w:val="fr-CH"/>
        </w:rPr>
        <w:t xml:space="preserve">Resumen de la medida reglamentaria firme: </w:t>
      </w:r>
      <w:r w:rsidRPr="00EB5B1D">
        <w:rPr>
          <w:szCs w:val="22"/>
          <w:lang w:val="es-ES"/>
        </w:rPr>
        <w:t>Desde el 26 de diciembre de 2016 se ha prohibido la producción, utilización, importación y exportación de hexabromociclododecano en China, excepto para las exenciones específicas.</w:t>
      </w:r>
    </w:p>
    <w:p w:rsidR="00E839E9" w:rsidRPr="00EB5B1D" w:rsidRDefault="00E839E9" w:rsidP="00FD2F13">
      <w:pPr>
        <w:widowControl w:val="0"/>
        <w:autoSpaceDE w:val="0"/>
        <w:autoSpaceDN w:val="0"/>
        <w:adjustRightInd w:val="0"/>
        <w:snapToGrid w:val="0"/>
        <w:spacing w:after="60"/>
        <w:rPr>
          <w:szCs w:val="22"/>
          <w:lang w:val="es-ES"/>
        </w:rPr>
      </w:pPr>
      <w:r w:rsidRPr="00EB5B1D">
        <w:rPr>
          <w:b/>
          <w:i/>
          <w:szCs w:val="22"/>
          <w:lang w:val="es-ES"/>
        </w:rPr>
        <w:t xml:space="preserve">Fecha de entrada en vigor de la medida reglamentaria firme: </w:t>
      </w:r>
      <w:r w:rsidRPr="00EB5B1D">
        <w:rPr>
          <w:szCs w:val="22"/>
          <w:lang w:val="es-ES"/>
        </w:rPr>
        <w:t>26/12/2016</w:t>
      </w:r>
    </w:p>
    <w:p w:rsidR="00E839E9" w:rsidRPr="00EB5B1D" w:rsidRDefault="00E839E9" w:rsidP="00FD2F13">
      <w:pPr>
        <w:widowControl w:val="0"/>
        <w:pBdr>
          <w:bottom w:val="single" w:sz="4" w:space="1" w:color="auto"/>
        </w:pBdr>
        <w:autoSpaceDE w:val="0"/>
        <w:autoSpaceDN w:val="0"/>
        <w:adjustRightInd w:val="0"/>
        <w:snapToGrid w:val="0"/>
        <w:spacing w:after="60"/>
        <w:rPr>
          <w:szCs w:val="22"/>
          <w:lang w:val="fr-CH"/>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China</w:t>
      </w:r>
    </w:p>
    <w:p w:rsidR="00CA368A" w:rsidRPr="00EB5B1D" w:rsidRDefault="00663362" w:rsidP="00CA368A">
      <w:pPr>
        <w:widowControl w:val="0"/>
        <w:autoSpaceDE w:val="0"/>
        <w:autoSpaceDN w:val="0"/>
        <w:adjustRightInd w:val="0"/>
        <w:snapToGrid w:val="0"/>
        <w:spacing w:after="60"/>
        <w:rPr>
          <w:b/>
          <w:i/>
          <w:szCs w:val="22"/>
          <w:lang w:val="fr-CH"/>
        </w:rPr>
      </w:pPr>
      <w:r w:rsidRPr="00EB5B1D">
        <w:rPr>
          <w:b/>
          <w:i/>
          <w:szCs w:val="22"/>
          <w:lang w:val="fr-CH"/>
        </w:rPr>
        <w:t>Nombre común:</w:t>
      </w:r>
      <w:r w:rsidR="00CA368A" w:rsidRPr="00EB5B1D">
        <w:rPr>
          <w:b/>
          <w:i/>
          <w:szCs w:val="22"/>
          <w:lang w:val="fr-CH"/>
        </w:rPr>
        <w:t xml:space="preserve"> </w:t>
      </w:r>
      <w:r w:rsidR="00CA368A" w:rsidRPr="00EB5B1D">
        <w:rPr>
          <w:szCs w:val="22"/>
          <w:lang w:val="fr-CH"/>
        </w:rPr>
        <w:t>Lindano</w:t>
      </w:r>
      <w:r w:rsidR="00CA368A" w:rsidRPr="00EB5B1D">
        <w:rPr>
          <w:szCs w:val="22"/>
          <w:lang w:val="fr-CH"/>
        </w:rPr>
        <w:tab/>
      </w:r>
      <w:r w:rsidR="00CA368A" w:rsidRPr="00EB5B1D">
        <w:rPr>
          <w:b/>
          <w:i/>
          <w:szCs w:val="22"/>
          <w:lang w:val="fr-CH"/>
        </w:rPr>
        <w:tab/>
      </w:r>
      <w:r w:rsidR="00CA368A" w:rsidRPr="00EB5B1D">
        <w:rPr>
          <w:b/>
          <w:i/>
          <w:szCs w:val="22"/>
          <w:lang w:val="fr-CH"/>
        </w:rPr>
        <w:tab/>
      </w:r>
      <w:r w:rsidR="00CA368A" w:rsidRPr="00EB5B1D">
        <w:rPr>
          <w:b/>
          <w:i/>
          <w:szCs w:val="22"/>
          <w:lang w:val="fr-CH"/>
        </w:rPr>
        <w:tab/>
      </w:r>
      <w:r w:rsidR="00CA368A" w:rsidRPr="00EB5B1D">
        <w:rPr>
          <w:b/>
          <w:i/>
          <w:szCs w:val="22"/>
          <w:lang w:val="fr-CH"/>
        </w:rPr>
        <w:tab/>
      </w:r>
      <w:r w:rsidR="00CA368A" w:rsidRPr="00EB5B1D">
        <w:rPr>
          <w:b/>
          <w:i/>
          <w:szCs w:val="22"/>
          <w:lang w:val="fr-CH"/>
        </w:rPr>
        <w:tab/>
      </w:r>
      <w:r w:rsidRPr="00EB5B1D">
        <w:rPr>
          <w:b/>
          <w:i/>
          <w:szCs w:val="22"/>
          <w:lang w:val="fr-CH"/>
        </w:rPr>
        <w:t>Número de CAS:</w:t>
      </w:r>
      <w:r w:rsidR="00CA368A" w:rsidRPr="00EB5B1D">
        <w:rPr>
          <w:b/>
          <w:i/>
          <w:szCs w:val="22"/>
          <w:lang w:val="fr-CH"/>
        </w:rPr>
        <w:t xml:space="preserve"> </w:t>
      </w:r>
      <w:r w:rsidR="00CA368A" w:rsidRPr="00EB5B1D">
        <w:rPr>
          <w:szCs w:val="22"/>
          <w:lang w:val="fr-CH"/>
        </w:rPr>
        <w:t>58-89-9</w:t>
      </w:r>
    </w:p>
    <w:p w:rsidR="00E839E9" w:rsidRPr="00EB5B1D" w:rsidRDefault="00E839E9" w:rsidP="00703DBB">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00586F79" w:rsidRPr="00EB5B1D">
        <w:rPr>
          <w:szCs w:val="22"/>
          <w:lang w:val="fr-CH"/>
        </w:rPr>
        <w:t>Isómero gamma de 1</w:t>
      </w:r>
      <w:proofErr w:type="gramStart"/>
      <w:r w:rsidR="00586F79" w:rsidRPr="00EB5B1D">
        <w:rPr>
          <w:szCs w:val="22"/>
          <w:lang w:val="fr-CH"/>
        </w:rPr>
        <w:t>,2,3,4,5,6</w:t>
      </w:r>
      <w:proofErr w:type="gramEnd"/>
      <w:r w:rsidR="00586F79" w:rsidRPr="00EB5B1D">
        <w:rPr>
          <w:szCs w:val="22"/>
          <w:lang w:val="fr-CH"/>
        </w:rPr>
        <w:t>-hexaclorociclohexano, 1-alfa, 2-alfa, 3-beta, 4-alfa, 5-alfa, 6-beta hexaclorociclohexano</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Medida reglamentaria firme que se ha tomado para la categoría: </w:t>
      </w:r>
      <w:r w:rsidRPr="00EB5B1D">
        <w:rPr>
          <w:szCs w:val="22"/>
          <w:lang w:val="fr-CH"/>
        </w:rPr>
        <w:t>Plaguicida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rigurosamente restringido</w:t>
      </w:r>
      <w:r w:rsidR="00CA368A" w:rsidRPr="00EB5B1D">
        <w:rPr>
          <w:szCs w:val="22"/>
          <w:lang w:val="fr-CH"/>
        </w:rPr>
        <w:t>.</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La producción, comercio, uso, importación y exportación de Lindano han sido prohibidos en China excepto para un propósito aceptable o una exención específica.</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Uso o usos que siguen autorizados: </w:t>
      </w:r>
      <w:r w:rsidRPr="00EB5B1D">
        <w:rPr>
          <w:szCs w:val="22"/>
          <w:lang w:val="es-ES_tradnl"/>
        </w:rPr>
        <w:t>La producción y uso de lindano para el control de los piojos de la cabeza y la sarna sólo como producto farmacéutico para la salud humana.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La medida reglamentaria firme se tomó sobre la base de una evaluación de riesgos o peligros: </w:t>
      </w:r>
      <w:r w:rsidRPr="00EB5B1D">
        <w:rPr>
          <w:szCs w:val="22"/>
          <w:lang w:val="fr-CH"/>
        </w:rPr>
        <w:t>Si</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Desde el 26 de marzo de 2014, la producción, comercio, uso, importación y exportación de Lindano han sido prohibidos en China excepto para un propósito aceptable o una exención específica.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El motivo por el que se adoptó la medida reglamentaria firme guarda relación con: </w:t>
      </w:r>
      <w:r w:rsidRPr="00EB5B1D">
        <w:rPr>
          <w:szCs w:val="22"/>
          <w:lang w:val="fr-CH"/>
        </w:rPr>
        <w:t>La salud humana y el medio ambiente</w:t>
      </w:r>
      <w:r w:rsidR="00CA368A" w:rsidRPr="00EB5B1D">
        <w:rPr>
          <w:szCs w:val="22"/>
          <w:lang w:val="fr-CH"/>
        </w:rPr>
        <w:t>.</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Los informes de evaluación de riesgos publicados sobre el lindano indican que el lindano es persistente, bioacumulativo y tóxico. El lindano se ha encontrado en muestras ambientales en todo el mundo, así como en sangre humana, leche materna humana y tejido adiposo humano en diferentes poblaciones estudiadas, especialmente en las comunidades árticas que dependen de alimentos de subsistencia.</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szCs w:val="22"/>
          <w:lang w:val="es-ES_tradnl"/>
        </w:rPr>
        <w:t>A altas dosis, el lindano ha demostrado ser neurotóxico, hepatotóxico, inmunotóxico y tener efectos reproductivos en animales de laboratorio. Los datos de intoxicación aguda humana muestran que el lindano puede causar graves efectos neurológicos, y los datos sobre cronicidad sugieren posibles efectos hematológicos. La Agencia Internacional para la Investigación del Cáncer (IARC) ha clasificado el lindano como posible carcinógeno para los seres humanos.</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Proteger salud humana y el medio ambiente</w:t>
      </w:r>
      <w:r w:rsidR="00CA368A" w:rsidRPr="00EB5B1D">
        <w:rPr>
          <w:szCs w:val="22"/>
          <w:lang w:val="es-ES_tradnl"/>
        </w:rPr>
        <w:t>.</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szCs w:val="22"/>
          <w:lang w:val="es-ES_tradnl"/>
        </w:rPr>
        <w:t>Se espera que la implementación de medidas de control reduzca los riesgos de la exposición del hombre y del medio ambiente al lindano, especialmente en el Ártico donde el lindano se acumula fácilmente en la vida silvestre y donde las comunidades dependen de alimentos de subsistencia.</w:t>
      </w:r>
    </w:p>
    <w:p w:rsidR="00E839E9" w:rsidRPr="00EB5B1D" w:rsidRDefault="00E839E9" w:rsidP="00FD2F13">
      <w:pPr>
        <w:widowControl w:val="0"/>
        <w:shd w:val="clear" w:color="auto" w:fill="FFFFFF"/>
        <w:autoSpaceDE w:val="0"/>
        <w:autoSpaceDN w:val="0"/>
        <w:adjustRightInd w:val="0"/>
        <w:snapToGrid w:val="0"/>
        <w:spacing w:after="60"/>
        <w:jc w:val="both"/>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Una vez liberado en el medio ambiente, el lindano se puede disolver en todos los medios ambientales. La hidrólisis y la fotólisis no se consideran vías importantes de degradación y las muertes reportadas en aire, agua y suelo son: 2,3 días, 3-300 días y hasta 2 a 3 años, respectivamente. También se ha estimado una vida media de 96 días en el aire.</w:t>
      </w:r>
    </w:p>
    <w:p w:rsidR="00E839E9" w:rsidRPr="00EB5B1D" w:rsidRDefault="00E839E9" w:rsidP="00FD2F13">
      <w:pPr>
        <w:widowControl w:val="0"/>
        <w:shd w:val="clear" w:color="auto" w:fill="FFFFFF"/>
        <w:autoSpaceDE w:val="0"/>
        <w:autoSpaceDN w:val="0"/>
        <w:adjustRightInd w:val="0"/>
        <w:snapToGrid w:val="0"/>
        <w:spacing w:after="60"/>
        <w:jc w:val="both"/>
        <w:rPr>
          <w:szCs w:val="22"/>
          <w:lang w:val="es-ES_tradnl"/>
        </w:rPr>
      </w:pPr>
      <w:r w:rsidRPr="00EB5B1D">
        <w:rPr>
          <w:szCs w:val="22"/>
          <w:lang w:val="es-ES_tradnl"/>
        </w:rPr>
        <w:t>El lindano se puede bioacumular fácilmente en la cadena alimentaria debido a su alta solubilidad lipídica y se puede bioconcentrar rápidamente en microorganismos, invertebrados, peces, aves y mamíferos. Los factores de bioconcentración en los organismos acuáticos en condiciones de laboratorio oscilaron entre aproximadamente 10 y 4220 en las condiciones de campo, los factores de bioconcentración oscilaron entre 10 y 2600. Aunque el lindano se puede bioconcentrar rápidamente, la bio-transformación, depuración y eliminación son también relativamente rápidas, una vez terminada la exposición.</w:t>
      </w:r>
    </w:p>
    <w:p w:rsidR="00E839E9" w:rsidRPr="00EB5B1D" w:rsidRDefault="00E839E9" w:rsidP="00FD2F13">
      <w:pPr>
        <w:widowControl w:val="0"/>
        <w:shd w:val="clear" w:color="auto" w:fill="FFFFFF"/>
        <w:autoSpaceDE w:val="0"/>
        <w:autoSpaceDN w:val="0"/>
        <w:adjustRightInd w:val="0"/>
        <w:snapToGrid w:val="0"/>
        <w:spacing w:after="60"/>
        <w:jc w:val="both"/>
        <w:rPr>
          <w:szCs w:val="22"/>
          <w:lang w:val="es-ES_tradnl"/>
        </w:rPr>
      </w:pPr>
      <w:r w:rsidRPr="00EB5B1D">
        <w:rPr>
          <w:szCs w:val="22"/>
          <w:lang w:val="es-ES_tradnl"/>
        </w:rPr>
        <w:t>Muchos estudios han reportado residuos de lindano en Norteamérica, el Ártico, el sur de Asia, el Pacífico Occidental y la Antártida. Los isómeros de HCH, incluido el lindano, son los contaminantes organoclorados más abundantes y persistentes en el Ártico donde no se han utilizado, señalando evidencia de su transporte a largo alcance.</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szCs w:val="22"/>
          <w:lang w:val="es-ES_tradnl"/>
        </w:rPr>
        <w:t>La hipótesis de que la isomerización de gamma HCH a alfa HCH en el aire surgió como una posible explicación de los porcentajes, en el Ártico de alfa HCH /gamma HCH, superiores a lo esperado. Sin embargo, hasta la fecha no se ha producido ninguna prueba experimental concluyente de la isomerización en el aire. Además, aunque hay pruebas de que la bioisomerización del lindano puede tener lugar a través de la degradación biológica, parece que este proceso puede desempeñar un papel insignificante en la degradación general del gamma-HCH.</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szCs w:val="22"/>
          <w:lang w:val="es-ES_tradnl"/>
        </w:rPr>
        <w:t>El lindano se puede encontrar en todas las partes del medio ambiente, y los niveles en aire, agua, sedimentos del suelo, organismos acuáticos y terrestres y alimentos se han medido en todo el mundo. Por lo tanto, los seres humanos están expuestos al lindano como demuestran los niveles detectados en sangre humana, tejido adiposo humano y leche materna en diferentes estudios en diversos países. La exposición de los niños y las mujeres embarazadas al lindano es una preocupación particular.</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szCs w:val="22"/>
          <w:lang w:val="es-ES_tradnl"/>
        </w:rPr>
        <w:t xml:space="preserve">Se han reportado efectos hepatotóxicos, inmunotóxicos, reproductivos y de desarrollo para el lindano en animales de laboratorio. La EPA de los Estados Unidos ha clasificado el lindano en la categoría de "Evidencia sugestiva de carcinogenicidad, pero no suficiente para evaluar el potencial carcinogénico humano". El lindano es altamente tóxico para </w:t>
      </w:r>
      <w:proofErr w:type="gramStart"/>
      <w:r w:rsidRPr="00EB5B1D">
        <w:rPr>
          <w:szCs w:val="22"/>
          <w:lang w:val="es-ES_tradnl"/>
        </w:rPr>
        <w:t>los organismos acuáticos y moderadamente tóxico</w:t>
      </w:r>
      <w:proofErr w:type="gramEnd"/>
      <w:r w:rsidRPr="00EB5B1D">
        <w:rPr>
          <w:szCs w:val="22"/>
          <w:lang w:val="es-ES_tradnl"/>
        </w:rPr>
        <w:t xml:space="preserve"> para las aves y los mamíferos después de una exposición aguda. Los efectos crónicos en aves y mamíferos medidos mediante estudios de reproducción muestran efectos adversos a niveles bajos tales como la reducción de la producción de huevos, el crecimiento y los parámetros de supervivencia en aves y la disminución del peso corporal en mamíferos, con algunos efectos indicativos de alteración endocrina.</w:t>
      </w:r>
    </w:p>
    <w:p w:rsidR="00E839E9" w:rsidRPr="00EB5B1D" w:rsidRDefault="00E839E9" w:rsidP="00FD2F13">
      <w:pPr>
        <w:widowControl w:val="0"/>
        <w:shd w:val="clear" w:color="auto" w:fill="FFFFFF"/>
        <w:autoSpaceDE w:val="0"/>
        <w:autoSpaceDN w:val="0"/>
        <w:adjustRightInd w:val="0"/>
        <w:snapToGrid w:val="0"/>
        <w:spacing w:after="60"/>
        <w:rPr>
          <w:szCs w:val="22"/>
          <w:lang w:val="es-ES_tradnl"/>
        </w:rPr>
      </w:pPr>
      <w:r w:rsidRPr="00EB5B1D">
        <w:rPr>
          <w:szCs w:val="22"/>
          <w:lang w:val="es-ES_tradnl"/>
        </w:rPr>
        <w:t>Estos hallazgos y la evidencia de su transporte de largo alcance, así como el hecho de que el lindano es actualmente objeto de iniciativas de acción locales y globales, que también incluyen procedimientos de análisis y selección, deberían ser suficientes para justificar una acción global bajo el Convenio de Estocolmo.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Fecha </w:t>
      </w:r>
      <w:proofErr w:type="gramStart"/>
      <w:r w:rsidRPr="00EB5B1D">
        <w:rPr>
          <w:b/>
          <w:i/>
          <w:szCs w:val="22"/>
          <w:lang w:val="fr-CH"/>
        </w:rPr>
        <w:t>de entrada</w:t>
      </w:r>
      <w:proofErr w:type="gramEnd"/>
      <w:r w:rsidRPr="00EB5B1D">
        <w:rPr>
          <w:b/>
          <w:i/>
          <w:szCs w:val="22"/>
          <w:lang w:val="fr-CH"/>
        </w:rPr>
        <w:t xml:space="preserve"> en vigor de la medida reglamentaria firme: </w:t>
      </w:r>
      <w:r w:rsidRPr="00EB5B1D">
        <w:rPr>
          <w:szCs w:val="22"/>
          <w:lang w:val="fr-CH"/>
        </w:rPr>
        <w:t>26/03/2014</w:t>
      </w:r>
    </w:p>
    <w:p w:rsidR="00E839E9" w:rsidRPr="00EB5B1D" w:rsidRDefault="00E839E9" w:rsidP="00FD2F13">
      <w:pPr>
        <w:widowControl w:val="0"/>
        <w:pBdr>
          <w:bottom w:val="single" w:sz="4" w:space="1" w:color="auto"/>
        </w:pBdr>
        <w:autoSpaceDE w:val="0"/>
        <w:autoSpaceDN w:val="0"/>
        <w:adjustRightInd w:val="0"/>
        <w:snapToGrid w:val="0"/>
        <w:spacing w:after="60"/>
        <w:rPr>
          <w:szCs w:val="22"/>
          <w:lang w:val="fr-CH"/>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China</w:t>
      </w:r>
    </w:p>
    <w:p w:rsidR="00CA368A"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Nombre común:</w:t>
      </w:r>
      <w:r w:rsidR="00CA368A" w:rsidRPr="00EB5B1D">
        <w:rPr>
          <w:b/>
          <w:i/>
          <w:szCs w:val="22"/>
          <w:lang w:val="fr-CH"/>
        </w:rPr>
        <w:t xml:space="preserve"> </w:t>
      </w:r>
      <w:r w:rsidR="00CA368A" w:rsidRPr="00EB5B1D">
        <w:rPr>
          <w:szCs w:val="22"/>
          <w:lang w:val="fr-CH"/>
        </w:rPr>
        <w:t>Pentaclorobenceno</w:t>
      </w:r>
      <w:r w:rsidR="00CA368A" w:rsidRPr="00EB5B1D">
        <w:rPr>
          <w:b/>
          <w:i/>
          <w:szCs w:val="22"/>
          <w:lang w:val="fr-CH"/>
        </w:rPr>
        <w:tab/>
      </w:r>
      <w:r w:rsidR="00CA368A" w:rsidRPr="00EB5B1D">
        <w:rPr>
          <w:b/>
          <w:i/>
          <w:szCs w:val="22"/>
          <w:lang w:val="fr-CH"/>
        </w:rPr>
        <w:tab/>
      </w:r>
      <w:r w:rsidR="00CA368A" w:rsidRPr="00EB5B1D">
        <w:rPr>
          <w:b/>
          <w:i/>
          <w:szCs w:val="22"/>
          <w:lang w:val="fr-CH"/>
        </w:rPr>
        <w:tab/>
      </w:r>
      <w:r w:rsidR="00CA368A" w:rsidRPr="00EB5B1D">
        <w:rPr>
          <w:b/>
          <w:i/>
          <w:szCs w:val="22"/>
          <w:lang w:val="fr-CH"/>
        </w:rPr>
        <w:tab/>
      </w:r>
      <w:r w:rsidRPr="00EB5B1D">
        <w:rPr>
          <w:b/>
          <w:i/>
          <w:szCs w:val="22"/>
          <w:lang w:val="fr-CH"/>
        </w:rPr>
        <w:tab/>
        <w:t>Número de CAS:</w:t>
      </w:r>
      <w:r w:rsidR="00CA368A" w:rsidRPr="00EB5B1D">
        <w:rPr>
          <w:b/>
          <w:i/>
          <w:szCs w:val="22"/>
          <w:lang w:val="fr-CH"/>
        </w:rPr>
        <w:t xml:space="preserve"> </w:t>
      </w:r>
      <w:r w:rsidR="00CA368A" w:rsidRPr="00EB5B1D">
        <w:rPr>
          <w:szCs w:val="22"/>
          <w:lang w:val="fr-CH"/>
        </w:rPr>
        <w:t>608-93-5</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Pr="00EB5B1D">
        <w:rPr>
          <w:szCs w:val="22"/>
          <w:lang w:val="fr-CH"/>
        </w:rPr>
        <w:t>1</w:t>
      </w:r>
      <w:proofErr w:type="gramStart"/>
      <w:r w:rsidRPr="00EB5B1D">
        <w:rPr>
          <w:szCs w:val="22"/>
          <w:lang w:val="fr-CH"/>
        </w:rPr>
        <w:t>,2,3,4,5</w:t>
      </w:r>
      <w:proofErr w:type="gramEnd"/>
      <w:r w:rsidRPr="00EB5B1D">
        <w:rPr>
          <w:szCs w:val="22"/>
          <w:lang w:val="fr-CH"/>
        </w:rPr>
        <w:t>-pentaclorobenceno</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Medida reglamentaria firme que se ha tomado para la categoría: </w:t>
      </w:r>
      <w:r w:rsidRPr="00EB5B1D">
        <w:rPr>
          <w:szCs w:val="22"/>
          <w:lang w:val="fr-CH"/>
        </w:rPr>
        <w:t>Plaguicida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CA368A"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La producción, el comercio, el uso, la importación y la exportación del pentaclorobenceno han sido prohibidos en China, excepto para un propósito aceptable o una exención específica.</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Pr="00EB5B1D">
        <w:rPr>
          <w:szCs w:val="22"/>
          <w:lang w:val="es-ES_tradnl"/>
        </w:rPr>
        <w:t>Ninguno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La medida reglamentaria firme se tomó sobre la base de una evaluación de riesgos o peligros: </w:t>
      </w:r>
      <w:r w:rsidRPr="00EB5B1D">
        <w:rPr>
          <w:szCs w:val="22"/>
          <w:lang w:val="fr-CH"/>
        </w:rPr>
        <w:t>Si</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Desde el 26 de marzo 2014, la producción, el comercio, el uso, la importación y la exportación del pentaclorobenceno han sido prohibidos en China, excepto para un propósito aceptable o una exención específica.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El motivo por el que se adoptó la medida reglamentaria firme guarda relación con: </w:t>
      </w:r>
      <w:r w:rsidRPr="00EB5B1D">
        <w:rPr>
          <w:szCs w:val="22"/>
          <w:lang w:val="fr-CH"/>
        </w:rPr>
        <w:t>La salud humana y el medio ambiente</w:t>
      </w:r>
      <w:r w:rsidR="00CA368A"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No se han identificado informes de casos de efectos adversos para las personas ni sobre estudios epidemiológicos de poblaciones expuestas a PeCB. La única mención de riesgo para el pentaclorobenceno como R 22, se encuentra en la base de datos europea ESIS, es nocivo si se ingiere. La DL50 más baja observada para la exposición aguda fue de 250 mg/kg de peso corporal. Las pruebas repetidas de toxicidad en mamíferos dan como resultado evidencia de toxicidad hepática, nefrítica, hematológica y para el desarrollo, para este producto químico. De conformidad con el American Hazardous Substances Data Bank, el pentaclorobenceno no es clasificable en cuanto a la carcinogenicidad  para los seres humanos porque no hay datos disponibles para los seres humanos ni para los animales. PeCB es moderadamente tóxico para los seres humanos; muy tóxico para los organismos acuáticos y puede provocar efectos adversos a largo plazo en el medio ambiente acuático. Los datos sobre el suelo y los organismos sedimentarios son limitados o inexistentes.</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Proteger la salud humana y el medio ambiente.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El pentaclorobenceno es un compuesto órgano clorado. Según los datos disponibles, el pentaclorobenceno debe considerarse persistente dado su considerable periodo de vida media sea estimada que experimentada en la atmósfera, los sedimentos del suelo y en el agua. La persistencia en el ambiente depende del porcentaje de foto-oxidación, de la presencia de oxígeno y de materia orgánica. El pentaclorobenceno cumple con los criterios de bioacumulación. Los valores del FBC para el pentaclorobenceno oscilan entre 1085 - 23 000 L/kg para los peces, 833-4 300 L/ kg para los moluscos y 577 - 2258 L/kg para los crustáceos. Puede esperarse biomagnificación debido al alto valor del coeficiente log Kow y al hecho de que su biotransformación es insignificante. Sin embargo, no existen datos sobre la biomagnificación del pentaclorobenceno.</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 xml:space="preserve">Los datos disponibles respaldan el potencial de transporte a largo plazo del pentaclorobenceno. Las características físicas y químicas están dentro del alcance de los otros POP. Las estimaciones del modelo sobre la distancia de transporte resultaron en distancias de 8.000 km, mientras que las estimaciones basadas en mediciones del aire sugirieron 13.338km. Los datos de monitoreo también indicaron que el PeCB está sujeto a un transporte de largo alcance. El PeCB se detectó en el aire y en </w:t>
      </w:r>
      <w:proofErr w:type="gramStart"/>
      <w:r w:rsidRPr="00EB5B1D">
        <w:rPr>
          <w:szCs w:val="22"/>
          <w:lang w:val="es-ES_tradnl"/>
        </w:rPr>
        <w:t>las precipitación</w:t>
      </w:r>
      <w:proofErr w:type="gramEnd"/>
      <w:r w:rsidRPr="00EB5B1D">
        <w:rPr>
          <w:szCs w:val="22"/>
          <w:lang w:val="es-ES_tradnl"/>
        </w:rPr>
        <w:t xml:space="preserve"> en varios lugares del mundo, estando muchos de ellos lejos de su origen.</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La pequeña variabilidad espacial a través del Hemisferio Norte observada en algunos estudios también indicó que el PeCB tiene un tiempo de residencia atmosférica muy largo, lo que le permite extenderse ampliamente a nivel mundial.</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Proteger la salud humana y el medio ambiente.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26/03/2017</w:t>
      </w:r>
    </w:p>
    <w:p w:rsidR="006F4865" w:rsidRPr="00EB5B1D" w:rsidRDefault="006F4865" w:rsidP="006F4865">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China</w:t>
      </w:r>
    </w:p>
    <w:p w:rsidR="006F4865" w:rsidRPr="00EB5B1D" w:rsidRDefault="00663362" w:rsidP="006F4865">
      <w:pPr>
        <w:widowControl w:val="0"/>
        <w:autoSpaceDE w:val="0"/>
        <w:autoSpaceDN w:val="0"/>
        <w:adjustRightInd w:val="0"/>
        <w:snapToGrid w:val="0"/>
        <w:spacing w:after="60"/>
        <w:rPr>
          <w:szCs w:val="22"/>
          <w:lang w:val="fr-CH"/>
        </w:rPr>
      </w:pPr>
      <w:r w:rsidRPr="00EB5B1D">
        <w:rPr>
          <w:b/>
          <w:i/>
          <w:szCs w:val="22"/>
          <w:lang w:val="fr-CH"/>
        </w:rPr>
        <w:t>Nombre común:</w:t>
      </w:r>
      <w:r w:rsidR="006F4865" w:rsidRPr="00EB5B1D">
        <w:rPr>
          <w:b/>
          <w:i/>
          <w:szCs w:val="22"/>
          <w:lang w:val="fr-CH"/>
        </w:rPr>
        <w:t xml:space="preserve"> </w:t>
      </w:r>
      <w:r w:rsidR="006F4865" w:rsidRPr="00EB5B1D">
        <w:rPr>
          <w:szCs w:val="22"/>
          <w:lang w:val="fr-CH"/>
        </w:rPr>
        <w:t xml:space="preserve">Sulfonato de perfluorooctano (PFOS), sus sales y </w:t>
      </w:r>
      <w:r w:rsidR="006F4865" w:rsidRPr="00EB5B1D">
        <w:rPr>
          <w:szCs w:val="22"/>
          <w:lang w:val="es-ES_tradnl"/>
        </w:rPr>
        <w:t>fluoruro de perfluorooctano sulfonilo (PFOSF)</w:t>
      </w:r>
    </w:p>
    <w:p w:rsidR="006F4865" w:rsidRPr="00EB5B1D" w:rsidRDefault="00663362" w:rsidP="006F4865">
      <w:pPr>
        <w:widowControl w:val="0"/>
        <w:autoSpaceDE w:val="0"/>
        <w:autoSpaceDN w:val="0"/>
        <w:adjustRightInd w:val="0"/>
        <w:snapToGrid w:val="0"/>
        <w:spacing w:after="60"/>
        <w:rPr>
          <w:b/>
          <w:i/>
          <w:szCs w:val="22"/>
          <w:lang w:val="fr-CH"/>
        </w:rPr>
      </w:pPr>
      <w:r w:rsidRPr="00EB5B1D">
        <w:rPr>
          <w:b/>
          <w:i/>
          <w:szCs w:val="22"/>
          <w:lang w:val="fr-CH"/>
        </w:rPr>
        <w:t>Número de CAS:</w:t>
      </w:r>
    </w:p>
    <w:p w:rsidR="006F4865" w:rsidRPr="00EB5B1D" w:rsidRDefault="006F4865" w:rsidP="00703DBB">
      <w:pPr>
        <w:pStyle w:val="ListParagraph"/>
        <w:widowControl w:val="0"/>
        <w:numPr>
          <w:ilvl w:val="0"/>
          <w:numId w:val="38"/>
        </w:numPr>
        <w:autoSpaceDE w:val="0"/>
        <w:autoSpaceDN w:val="0"/>
        <w:adjustRightInd w:val="0"/>
        <w:snapToGrid w:val="0"/>
        <w:spacing w:after="60"/>
        <w:contextualSpacing w:val="0"/>
        <w:rPr>
          <w:szCs w:val="22"/>
          <w:lang w:val="fr-FR"/>
        </w:rPr>
      </w:pPr>
      <w:r w:rsidRPr="00EB5B1D">
        <w:rPr>
          <w:szCs w:val="22"/>
          <w:lang w:val="fr-FR"/>
        </w:rPr>
        <w:t>Sal de potasio: 2795-39-3;</w:t>
      </w:r>
    </w:p>
    <w:p w:rsidR="006F4865" w:rsidRPr="00EB5B1D" w:rsidRDefault="006F4865" w:rsidP="00703DBB">
      <w:pPr>
        <w:pStyle w:val="ListParagraph"/>
        <w:widowControl w:val="0"/>
        <w:numPr>
          <w:ilvl w:val="0"/>
          <w:numId w:val="38"/>
        </w:numPr>
        <w:autoSpaceDE w:val="0"/>
        <w:autoSpaceDN w:val="0"/>
        <w:adjustRightInd w:val="0"/>
        <w:snapToGrid w:val="0"/>
        <w:spacing w:after="60"/>
        <w:contextualSpacing w:val="0"/>
        <w:rPr>
          <w:szCs w:val="22"/>
          <w:lang w:val="fr-FR"/>
        </w:rPr>
      </w:pPr>
      <w:r w:rsidRPr="00EB5B1D">
        <w:rPr>
          <w:szCs w:val="22"/>
          <w:lang w:val="fr-FR"/>
        </w:rPr>
        <w:t>Sal de dietanolamina: 70225-14-8;</w:t>
      </w:r>
    </w:p>
    <w:p w:rsidR="006F4865" w:rsidRPr="00EB5B1D" w:rsidRDefault="006F4865" w:rsidP="00703DBB">
      <w:pPr>
        <w:pStyle w:val="ListParagraph"/>
        <w:widowControl w:val="0"/>
        <w:numPr>
          <w:ilvl w:val="0"/>
          <w:numId w:val="38"/>
        </w:numPr>
        <w:autoSpaceDE w:val="0"/>
        <w:autoSpaceDN w:val="0"/>
        <w:adjustRightInd w:val="0"/>
        <w:snapToGrid w:val="0"/>
        <w:spacing w:after="60"/>
        <w:contextualSpacing w:val="0"/>
        <w:rPr>
          <w:szCs w:val="22"/>
          <w:lang w:val="fr-FR"/>
        </w:rPr>
      </w:pPr>
      <w:r w:rsidRPr="00EB5B1D">
        <w:rPr>
          <w:szCs w:val="22"/>
          <w:lang w:val="fr-FR"/>
        </w:rPr>
        <w:t>Sal de amonio: 29081-56-9;</w:t>
      </w:r>
    </w:p>
    <w:p w:rsidR="006F4865" w:rsidRPr="00EB5B1D" w:rsidRDefault="006F4865" w:rsidP="00703DBB">
      <w:pPr>
        <w:pStyle w:val="ListParagraph"/>
        <w:widowControl w:val="0"/>
        <w:numPr>
          <w:ilvl w:val="0"/>
          <w:numId w:val="38"/>
        </w:numPr>
        <w:autoSpaceDE w:val="0"/>
        <w:autoSpaceDN w:val="0"/>
        <w:adjustRightInd w:val="0"/>
        <w:snapToGrid w:val="0"/>
        <w:spacing w:after="60"/>
        <w:contextualSpacing w:val="0"/>
        <w:rPr>
          <w:szCs w:val="22"/>
          <w:lang w:val="fr-FR"/>
        </w:rPr>
      </w:pPr>
      <w:r w:rsidRPr="00EB5B1D">
        <w:rPr>
          <w:szCs w:val="22"/>
          <w:lang w:val="fr-FR"/>
        </w:rPr>
        <w:t>Sal de litio: 29457-72-5;</w:t>
      </w:r>
    </w:p>
    <w:p w:rsidR="006F4865" w:rsidRPr="00EB5B1D" w:rsidRDefault="006F4865" w:rsidP="006F4865">
      <w:pPr>
        <w:pStyle w:val="ListParagraph"/>
        <w:widowControl w:val="0"/>
        <w:numPr>
          <w:ilvl w:val="0"/>
          <w:numId w:val="38"/>
        </w:numPr>
        <w:autoSpaceDE w:val="0"/>
        <w:autoSpaceDN w:val="0"/>
        <w:adjustRightInd w:val="0"/>
        <w:snapToGrid w:val="0"/>
        <w:spacing w:after="60"/>
        <w:contextualSpacing w:val="0"/>
        <w:rPr>
          <w:szCs w:val="22"/>
          <w:lang w:val="fr-CH"/>
        </w:rPr>
      </w:pPr>
      <w:r w:rsidRPr="00EB5B1D">
        <w:rPr>
          <w:szCs w:val="22"/>
          <w:lang w:val="fr-FR"/>
        </w:rPr>
        <w:t>PFOSF: 307-35-7</w:t>
      </w:r>
    </w:p>
    <w:p w:rsidR="006F4865" w:rsidRPr="00EB5B1D" w:rsidRDefault="006F4865" w:rsidP="006F4865">
      <w:pPr>
        <w:widowControl w:val="0"/>
        <w:autoSpaceDE w:val="0"/>
        <w:autoSpaceDN w:val="0"/>
        <w:adjustRightInd w:val="0"/>
        <w:snapToGrid w:val="0"/>
        <w:spacing w:after="60"/>
        <w:rPr>
          <w:b/>
          <w:i/>
          <w:szCs w:val="22"/>
          <w:lang w:val="it-IT"/>
        </w:rPr>
      </w:pPr>
      <w:r w:rsidRPr="00EB5B1D">
        <w:rPr>
          <w:b/>
          <w:i/>
          <w:szCs w:val="22"/>
          <w:lang w:val="it-IT"/>
        </w:rPr>
        <w:t xml:space="preserve">Medida reglamentaria firme que se ha tomado para la categoría: </w:t>
      </w:r>
      <w:r w:rsidRPr="00EB5B1D">
        <w:rPr>
          <w:szCs w:val="22"/>
          <w:lang w:val="it-IT"/>
        </w:rPr>
        <w:t>Plaguicida</w:t>
      </w:r>
    </w:p>
    <w:p w:rsidR="006F4865" w:rsidRPr="00EB5B1D" w:rsidRDefault="006F4865" w:rsidP="006F4865">
      <w:pPr>
        <w:widowControl w:val="0"/>
        <w:autoSpaceDE w:val="0"/>
        <w:autoSpaceDN w:val="0"/>
        <w:adjustRightInd w:val="0"/>
        <w:snapToGrid w:val="0"/>
        <w:spacing w:after="60"/>
        <w:rPr>
          <w:szCs w:val="22"/>
          <w:lang w:val="it-IT"/>
        </w:rPr>
      </w:pPr>
      <w:r w:rsidRPr="00EB5B1D">
        <w:rPr>
          <w:b/>
          <w:i/>
          <w:szCs w:val="22"/>
          <w:lang w:val="it-IT"/>
        </w:rPr>
        <w:t xml:space="preserve">Medida reglamentaria firme: </w:t>
      </w:r>
      <w:r w:rsidRPr="00EB5B1D">
        <w:rPr>
          <w:szCs w:val="22"/>
          <w:lang w:val="it-IT"/>
        </w:rPr>
        <w:t>El producto químico está rigurosamente restringido</w:t>
      </w:r>
      <w:r w:rsidR="0027273A" w:rsidRPr="00EB5B1D">
        <w:rPr>
          <w:szCs w:val="22"/>
          <w:lang w:val="it-IT"/>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it-IT"/>
        </w:rPr>
        <w:t xml:space="preserve">Uso o usos prohibidos por la medida reglamentaria firme: </w:t>
      </w:r>
      <w:r w:rsidRPr="00EB5B1D">
        <w:rPr>
          <w:szCs w:val="22"/>
          <w:lang w:val="es-ES_tradnl"/>
        </w:rPr>
        <w:t>La producción, el comercio, el uso, la importación y la exportación de PFOS, sus sales y el PFOSF han sido prohibidos en China, excepto para un propósito aceptable o una exención específica</w:t>
      </w:r>
      <w:r w:rsidR="0027273A" w:rsidRPr="00EB5B1D">
        <w:rPr>
          <w:szCs w:val="22"/>
          <w:lang w:val="es-ES_tradnl"/>
        </w:rPr>
        <w:t>.</w:t>
      </w:r>
    </w:p>
    <w:p w:rsidR="006F4865" w:rsidRPr="00EB5B1D" w:rsidRDefault="006F4865" w:rsidP="006F4865">
      <w:pPr>
        <w:widowControl w:val="0"/>
        <w:autoSpaceDE w:val="0"/>
        <w:autoSpaceDN w:val="0"/>
        <w:adjustRightInd w:val="0"/>
        <w:snapToGrid w:val="0"/>
        <w:spacing w:after="60"/>
        <w:rPr>
          <w:b/>
          <w:i/>
          <w:szCs w:val="22"/>
          <w:lang w:val="fr-CH"/>
        </w:rPr>
      </w:pPr>
      <w:r w:rsidRPr="00EB5B1D">
        <w:rPr>
          <w:b/>
          <w:i/>
          <w:szCs w:val="22"/>
          <w:lang w:val="fr-CH"/>
        </w:rPr>
        <w:t xml:space="preserve">Uso o usos que siguen autorizados: </w:t>
      </w:r>
    </w:p>
    <w:p w:rsidR="006F4865" w:rsidRPr="00EB5B1D" w:rsidRDefault="006F4865" w:rsidP="006F4865">
      <w:pPr>
        <w:widowControl w:val="0"/>
        <w:autoSpaceDE w:val="0"/>
        <w:autoSpaceDN w:val="0"/>
        <w:adjustRightInd w:val="0"/>
        <w:snapToGrid w:val="0"/>
        <w:spacing w:after="60"/>
        <w:rPr>
          <w:szCs w:val="22"/>
          <w:u w:val="single"/>
          <w:lang w:val="es-ES_tradnl"/>
        </w:rPr>
      </w:pPr>
      <w:r w:rsidRPr="00EB5B1D">
        <w:rPr>
          <w:szCs w:val="22"/>
          <w:u w:val="single"/>
          <w:lang w:val="es-ES_tradnl"/>
        </w:rPr>
        <w:t>Exenciones especificas:</w:t>
      </w:r>
    </w:p>
    <w:p w:rsidR="006F4865" w:rsidRPr="00EB5B1D" w:rsidRDefault="006F4865" w:rsidP="006F4865">
      <w:pPr>
        <w:pStyle w:val="ListParagraph"/>
        <w:widowControl w:val="0"/>
        <w:numPr>
          <w:ilvl w:val="0"/>
          <w:numId w:val="15"/>
        </w:numPr>
        <w:autoSpaceDE w:val="0"/>
        <w:autoSpaceDN w:val="0"/>
        <w:adjustRightInd w:val="0"/>
        <w:snapToGrid w:val="0"/>
        <w:spacing w:after="60"/>
        <w:rPr>
          <w:szCs w:val="22"/>
          <w:lang w:val="es-ES_tradnl"/>
        </w:rPr>
      </w:pPr>
      <w:r w:rsidRPr="00EB5B1D">
        <w:rPr>
          <w:szCs w:val="22"/>
          <w:lang w:val="es-ES_tradnl"/>
        </w:rPr>
        <w:t>Máscaras de fotos en las industrias de semiconductores y pantallas de cristal líquido (LCD);</w:t>
      </w:r>
    </w:p>
    <w:p w:rsidR="006F4865" w:rsidRPr="00EB5B1D" w:rsidRDefault="006F4865" w:rsidP="006F4865">
      <w:pPr>
        <w:pStyle w:val="ListParagraph"/>
        <w:widowControl w:val="0"/>
        <w:numPr>
          <w:ilvl w:val="0"/>
          <w:numId w:val="15"/>
        </w:numPr>
        <w:autoSpaceDE w:val="0"/>
        <w:autoSpaceDN w:val="0"/>
        <w:adjustRightInd w:val="0"/>
        <w:snapToGrid w:val="0"/>
        <w:spacing w:after="60"/>
        <w:rPr>
          <w:szCs w:val="22"/>
          <w:lang w:val="es-ES_tradnl"/>
        </w:rPr>
      </w:pPr>
      <w:r w:rsidRPr="00EB5B1D">
        <w:rPr>
          <w:szCs w:val="22"/>
          <w:lang w:val="es-ES_tradnl"/>
        </w:rPr>
        <w:t>Chapado de metales (chapado de metales duros);</w:t>
      </w:r>
    </w:p>
    <w:p w:rsidR="006F4865" w:rsidRPr="00EB5B1D" w:rsidRDefault="006F4865" w:rsidP="006F4865">
      <w:pPr>
        <w:pStyle w:val="ListParagraph"/>
        <w:widowControl w:val="0"/>
        <w:numPr>
          <w:ilvl w:val="0"/>
          <w:numId w:val="15"/>
        </w:numPr>
        <w:autoSpaceDE w:val="0"/>
        <w:autoSpaceDN w:val="0"/>
        <w:adjustRightInd w:val="0"/>
        <w:snapToGrid w:val="0"/>
        <w:spacing w:after="60"/>
        <w:rPr>
          <w:szCs w:val="22"/>
          <w:lang w:val="es-ES_tradnl"/>
        </w:rPr>
      </w:pPr>
      <w:r w:rsidRPr="00EB5B1D">
        <w:rPr>
          <w:szCs w:val="22"/>
          <w:lang w:val="es-ES_tradnl"/>
        </w:rPr>
        <w:t>Metal chapado (chapado decorativo);</w:t>
      </w:r>
    </w:p>
    <w:p w:rsidR="006F4865" w:rsidRPr="00EB5B1D" w:rsidRDefault="006F4865" w:rsidP="006F4865">
      <w:pPr>
        <w:pStyle w:val="ListParagraph"/>
        <w:widowControl w:val="0"/>
        <w:numPr>
          <w:ilvl w:val="0"/>
          <w:numId w:val="15"/>
        </w:numPr>
        <w:autoSpaceDE w:val="0"/>
        <w:autoSpaceDN w:val="0"/>
        <w:adjustRightInd w:val="0"/>
        <w:snapToGrid w:val="0"/>
        <w:spacing w:after="60"/>
        <w:rPr>
          <w:szCs w:val="22"/>
          <w:lang w:val="es-ES_tradnl"/>
        </w:rPr>
      </w:pPr>
      <w:r w:rsidRPr="00EB5B1D">
        <w:rPr>
          <w:szCs w:val="22"/>
          <w:lang w:val="es-ES_tradnl"/>
        </w:rPr>
        <w:t>Partes eléctricas y electrónicas para algunas impresoras a color y copiadoras a color;</w:t>
      </w:r>
    </w:p>
    <w:p w:rsidR="006F4865" w:rsidRPr="00EB5B1D" w:rsidRDefault="006F4865" w:rsidP="006F4865">
      <w:pPr>
        <w:pStyle w:val="ListParagraph"/>
        <w:widowControl w:val="0"/>
        <w:numPr>
          <w:ilvl w:val="0"/>
          <w:numId w:val="15"/>
        </w:numPr>
        <w:autoSpaceDE w:val="0"/>
        <w:autoSpaceDN w:val="0"/>
        <w:adjustRightInd w:val="0"/>
        <w:snapToGrid w:val="0"/>
        <w:spacing w:after="60"/>
        <w:rPr>
          <w:szCs w:val="22"/>
          <w:lang w:val="es-ES_tradnl"/>
        </w:rPr>
      </w:pPr>
      <w:r w:rsidRPr="00EB5B1D">
        <w:rPr>
          <w:szCs w:val="22"/>
          <w:lang w:val="es-ES_tradnl"/>
        </w:rPr>
        <w:t>Insecticidas para el control de hormigas rojas de fuego importadas y termitas;</w:t>
      </w:r>
    </w:p>
    <w:p w:rsidR="006F4865" w:rsidRPr="00EB5B1D" w:rsidRDefault="006F4865" w:rsidP="006F4865">
      <w:pPr>
        <w:pStyle w:val="ListParagraph"/>
        <w:widowControl w:val="0"/>
        <w:numPr>
          <w:ilvl w:val="0"/>
          <w:numId w:val="15"/>
        </w:numPr>
        <w:autoSpaceDE w:val="0"/>
        <w:autoSpaceDN w:val="0"/>
        <w:adjustRightInd w:val="0"/>
        <w:snapToGrid w:val="0"/>
        <w:spacing w:after="60"/>
        <w:rPr>
          <w:szCs w:val="22"/>
          <w:lang w:val="es-ES_tradnl"/>
        </w:rPr>
      </w:pPr>
      <w:r w:rsidRPr="00EB5B1D">
        <w:rPr>
          <w:szCs w:val="22"/>
          <w:lang w:val="es-ES_tradnl"/>
        </w:rPr>
        <w:t>Producción de petróleo impulsado químicamente.</w:t>
      </w:r>
    </w:p>
    <w:p w:rsidR="006F4865" w:rsidRPr="00EB5B1D" w:rsidRDefault="006F4865" w:rsidP="006F4865">
      <w:pPr>
        <w:widowControl w:val="0"/>
        <w:autoSpaceDE w:val="0"/>
        <w:autoSpaceDN w:val="0"/>
        <w:adjustRightInd w:val="0"/>
        <w:snapToGrid w:val="0"/>
        <w:spacing w:after="60"/>
        <w:rPr>
          <w:szCs w:val="22"/>
          <w:u w:val="single"/>
          <w:lang w:val="es-ES_tradnl"/>
        </w:rPr>
      </w:pPr>
      <w:r w:rsidRPr="00EB5B1D">
        <w:rPr>
          <w:szCs w:val="22"/>
          <w:u w:val="single"/>
          <w:lang w:val="es-ES_tradnl"/>
        </w:rPr>
        <w:t>Propósito aceptable:</w:t>
      </w:r>
    </w:p>
    <w:p w:rsidR="006F4865" w:rsidRPr="00EB5B1D" w:rsidRDefault="006F4865" w:rsidP="006F4865">
      <w:pPr>
        <w:pStyle w:val="ListParagraph"/>
        <w:widowControl w:val="0"/>
        <w:numPr>
          <w:ilvl w:val="0"/>
          <w:numId w:val="16"/>
        </w:numPr>
        <w:autoSpaceDE w:val="0"/>
        <w:autoSpaceDN w:val="0"/>
        <w:adjustRightInd w:val="0"/>
        <w:snapToGrid w:val="0"/>
        <w:spacing w:after="60"/>
        <w:rPr>
          <w:szCs w:val="22"/>
          <w:lang w:val="es-ES_tradnl"/>
        </w:rPr>
      </w:pPr>
      <w:r w:rsidRPr="00EB5B1D">
        <w:rPr>
          <w:szCs w:val="22"/>
          <w:lang w:val="es-ES_tradnl"/>
        </w:rPr>
        <w:t>Imágenes fotográficas;</w:t>
      </w:r>
    </w:p>
    <w:p w:rsidR="006F4865" w:rsidRPr="00EB5B1D" w:rsidRDefault="006F4865" w:rsidP="006F4865">
      <w:pPr>
        <w:pStyle w:val="ListParagraph"/>
        <w:widowControl w:val="0"/>
        <w:numPr>
          <w:ilvl w:val="0"/>
          <w:numId w:val="16"/>
        </w:numPr>
        <w:autoSpaceDE w:val="0"/>
        <w:autoSpaceDN w:val="0"/>
        <w:adjustRightInd w:val="0"/>
        <w:snapToGrid w:val="0"/>
        <w:spacing w:after="60"/>
        <w:rPr>
          <w:szCs w:val="22"/>
          <w:lang w:val="es-ES_tradnl"/>
        </w:rPr>
      </w:pPr>
      <w:r w:rsidRPr="00EB5B1D">
        <w:rPr>
          <w:szCs w:val="22"/>
          <w:lang w:val="es-ES_tradnl"/>
        </w:rPr>
        <w:t>Revestimientos foto-resistentes y anti-reflectantes para semiconductores;</w:t>
      </w:r>
    </w:p>
    <w:p w:rsidR="006F4865" w:rsidRPr="00EB5B1D" w:rsidRDefault="006F4865" w:rsidP="006F4865">
      <w:pPr>
        <w:pStyle w:val="ListParagraph"/>
        <w:widowControl w:val="0"/>
        <w:numPr>
          <w:ilvl w:val="0"/>
          <w:numId w:val="16"/>
        </w:numPr>
        <w:autoSpaceDE w:val="0"/>
        <w:autoSpaceDN w:val="0"/>
        <w:adjustRightInd w:val="0"/>
        <w:snapToGrid w:val="0"/>
        <w:spacing w:after="60"/>
        <w:rPr>
          <w:szCs w:val="22"/>
          <w:lang w:val="es-ES_tradnl"/>
        </w:rPr>
      </w:pPr>
      <w:r w:rsidRPr="00EB5B1D">
        <w:rPr>
          <w:szCs w:val="22"/>
          <w:lang w:val="es-ES_tradnl"/>
        </w:rPr>
        <w:t>Agente de aguafuerte para semiconductores compuestos y filtros cerámicos;</w:t>
      </w:r>
    </w:p>
    <w:p w:rsidR="006F4865" w:rsidRPr="00EB5B1D" w:rsidRDefault="006F4865" w:rsidP="006F4865">
      <w:pPr>
        <w:pStyle w:val="ListParagraph"/>
        <w:widowControl w:val="0"/>
        <w:numPr>
          <w:ilvl w:val="0"/>
          <w:numId w:val="16"/>
        </w:numPr>
        <w:autoSpaceDE w:val="0"/>
        <w:autoSpaceDN w:val="0"/>
        <w:adjustRightInd w:val="0"/>
        <w:snapToGrid w:val="0"/>
        <w:spacing w:after="60"/>
        <w:rPr>
          <w:szCs w:val="22"/>
          <w:lang w:val="es-ES_tradnl"/>
        </w:rPr>
      </w:pPr>
      <w:r w:rsidRPr="00EB5B1D">
        <w:rPr>
          <w:szCs w:val="22"/>
          <w:lang w:val="es-ES_tradnl"/>
        </w:rPr>
        <w:t>Fluidos hidráulicos de aviación;</w:t>
      </w:r>
    </w:p>
    <w:p w:rsidR="006F4865" w:rsidRPr="00EB5B1D" w:rsidRDefault="006F4865" w:rsidP="006F4865">
      <w:pPr>
        <w:pStyle w:val="ListParagraph"/>
        <w:widowControl w:val="0"/>
        <w:numPr>
          <w:ilvl w:val="0"/>
          <w:numId w:val="16"/>
        </w:numPr>
        <w:autoSpaceDE w:val="0"/>
        <w:autoSpaceDN w:val="0"/>
        <w:adjustRightInd w:val="0"/>
        <w:snapToGrid w:val="0"/>
        <w:spacing w:after="60"/>
        <w:rPr>
          <w:szCs w:val="22"/>
          <w:lang w:val="es-ES_tradnl"/>
        </w:rPr>
      </w:pPr>
      <w:r w:rsidRPr="00EB5B1D">
        <w:rPr>
          <w:szCs w:val="22"/>
          <w:lang w:val="es-ES_tradnl"/>
        </w:rPr>
        <w:t>Chapado de metales (metales duros) sólo en sistemas de circuito cerrado;</w:t>
      </w:r>
    </w:p>
    <w:p w:rsidR="006F4865" w:rsidRPr="00EB5B1D" w:rsidRDefault="006F4865" w:rsidP="006F4865">
      <w:pPr>
        <w:pStyle w:val="ListParagraph"/>
        <w:widowControl w:val="0"/>
        <w:numPr>
          <w:ilvl w:val="0"/>
          <w:numId w:val="16"/>
        </w:numPr>
        <w:autoSpaceDE w:val="0"/>
        <w:autoSpaceDN w:val="0"/>
        <w:adjustRightInd w:val="0"/>
        <w:snapToGrid w:val="0"/>
        <w:spacing w:after="60"/>
        <w:rPr>
          <w:szCs w:val="22"/>
          <w:lang w:val="es-ES_tradnl"/>
        </w:rPr>
      </w:pPr>
      <w:r w:rsidRPr="00EB5B1D">
        <w:rPr>
          <w:szCs w:val="22"/>
          <w:lang w:val="es-ES_tradnl"/>
        </w:rPr>
        <w:t xml:space="preserve">Determinados dispositivos médicos (tales como las capas de protección </w:t>
      </w:r>
      <w:r w:rsidR="0027273A" w:rsidRPr="00EB5B1D">
        <w:rPr>
          <w:szCs w:val="22"/>
          <w:lang w:val="es-ES_tradnl"/>
        </w:rPr>
        <w:t>ETFE</w:t>
      </w:r>
      <w:r w:rsidRPr="00EB5B1D">
        <w:rPr>
          <w:szCs w:val="22"/>
          <w:lang w:val="es-ES_tradnl"/>
        </w:rPr>
        <w:t xml:space="preserve">, la producción de radio protección </w:t>
      </w:r>
      <w:r w:rsidR="0027273A" w:rsidRPr="00EB5B1D">
        <w:rPr>
          <w:szCs w:val="22"/>
          <w:lang w:val="es-ES_tradnl"/>
        </w:rPr>
        <w:t>ETFE</w:t>
      </w:r>
      <w:r w:rsidRPr="00EB5B1D">
        <w:rPr>
          <w:szCs w:val="22"/>
          <w:lang w:val="es-ES_tradnl"/>
        </w:rPr>
        <w:t>, en equipos médicos de diagnóstico in vitro y filtro CCD);</w:t>
      </w:r>
    </w:p>
    <w:p w:rsidR="006F4865" w:rsidRPr="00EB5B1D" w:rsidRDefault="006F4865" w:rsidP="006F4865">
      <w:pPr>
        <w:pStyle w:val="ListParagraph"/>
        <w:widowControl w:val="0"/>
        <w:numPr>
          <w:ilvl w:val="0"/>
          <w:numId w:val="16"/>
        </w:numPr>
        <w:autoSpaceDE w:val="0"/>
        <w:autoSpaceDN w:val="0"/>
        <w:adjustRightInd w:val="0"/>
        <w:snapToGrid w:val="0"/>
        <w:spacing w:after="60"/>
        <w:rPr>
          <w:szCs w:val="22"/>
          <w:lang w:val="es-ES_tradnl"/>
        </w:rPr>
      </w:pPr>
      <w:r w:rsidRPr="00EB5B1D">
        <w:rPr>
          <w:szCs w:val="22"/>
          <w:lang w:val="es-ES_tradnl"/>
        </w:rPr>
        <w:t>Espuma contra incendios.</w:t>
      </w:r>
    </w:p>
    <w:p w:rsidR="006F4865" w:rsidRPr="00EB5B1D" w:rsidRDefault="006F4865" w:rsidP="006F4865">
      <w:pPr>
        <w:widowControl w:val="0"/>
        <w:autoSpaceDE w:val="0"/>
        <w:autoSpaceDN w:val="0"/>
        <w:adjustRightInd w:val="0"/>
        <w:snapToGrid w:val="0"/>
        <w:spacing w:after="60"/>
        <w:rPr>
          <w:szCs w:val="22"/>
          <w:lang w:val="it-IT"/>
        </w:rPr>
      </w:pPr>
      <w:r w:rsidRPr="00EB5B1D">
        <w:rPr>
          <w:b/>
          <w:i/>
          <w:szCs w:val="22"/>
          <w:lang w:val="it-IT"/>
        </w:rPr>
        <w:t xml:space="preserve">La medida reglamentaria firme se tomó sobre la base de una evaluación de riesgos o peligros: </w:t>
      </w:r>
      <w:r w:rsidRPr="00EB5B1D">
        <w:rPr>
          <w:szCs w:val="22"/>
          <w:lang w:val="it-IT"/>
        </w:rPr>
        <w:t>Si</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it-IT"/>
        </w:rPr>
        <w:t xml:space="preserve">Resumen de la medida reglamentaria firme: </w:t>
      </w:r>
      <w:r w:rsidRPr="00EB5B1D">
        <w:rPr>
          <w:szCs w:val="22"/>
          <w:lang w:val="es-ES_tradnl"/>
        </w:rPr>
        <w:t>Desde el 26 de marzo de 2014, la producción, el comercio, el uso, la importación y la exporta</w:t>
      </w:r>
      <w:r w:rsidR="0027273A" w:rsidRPr="00EB5B1D">
        <w:rPr>
          <w:szCs w:val="22"/>
          <w:lang w:val="es-ES_tradnl"/>
        </w:rPr>
        <w:t>ción de PFOS, sus sales y PFOSF</w:t>
      </w:r>
      <w:r w:rsidRPr="00EB5B1D">
        <w:rPr>
          <w:szCs w:val="22"/>
          <w:lang w:val="es-ES_tradnl"/>
        </w:rPr>
        <w:t xml:space="preserve"> han sido prohibidos en China, excepto para un propósito aceptable o una exención específica. </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 y el medio ambiente</w:t>
      </w:r>
      <w:r w:rsidR="0027273A" w:rsidRPr="00EB5B1D">
        <w:rPr>
          <w:szCs w:val="22"/>
          <w:lang w:val="es-ES_tradnl"/>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En la población sueca, los niveles de PFOS encontrados en el sangre fueron mas elevados (27</w:t>
      </w:r>
      <w:r w:rsidR="0027273A" w:rsidRPr="00EB5B1D">
        <w:rPr>
          <w:szCs w:val="22"/>
          <w:lang w:val="es-ES_tradnl"/>
        </w:rPr>
        <w:t>.</w:t>
      </w:r>
      <w:r w:rsidRPr="00EB5B1D">
        <w:rPr>
          <w:szCs w:val="22"/>
          <w:lang w:val="es-ES_tradnl"/>
        </w:rPr>
        <w:t>2 ng /g, 3</w:t>
      </w:r>
      <w:r w:rsidR="0027273A" w:rsidRPr="00EB5B1D">
        <w:rPr>
          <w:szCs w:val="22"/>
          <w:lang w:val="es-ES_tradnl"/>
        </w:rPr>
        <w:t>.</w:t>
      </w:r>
      <w:r w:rsidRPr="00EB5B1D">
        <w:rPr>
          <w:szCs w:val="22"/>
          <w:lang w:val="es-ES_tradnl"/>
        </w:rPr>
        <w:t>0 - 67, n = 10) en las mujeres con un alto consumo de pescado (Berglund, 2004) en comparación con las muestras de las mujeres de la población general (17</w:t>
      </w:r>
      <w:r w:rsidR="0027273A" w:rsidRPr="00EB5B1D">
        <w:rPr>
          <w:szCs w:val="22"/>
          <w:lang w:val="es-ES_tradnl"/>
        </w:rPr>
        <w:t>.</w:t>
      </w:r>
      <w:r w:rsidRPr="00EB5B1D">
        <w:rPr>
          <w:szCs w:val="22"/>
          <w:lang w:val="es-ES_tradnl"/>
        </w:rPr>
        <w:t>8 (ng /g, 4</w:t>
      </w:r>
      <w:r w:rsidR="0027273A" w:rsidRPr="00EB5B1D">
        <w:rPr>
          <w:szCs w:val="22"/>
          <w:lang w:val="es-ES_tradnl"/>
        </w:rPr>
        <w:t>.</w:t>
      </w:r>
      <w:r w:rsidRPr="00EB5B1D">
        <w:rPr>
          <w:szCs w:val="22"/>
          <w:lang w:val="es-ES_tradnl"/>
        </w:rPr>
        <w:t>6 - 33, n = 26).</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En los seres humanos, las concentraciones más elevadas de PFOS se han detectado en los trabajadores de la planta de fabricación de 3.M, para fluoroquímicos, en Decatur, EE.UU., donde los niveles en el suero en el último año de medición (2000) oscilaron entre 0</w:t>
      </w:r>
      <w:r w:rsidR="0027273A" w:rsidRPr="00EB5B1D">
        <w:rPr>
          <w:szCs w:val="22"/>
          <w:lang w:val="es-ES_tradnl"/>
        </w:rPr>
        <w:t>.</w:t>
      </w:r>
      <w:r w:rsidRPr="00EB5B1D">
        <w:rPr>
          <w:szCs w:val="22"/>
          <w:lang w:val="es-ES_tradnl"/>
        </w:rPr>
        <w:t>06-10</w:t>
      </w:r>
      <w:r w:rsidR="0027273A" w:rsidRPr="00EB5B1D">
        <w:rPr>
          <w:szCs w:val="22"/>
          <w:lang w:val="es-ES_tradnl"/>
        </w:rPr>
        <w:t>.</w:t>
      </w:r>
      <w:r w:rsidRPr="00EB5B1D">
        <w:rPr>
          <w:szCs w:val="22"/>
          <w:lang w:val="es-ES_tradnl"/>
        </w:rPr>
        <w:t>06 ug /g (n =263).</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En un estudio de la población general, las muestras de sangre de familias (incluyendo tres generaciones) que viven en 12 países europeos se examinaron para un gran número de productos químicos incluyendo PFOS y PFOSA. El PFOS estuvo presente en 37 de 38 muestras con concentraciones en la sangre de 0</w:t>
      </w:r>
      <w:r w:rsidR="0027273A" w:rsidRPr="00EB5B1D">
        <w:rPr>
          <w:szCs w:val="22"/>
          <w:lang w:val="es-ES_tradnl"/>
        </w:rPr>
        <w:t>.</w:t>
      </w:r>
      <w:r w:rsidRPr="00EB5B1D">
        <w:rPr>
          <w:szCs w:val="22"/>
          <w:lang w:val="es-ES_tradnl"/>
        </w:rPr>
        <w:t>36 a 35</w:t>
      </w:r>
      <w:r w:rsidR="0027273A" w:rsidRPr="00EB5B1D">
        <w:rPr>
          <w:szCs w:val="22"/>
          <w:lang w:val="es-ES_tradnl"/>
        </w:rPr>
        <w:t>.</w:t>
      </w:r>
      <w:r w:rsidRPr="00EB5B1D">
        <w:rPr>
          <w:szCs w:val="22"/>
          <w:lang w:val="es-ES_tradnl"/>
        </w:rPr>
        <w:t>3 ng /g, mientras que el PFOSA estuvo presente en 36 de 38 muestras con concentraciones en la sangre de 0</w:t>
      </w:r>
      <w:r w:rsidR="0027273A" w:rsidRPr="00EB5B1D">
        <w:rPr>
          <w:szCs w:val="22"/>
          <w:lang w:val="es-ES_tradnl"/>
        </w:rPr>
        <w:t>.</w:t>
      </w:r>
      <w:r w:rsidRPr="00EB5B1D">
        <w:rPr>
          <w:szCs w:val="22"/>
          <w:lang w:val="es-ES_tradnl"/>
        </w:rPr>
        <w:t>15 a 2,04 ng /g.</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Muestras de suero agrupadas de 3802 residentes australianos, recolectadas en 2002-2003 para su análisis por región y sexo, divididas en relación a edad, sexo y región, se analizaron para determinar los perfluoroalquilsulfonatos y PFOSA. El PFOS y PFOSA se cuantificaron en todas las muestras de suero combinadas con un intervalo total de 12</w:t>
      </w:r>
      <w:r w:rsidR="0027273A" w:rsidRPr="00EB5B1D">
        <w:rPr>
          <w:szCs w:val="22"/>
          <w:lang w:val="es-ES_tradnl"/>
        </w:rPr>
        <w:t>.</w:t>
      </w:r>
      <w:r w:rsidRPr="00EB5B1D">
        <w:rPr>
          <w:szCs w:val="22"/>
          <w:lang w:val="es-ES_tradnl"/>
        </w:rPr>
        <w:t>7-29,5 ng/ml (media 17</w:t>
      </w:r>
      <w:r w:rsidR="0027273A" w:rsidRPr="00EB5B1D">
        <w:rPr>
          <w:szCs w:val="22"/>
          <w:lang w:val="es-ES_tradnl"/>
        </w:rPr>
        <w:t>.</w:t>
      </w:r>
      <w:r w:rsidRPr="00EB5B1D">
        <w:rPr>
          <w:szCs w:val="22"/>
          <w:lang w:val="es-ES_tradnl"/>
        </w:rPr>
        <w:t>2 ng /ml) y 0</w:t>
      </w:r>
      <w:r w:rsidR="0027273A" w:rsidRPr="00EB5B1D">
        <w:rPr>
          <w:szCs w:val="22"/>
          <w:lang w:val="es-ES_tradnl"/>
        </w:rPr>
        <w:t>.</w:t>
      </w:r>
      <w:r w:rsidRPr="00EB5B1D">
        <w:rPr>
          <w:szCs w:val="22"/>
          <w:lang w:val="es-ES_tradnl"/>
        </w:rPr>
        <w:t>36-2</w:t>
      </w:r>
      <w:r w:rsidR="0027273A" w:rsidRPr="00EB5B1D">
        <w:rPr>
          <w:szCs w:val="22"/>
          <w:lang w:val="es-ES_tradnl"/>
        </w:rPr>
        <w:t>.</w:t>
      </w:r>
      <w:r w:rsidRPr="00EB5B1D">
        <w:rPr>
          <w:szCs w:val="22"/>
          <w:lang w:val="es-ES_tradnl"/>
        </w:rPr>
        <w:t>4 ng /ml (media 0</w:t>
      </w:r>
      <w:r w:rsidR="0027273A" w:rsidRPr="00EB5B1D">
        <w:rPr>
          <w:szCs w:val="22"/>
          <w:lang w:val="es-ES_tradnl"/>
        </w:rPr>
        <w:t>.</w:t>
      </w:r>
      <w:r w:rsidRPr="00EB5B1D">
        <w:rPr>
          <w:szCs w:val="22"/>
          <w:lang w:val="es-ES_tradnl"/>
        </w:rPr>
        <w:t xml:space="preserve">81 ng / ml), respectivamente. Para el PFOS se encontró, una correlación significativa entre la edad y la concentración. No se encontraron diferencias sustanciales en los niveles de compuestos perfluorados entre las regiones urbanas y rurales. Conforme al género, se observaron algunas diferencias en algunos de los grupos según la edad. </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it-IT"/>
        </w:rPr>
        <w:t xml:space="preserve">Efecto previsto de la medida reglamentaria firme en relación con la salud humana: </w:t>
      </w:r>
      <w:r w:rsidRPr="00EB5B1D">
        <w:rPr>
          <w:szCs w:val="22"/>
          <w:lang w:val="es-ES_tradnl"/>
        </w:rPr>
        <w:t>Proteger la salud humana y el medio ambiente.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Estudios en los peces han demostrado que el PFOS tiene propiedades de bioconcentración. En los estudios sobre el pez luna (</w:t>
      </w:r>
      <w:r w:rsidRPr="00EB5B1D">
        <w:rPr>
          <w:i/>
          <w:iCs/>
          <w:szCs w:val="22"/>
          <w:lang w:val="es-ES_tradnl"/>
        </w:rPr>
        <w:t>Lepomis macrochirus</w:t>
      </w:r>
      <w:r w:rsidRPr="00EB5B1D">
        <w:rPr>
          <w:szCs w:val="22"/>
          <w:lang w:val="es-ES_tradnl"/>
        </w:rPr>
        <w:t>) y la trucha arco iris (</w:t>
      </w:r>
      <w:r w:rsidRPr="00EB5B1D">
        <w:rPr>
          <w:i/>
          <w:iCs/>
          <w:szCs w:val="22"/>
          <w:lang w:val="es-ES_tradnl"/>
        </w:rPr>
        <w:t>Oncorhynchus my kiss</w:t>
      </w:r>
      <w:r w:rsidRPr="00EB5B1D">
        <w:rPr>
          <w:szCs w:val="22"/>
          <w:lang w:val="es-ES_tradnl"/>
        </w:rPr>
        <w:t>), se ha estimado que los factores de bioconcentración (FBC) son 2796 (para peces enteros), 2900 (en hígado) y 3100 (en plasma), respectivamente. Se cree que la ruta principal de captación es a través de las branquias.</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Dado que el PFOS se libera de las plantas de tratamiento de aguas residuales al medio ambiente, es decir, a través del agua, una de las principales rutas para el PFOS en las cadenas alimenticias locales podría ser a través de los peces. El PFOS ha demostrado una elevada absorción oral (95%) en 24 horas en el tracto gastrointestinal (GI) en estudios en ratas (OCDE, 2002). En conjunto, esto podría constituir la base de los altos niveles que se han observado en los principales depredadores en las cadenas alimenticias que contienen pescado.</w:t>
      </w:r>
    </w:p>
    <w:p w:rsidR="00705D90"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it-IT"/>
        </w:rPr>
        <w:t xml:space="preserve">Efecto previsto de la medida reglamentaria firme en relación con el medio ambiente: </w:t>
      </w:r>
      <w:r w:rsidRPr="00EB5B1D">
        <w:rPr>
          <w:szCs w:val="22"/>
          <w:lang w:val="es-ES_tradnl"/>
        </w:rPr>
        <w:t>Proteger la salud humana y el medio ambiente.</w:t>
      </w:r>
    </w:p>
    <w:p w:rsidR="00705D90" w:rsidRPr="00EB5B1D" w:rsidRDefault="00705D90" w:rsidP="006F4865">
      <w:pPr>
        <w:widowControl w:val="0"/>
        <w:autoSpaceDE w:val="0"/>
        <w:autoSpaceDN w:val="0"/>
        <w:adjustRightInd w:val="0"/>
        <w:snapToGrid w:val="0"/>
        <w:spacing w:after="60"/>
        <w:rPr>
          <w:szCs w:val="22"/>
          <w:lang w:val="es-ES_tradnl"/>
        </w:rPr>
      </w:pPr>
      <w:r w:rsidRPr="00EB5B1D">
        <w:rPr>
          <w:b/>
          <w:i/>
          <w:szCs w:val="22"/>
          <w:lang w:val="fr-CH"/>
        </w:rPr>
        <w:t xml:space="preserve">Fecha </w:t>
      </w:r>
      <w:proofErr w:type="gramStart"/>
      <w:r w:rsidRPr="00EB5B1D">
        <w:rPr>
          <w:b/>
          <w:i/>
          <w:szCs w:val="22"/>
          <w:lang w:val="fr-CH"/>
        </w:rPr>
        <w:t>de entrada</w:t>
      </w:r>
      <w:proofErr w:type="gramEnd"/>
      <w:r w:rsidRPr="00EB5B1D">
        <w:rPr>
          <w:b/>
          <w:i/>
          <w:szCs w:val="22"/>
          <w:lang w:val="fr-CH"/>
        </w:rPr>
        <w:t xml:space="preserve"> en vigor de la medida reglamentaria firme: </w:t>
      </w:r>
      <w:r w:rsidRPr="00EB5B1D">
        <w:rPr>
          <w:szCs w:val="22"/>
          <w:lang w:val="fr-CH"/>
        </w:rPr>
        <w:t>26/03/2014</w:t>
      </w:r>
    </w:p>
    <w:p w:rsidR="00705D90" w:rsidRPr="00EB5B1D" w:rsidRDefault="00705D90">
      <w:pPr>
        <w:rPr>
          <w:szCs w:val="22"/>
          <w:lang w:val="es-ES_tradnl"/>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Colombia</w:t>
      </w:r>
    </w:p>
    <w:p w:rsidR="0027273A" w:rsidRPr="00EB5B1D" w:rsidRDefault="00663362" w:rsidP="0027273A">
      <w:pPr>
        <w:widowControl w:val="0"/>
        <w:autoSpaceDE w:val="0"/>
        <w:autoSpaceDN w:val="0"/>
        <w:adjustRightInd w:val="0"/>
        <w:snapToGrid w:val="0"/>
        <w:spacing w:after="60"/>
        <w:rPr>
          <w:b/>
          <w:i/>
          <w:szCs w:val="22"/>
          <w:lang w:val="fr-CH"/>
        </w:rPr>
      </w:pPr>
      <w:r w:rsidRPr="00EB5B1D">
        <w:rPr>
          <w:b/>
          <w:i/>
          <w:szCs w:val="22"/>
          <w:lang w:val="fr-CH"/>
        </w:rPr>
        <w:t>Nombre común:</w:t>
      </w:r>
      <w:r w:rsidR="0027273A" w:rsidRPr="00EB5B1D">
        <w:rPr>
          <w:b/>
          <w:i/>
          <w:szCs w:val="22"/>
          <w:lang w:val="fr-CH"/>
        </w:rPr>
        <w:t xml:space="preserve"> </w:t>
      </w:r>
      <w:r w:rsidR="0027273A" w:rsidRPr="00EB5B1D">
        <w:rPr>
          <w:szCs w:val="22"/>
          <w:lang w:val="fr-CH"/>
        </w:rPr>
        <w:t>Dibromocloropropano (DBCP)</w:t>
      </w:r>
      <w:r w:rsidR="0027273A" w:rsidRPr="00EB5B1D">
        <w:rPr>
          <w:b/>
          <w:i/>
          <w:szCs w:val="22"/>
          <w:lang w:val="fr-CH"/>
        </w:rPr>
        <w:tab/>
      </w:r>
      <w:r w:rsidR="0027273A" w:rsidRPr="00EB5B1D">
        <w:rPr>
          <w:b/>
          <w:i/>
          <w:szCs w:val="22"/>
          <w:lang w:val="fr-CH"/>
        </w:rPr>
        <w:tab/>
      </w:r>
      <w:r w:rsidR="0027273A" w:rsidRPr="00EB5B1D">
        <w:rPr>
          <w:b/>
          <w:i/>
          <w:szCs w:val="22"/>
          <w:lang w:val="fr-CH"/>
        </w:rPr>
        <w:tab/>
      </w:r>
      <w:r w:rsidR="0027273A" w:rsidRPr="00EB5B1D">
        <w:rPr>
          <w:b/>
          <w:i/>
          <w:szCs w:val="22"/>
          <w:lang w:val="fr-CH"/>
        </w:rPr>
        <w:tab/>
      </w:r>
      <w:r w:rsidRPr="00EB5B1D">
        <w:rPr>
          <w:b/>
          <w:i/>
          <w:szCs w:val="22"/>
          <w:lang w:val="fr-CH"/>
        </w:rPr>
        <w:t>Número de CAS:</w:t>
      </w:r>
      <w:r w:rsidR="0027273A" w:rsidRPr="00EB5B1D">
        <w:rPr>
          <w:b/>
          <w:i/>
          <w:szCs w:val="22"/>
          <w:lang w:val="fr-CH"/>
        </w:rPr>
        <w:t xml:space="preserve"> </w:t>
      </w:r>
      <w:r w:rsidR="0027273A" w:rsidRPr="00EB5B1D">
        <w:rPr>
          <w:szCs w:val="22"/>
          <w:lang w:val="fr-CH"/>
        </w:rPr>
        <w:t>96-12-8</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006F7CC0" w:rsidRPr="00EB5B1D">
        <w:rPr>
          <w:szCs w:val="22"/>
          <w:lang w:val="fr-CH"/>
        </w:rPr>
        <w:t>1, 2-Dibromo-3-c</w:t>
      </w:r>
      <w:r w:rsidR="00586F79" w:rsidRPr="00EB5B1D">
        <w:rPr>
          <w:szCs w:val="22"/>
          <w:lang w:val="fr-CH"/>
        </w:rPr>
        <w:t>loropropan</w:t>
      </w:r>
      <w:r w:rsidR="006F7CC0" w:rsidRPr="00EB5B1D">
        <w:rPr>
          <w:szCs w:val="22"/>
          <w:lang w:val="fr-CH"/>
        </w:rPr>
        <w:t>o</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Medida reglamentaria firme que se ha tomado para la categoría: </w:t>
      </w:r>
      <w:r w:rsidRPr="00EB5B1D">
        <w:rPr>
          <w:szCs w:val="22"/>
          <w:lang w:val="fr-CH"/>
        </w:rPr>
        <w:t>Plaguicida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586F79" w:rsidRPr="00EB5B1D">
        <w:rPr>
          <w:szCs w:val="22"/>
          <w:lang w:val="fr-CH"/>
        </w:rPr>
        <w:t>.</w:t>
      </w:r>
    </w:p>
    <w:p w:rsidR="00E839E9" w:rsidRPr="00EB5B1D" w:rsidRDefault="00E839E9" w:rsidP="00FD2F13">
      <w:pPr>
        <w:widowControl w:val="0"/>
        <w:autoSpaceDE w:val="0"/>
        <w:autoSpaceDN w:val="0"/>
        <w:adjustRightInd w:val="0"/>
        <w:snapToGrid w:val="0"/>
        <w:spacing w:after="60"/>
        <w:rPr>
          <w:spacing w:val="16"/>
          <w:szCs w:val="22"/>
          <w:lang w:val="es-ES"/>
        </w:rPr>
      </w:pPr>
      <w:r w:rsidRPr="00EB5B1D">
        <w:rPr>
          <w:b/>
          <w:i/>
          <w:szCs w:val="22"/>
          <w:lang w:val="fr-CH"/>
        </w:rPr>
        <w:t>Uso o usos prohibidos por la medida reglamentaria firme</w:t>
      </w:r>
      <w:r w:rsidR="00F304EA" w:rsidRPr="00EB5B1D">
        <w:rPr>
          <w:b/>
          <w:i/>
          <w:szCs w:val="22"/>
          <w:lang w:val="fr-CH"/>
        </w:rPr>
        <w:t xml:space="preserve">: </w:t>
      </w:r>
      <w:r w:rsidR="00F304EA" w:rsidRPr="00EB5B1D">
        <w:rPr>
          <w:szCs w:val="22"/>
          <w:lang w:val="fr-CH"/>
        </w:rPr>
        <w:t>Todos los usos agrícolas como plaguicida para el control de plagas (nematodos) en plátano y banano. Se prohíben la importación, formulación y venta en el territorio nacional de todos los usos de los compuestos con ingrediente activo dibromocloropropano (DBCP).</w:t>
      </w:r>
    </w:p>
    <w:p w:rsidR="00E839E9" w:rsidRPr="00EB5B1D" w:rsidRDefault="00E839E9" w:rsidP="00FD2F13">
      <w:pPr>
        <w:widowControl w:val="0"/>
        <w:autoSpaceDE w:val="0"/>
        <w:autoSpaceDN w:val="0"/>
        <w:adjustRightInd w:val="0"/>
        <w:snapToGrid w:val="0"/>
        <w:spacing w:after="60"/>
        <w:rPr>
          <w:spacing w:val="16"/>
          <w:szCs w:val="22"/>
          <w:lang w:val="es-ES"/>
        </w:rPr>
      </w:pPr>
      <w:r w:rsidRPr="00EB5B1D">
        <w:rPr>
          <w:b/>
          <w:i/>
          <w:szCs w:val="22"/>
          <w:lang w:val="fr-CH"/>
        </w:rPr>
        <w:t>Uso o usos que siguen autorizados</w:t>
      </w:r>
      <w:r w:rsidR="00F304EA" w:rsidRPr="00EB5B1D">
        <w:rPr>
          <w:b/>
          <w:i/>
          <w:szCs w:val="22"/>
          <w:lang w:val="fr-CH"/>
        </w:rPr>
        <w:t xml:space="preserve">: </w:t>
      </w:r>
      <w:r w:rsidR="00F304EA" w:rsidRPr="00EB5B1D">
        <w:rPr>
          <w:szCs w:val="22"/>
          <w:lang w:val="fr-CH"/>
        </w:rPr>
        <w:t>No aplica.</w:t>
      </w:r>
    </w:p>
    <w:p w:rsidR="00E839E9" w:rsidRPr="00EB5B1D" w:rsidRDefault="00E839E9" w:rsidP="00FD2F13">
      <w:pPr>
        <w:widowControl w:val="0"/>
        <w:autoSpaceDE w:val="0"/>
        <w:autoSpaceDN w:val="0"/>
        <w:adjustRightInd w:val="0"/>
        <w:snapToGrid w:val="0"/>
        <w:spacing w:after="60"/>
        <w:rPr>
          <w:szCs w:val="22"/>
          <w:lang w:val="es-ES"/>
        </w:rPr>
      </w:pPr>
      <w:r w:rsidRPr="00EB5B1D">
        <w:rPr>
          <w:b/>
          <w:i/>
          <w:szCs w:val="22"/>
          <w:lang w:val="es-ES"/>
        </w:rPr>
        <w:t xml:space="preserve">La medida reglamentaria firme se tomó sobre la base de una evaluación de riesgos o peligros: </w:t>
      </w:r>
      <w:r w:rsidRPr="00EB5B1D">
        <w:rPr>
          <w:szCs w:val="22"/>
          <w:lang w:val="es-ES"/>
        </w:rPr>
        <w:t>Si</w:t>
      </w:r>
    </w:p>
    <w:p w:rsidR="00E839E9" w:rsidRPr="00EB5B1D" w:rsidRDefault="00E839E9" w:rsidP="00FD2F13">
      <w:pPr>
        <w:widowControl w:val="0"/>
        <w:autoSpaceDE w:val="0"/>
        <w:autoSpaceDN w:val="0"/>
        <w:adjustRightInd w:val="0"/>
        <w:snapToGrid w:val="0"/>
        <w:spacing w:after="60"/>
        <w:rPr>
          <w:spacing w:val="16"/>
          <w:szCs w:val="22"/>
          <w:lang w:val="es-ES"/>
        </w:rPr>
      </w:pPr>
      <w:r w:rsidRPr="00EB5B1D">
        <w:rPr>
          <w:b/>
          <w:i/>
          <w:szCs w:val="22"/>
          <w:lang w:val="fr-CH"/>
        </w:rPr>
        <w:t>Resumen de la medida reglamentaria firme:</w:t>
      </w:r>
      <w:r w:rsidR="00F304EA" w:rsidRPr="00EB5B1D">
        <w:rPr>
          <w:b/>
          <w:i/>
          <w:szCs w:val="22"/>
          <w:lang w:val="fr-CH"/>
        </w:rPr>
        <w:t xml:space="preserve"> </w:t>
      </w:r>
      <w:r w:rsidR="00F304EA" w:rsidRPr="00EB5B1D">
        <w:rPr>
          <w:szCs w:val="22"/>
          <w:lang w:val="fr-CH"/>
        </w:rPr>
        <w:t>Por solicitud del Ministerio de Salud, el Instituto Colombiano Agropecuario-ICA, prohíbe la importación, formulación y venta en el territorio nacional todos los compuestos de uso agrícola que contengan en su composición el ingrediente activo dibromocloropropano (DBCP), considerando los peligros para la salud del hombre, los animales domésticos y preservación de la fauna y la flora.</w:t>
      </w:r>
    </w:p>
    <w:p w:rsidR="00E839E9" w:rsidRPr="00EB5B1D" w:rsidRDefault="00E839E9" w:rsidP="00FD2F13">
      <w:pPr>
        <w:widowControl w:val="0"/>
        <w:autoSpaceDE w:val="0"/>
        <w:autoSpaceDN w:val="0"/>
        <w:adjustRightInd w:val="0"/>
        <w:snapToGrid w:val="0"/>
        <w:spacing w:after="60"/>
        <w:rPr>
          <w:szCs w:val="22"/>
          <w:lang w:val="es-ES"/>
        </w:rPr>
      </w:pPr>
      <w:r w:rsidRPr="00EB5B1D">
        <w:rPr>
          <w:b/>
          <w:i/>
          <w:szCs w:val="22"/>
          <w:lang w:val="es-ES"/>
        </w:rPr>
        <w:t xml:space="preserve">El motivo por el que se adoptó la medida reglamentaria firme guarda relación con: </w:t>
      </w:r>
      <w:r w:rsidRPr="00EB5B1D">
        <w:rPr>
          <w:szCs w:val="22"/>
          <w:lang w:val="es-ES"/>
        </w:rPr>
        <w:t>La salud humana y el medio ambiente</w:t>
      </w:r>
      <w:r w:rsidR="0027273A" w:rsidRPr="00EB5B1D">
        <w:rPr>
          <w:szCs w:val="22"/>
          <w:lang w:val="es-ES"/>
        </w:rPr>
        <w:t>.</w:t>
      </w:r>
    </w:p>
    <w:p w:rsidR="00F304EA" w:rsidRPr="00EB5B1D" w:rsidRDefault="00E839E9" w:rsidP="00F304EA">
      <w:pPr>
        <w:widowControl w:val="0"/>
        <w:autoSpaceDE w:val="0"/>
        <w:autoSpaceDN w:val="0"/>
        <w:adjustRightInd w:val="0"/>
        <w:snapToGrid w:val="0"/>
        <w:spacing w:after="60"/>
        <w:jc w:val="both"/>
        <w:rPr>
          <w:szCs w:val="22"/>
          <w:lang w:val="fr-CH"/>
        </w:rPr>
      </w:pPr>
      <w:r w:rsidRPr="00EB5B1D">
        <w:rPr>
          <w:b/>
          <w:i/>
          <w:szCs w:val="22"/>
          <w:lang w:val="fr-CH"/>
        </w:rPr>
        <w:t>Resumen de los peligros y los riesgos conocidos respecto a la salud humana</w:t>
      </w:r>
      <w:r w:rsidR="00F304EA" w:rsidRPr="00EB5B1D">
        <w:rPr>
          <w:b/>
          <w:i/>
          <w:szCs w:val="22"/>
          <w:lang w:val="fr-CH"/>
        </w:rPr>
        <w:t xml:space="preserve">: </w:t>
      </w:r>
      <w:r w:rsidR="00F304EA" w:rsidRPr="00EB5B1D">
        <w:rPr>
          <w:szCs w:val="22"/>
          <w:lang w:val="fr-CH"/>
        </w:rPr>
        <w:t xml:space="preserve">La IARC, Monographs, 20, p 83-96. 1979, encontró que el 1, 2-Dibromo-3-cloropropano ha sido probado por administración oral e inhalación en ratones y ratas. Después de la administración oral, se produjeron carcinomas de células escamosas del estómago en animales de cada especie y adenocarcinomas de la glándula mamaria en ratas hembras. </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Igualmente que existen pruebas suficientes de que el 1, 2-dibromo-3-cloropropano es carcinógeno en ratones y ratas. Para efectos prácticos, considera que el 1,2-dibromo-3-cloropropano si presentaba un riesgo carcinogénico para los seres humanos.</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La amplia producción de 1,2-dibromo-3-cloropropano y su uso como plaguicida en las últimas dos décadas indicaron que ocurre exposición humana generalizada. Con lo que la IARC confirmó la presencia en suelos y hortalizas en aplicaciones experimentales y observó mayor esterilidad en grupos de trabajadores de la industria.</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En la evaluacion de la IARC, se encontró que después de varios tratamientos con dosis repetidas y dosis única de 1,2-dibromo-3-cloropropano los ratones desarrollaron síntomas de intoxicación aguda, principalmente la depresión del sistema nervioso y la pérdida de peso. Después del tratamiento repetido, se observó un efecto sobre la espermatogénesis en los machos, y el número y la viabilidad de los espermatozoides disminuyeron; El celo se inhibió en las hembras. Se observaron atrofia severa y degeneración de los testículos en ratas, cobayos y conejos. También se observó atrofia testicular en ratas durante el estudio de carcinogenicidad oral a largo plazo.</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 xml:space="preserve">Otros autores como Kodama y Dunlap, 1956, citado por IARC, 1979, el 1,2-dibromo-3-cloropropano indujo irritación de la piel e irritación de los ojos en conejos. La inhalación de concentraciones superiores a 600 mg / m3 (60 ppm) en el aire causó irritación de la piel, los ojos, las membranas mucosas y el tracto respiratorio, la degeneración hepática, la neurotoxicidad y la nefrotoxicidad en ratas (Torkel son et </w:t>
      </w:r>
      <w:proofErr w:type="gramStart"/>
      <w:r w:rsidRPr="00EB5B1D">
        <w:rPr>
          <w:szCs w:val="22"/>
          <w:lang w:val="fr-CH"/>
        </w:rPr>
        <w:t>al.,</w:t>
      </w:r>
      <w:proofErr w:type="gramEnd"/>
      <w:r w:rsidRPr="00EB5B1D">
        <w:rPr>
          <w:szCs w:val="22"/>
          <w:lang w:val="fr-CH"/>
        </w:rPr>
        <w:t xml:space="preserve"> 1961).</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De otro lado, la EPA de EEUU encontró que la exposición ocupacional al 1,2-dibromo-3-cloropropano en plantas de producción, formulación y fabricación a niveles que causaron cambios fisiológicos en los empleados.</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 xml:space="preserve">Ramirez y Ramirez. 1980. Realizaron estudios epidemiológicos y de laboratorio en 72 pacientes estériles pertenecientes a una población de 630 trabajadores bananeros en edad procreativa que aplicaron por tiempos variables, el nematicida 1,2·dibromo-3-c1oropropano (DBCP). Se encontró una correlación positiva (r = 0.99), altamente significativa entre las horas de aplicación y el porcentaje de esterilidad de los trabajadores. A su vez se encontró una relación inversa (p. 0.05) entre horas de aplicación y el conteo espermático. A un mayor número de horas </w:t>
      </w:r>
      <w:proofErr w:type="gramStart"/>
      <w:r w:rsidRPr="00EB5B1D">
        <w:rPr>
          <w:szCs w:val="22"/>
          <w:lang w:val="fr-CH"/>
        </w:rPr>
        <w:t>de aplicación</w:t>
      </w:r>
      <w:proofErr w:type="gramEnd"/>
      <w:r w:rsidRPr="00EB5B1D">
        <w:rPr>
          <w:szCs w:val="22"/>
          <w:lang w:val="fr-CH"/>
        </w:rPr>
        <w:t xml:space="preserve"> del DBCP corresponde una dosis más alta debido al mayor riesgo de exposición.</w:t>
      </w:r>
    </w:p>
    <w:p w:rsidR="00E839E9" w:rsidRPr="00EB5B1D" w:rsidRDefault="00F304EA" w:rsidP="00F304EA">
      <w:pPr>
        <w:widowControl w:val="0"/>
        <w:autoSpaceDE w:val="0"/>
        <w:autoSpaceDN w:val="0"/>
        <w:adjustRightInd w:val="0"/>
        <w:snapToGrid w:val="0"/>
        <w:spacing w:after="60"/>
        <w:jc w:val="both"/>
        <w:rPr>
          <w:spacing w:val="16"/>
          <w:szCs w:val="22"/>
          <w:lang w:val="es-ES"/>
        </w:rPr>
      </w:pPr>
      <w:r w:rsidRPr="00EB5B1D">
        <w:rPr>
          <w:szCs w:val="22"/>
          <w:lang w:val="fr-CH"/>
        </w:rPr>
        <w:t xml:space="preserve">Entre tanto, Torkelson et </w:t>
      </w:r>
      <w:proofErr w:type="gramStart"/>
      <w:r w:rsidRPr="00EB5B1D">
        <w:rPr>
          <w:szCs w:val="22"/>
          <w:lang w:val="fr-CH"/>
        </w:rPr>
        <w:t>al.,</w:t>
      </w:r>
      <w:proofErr w:type="gramEnd"/>
      <w:r w:rsidRPr="00EB5B1D">
        <w:rPr>
          <w:szCs w:val="22"/>
          <w:lang w:val="fr-CH"/>
        </w:rPr>
        <w:t xml:space="preserve"> (1961). Encontraron que el 1,2-Dibromo-3-cloropropano causó manifestaciones generales de toxicidad incluyendo un crecimiento deficiente, predisposición a una infección secundaria y una alteración histológica específica en los testículos en ratas macho recibiendo 50 exposiciones repetidas de 7 horas a 50 ppm. Esta fue la concentración más baja estudiada. El efecto sobre los testículos resultantes de la exposición a concentraciones más altas fue particularmente severo, dando como resultado atrofia, cambios degenerativos, reducción de la espermatogénesis y el desarrollo de espermatozoides anormales.</w:t>
      </w:r>
    </w:p>
    <w:p w:rsidR="00E839E9" w:rsidRPr="00EB5B1D" w:rsidRDefault="00E839E9" w:rsidP="00FD2F13">
      <w:pPr>
        <w:widowControl w:val="0"/>
        <w:autoSpaceDE w:val="0"/>
        <w:autoSpaceDN w:val="0"/>
        <w:adjustRightInd w:val="0"/>
        <w:snapToGrid w:val="0"/>
        <w:spacing w:after="60"/>
        <w:rPr>
          <w:spacing w:val="16"/>
          <w:szCs w:val="22"/>
          <w:lang w:val="es-ES"/>
        </w:rPr>
      </w:pPr>
      <w:r w:rsidRPr="00EB5B1D">
        <w:rPr>
          <w:b/>
          <w:i/>
          <w:szCs w:val="22"/>
          <w:lang w:val="fr-CH"/>
        </w:rPr>
        <w:t>Efecto previsto de la medida reglamentaria firme en relación con la salud humana</w:t>
      </w:r>
      <w:r w:rsidR="00F304EA" w:rsidRPr="00EB5B1D">
        <w:rPr>
          <w:b/>
          <w:i/>
          <w:szCs w:val="22"/>
          <w:lang w:val="fr-CH"/>
        </w:rPr>
        <w:t xml:space="preserve">: </w:t>
      </w:r>
      <w:r w:rsidR="00F304EA" w:rsidRPr="00EB5B1D">
        <w:rPr>
          <w:szCs w:val="22"/>
          <w:lang w:val="fr-CH"/>
        </w:rPr>
        <w:t>Reducción y eliminación del riesgo para la salud humana por el uso de los compuestos con ingrediente activo 1,2-dibromo-3-cloropropano.</w:t>
      </w:r>
    </w:p>
    <w:p w:rsidR="00F304EA" w:rsidRPr="00EB5B1D" w:rsidRDefault="00E839E9" w:rsidP="00F304EA">
      <w:pPr>
        <w:widowControl w:val="0"/>
        <w:autoSpaceDE w:val="0"/>
        <w:autoSpaceDN w:val="0"/>
        <w:adjustRightInd w:val="0"/>
        <w:snapToGrid w:val="0"/>
        <w:spacing w:after="60"/>
        <w:jc w:val="both"/>
        <w:rPr>
          <w:szCs w:val="22"/>
          <w:lang w:val="fr-CH"/>
        </w:rPr>
      </w:pPr>
      <w:r w:rsidRPr="00EB5B1D">
        <w:rPr>
          <w:b/>
          <w:i/>
          <w:szCs w:val="22"/>
          <w:lang w:val="fr-CH"/>
        </w:rPr>
        <w:t>Resumen de los peligros y los riesgos conocidos respecto al medio ambiente</w:t>
      </w:r>
      <w:r w:rsidR="00F304EA" w:rsidRPr="00EB5B1D">
        <w:rPr>
          <w:b/>
          <w:i/>
          <w:szCs w:val="22"/>
          <w:lang w:val="fr-CH"/>
        </w:rPr>
        <w:t xml:space="preserve">: </w:t>
      </w:r>
      <w:r w:rsidR="00F304EA" w:rsidRPr="00EB5B1D">
        <w:rPr>
          <w:szCs w:val="22"/>
          <w:lang w:val="fr-CH"/>
        </w:rPr>
        <w:t xml:space="preserve">A la fecha (1982) cuando las autoridades colombianas adoptaron la medida prohibitiva del DBCP no se contaba con datos e información sobre los riesgos o peligros para el medio ambiente. Debido a la falta de estudios de apoyo, la información disponible era insuficiente con respecto al destino y el comportamiento de la sustancia en el medio ambiente y sus propiedades ecotoxicológicas. </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 xml:space="preserve">Sin embargo, aunque los datos de ecotoxisidad eran deficientes a nivel local, se conoció por parte de las autoridades colombianas que la Agencia de Protección Ambiental de los Estados Unidos (EPA), el 22 de septiembre de 1977, emitió un una orden y avisó sobre la suspensión del registro de los productos plaguicidas que contenían 1,2-dibromo-3cloropropano, por considerar que representaban un "peligro inminente" para los seres humanos o el medio ambiente. </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 xml:space="preserve">Igualmente </w:t>
      </w:r>
      <w:proofErr w:type="gramStart"/>
      <w:r w:rsidRPr="00EB5B1D">
        <w:rPr>
          <w:szCs w:val="22"/>
          <w:lang w:val="fr-CH"/>
        </w:rPr>
        <w:t>la IARC</w:t>
      </w:r>
      <w:proofErr w:type="gramEnd"/>
      <w:r w:rsidRPr="00EB5B1D">
        <w:rPr>
          <w:szCs w:val="22"/>
          <w:lang w:val="fr-CH"/>
        </w:rPr>
        <w:t>, Monographs, 20, p 83-96. 1979, explicó que el uso del 1,2-dibromo-3-cloropropano se ha aplicado a varios tipos de suelos agrícolas en California mediante inyección, inundación y rociado. El producto químico seguía presente 40 semanas después de la aplicación; Y su distribución en el suelo fue proporcional al tamaño de las partículas del suelo, con la mayor concentración encontrada en suelos arenosos y la más baja en arcilla (Hodges, 1972).</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 xml:space="preserve">En experimentos de campo, se detectó 1, 2-dibromo-3-cloropropano en el suelo a niveles en el rango promedio de 0,008-1,64 mg / kg de 1 día a 16 semanas después de la aplicación a una tasa de 13,75 kg / ha (Newsome et </w:t>
      </w:r>
      <w:proofErr w:type="gramStart"/>
      <w:r w:rsidRPr="00EB5B1D">
        <w:rPr>
          <w:szCs w:val="22"/>
          <w:lang w:val="fr-CH"/>
        </w:rPr>
        <w:t>al.,</w:t>
      </w:r>
      <w:proofErr w:type="gramEnd"/>
      <w:r w:rsidRPr="00EB5B1D">
        <w:rPr>
          <w:szCs w:val="22"/>
          <w:lang w:val="fr-CH"/>
        </w:rPr>
        <w:t xml:space="preserve"> 1977).</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En el pasado, la liberación de DBCP al medio ambiente se produjo principalmente por sus usos de fumigante y nematocida. En 1977, se usaron 831.000 libras de DBCP solo en California, principalmente en uvas y tomates. En 1974, los agricultores de EE.UU aplicaron 9,8 millones de libras de DBCP en los cultivos. Todos los registros de productos de uso final se cancelaron en 1979, excepto por el uso como fumigante de suelo contra nemátodos en piñas en Hawai.</w:t>
      </w:r>
    </w:p>
    <w:p w:rsidR="00F304EA" w:rsidRPr="00EB5B1D" w:rsidRDefault="00F304EA" w:rsidP="00F304EA">
      <w:pPr>
        <w:widowControl w:val="0"/>
        <w:autoSpaceDE w:val="0"/>
        <w:autoSpaceDN w:val="0"/>
        <w:adjustRightInd w:val="0"/>
        <w:snapToGrid w:val="0"/>
        <w:spacing w:after="60"/>
        <w:jc w:val="both"/>
        <w:rPr>
          <w:szCs w:val="22"/>
          <w:lang w:val="fr-CH"/>
        </w:rPr>
      </w:pPr>
      <w:r w:rsidRPr="00EB5B1D">
        <w:rPr>
          <w:szCs w:val="22"/>
          <w:lang w:val="fr-CH"/>
        </w:rPr>
        <w:t xml:space="preserve">Según la EPA, ¿Qué sucede con el DBCP cuando se libera al medio ambiente? </w:t>
      </w:r>
      <w:proofErr w:type="gramStart"/>
      <w:r w:rsidRPr="00EB5B1D">
        <w:rPr>
          <w:szCs w:val="22"/>
        </w:rPr>
        <w:t>El DBCP liberado al suelo probablemente se evaporará o lixiviará a las aguas subterráneas.</w:t>
      </w:r>
      <w:proofErr w:type="gramEnd"/>
      <w:r w:rsidRPr="00EB5B1D">
        <w:rPr>
          <w:szCs w:val="22"/>
        </w:rPr>
        <w:t xml:space="preserve"> </w:t>
      </w:r>
      <w:r w:rsidRPr="00EB5B1D">
        <w:rPr>
          <w:szCs w:val="22"/>
          <w:lang w:val="fr-CH"/>
        </w:rPr>
        <w:t xml:space="preserve">La descomposición de los microbios </w:t>
      </w:r>
      <w:proofErr w:type="gramStart"/>
      <w:r w:rsidRPr="00EB5B1D">
        <w:rPr>
          <w:szCs w:val="22"/>
          <w:lang w:val="fr-CH"/>
        </w:rPr>
        <w:t>es</w:t>
      </w:r>
      <w:proofErr w:type="gramEnd"/>
      <w:r w:rsidRPr="00EB5B1D">
        <w:rPr>
          <w:szCs w:val="22"/>
          <w:lang w:val="fr-CH"/>
        </w:rPr>
        <w:t xml:space="preserve"> lenta en comparación. Una vez en la atmósfera, DBCP se espera que se descompongan con bastante rapidez por la luz solar. No es probable que el DBCP se acumule en la vida acuática.</w:t>
      </w:r>
    </w:p>
    <w:p w:rsidR="00E839E9" w:rsidRPr="00EB5B1D" w:rsidRDefault="00F304EA" w:rsidP="00F304EA">
      <w:pPr>
        <w:widowControl w:val="0"/>
        <w:autoSpaceDE w:val="0"/>
        <w:autoSpaceDN w:val="0"/>
        <w:adjustRightInd w:val="0"/>
        <w:snapToGrid w:val="0"/>
        <w:spacing w:after="60"/>
        <w:jc w:val="both"/>
        <w:rPr>
          <w:spacing w:val="16"/>
          <w:szCs w:val="22"/>
          <w:lang w:val="es-CO"/>
        </w:rPr>
      </w:pPr>
      <w:r w:rsidRPr="00EB5B1D">
        <w:rPr>
          <w:szCs w:val="22"/>
          <w:lang w:val="fr-CH"/>
        </w:rPr>
        <w:t>Además, debido a la falta de información, en Colombia no se realizó evaluación sobre la ruta y la tasa de degradación del 1, 2-dibromo-3-cloropropano  en el suelo, sobre su potencial de contaminación de las aguas superficiales y subterráneas, e igualmente existe una gran brecha de datos para un estudio sobre los efectos del DBCP en las plantas de tratamiento de aguas residuales.</w:t>
      </w:r>
    </w:p>
    <w:p w:rsidR="00E839E9" w:rsidRPr="00EB5B1D" w:rsidRDefault="00E839E9" w:rsidP="00F304EA">
      <w:pPr>
        <w:widowControl w:val="0"/>
        <w:kinsoku w:val="0"/>
        <w:overflowPunct w:val="0"/>
        <w:autoSpaceDE w:val="0"/>
        <w:autoSpaceDN w:val="0"/>
        <w:adjustRightInd w:val="0"/>
        <w:snapToGrid w:val="0"/>
        <w:spacing w:after="60"/>
        <w:rPr>
          <w:spacing w:val="16"/>
          <w:szCs w:val="22"/>
          <w:lang w:val="es-CO"/>
        </w:rPr>
      </w:pPr>
      <w:r w:rsidRPr="00EB5B1D">
        <w:rPr>
          <w:b/>
          <w:i/>
          <w:szCs w:val="22"/>
          <w:lang w:val="fr-CH"/>
        </w:rPr>
        <w:t>Efecto previsto de la medida reglamentaria firme en relación con el medio ambiente</w:t>
      </w:r>
      <w:r w:rsidR="00F304EA" w:rsidRPr="00EB5B1D">
        <w:rPr>
          <w:b/>
          <w:i/>
          <w:szCs w:val="22"/>
          <w:lang w:val="fr-CH"/>
        </w:rPr>
        <w:t xml:space="preserve">: </w:t>
      </w:r>
      <w:r w:rsidR="00F304EA" w:rsidRPr="00EB5B1D">
        <w:rPr>
          <w:szCs w:val="22"/>
          <w:lang w:val="fr-CH"/>
        </w:rPr>
        <w:t>Reducción y eliminación del riesgo para el medio ambiente y la salud humana por el uso de los compuestos con ingrediente activo 1,2-dibromo-3-cloropropano.</w:t>
      </w:r>
    </w:p>
    <w:p w:rsidR="00E839E9" w:rsidRPr="00EB5B1D" w:rsidRDefault="00E839E9" w:rsidP="00F304EA">
      <w:pPr>
        <w:spacing w:after="60"/>
        <w:rPr>
          <w:lang w:val="fr-CH"/>
        </w:rPr>
      </w:pPr>
      <w:r w:rsidRPr="00EB5B1D">
        <w:rPr>
          <w:b/>
          <w:i/>
          <w:lang w:val="es-CO"/>
        </w:rPr>
        <w:t xml:space="preserve">Fecha de entrada en vigor de la medida reglamentaria firme: </w:t>
      </w:r>
      <w:r w:rsidRPr="00EB5B1D">
        <w:rPr>
          <w:lang w:val="es-CO"/>
        </w:rPr>
        <w:t>08/02/1982</w:t>
      </w:r>
    </w:p>
    <w:p w:rsidR="00E839E9" w:rsidRPr="00EB5B1D" w:rsidRDefault="00E839E9" w:rsidP="00F304EA">
      <w:pPr>
        <w:spacing w:after="60"/>
        <w:rPr>
          <w:lang w:val="fr-CH"/>
        </w:rPr>
      </w:pPr>
    </w:p>
    <w:p w:rsidR="00E839E9" w:rsidRPr="00EB5B1D" w:rsidRDefault="00E839E9" w:rsidP="00F304EA">
      <w:pPr>
        <w:keepNext/>
        <w:pBdr>
          <w:bottom w:val="single" w:sz="4" w:space="1" w:color="auto"/>
        </w:pBdr>
        <w:autoSpaceDE w:val="0"/>
        <w:autoSpaceDN w:val="0"/>
        <w:adjustRightInd w:val="0"/>
        <w:snapToGrid w:val="0"/>
        <w:spacing w:after="60"/>
        <w:rPr>
          <w:b/>
          <w:caps/>
          <w:szCs w:val="22"/>
          <w:lang w:val="fr-CH"/>
        </w:rPr>
      </w:pPr>
      <w:r w:rsidRPr="00EB5B1D">
        <w:rPr>
          <w:b/>
          <w:caps/>
          <w:szCs w:val="22"/>
          <w:lang w:val="fr-CH"/>
        </w:rPr>
        <w:t>Colombia</w:t>
      </w:r>
    </w:p>
    <w:p w:rsidR="0027273A"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Nombre común:</w:t>
      </w:r>
      <w:r w:rsidR="0027273A" w:rsidRPr="00EB5B1D">
        <w:rPr>
          <w:b/>
          <w:i/>
          <w:szCs w:val="22"/>
          <w:lang w:val="fr-CH"/>
        </w:rPr>
        <w:t xml:space="preserve"> </w:t>
      </w:r>
      <w:r w:rsidR="0027273A" w:rsidRPr="00EB5B1D">
        <w:rPr>
          <w:szCs w:val="22"/>
          <w:lang w:val="fr-CH"/>
        </w:rPr>
        <w:t>Mirex</w:t>
      </w:r>
      <w:r w:rsidR="0027273A" w:rsidRPr="00EB5B1D">
        <w:rPr>
          <w:szCs w:val="22"/>
          <w:lang w:val="fr-CH"/>
        </w:rPr>
        <w:tab/>
      </w:r>
      <w:r w:rsidR="0027273A" w:rsidRPr="00EB5B1D">
        <w:rPr>
          <w:b/>
          <w:i/>
          <w:szCs w:val="22"/>
          <w:lang w:val="fr-CH"/>
        </w:rPr>
        <w:tab/>
      </w:r>
      <w:r w:rsidR="0027273A" w:rsidRPr="00EB5B1D">
        <w:rPr>
          <w:b/>
          <w:i/>
          <w:szCs w:val="22"/>
          <w:lang w:val="fr-CH"/>
        </w:rPr>
        <w:tab/>
      </w:r>
      <w:r w:rsidR="0027273A" w:rsidRPr="00EB5B1D">
        <w:rPr>
          <w:b/>
          <w:i/>
          <w:szCs w:val="22"/>
          <w:lang w:val="fr-CH"/>
        </w:rPr>
        <w:tab/>
      </w:r>
      <w:r w:rsidR="0027273A" w:rsidRPr="00EB5B1D">
        <w:rPr>
          <w:b/>
          <w:i/>
          <w:szCs w:val="22"/>
          <w:lang w:val="fr-CH"/>
        </w:rPr>
        <w:tab/>
      </w:r>
      <w:r w:rsidR="0027273A" w:rsidRPr="00EB5B1D">
        <w:rPr>
          <w:b/>
          <w:i/>
          <w:szCs w:val="22"/>
          <w:lang w:val="fr-CH"/>
        </w:rPr>
        <w:tab/>
      </w:r>
      <w:r w:rsidRPr="00EB5B1D">
        <w:rPr>
          <w:b/>
          <w:i/>
          <w:szCs w:val="22"/>
          <w:lang w:val="fr-CH"/>
        </w:rPr>
        <w:tab/>
        <w:t>Número de CAS:</w:t>
      </w:r>
      <w:r w:rsidR="0027273A" w:rsidRPr="00EB5B1D">
        <w:rPr>
          <w:b/>
          <w:i/>
          <w:szCs w:val="22"/>
          <w:lang w:val="fr-CH"/>
        </w:rPr>
        <w:t xml:space="preserve"> </w:t>
      </w:r>
      <w:r w:rsidR="0027273A" w:rsidRPr="00EB5B1D">
        <w:rPr>
          <w:szCs w:val="22"/>
          <w:lang w:val="fr-CH"/>
        </w:rPr>
        <w:t>2385-85-5</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Nombre químico: </w:t>
      </w:r>
      <w:proofErr w:type="gramStart"/>
      <w:r w:rsidRPr="00EB5B1D">
        <w:rPr>
          <w:szCs w:val="22"/>
          <w:lang w:val="fr-CH"/>
        </w:rPr>
        <w:t>dodecacloropentaciclo[</w:t>
      </w:r>
      <w:proofErr w:type="gramEnd"/>
      <w:r w:rsidRPr="00EB5B1D">
        <w:rPr>
          <w:szCs w:val="22"/>
          <w:lang w:val="fr-CH"/>
        </w:rPr>
        <w:t>5.2.1.02,6.03,9.05,8]decano</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Medida reglamentaria firme que se ha tomado para la categoría: </w:t>
      </w:r>
      <w:r w:rsidRPr="00EB5B1D">
        <w:rPr>
          <w:szCs w:val="22"/>
          <w:lang w:val="fr-CH"/>
        </w:rPr>
        <w:t>Plaguicida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022AA4"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La medida reglamentaria firme se tomó sobre la base de una evaluación de riesgos o peligros: </w:t>
      </w:r>
      <w:r w:rsidRPr="00EB5B1D">
        <w:rPr>
          <w:szCs w:val="22"/>
          <w:lang w:val="fr-CH"/>
        </w:rPr>
        <w:t>Si</w:t>
      </w:r>
    </w:p>
    <w:p w:rsidR="00E839E9" w:rsidRPr="00EB5B1D" w:rsidRDefault="00E839E9" w:rsidP="00FD2F13">
      <w:pPr>
        <w:widowControl w:val="0"/>
        <w:autoSpaceDE w:val="0"/>
        <w:autoSpaceDN w:val="0"/>
        <w:adjustRightInd w:val="0"/>
        <w:snapToGrid w:val="0"/>
        <w:spacing w:after="60"/>
        <w:jc w:val="both"/>
        <w:rPr>
          <w:szCs w:val="22"/>
          <w:lang w:val="es-ES"/>
        </w:rPr>
      </w:pPr>
      <w:r w:rsidRPr="00EB5B1D">
        <w:rPr>
          <w:b/>
          <w:i/>
          <w:szCs w:val="22"/>
          <w:lang w:val="fr-CH"/>
        </w:rPr>
        <w:t xml:space="preserve">Resumen de la medida reglamentaria firme: </w:t>
      </w:r>
      <w:r w:rsidRPr="00EB5B1D">
        <w:rPr>
          <w:szCs w:val="22"/>
          <w:lang w:val="es-ES"/>
        </w:rPr>
        <w:t xml:space="preserve">El Ministerio de Salud considerando que los plaguicidas organoclorados implican  graves riesgos para la salud humana, animal y al ambiente, en virtud de su amplio  espectro, su prolongada accion residual y un elevado potenciai de acumulaciön en las  grasas de Ios mamiferos y el hombre, por su potencial neurotöxico para el hombre y los vertebrados, tomö la decisiön constitucional de prohibir la importaciön, producciön formulacion,  comercializaciön, manejo uso  y aplicacion de productos  DODECACLORO o MIREX entre otros. </w:t>
      </w:r>
      <w:proofErr w:type="gramStart"/>
      <w:r w:rsidRPr="00EB5B1D">
        <w:rPr>
          <w:szCs w:val="22"/>
          <w:lang w:val="es-ES"/>
        </w:rPr>
        <w:t>lgualmente</w:t>
      </w:r>
      <w:proofErr w:type="gramEnd"/>
      <w:r w:rsidRPr="00EB5B1D">
        <w:rPr>
          <w:szCs w:val="22"/>
          <w:lang w:val="es-ES"/>
        </w:rPr>
        <w:t xml:space="preserve">, la decisiön fue adoptada por  que se detectö presencia de insecticidas organoclorados en leche humana y  bovina en canticiades superiores a las que podrian representar un riesgo  admisibie para la salud hemana. </w:t>
      </w:r>
    </w:p>
    <w:p w:rsidR="00E839E9" w:rsidRPr="00EB5B1D" w:rsidRDefault="00E839E9" w:rsidP="00F304EA">
      <w:pPr>
        <w:widowControl w:val="0"/>
        <w:autoSpaceDE w:val="0"/>
        <w:autoSpaceDN w:val="0"/>
        <w:adjustRightInd w:val="0"/>
        <w:snapToGrid w:val="0"/>
        <w:spacing w:after="60"/>
        <w:jc w:val="both"/>
        <w:rPr>
          <w:szCs w:val="22"/>
          <w:lang w:val="es-ES"/>
        </w:rPr>
      </w:pPr>
      <w:r w:rsidRPr="00EB5B1D">
        <w:rPr>
          <w:szCs w:val="22"/>
          <w:lang w:val="es-ES"/>
        </w:rPr>
        <w:t>En virtud de la decision, se cancelaron en Colombia todas las Licencias de  Venta de Ios productos que contengan DODECACLORO o MIREX.</w:t>
      </w:r>
    </w:p>
    <w:p w:rsidR="00E839E9" w:rsidRPr="00EB5B1D" w:rsidRDefault="00E839E9" w:rsidP="00FD2F13">
      <w:pPr>
        <w:widowControl w:val="0"/>
        <w:autoSpaceDE w:val="0"/>
        <w:autoSpaceDN w:val="0"/>
        <w:adjustRightInd w:val="0"/>
        <w:snapToGrid w:val="0"/>
        <w:spacing w:after="60"/>
        <w:rPr>
          <w:szCs w:val="22"/>
          <w:lang w:val="es-CO"/>
        </w:rPr>
      </w:pPr>
      <w:r w:rsidRPr="00EB5B1D">
        <w:rPr>
          <w:b/>
          <w:i/>
          <w:szCs w:val="22"/>
          <w:lang w:val="es-CO"/>
        </w:rPr>
        <w:t xml:space="preserve">El motivo por el que se adoptó la medida reglamentaria firme guarda relación con: </w:t>
      </w:r>
      <w:r w:rsidRPr="00EB5B1D">
        <w:rPr>
          <w:szCs w:val="22"/>
          <w:lang w:val="es-CO"/>
        </w:rPr>
        <w:t>La salud humana y el medio ambiente</w:t>
      </w:r>
      <w:r w:rsidR="00022AA4" w:rsidRPr="00EB5B1D">
        <w:rPr>
          <w:szCs w:val="22"/>
          <w:lang w:val="es-CO"/>
        </w:rPr>
        <w:t>.</w:t>
      </w:r>
    </w:p>
    <w:p w:rsidR="00E839E9" w:rsidRPr="00EB5B1D" w:rsidRDefault="00E839E9" w:rsidP="00FD2F13">
      <w:pPr>
        <w:widowControl w:val="0"/>
        <w:autoSpaceDE w:val="0"/>
        <w:autoSpaceDN w:val="0"/>
        <w:adjustRightInd w:val="0"/>
        <w:snapToGrid w:val="0"/>
        <w:spacing w:after="60"/>
        <w:rPr>
          <w:szCs w:val="22"/>
          <w:lang w:val="fr-FR"/>
        </w:rPr>
      </w:pPr>
      <w:r w:rsidRPr="00EB5B1D">
        <w:rPr>
          <w:b/>
          <w:i/>
          <w:szCs w:val="22"/>
          <w:lang w:val="es-CO"/>
        </w:rPr>
        <w:t xml:space="preserve">Resumen de los peligros y los riesgos conocidos respecto a la salud humana: </w:t>
      </w:r>
      <w:r w:rsidRPr="00EB5B1D">
        <w:rPr>
          <w:szCs w:val="22"/>
          <w:lang w:val="fr-FR"/>
        </w:rPr>
        <w:t xml:space="preserve">Segün los resultados de Vargas y Vallejo, (1990) en todas las muestras de leche humana o de vaca analizadas se encontrö DDT total en concentraciones altas. En algunas muestras se encontraron también cantidades apreciables de (HCH) y otros insecticidas no incluidos en el estudio. También refieren estos autores que Ios organoclorados constituyen uno de Ios tipos de insecticida actualmente més utilizados  en Colombia y que son considerados productos peligrosos por su escasa biodegradabilidad y su capacidad acumulativa en la grasa de los alimentos y en el tejido adiposo humano. Esta acumulaciön se produce también en la leche animal o humana. </w:t>
      </w:r>
      <w:proofErr w:type="gramStart"/>
      <w:r w:rsidR="006F7CC0" w:rsidRPr="00EB5B1D">
        <w:rPr>
          <w:szCs w:val="22"/>
          <w:lang w:val="fr-FR"/>
        </w:rPr>
        <w:t>anexo</w:t>
      </w:r>
      <w:proofErr w:type="gramEnd"/>
      <w:r w:rsidR="006F7CC0" w:rsidRPr="00EB5B1D">
        <w:rPr>
          <w:szCs w:val="22"/>
          <w:lang w:val="fr-FR"/>
        </w:rPr>
        <w:t xml:space="preserve"> </w:t>
      </w:r>
      <w:r w:rsidRPr="00EB5B1D">
        <w:rPr>
          <w:szCs w:val="22"/>
          <w:lang w:val="fr-FR"/>
        </w:rPr>
        <w:t xml:space="preserve">Ill. </w:t>
      </w:r>
    </w:p>
    <w:p w:rsidR="00E839E9" w:rsidRPr="00EB5B1D" w:rsidRDefault="00E839E9" w:rsidP="00FD2F13">
      <w:pPr>
        <w:widowControl w:val="0"/>
        <w:autoSpaceDE w:val="0"/>
        <w:autoSpaceDN w:val="0"/>
        <w:adjustRightInd w:val="0"/>
        <w:snapToGrid w:val="0"/>
        <w:spacing w:after="60"/>
        <w:rPr>
          <w:szCs w:val="22"/>
          <w:lang w:val="fr-FR"/>
        </w:rPr>
      </w:pPr>
      <w:r w:rsidRPr="00EB5B1D">
        <w:rPr>
          <w:szCs w:val="22"/>
          <w:lang w:val="fr-FR"/>
        </w:rPr>
        <w:t xml:space="preserve">De otra parte, Albert (1981), en su estudio denominado Residuos de plaguicidas organoclorados en leche materna y riesgos para la salud, advierte sobre Ios efectos a  la salud de las personas por las propiedades carcinogénicas que se ha demostrado que tienen Ios plaguicidas ciclodiénicos como dieldrin, mirex, endrin, clordano y  epöxido de heptacloro, en animales de experimentaciön. Igualmente, menciona sobre  las medidas restrictivas que se han tomado en Estados Unidos de América y en otros  paises desarrollados y las deficiencias normativas y de estudios en los paises de  América Latina, donde estos productos la producciön, importaciön y uso de dichos  plaguicidas continüan sin limitaciones. </w:t>
      </w:r>
      <w:proofErr w:type="gramStart"/>
      <w:r w:rsidR="006F7CC0" w:rsidRPr="00EB5B1D">
        <w:rPr>
          <w:szCs w:val="22"/>
          <w:lang w:val="fr-FR"/>
        </w:rPr>
        <w:t>anexo</w:t>
      </w:r>
      <w:proofErr w:type="gramEnd"/>
      <w:r w:rsidR="006F7CC0" w:rsidRPr="00EB5B1D">
        <w:rPr>
          <w:szCs w:val="22"/>
          <w:lang w:val="fr-FR"/>
        </w:rPr>
        <w:t xml:space="preserve"> </w:t>
      </w:r>
      <w:r w:rsidRPr="00EB5B1D">
        <w:rPr>
          <w:szCs w:val="22"/>
          <w:lang w:val="fr-FR"/>
        </w:rPr>
        <w:t xml:space="preserve">V. </w:t>
      </w:r>
    </w:p>
    <w:p w:rsidR="00E839E9" w:rsidRPr="00EB5B1D" w:rsidRDefault="00E839E9" w:rsidP="00FD2F13">
      <w:pPr>
        <w:widowControl w:val="0"/>
        <w:autoSpaceDE w:val="0"/>
        <w:autoSpaceDN w:val="0"/>
        <w:adjustRightInd w:val="0"/>
        <w:snapToGrid w:val="0"/>
        <w:spacing w:after="60"/>
        <w:rPr>
          <w:szCs w:val="22"/>
          <w:lang w:val="fr-FR"/>
        </w:rPr>
      </w:pPr>
      <w:r w:rsidRPr="00EB5B1D">
        <w:rPr>
          <w:szCs w:val="22"/>
          <w:lang w:val="fr-FR"/>
        </w:rPr>
        <w:t xml:space="preserve">La IARC, Volumen 5 de 1974, p 203-210, en su evaluaciön de Ios riesgos de los  plaguicidas organoclorados, incluyendo el MIREX, menciona que en los ensayos de un estudio preliminar por via oral en ratones se obtuvieron como resultado una mayor incidencia de hepatomas en machos y hembras. Los estudios en ratones se encontré que con diferentes tratamientos, Ios animales de ambos sexos morian a las 70 semanas y que las hembras eran més susceptibles que los machos. </w:t>
      </w:r>
    </w:p>
    <w:p w:rsidR="00E839E9" w:rsidRPr="00EB5B1D" w:rsidRDefault="00E839E9" w:rsidP="00FD2F13">
      <w:pPr>
        <w:widowControl w:val="0"/>
        <w:autoSpaceDE w:val="0"/>
        <w:autoSpaceDN w:val="0"/>
        <w:adjustRightInd w:val="0"/>
        <w:snapToGrid w:val="0"/>
        <w:spacing w:after="60"/>
        <w:rPr>
          <w:szCs w:val="22"/>
          <w:lang w:val="fr-FR"/>
        </w:rPr>
      </w:pPr>
      <w:r w:rsidRPr="00EB5B1D">
        <w:rPr>
          <w:szCs w:val="22"/>
          <w:lang w:val="fr-FR"/>
        </w:rPr>
        <w:t xml:space="preserve">Igualmente la IARC, hace referencia a las tolerancias para los residuos de mirex en los productos alimenticios (grasa de carne de ganado, cabras, cerdos, caballos, aves y ovejas, en huevos, grasa låctea, en todos Ios productos agricolas crudos, la grasa de la leche y la grasa animal) establecidos por la EPA en 1969. Lo cual supone  efectos adversos para la salud de Ios consumidores y Ios trabajadores. </w:t>
      </w:r>
    </w:p>
    <w:p w:rsidR="00E839E9" w:rsidRPr="00EB5B1D" w:rsidRDefault="00E839E9" w:rsidP="00FD2F13">
      <w:pPr>
        <w:widowControl w:val="0"/>
        <w:autoSpaceDE w:val="0"/>
        <w:autoSpaceDN w:val="0"/>
        <w:adjustRightInd w:val="0"/>
        <w:snapToGrid w:val="0"/>
        <w:spacing w:after="60"/>
        <w:rPr>
          <w:szCs w:val="22"/>
          <w:lang w:val="fr-FR"/>
        </w:rPr>
      </w:pPr>
      <w:r w:rsidRPr="00EB5B1D">
        <w:rPr>
          <w:szCs w:val="22"/>
          <w:lang w:val="fr-FR"/>
        </w:rPr>
        <w:t xml:space="preserve">Finalmente la evaluaciön de la IARC no dispuso </w:t>
      </w:r>
      <w:proofErr w:type="gramStart"/>
      <w:r w:rsidRPr="00EB5B1D">
        <w:rPr>
          <w:szCs w:val="22"/>
          <w:lang w:val="fr-FR"/>
        </w:rPr>
        <w:t>de estudios</w:t>
      </w:r>
      <w:proofErr w:type="gramEnd"/>
      <w:r w:rsidRPr="00EB5B1D">
        <w:rPr>
          <w:szCs w:val="22"/>
          <w:lang w:val="fr-FR"/>
        </w:rPr>
        <w:t xml:space="preserve"> epidemiolégicos en humano. </w:t>
      </w:r>
    </w:p>
    <w:p w:rsidR="00E839E9" w:rsidRPr="00EB5B1D" w:rsidRDefault="00E839E9" w:rsidP="00FD2F13">
      <w:pPr>
        <w:widowControl w:val="0"/>
        <w:autoSpaceDE w:val="0"/>
        <w:autoSpaceDN w:val="0"/>
        <w:adjustRightInd w:val="0"/>
        <w:snapToGrid w:val="0"/>
        <w:spacing w:after="60"/>
        <w:rPr>
          <w:szCs w:val="22"/>
        </w:rPr>
      </w:pPr>
      <w:r w:rsidRPr="00EB5B1D">
        <w:rPr>
          <w:szCs w:val="22"/>
        </w:rPr>
        <w:t>http://monographs.iarc.fr/ENG/Mono ra hs/v011-42/</w:t>
      </w:r>
    </w:p>
    <w:p w:rsidR="00E839E9" w:rsidRPr="00EB5B1D" w:rsidRDefault="00E839E9" w:rsidP="00FD2F13">
      <w:pPr>
        <w:widowControl w:val="0"/>
        <w:autoSpaceDE w:val="0"/>
        <w:autoSpaceDN w:val="0"/>
        <w:adjustRightInd w:val="0"/>
        <w:snapToGrid w:val="0"/>
        <w:spacing w:after="60"/>
        <w:rPr>
          <w:szCs w:val="22"/>
          <w:lang w:val="fr-FR"/>
        </w:rPr>
      </w:pPr>
      <w:r w:rsidRPr="00EB5B1D">
        <w:rPr>
          <w:b/>
          <w:i/>
          <w:szCs w:val="22"/>
          <w:lang w:val="fr-CH"/>
        </w:rPr>
        <w:t xml:space="preserve">Efecto previsto de la medida reglamentaria firme en relación con la salud humana: </w:t>
      </w:r>
      <w:r w:rsidRPr="00EB5B1D">
        <w:rPr>
          <w:szCs w:val="22"/>
          <w:lang w:val="fr-FR"/>
        </w:rPr>
        <w:t xml:space="preserve">Reducciön y eliminaciön del riesgo para el medio ambiente y la salud humana por el uso de Ios compuestos con ingrediente activo Dodecacloro (Mirex). </w:t>
      </w:r>
    </w:p>
    <w:p w:rsidR="00F304EA" w:rsidRPr="00EB5B1D" w:rsidRDefault="00E839E9" w:rsidP="00F304EA">
      <w:pPr>
        <w:widowControl w:val="0"/>
        <w:autoSpaceDE w:val="0"/>
        <w:autoSpaceDN w:val="0"/>
        <w:adjustRightInd w:val="0"/>
        <w:snapToGrid w:val="0"/>
        <w:spacing w:after="60"/>
        <w:rPr>
          <w:szCs w:val="22"/>
          <w:lang w:val="fr-CH"/>
        </w:rPr>
      </w:pPr>
      <w:r w:rsidRPr="00EB5B1D">
        <w:rPr>
          <w:b/>
          <w:i/>
          <w:szCs w:val="22"/>
          <w:lang w:val="fr-CH"/>
        </w:rPr>
        <w:t>Resumen de los peligros y los riesgos conocidos respecto al medio ambiente:</w:t>
      </w:r>
      <w:r w:rsidR="00F304EA" w:rsidRPr="00EB5B1D">
        <w:rPr>
          <w:lang w:val="fr-CH"/>
        </w:rPr>
        <w:t xml:space="preserve"> </w:t>
      </w:r>
      <w:r w:rsidR="00F304EA" w:rsidRPr="00EB5B1D">
        <w:rPr>
          <w:szCs w:val="22"/>
          <w:lang w:val="fr-CH"/>
        </w:rPr>
        <w:t xml:space="preserve">La misma IARC, 1974, determinö que los compuestos organoclorados incluyendo el Mirex generalmente son muy poco solubles en agua; Por otro lado, son muy solubles en lipidos. Por esta razon, tienden a almacenarse en tejidos animales a niveles que dependen de la ingesta y de las peculiaridades metabölicas de las especies en cuestion. Algunos organismos acuåticos pueden adquirir niveles de compuestos organoclorados superiores a 10.000 veces </w:t>
      </w:r>
      <w:proofErr w:type="gramStart"/>
      <w:r w:rsidR="00F304EA" w:rsidRPr="00EB5B1D">
        <w:rPr>
          <w:szCs w:val="22"/>
          <w:lang w:val="fr-CH"/>
        </w:rPr>
        <w:t>que en</w:t>
      </w:r>
      <w:proofErr w:type="gramEnd"/>
      <w:r w:rsidR="00F304EA" w:rsidRPr="00EB5B1D">
        <w:rPr>
          <w:szCs w:val="22"/>
          <w:lang w:val="fr-CH"/>
        </w:rPr>
        <w:t xml:space="preserve"> el agua en que viven. </w:t>
      </w:r>
    </w:p>
    <w:p w:rsidR="00F304EA" w:rsidRPr="00EB5B1D" w:rsidRDefault="00F304EA" w:rsidP="00F304EA">
      <w:pPr>
        <w:widowControl w:val="0"/>
        <w:autoSpaceDE w:val="0"/>
        <w:autoSpaceDN w:val="0"/>
        <w:adjustRightInd w:val="0"/>
        <w:snapToGrid w:val="0"/>
        <w:spacing w:after="60"/>
        <w:rPr>
          <w:szCs w:val="22"/>
          <w:lang w:val="fr-CH"/>
        </w:rPr>
      </w:pPr>
      <w:r w:rsidRPr="00EB5B1D">
        <w:rPr>
          <w:szCs w:val="22"/>
          <w:lang w:val="fr-CH"/>
        </w:rPr>
        <w:t xml:space="preserve">Una propiedad adicional asociada con su baja solubilidad en agua es una tendencia a adsorberse a material particulado en suspensién en agua, en sedimentos de fondo y en materia orgånica en el suelo. </w:t>
      </w:r>
    </w:p>
    <w:p w:rsidR="00E839E9" w:rsidRPr="00EB5B1D" w:rsidRDefault="00F304EA" w:rsidP="00F304EA">
      <w:pPr>
        <w:widowControl w:val="0"/>
        <w:autoSpaceDE w:val="0"/>
        <w:autoSpaceDN w:val="0"/>
        <w:adjustRightInd w:val="0"/>
        <w:snapToGrid w:val="0"/>
        <w:spacing w:after="60"/>
        <w:rPr>
          <w:spacing w:val="16"/>
          <w:szCs w:val="22"/>
          <w:lang w:val="fr-CH"/>
        </w:rPr>
      </w:pPr>
      <w:r w:rsidRPr="00EB5B1D">
        <w:rPr>
          <w:szCs w:val="22"/>
          <w:lang w:val="fr-CH"/>
        </w:rPr>
        <w:t>http://monographs.iarc.fr/ENG/Monoqraphs/v011-42/</w:t>
      </w:r>
    </w:p>
    <w:p w:rsidR="00E839E9" w:rsidRPr="00EB5B1D" w:rsidRDefault="00E839E9" w:rsidP="00FD2F13">
      <w:pPr>
        <w:widowControl w:val="0"/>
        <w:autoSpaceDE w:val="0"/>
        <w:autoSpaceDN w:val="0"/>
        <w:adjustRightInd w:val="0"/>
        <w:snapToGrid w:val="0"/>
        <w:spacing w:after="60"/>
        <w:rPr>
          <w:szCs w:val="22"/>
          <w:lang w:val="fr-FR"/>
        </w:rPr>
      </w:pPr>
      <w:r w:rsidRPr="00EB5B1D">
        <w:rPr>
          <w:b/>
          <w:i/>
          <w:szCs w:val="22"/>
          <w:lang w:val="fr-CH"/>
        </w:rPr>
        <w:t xml:space="preserve">Efecto previsto de la medida reglamentaria firme en relación con el medio ambiente: </w:t>
      </w:r>
      <w:r w:rsidRPr="00EB5B1D">
        <w:rPr>
          <w:szCs w:val="22"/>
          <w:lang w:val="fr-FR"/>
        </w:rPr>
        <w:t xml:space="preserve">Reducciön y eliminaciön del riesgo para el medio ambiente y la salud humana por el uso de Ios compuestos con ingrediente activo Dodecacloro (Mirex). </w:t>
      </w:r>
    </w:p>
    <w:p w:rsidR="00E839E9" w:rsidRPr="00EB5B1D" w:rsidRDefault="00E839E9" w:rsidP="00FD2F13">
      <w:pPr>
        <w:widowControl w:val="0"/>
        <w:autoSpaceDE w:val="0"/>
        <w:autoSpaceDN w:val="0"/>
        <w:adjustRightInd w:val="0"/>
        <w:snapToGrid w:val="0"/>
        <w:spacing w:after="60"/>
        <w:rPr>
          <w:szCs w:val="22"/>
          <w:lang w:val="fr-FR"/>
        </w:rPr>
      </w:pPr>
      <w:r w:rsidRPr="00EB5B1D">
        <w:rPr>
          <w:b/>
          <w:i/>
          <w:szCs w:val="22"/>
          <w:lang w:val="fr-CH"/>
        </w:rPr>
        <w:t xml:space="preserve">Fecha de entrada en vigor de la medida reglamentaria firme: </w:t>
      </w:r>
      <w:r w:rsidRPr="00EB5B1D">
        <w:rPr>
          <w:szCs w:val="22"/>
          <w:lang w:val="fr-CH"/>
        </w:rPr>
        <w:t>09/12/1993</w:t>
      </w:r>
      <w:r w:rsidRPr="00EB5B1D">
        <w:rPr>
          <w:szCs w:val="22"/>
          <w:lang w:val="fr-FR"/>
        </w:rPr>
        <w:t xml:space="preserve">La fecha de entreda en vigor de todas las disposiciones de la Resolucion 10255 fue el 9 de diciembre de 1993. Fecha en que se publico. Ya que, a partir de esa fecha, se prohibieron todos los usos de productos fitosanitarios que contenian DODECACLORO  o MIREX. </w:t>
      </w:r>
    </w:p>
    <w:p w:rsidR="00E839E9" w:rsidRPr="00EB5B1D" w:rsidRDefault="00E839E9" w:rsidP="00FD2F13">
      <w:pPr>
        <w:widowControl w:val="0"/>
        <w:autoSpaceDE w:val="0"/>
        <w:autoSpaceDN w:val="0"/>
        <w:adjustRightInd w:val="0"/>
        <w:snapToGrid w:val="0"/>
        <w:spacing w:after="60"/>
        <w:rPr>
          <w:szCs w:val="22"/>
          <w:lang w:val="fr-FR"/>
        </w:rPr>
      </w:pPr>
      <w:r w:rsidRPr="00EB5B1D">
        <w:rPr>
          <w:szCs w:val="22"/>
          <w:lang w:val="fr-FR"/>
        </w:rPr>
        <w:t>Las medidas del Instituto Colombiano Agropecuario rigen desde el 3 de marzo de 1994. Fecha en que se cancelaron las Licencias de Venta del DODECACLORO o MIREX.</w:t>
      </w:r>
    </w:p>
    <w:p w:rsidR="006F4865" w:rsidRPr="00EB5B1D" w:rsidRDefault="006F4865" w:rsidP="00FD2F13">
      <w:pPr>
        <w:widowControl w:val="0"/>
        <w:autoSpaceDE w:val="0"/>
        <w:autoSpaceDN w:val="0"/>
        <w:adjustRightInd w:val="0"/>
        <w:snapToGrid w:val="0"/>
        <w:spacing w:after="60"/>
        <w:rPr>
          <w:szCs w:val="22"/>
          <w:lang w:val="fr-CH"/>
        </w:rPr>
      </w:pPr>
    </w:p>
    <w:p w:rsidR="006F4865" w:rsidRPr="00EB5B1D" w:rsidRDefault="006F4865" w:rsidP="006F4865">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6F4865" w:rsidRPr="00EB5B1D" w:rsidRDefault="00663362" w:rsidP="006F4865">
      <w:pPr>
        <w:widowControl w:val="0"/>
        <w:autoSpaceDE w:val="0"/>
        <w:autoSpaceDN w:val="0"/>
        <w:adjustRightInd w:val="0"/>
        <w:snapToGrid w:val="0"/>
        <w:spacing w:after="60"/>
        <w:rPr>
          <w:b/>
          <w:i/>
          <w:szCs w:val="22"/>
          <w:lang w:val="es-ES"/>
        </w:rPr>
      </w:pPr>
      <w:r w:rsidRPr="00EB5B1D">
        <w:rPr>
          <w:b/>
          <w:i/>
          <w:szCs w:val="22"/>
          <w:lang w:val="es-ES"/>
        </w:rPr>
        <w:t>Nombre común:</w:t>
      </w:r>
      <w:r w:rsidR="006F4865" w:rsidRPr="00EB5B1D">
        <w:rPr>
          <w:b/>
          <w:i/>
          <w:szCs w:val="22"/>
          <w:lang w:val="es-ES"/>
        </w:rPr>
        <w:t xml:space="preserve"> </w:t>
      </w:r>
      <w:r w:rsidR="006F4865" w:rsidRPr="00EB5B1D">
        <w:rPr>
          <w:szCs w:val="22"/>
          <w:lang w:val="es-ES"/>
        </w:rPr>
        <w:t>Actinolita amianto</w:t>
      </w:r>
      <w:r w:rsidR="006F4865" w:rsidRPr="00EB5B1D">
        <w:rPr>
          <w:b/>
          <w:i/>
          <w:szCs w:val="22"/>
          <w:lang w:val="es-ES"/>
        </w:rPr>
        <w:tab/>
      </w:r>
      <w:r w:rsidR="006F4865" w:rsidRPr="00EB5B1D">
        <w:rPr>
          <w:b/>
          <w:i/>
          <w:szCs w:val="22"/>
          <w:lang w:val="es-ES"/>
        </w:rPr>
        <w:tab/>
      </w:r>
      <w:r w:rsidR="006F4865" w:rsidRPr="00EB5B1D">
        <w:rPr>
          <w:b/>
          <w:i/>
          <w:szCs w:val="22"/>
          <w:lang w:val="es-ES"/>
        </w:rPr>
        <w:tab/>
      </w:r>
      <w:r w:rsidR="006F4865" w:rsidRPr="00EB5B1D">
        <w:rPr>
          <w:b/>
          <w:i/>
          <w:szCs w:val="22"/>
          <w:lang w:val="es-ES"/>
        </w:rPr>
        <w:tab/>
      </w:r>
      <w:r w:rsidRPr="00EB5B1D">
        <w:rPr>
          <w:b/>
          <w:i/>
          <w:szCs w:val="22"/>
          <w:lang w:val="es-ES"/>
        </w:rPr>
        <w:tab/>
        <w:t>Número de CAS:</w:t>
      </w:r>
      <w:r w:rsidR="006F4865" w:rsidRPr="00EB5B1D">
        <w:rPr>
          <w:b/>
          <w:i/>
          <w:szCs w:val="22"/>
          <w:lang w:val="es-ES"/>
        </w:rPr>
        <w:t xml:space="preserve"> </w:t>
      </w:r>
      <w:r w:rsidR="006F4865" w:rsidRPr="00EB5B1D">
        <w:rPr>
          <w:szCs w:val="22"/>
          <w:lang w:val="es-ES"/>
        </w:rPr>
        <w:t>77536-66-4</w:t>
      </w:r>
    </w:p>
    <w:p w:rsidR="006F4865" w:rsidRPr="00EB5B1D" w:rsidRDefault="006F4865" w:rsidP="006F4865">
      <w:pPr>
        <w:widowControl w:val="0"/>
        <w:autoSpaceDE w:val="0"/>
        <w:autoSpaceDN w:val="0"/>
        <w:adjustRightInd w:val="0"/>
        <w:snapToGrid w:val="0"/>
        <w:spacing w:after="60"/>
        <w:rPr>
          <w:szCs w:val="22"/>
          <w:lang w:val="es-ES"/>
        </w:rPr>
      </w:pPr>
      <w:r w:rsidRPr="00EB5B1D">
        <w:rPr>
          <w:b/>
          <w:i/>
          <w:szCs w:val="22"/>
          <w:lang w:val="es-ES"/>
        </w:rPr>
        <w:t xml:space="preserve">Nombre químico: </w:t>
      </w:r>
      <w:r w:rsidRPr="00EB5B1D">
        <w:rPr>
          <w:szCs w:val="22"/>
          <w:lang w:val="es-ES"/>
        </w:rPr>
        <w:t xml:space="preserve">Actinolita; </w:t>
      </w:r>
      <w:r w:rsidRPr="00EB5B1D">
        <w:rPr>
          <w:lang w:val="es-ES"/>
        </w:rPr>
        <w:t>variedades de silicatos asbestiformes hidratados, con estructuras cristalinas complejas</w:t>
      </w:r>
    </w:p>
    <w:p w:rsidR="006F4865" w:rsidRPr="00EB5B1D" w:rsidRDefault="006F4865" w:rsidP="006F4865">
      <w:pPr>
        <w:widowControl w:val="0"/>
        <w:autoSpaceDE w:val="0"/>
        <w:autoSpaceDN w:val="0"/>
        <w:adjustRightInd w:val="0"/>
        <w:snapToGrid w:val="0"/>
        <w:spacing w:after="60"/>
        <w:rPr>
          <w:szCs w:val="22"/>
          <w:lang w:val="es-ES"/>
        </w:rPr>
      </w:pPr>
      <w:r w:rsidRPr="00EB5B1D">
        <w:rPr>
          <w:b/>
          <w:i/>
          <w:szCs w:val="22"/>
          <w:lang w:val="es-ES"/>
        </w:rPr>
        <w:t xml:space="preserve">Medida reglamentaria firme que se ha tomado para la categoría: </w:t>
      </w:r>
      <w:r w:rsidRPr="00EB5B1D">
        <w:rPr>
          <w:szCs w:val="22"/>
          <w:lang w:val="es-ES"/>
        </w:rPr>
        <w:t>Industrial</w:t>
      </w:r>
    </w:p>
    <w:p w:rsidR="006F4865" w:rsidRPr="00EB5B1D" w:rsidRDefault="006F4865" w:rsidP="006F4865">
      <w:pPr>
        <w:widowControl w:val="0"/>
        <w:autoSpaceDE w:val="0"/>
        <w:autoSpaceDN w:val="0"/>
        <w:adjustRightInd w:val="0"/>
        <w:snapToGrid w:val="0"/>
        <w:spacing w:after="60"/>
        <w:rPr>
          <w:szCs w:val="22"/>
          <w:lang w:val="es-ES"/>
        </w:rPr>
      </w:pPr>
      <w:r w:rsidRPr="00EB5B1D">
        <w:rPr>
          <w:b/>
          <w:i/>
          <w:szCs w:val="22"/>
          <w:lang w:val="es-ES"/>
        </w:rPr>
        <w:t xml:space="preserve">Medida reglamentaria firme: </w:t>
      </w:r>
      <w:r w:rsidRPr="00EB5B1D">
        <w:rPr>
          <w:szCs w:val="22"/>
          <w:lang w:val="es-ES"/>
        </w:rPr>
        <w:t>El producto químico está prohibido</w:t>
      </w:r>
      <w:r w:rsidR="00022AA4" w:rsidRPr="00EB5B1D">
        <w:rPr>
          <w:szCs w:val="22"/>
          <w:lang w:val="es-ES"/>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
        </w:rPr>
        <w:t xml:space="preserve">Uso o usos prohibidos por la medida reglamentaria firme: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
        </w:rPr>
        <w:t xml:space="preserve">Uso o usos que siguen autorizados: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amianto -amosita, antofilita, actinolita, tremolita (formas anfib</w:t>
      </w:r>
      <w:r w:rsidRPr="00EB5B1D">
        <w:rPr>
          <w:szCs w:val="22"/>
          <w:lang w:val="es-ES"/>
        </w:rPr>
        <w:t xml:space="preserve">ólicas </w:t>
      </w:r>
      <w:r w:rsidRPr="00EB5B1D">
        <w:rPr>
          <w:szCs w:val="22"/>
          <w:lang w:val="es-ES_tradnl"/>
        </w:rPr>
        <w:t>del amianto, variedades de silicatos hidratados asbestiformes, con estructuras cristalinas complejas).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w:t>
      </w:r>
      <w:r w:rsidR="00022AA4" w:rsidRPr="00EB5B1D">
        <w:rPr>
          <w:szCs w:val="22"/>
          <w:lang w:val="es-ES_tradnl"/>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
        </w:rPr>
        <w:t xml:space="preserve">Resumen de los peligros y los riesgos conocidos respecto a la salud humana: </w:t>
      </w:r>
      <w:r w:rsidRPr="00EB5B1D">
        <w:rPr>
          <w:szCs w:val="22"/>
          <w:lang w:val="es-ES_tradnl"/>
        </w:rPr>
        <w:t>La inhalación de polvo de amianto puede causar fibrosis pulmonar (asbestosis), cambios en una o ambas superficies de la pleura, carcinoma bronquial (carcinoma pulmonar), mesotelioma de la pleura y del peritoneo y, posiblemente, cáncer en otras partes del cuerpo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La asbestosis fue la primera enfermedad pulmonar reconocida en relación con el amianto. Esta se define como la fibrosis intersticial difusa de los pulmones, resultante de la exposición al polvo de amianto. La cicatrización de los pulmones reduce su elasticidad y funcionamiento, lo que produce dificultad para respirar. Puede aparecer y progresar muchos años después del cese la exposición. En las condiciones recientes de exposición, la asbestosis rara vez se podrá detectar, incluso en sus etapas iniciales, antes de los 20 años a partir de la primera exposición (IPCS, 1986). No hay evidencia sustancial de que el tipo de fibra de amianto influya en la frecuencia o gravedad de la fibrosis pulmonar. Sin embargo, el riesgo puede ser mayor en la industria textil que en la minería, la molinería o la fabricación de productos de fricción (McDonald, 1984, citado por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
        </w:rPr>
        <w:t xml:space="preserve">Efecto previsto de la medida reglamentaria firme en relación con la salud humana: </w:t>
      </w:r>
      <w:r w:rsidRPr="00EB5B1D">
        <w:rPr>
          <w:szCs w:val="22"/>
          <w:lang w:val="es-ES_tradnl"/>
        </w:rPr>
        <w:t xml:space="preserve">Disminución de la posibilidad de riesgos y exposición a este producto químico para los seres humanos. </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02/04/2017</w:t>
      </w:r>
    </w:p>
    <w:p w:rsidR="00AD365D" w:rsidRPr="00EB5B1D" w:rsidRDefault="00AD365D" w:rsidP="006F4865">
      <w:pPr>
        <w:widowControl w:val="0"/>
        <w:pBdr>
          <w:bottom w:val="single" w:sz="4" w:space="1" w:color="auto"/>
        </w:pBdr>
        <w:autoSpaceDE w:val="0"/>
        <w:autoSpaceDN w:val="0"/>
        <w:adjustRightInd w:val="0"/>
        <w:snapToGrid w:val="0"/>
        <w:spacing w:after="60"/>
        <w:rPr>
          <w:szCs w:val="22"/>
          <w:lang w:val="es-ES_tradnl"/>
        </w:rPr>
      </w:pPr>
    </w:p>
    <w:p w:rsidR="006F4865" w:rsidRPr="00EB5B1D" w:rsidRDefault="006F4865" w:rsidP="006F4865">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022AA4" w:rsidRPr="00EB5B1D" w:rsidRDefault="00663362" w:rsidP="006F4865">
      <w:pPr>
        <w:widowControl w:val="0"/>
        <w:autoSpaceDE w:val="0"/>
        <w:autoSpaceDN w:val="0"/>
        <w:adjustRightInd w:val="0"/>
        <w:snapToGrid w:val="0"/>
        <w:spacing w:after="60"/>
        <w:rPr>
          <w:b/>
          <w:i/>
          <w:szCs w:val="22"/>
          <w:lang w:val="fr-CH"/>
        </w:rPr>
      </w:pPr>
      <w:r w:rsidRPr="00EB5B1D">
        <w:rPr>
          <w:b/>
          <w:i/>
          <w:szCs w:val="22"/>
          <w:lang w:val="fr-CH"/>
        </w:rPr>
        <w:t>Nombre común:</w:t>
      </w:r>
      <w:r w:rsidR="00022AA4" w:rsidRPr="00EB5B1D">
        <w:rPr>
          <w:b/>
          <w:i/>
          <w:szCs w:val="22"/>
          <w:lang w:val="fr-CH"/>
        </w:rPr>
        <w:t xml:space="preserve"> </w:t>
      </w:r>
      <w:r w:rsidR="00022AA4" w:rsidRPr="00EB5B1D">
        <w:rPr>
          <w:szCs w:val="22"/>
          <w:lang w:val="fr-CH"/>
        </w:rPr>
        <w:t>Amosita amianto</w:t>
      </w:r>
      <w:r w:rsidR="00022AA4" w:rsidRPr="00EB5B1D">
        <w:rPr>
          <w:b/>
          <w:i/>
          <w:szCs w:val="22"/>
          <w:lang w:val="fr-CH"/>
        </w:rPr>
        <w:tab/>
      </w:r>
      <w:r w:rsidR="00022AA4" w:rsidRPr="00EB5B1D">
        <w:rPr>
          <w:b/>
          <w:i/>
          <w:szCs w:val="22"/>
          <w:lang w:val="fr-CH"/>
        </w:rPr>
        <w:tab/>
      </w:r>
      <w:r w:rsidR="00022AA4" w:rsidRPr="00EB5B1D">
        <w:rPr>
          <w:b/>
          <w:i/>
          <w:szCs w:val="22"/>
          <w:lang w:val="fr-CH"/>
        </w:rPr>
        <w:tab/>
      </w:r>
      <w:r w:rsidR="00022AA4" w:rsidRPr="00EB5B1D">
        <w:rPr>
          <w:b/>
          <w:i/>
          <w:szCs w:val="22"/>
          <w:lang w:val="fr-CH"/>
        </w:rPr>
        <w:tab/>
      </w:r>
      <w:r w:rsidRPr="00EB5B1D">
        <w:rPr>
          <w:b/>
          <w:i/>
          <w:szCs w:val="22"/>
          <w:lang w:val="fr-CH"/>
        </w:rPr>
        <w:tab/>
        <w:t>Número de CAS:</w:t>
      </w:r>
      <w:r w:rsidR="00022AA4" w:rsidRPr="00EB5B1D">
        <w:rPr>
          <w:b/>
          <w:i/>
          <w:szCs w:val="22"/>
          <w:lang w:val="fr-CH"/>
        </w:rPr>
        <w:t xml:space="preserve"> </w:t>
      </w:r>
      <w:r w:rsidR="00022AA4" w:rsidRPr="00EB5B1D">
        <w:rPr>
          <w:szCs w:val="22"/>
          <w:lang w:val="fr-CH"/>
        </w:rPr>
        <w:t>12172-73-5</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es-ES"/>
        </w:rPr>
        <w:t xml:space="preserve">Amosita; </w:t>
      </w:r>
      <w:r w:rsidRPr="00EB5B1D">
        <w:rPr>
          <w:lang w:val="es-ES"/>
        </w:rPr>
        <w:t>variedades de silicatos asbestiformes hidratados, con estructuras cristalinas complejas</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022AA4" w:rsidRPr="00EB5B1D">
        <w:rPr>
          <w:szCs w:val="22"/>
          <w:lang w:val="fr-CH"/>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amianto -amosita, antofilita, actinolita, tremolita (formas anfib</w:t>
      </w:r>
      <w:r w:rsidRPr="00EB5B1D">
        <w:rPr>
          <w:szCs w:val="22"/>
          <w:lang w:val="es-ES"/>
        </w:rPr>
        <w:t xml:space="preserve">ólicas </w:t>
      </w:r>
      <w:r w:rsidRPr="00EB5B1D">
        <w:rPr>
          <w:szCs w:val="22"/>
          <w:lang w:val="es-ES_tradnl"/>
        </w:rPr>
        <w:t>del amianto, variedades de silicatos hidratados asbestiformes, con estructuras cristalinas complejas).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w:t>
      </w:r>
      <w:r w:rsidR="00022AA4" w:rsidRPr="00EB5B1D">
        <w:rPr>
          <w:szCs w:val="22"/>
          <w:lang w:val="es-ES_tradnl"/>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La inhalación de polvo de amianto puede causar fibrosis pulmonar (asbestosis), cambios en una o ambas superficies de la pleura, carcinoma bronquial (carcinoma pulmonar), mesotelioma de la pleura y del peritoneo y, posiblemente, cáncer en otras partes del cuerpo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La asbestosis fue la primera enfermedad pulmonar reconocida en relación con el amianto. Esta se define como la fibrosis intersticial difusa de los pulmones, resultante de la exposición al polvo de amianto. La cicatrización de los pulmones reduce su elasticidad y funcionamiento, lo que produce dificultad para respirar. Puede aparecer y progresar muchos años después del cese la exposición. En las condiciones recientes de exposición, la asbestosis rara vez se podrá detectar, incluso en sus etapas iniciales, antes de los 20 años a partir de la primera exposición (IPCS, 1986). No hay evidencia sustancial de que el tipo de fibra de amianto influya en la frecuencia o gravedad de la fibrosis pulmonar. Sin embargo, el riesgo puede ser mayor en la industria textil que en la minería, la molinería o la fabricación de productos de fricción (McDonald, 1984, citado por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 xml:space="preserve">Disminución de la posibilidad de riesgos y exposición a este producto químico para los seres humanos. </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02/04/2017</w:t>
      </w:r>
    </w:p>
    <w:p w:rsidR="006F4865" w:rsidRPr="00EB5B1D" w:rsidRDefault="006F4865" w:rsidP="006F4865">
      <w:pPr>
        <w:widowControl w:val="0"/>
        <w:pBdr>
          <w:bottom w:val="single" w:sz="4" w:space="1" w:color="auto"/>
        </w:pBdr>
        <w:autoSpaceDE w:val="0"/>
        <w:autoSpaceDN w:val="0"/>
        <w:adjustRightInd w:val="0"/>
        <w:snapToGrid w:val="0"/>
        <w:spacing w:after="60"/>
        <w:rPr>
          <w:szCs w:val="22"/>
          <w:lang w:val="es-ES_tradnl"/>
        </w:rPr>
      </w:pPr>
    </w:p>
    <w:p w:rsidR="006F4865" w:rsidRPr="00EB5B1D" w:rsidRDefault="006F4865" w:rsidP="006F4865">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022AA4" w:rsidRPr="00EB5B1D" w:rsidRDefault="00663362" w:rsidP="006F4865">
      <w:pPr>
        <w:widowControl w:val="0"/>
        <w:autoSpaceDE w:val="0"/>
        <w:autoSpaceDN w:val="0"/>
        <w:adjustRightInd w:val="0"/>
        <w:snapToGrid w:val="0"/>
        <w:spacing w:after="60"/>
        <w:rPr>
          <w:b/>
          <w:i/>
          <w:szCs w:val="22"/>
          <w:lang w:val="fr-CH"/>
        </w:rPr>
      </w:pPr>
      <w:r w:rsidRPr="00EB5B1D">
        <w:rPr>
          <w:b/>
          <w:i/>
          <w:szCs w:val="22"/>
          <w:lang w:val="fr-CH"/>
        </w:rPr>
        <w:t>Nombre común:</w:t>
      </w:r>
      <w:r w:rsidR="00022AA4" w:rsidRPr="00EB5B1D">
        <w:rPr>
          <w:b/>
          <w:i/>
          <w:szCs w:val="22"/>
          <w:lang w:val="fr-CH"/>
        </w:rPr>
        <w:t xml:space="preserve"> </w:t>
      </w:r>
      <w:r w:rsidR="00022AA4" w:rsidRPr="00EB5B1D">
        <w:rPr>
          <w:szCs w:val="22"/>
          <w:lang w:val="fr-CH"/>
        </w:rPr>
        <w:t>Antofilita</w:t>
      </w:r>
      <w:r w:rsidR="00022AA4" w:rsidRPr="00EB5B1D">
        <w:rPr>
          <w:b/>
          <w:i/>
          <w:szCs w:val="22"/>
          <w:lang w:val="fr-CH"/>
        </w:rPr>
        <w:tab/>
      </w:r>
      <w:r w:rsidR="00022AA4" w:rsidRPr="00EB5B1D">
        <w:rPr>
          <w:b/>
          <w:i/>
          <w:szCs w:val="22"/>
          <w:lang w:val="fr-CH"/>
        </w:rPr>
        <w:tab/>
      </w:r>
      <w:r w:rsidR="00022AA4" w:rsidRPr="00EB5B1D">
        <w:rPr>
          <w:b/>
          <w:i/>
          <w:szCs w:val="22"/>
          <w:lang w:val="fr-CH"/>
        </w:rPr>
        <w:tab/>
      </w:r>
      <w:r w:rsidR="00022AA4" w:rsidRPr="00EB5B1D">
        <w:rPr>
          <w:b/>
          <w:i/>
          <w:szCs w:val="22"/>
          <w:lang w:val="fr-CH"/>
        </w:rPr>
        <w:tab/>
      </w:r>
      <w:r w:rsidR="00022AA4" w:rsidRPr="00EB5B1D">
        <w:rPr>
          <w:b/>
          <w:i/>
          <w:szCs w:val="22"/>
          <w:lang w:val="fr-CH"/>
        </w:rPr>
        <w:tab/>
      </w:r>
      <w:r w:rsidRPr="00EB5B1D">
        <w:rPr>
          <w:b/>
          <w:i/>
          <w:szCs w:val="22"/>
          <w:lang w:val="fr-CH"/>
        </w:rPr>
        <w:tab/>
        <w:t>Número de CAS:</w:t>
      </w:r>
      <w:r w:rsidR="00022AA4" w:rsidRPr="00EB5B1D">
        <w:rPr>
          <w:b/>
          <w:i/>
          <w:szCs w:val="22"/>
          <w:lang w:val="fr-CH"/>
        </w:rPr>
        <w:t xml:space="preserve"> </w:t>
      </w:r>
      <w:r w:rsidR="00022AA4" w:rsidRPr="00EB5B1D">
        <w:rPr>
          <w:szCs w:val="22"/>
          <w:lang w:val="fr-CH"/>
        </w:rPr>
        <w:t>77536-67-5</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fr-CH"/>
        </w:rPr>
        <w:t>Antofilita</w:t>
      </w:r>
      <w:r w:rsidRPr="00EB5B1D">
        <w:rPr>
          <w:szCs w:val="22"/>
          <w:lang w:val="es-ES"/>
        </w:rPr>
        <w:t xml:space="preserve">; </w:t>
      </w:r>
      <w:r w:rsidRPr="00EB5B1D">
        <w:rPr>
          <w:lang w:val="es-ES"/>
        </w:rPr>
        <w:t>variedades de silicatos asbestiformes hidratados, con estructuras cristalinas complejas</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022AA4" w:rsidRPr="00EB5B1D">
        <w:rPr>
          <w:szCs w:val="22"/>
          <w:lang w:val="fr-CH"/>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amianto -amosita, antofilita, actinolita, tremolita (formas anfib</w:t>
      </w:r>
      <w:r w:rsidRPr="00EB5B1D">
        <w:rPr>
          <w:szCs w:val="22"/>
          <w:lang w:val="es-ES"/>
        </w:rPr>
        <w:t xml:space="preserve">ólicas </w:t>
      </w:r>
      <w:r w:rsidRPr="00EB5B1D">
        <w:rPr>
          <w:szCs w:val="22"/>
          <w:lang w:val="es-ES_tradnl"/>
        </w:rPr>
        <w:t>del amianto, variedades de silicatos hidratados asbestiformes, con estructuras cristalinas complejas).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w:t>
      </w:r>
      <w:r w:rsidR="00022AA4" w:rsidRPr="00EB5B1D">
        <w:rPr>
          <w:szCs w:val="22"/>
          <w:lang w:val="es-ES_tradnl"/>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La inhalación de polvo de amianto puede causar fibrosis pulmonar (asbestosis), cambios en una o ambas superficies de la pleura, carcinoma bronquial (carcinoma pulmonar), mesotelioma de la pleura y del peritoneo y, posiblemente, cáncer en otras partes del cuerpo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La asbestosis fue la primera enfermedad pulmonar reconocida en relación con el amianto. Esta se define como la fibrosis intersticial difusa de los pulmones, resultante de la exposición al polvo de amianto. La cicatrización de los pulmones reduce su elasticidad y funcionamiento, lo que produce dificultad para respirar. Puede aparecer y progresar muchos años después del cese la exposición. En las condiciones recientes de exposición, la asbestosis rara vez se podrá detectar, incluso en sus etapas iniciales, antes de los 20 años a partir de la primera exposición (IPCS, 1986). No hay evidencia sustancial de que el tipo de fibra de amianto influya en la frecuencia o gravedad de la fibrosis pulmonar. Sin embargo, el riesgo puede ser mayor en la industria textil que en la minería, la molinería o la fabricación de productos de fricción (McDonald, 1984, citado por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 xml:space="preserve">Disminución de la posibilidad de riesgos y exposición a este producto químico para los seres humanos. </w:t>
      </w:r>
    </w:p>
    <w:p w:rsidR="006F4865" w:rsidRPr="00EB5B1D" w:rsidRDefault="006F4865" w:rsidP="006F4865">
      <w:pPr>
        <w:spacing w:after="60"/>
        <w:rPr>
          <w:lang w:val="fr-CH"/>
        </w:rPr>
      </w:pPr>
      <w:r w:rsidRPr="00EB5B1D">
        <w:rPr>
          <w:b/>
          <w:i/>
          <w:lang w:val="es-ES_tradnl"/>
        </w:rPr>
        <w:t xml:space="preserve">Fecha de entrada en vigor de la medida reglamentaria firme: </w:t>
      </w:r>
      <w:r w:rsidRPr="00EB5B1D">
        <w:rPr>
          <w:lang w:val="es-ES_tradnl"/>
        </w:rPr>
        <w:t>02/04/2015</w:t>
      </w:r>
    </w:p>
    <w:p w:rsidR="00F0768C" w:rsidRDefault="00F0768C">
      <w:pPr>
        <w:rPr>
          <w:b/>
          <w:i/>
          <w:szCs w:val="22"/>
          <w:lang w:val="fr-CH"/>
        </w:rPr>
      </w:pPr>
      <w:r>
        <w:rPr>
          <w:b/>
          <w:i/>
          <w:szCs w:val="22"/>
          <w:lang w:val="fr-CH"/>
        </w:rPr>
        <w:br w:type="page"/>
      </w:r>
    </w:p>
    <w:p w:rsidR="00F0768C" w:rsidRPr="00EB5B1D" w:rsidRDefault="00F0768C" w:rsidP="00F0768C">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022AA4" w:rsidRPr="00EB5B1D" w:rsidRDefault="00663362" w:rsidP="00F0768C">
      <w:pPr>
        <w:widowControl w:val="0"/>
        <w:autoSpaceDE w:val="0"/>
        <w:autoSpaceDN w:val="0"/>
        <w:adjustRightInd w:val="0"/>
        <w:snapToGrid w:val="0"/>
        <w:spacing w:after="60"/>
        <w:rPr>
          <w:b/>
          <w:i/>
          <w:szCs w:val="22"/>
          <w:lang w:val="fr-CH"/>
        </w:rPr>
      </w:pPr>
      <w:r w:rsidRPr="00EB5B1D">
        <w:rPr>
          <w:b/>
          <w:i/>
          <w:szCs w:val="22"/>
          <w:lang w:val="fr-CH"/>
        </w:rPr>
        <w:t>Nombre común:</w:t>
      </w:r>
      <w:r w:rsidR="00022AA4" w:rsidRPr="00EB5B1D">
        <w:rPr>
          <w:b/>
          <w:i/>
          <w:szCs w:val="22"/>
          <w:lang w:val="fr-CH"/>
        </w:rPr>
        <w:t xml:space="preserve"> </w:t>
      </w:r>
      <w:r w:rsidR="00022AA4" w:rsidRPr="00EB5B1D">
        <w:rPr>
          <w:szCs w:val="22"/>
          <w:lang w:val="fr-CH"/>
        </w:rPr>
        <w:t>Crocidolita</w:t>
      </w:r>
      <w:r w:rsidR="00022AA4" w:rsidRPr="00EB5B1D">
        <w:rPr>
          <w:b/>
          <w:i/>
          <w:szCs w:val="22"/>
          <w:lang w:val="fr-CH"/>
        </w:rPr>
        <w:tab/>
      </w:r>
      <w:r w:rsidR="00022AA4" w:rsidRPr="00EB5B1D">
        <w:rPr>
          <w:b/>
          <w:i/>
          <w:szCs w:val="22"/>
          <w:lang w:val="fr-CH"/>
        </w:rPr>
        <w:tab/>
      </w:r>
      <w:r w:rsidR="00022AA4" w:rsidRPr="00EB5B1D">
        <w:rPr>
          <w:b/>
          <w:i/>
          <w:szCs w:val="22"/>
          <w:lang w:val="fr-CH"/>
        </w:rPr>
        <w:tab/>
      </w:r>
      <w:r w:rsidR="00022AA4" w:rsidRPr="00EB5B1D">
        <w:rPr>
          <w:b/>
          <w:i/>
          <w:szCs w:val="22"/>
          <w:lang w:val="fr-CH"/>
        </w:rPr>
        <w:tab/>
      </w:r>
      <w:r w:rsidR="00022AA4" w:rsidRPr="00EB5B1D">
        <w:rPr>
          <w:b/>
          <w:i/>
          <w:szCs w:val="22"/>
          <w:lang w:val="fr-CH"/>
        </w:rPr>
        <w:tab/>
      </w:r>
      <w:r w:rsidRPr="00EB5B1D">
        <w:rPr>
          <w:b/>
          <w:i/>
          <w:szCs w:val="22"/>
          <w:lang w:val="fr-CH"/>
        </w:rPr>
        <w:tab/>
        <w:t>Número de CAS:</w:t>
      </w:r>
      <w:r w:rsidR="00022AA4" w:rsidRPr="00EB5B1D">
        <w:rPr>
          <w:b/>
          <w:i/>
          <w:szCs w:val="22"/>
          <w:lang w:val="fr-CH"/>
        </w:rPr>
        <w:t xml:space="preserve"> </w:t>
      </w:r>
      <w:r w:rsidR="00022AA4" w:rsidRPr="00EB5B1D">
        <w:rPr>
          <w:szCs w:val="22"/>
          <w:lang w:val="fr-CH"/>
        </w:rPr>
        <w:t>12001-28-4</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fr-CH"/>
        </w:rPr>
        <w:t>Crocidolita, asbesto</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022AA4" w:rsidRPr="00EB5B1D">
        <w:rPr>
          <w:szCs w:val="22"/>
          <w:lang w:val="fr-CH"/>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amianto - crocidolita.</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 y el medio ambiente</w:t>
      </w:r>
      <w:r w:rsidR="00022AA4" w:rsidRPr="00EB5B1D">
        <w:rPr>
          <w:szCs w:val="22"/>
          <w:lang w:val="es-ES_tradnl"/>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La inhalación de polvo de amianto que contiene crocidolita puede causar fibrosis pulmonar (asbestosis), cambios en una o ambas superficies de la pleura, carcinoma bronquial (carcinoma pulmonar), mesotelioma de la pleura y del peritoneo y, posiblemente, cáncer en otras partes del cuerpo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Se ha observado fibrosis en muchas especies animales y carcinomas de los bronquios y la pleura en ratas tras la inhalación de amianto anfíbol. En estos estudios no hubo aumentos consecuentes en la incidencia de tumores en otras partes del cuerpo, y no hay evidencia convincente de que el amianto ingerido sea carcinógeno en los animales (IPCS, 1986). Estudios epidemiológicos, principalmente en grupos ocupacionales, han establecido que todos los tipos de fibras de amianto están asociados a la fibrosis pulmonar difusa (asbestosis), al carcinoma bronquial (cáncer de pulmón) y a tumores malignos primarios de la pleura y el peritoneo (mesotelioma). Ha quedado menos demostrado que el amianto cause cáncer en otras partes del cuerpo. El tabaquismo aumenta la mortalidad por asbestosis y el riesgo de cáncer de pulmón en las personas expuestas al amianto, no así el riesgo de mesotelioma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Disminución de la posibilidad de riesgos y exposición a este producto químico para los seres humanos.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Destino final: Las fibras de crocidolita son relativamente estables y se transportan a través del aire y el agua a grandes distancias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Reducción de la exposición de la vida acuática, aviar y otros animales.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6F4865" w:rsidRPr="00EB5B1D" w:rsidRDefault="006F4865" w:rsidP="006F4865">
      <w:pPr>
        <w:widowControl w:val="0"/>
        <w:pBdr>
          <w:bottom w:val="single" w:sz="4" w:space="1" w:color="auto"/>
        </w:pBdr>
        <w:autoSpaceDE w:val="0"/>
        <w:autoSpaceDN w:val="0"/>
        <w:adjustRightInd w:val="0"/>
        <w:snapToGrid w:val="0"/>
        <w:spacing w:after="60"/>
        <w:rPr>
          <w:szCs w:val="22"/>
          <w:lang w:val="es-ES_tradnl"/>
        </w:rPr>
      </w:pPr>
    </w:p>
    <w:p w:rsidR="006F4865" w:rsidRPr="00EB5B1D" w:rsidRDefault="006F4865" w:rsidP="006F4865">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022AA4" w:rsidRPr="00EB5B1D" w:rsidRDefault="00663362" w:rsidP="006F4865">
      <w:pPr>
        <w:widowControl w:val="0"/>
        <w:autoSpaceDE w:val="0"/>
        <w:autoSpaceDN w:val="0"/>
        <w:adjustRightInd w:val="0"/>
        <w:snapToGrid w:val="0"/>
        <w:spacing w:after="60"/>
        <w:rPr>
          <w:b/>
          <w:i/>
          <w:szCs w:val="22"/>
          <w:lang w:val="fr-CH"/>
        </w:rPr>
      </w:pPr>
      <w:r w:rsidRPr="00EB5B1D">
        <w:rPr>
          <w:b/>
          <w:i/>
          <w:szCs w:val="22"/>
          <w:lang w:val="fr-CH"/>
        </w:rPr>
        <w:t>Nombre común:</w:t>
      </w:r>
      <w:r w:rsidR="00022AA4" w:rsidRPr="00EB5B1D">
        <w:rPr>
          <w:b/>
          <w:i/>
          <w:szCs w:val="22"/>
          <w:lang w:val="fr-CH"/>
        </w:rPr>
        <w:t xml:space="preserve"> </w:t>
      </w:r>
      <w:r w:rsidR="00022AA4" w:rsidRPr="00EB5B1D">
        <w:rPr>
          <w:szCs w:val="22"/>
          <w:lang w:val="fr-CH"/>
        </w:rPr>
        <w:t>Tremolita</w:t>
      </w:r>
      <w:r w:rsidR="00022AA4" w:rsidRPr="00EB5B1D">
        <w:rPr>
          <w:b/>
          <w:i/>
          <w:szCs w:val="22"/>
          <w:lang w:val="fr-CH"/>
        </w:rPr>
        <w:tab/>
      </w:r>
      <w:r w:rsidR="00022AA4" w:rsidRPr="00EB5B1D">
        <w:rPr>
          <w:b/>
          <w:i/>
          <w:szCs w:val="22"/>
          <w:lang w:val="fr-CH"/>
        </w:rPr>
        <w:tab/>
      </w:r>
      <w:r w:rsidR="00022AA4" w:rsidRPr="00EB5B1D">
        <w:rPr>
          <w:b/>
          <w:i/>
          <w:szCs w:val="22"/>
          <w:lang w:val="fr-CH"/>
        </w:rPr>
        <w:tab/>
      </w:r>
      <w:r w:rsidR="00022AA4" w:rsidRPr="00EB5B1D">
        <w:rPr>
          <w:b/>
          <w:i/>
          <w:szCs w:val="22"/>
          <w:lang w:val="fr-CH"/>
        </w:rPr>
        <w:tab/>
      </w:r>
      <w:r w:rsidR="00022AA4" w:rsidRPr="00EB5B1D">
        <w:rPr>
          <w:b/>
          <w:i/>
          <w:szCs w:val="22"/>
          <w:lang w:val="fr-CH"/>
        </w:rPr>
        <w:tab/>
      </w:r>
      <w:r w:rsidRPr="00EB5B1D">
        <w:rPr>
          <w:b/>
          <w:i/>
          <w:szCs w:val="22"/>
          <w:lang w:val="fr-CH"/>
        </w:rPr>
        <w:tab/>
        <w:t>Número de CAS:</w:t>
      </w:r>
      <w:r w:rsidR="00022AA4" w:rsidRPr="00EB5B1D">
        <w:rPr>
          <w:b/>
          <w:i/>
          <w:szCs w:val="22"/>
          <w:lang w:val="fr-CH"/>
        </w:rPr>
        <w:t xml:space="preserve"> </w:t>
      </w:r>
      <w:r w:rsidR="00022AA4" w:rsidRPr="00EB5B1D">
        <w:rPr>
          <w:szCs w:val="22"/>
          <w:lang w:val="fr-CH"/>
        </w:rPr>
        <w:t>77536-68-6</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fr-CH"/>
        </w:rPr>
        <w:t>amianto, tremolita</w:t>
      </w:r>
      <w:r w:rsidRPr="00EB5B1D">
        <w:rPr>
          <w:szCs w:val="22"/>
          <w:lang w:val="es-ES"/>
        </w:rPr>
        <w:t xml:space="preserve">; </w:t>
      </w:r>
      <w:r w:rsidRPr="00EB5B1D">
        <w:rPr>
          <w:lang w:val="es-ES"/>
        </w:rPr>
        <w:t>variedades de silicatos asbestiformes hidratados, con estructuras cristalinas complejas</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022AA4" w:rsidRPr="00EB5B1D">
        <w:rPr>
          <w:szCs w:val="22"/>
          <w:lang w:val="fr-CH"/>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amianto -amosita, antofilita, actinolita, tremolita (formas anfib</w:t>
      </w:r>
      <w:r w:rsidRPr="00EB5B1D">
        <w:rPr>
          <w:szCs w:val="22"/>
          <w:lang w:val="es-ES"/>
        </w:rPr>
        <w:t xml:space="preserve">ólicas </w:t>
      </w:r>
      <w:r w:rsidRPr="00EB5B1D">
        <w:rPr>
          <w:szCs w:val="22"/>
          <w:lang w:val="es-ES_tradnl"/>
        </w:rPr>
        <w:t>del amianto, variedades de silicatos hidratados asbestiformes, con estructuras cristalinas complejas).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w:t>
      </w:r>
      <w:r w:rsidR="00022AA4" w:rsidRPr="00EB5B1D">
        <w:rPr>
          <w:szCs w:val="22"/>
          <w:lang w:val="es-ES_tradnl"/>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La inhalación de polvo de amianto puede causar fibrosis pulmonar (asbestosis), cambios en una o ambas superficies de la pleura, carcinoma bronquial (carcinoma pulmonar), mesotelioma de la pleura y del peritoneo y, posiblemente, cáncer en otras partes del cuerpo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La asbestosis fue la primera enfermedad pulmonar reconocida en relación con el amianto. Esta se define como la fibrosis intersticial difusa de los pulmones, resultante de la exposición al polvo de amianto. La cicatrización de los pulmones reduce su elasticidad y funcionamiento, lo que produce dificultad para respirar. Puede aparecer y progresar muchos años después del cese la exposición. En las condiciones recientes de exposición, la asbestosis rara vez se podrá detectar, incluso en sus etapas iniciales, antes de los 20 años a partir de la primera exposición (IPCS, 1986). No hay evidencia sustancial de que el tipo de fibra de amianto influya en la frecuencia o gravedad de la fibrosis pulmonar. Sin embargo, el riesgo puede ser mayor en la industria textil que en la minería, la molinería o la fabricación de productos de fricción (McDonald, 1984, citado por IPCS, 1986).</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 xml:space="preserve">Disminución de la posibilidad de riesgos y exposición a este producto químico para los seres humanos. </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6F4865" w:rsidRPr="00EB5B1D" w:rsidRDefault="006F4865" w:rsidP="006F4865">
      <w:pPr>
        <w:widowControl w:val="0"/>
        <w:pBdr>
          <w:bottom w:val="single" w:sz="4" w:space="1" w:color="auto"/>
        </w:pBdr>
        <w:autoSpaceDE w:val="0"/>
        <w:autoSpaceDN w:val="0"/>
        <w:adjustRightInd w:val="0"/>
        <w:snapToGrid w:val="0"/>
        <w:spacing w:after="60"/>
        <w:rPr>
          <w:szCs w:val="22"/>
          <w:lang w:val="es-ES_tradnl"/>
        </w:rPr>
      </w:pPr>
    </w:p>
    <w:p w:rsidR="006F4865" w:rsidRPr="00EB5B1D" w:rsidRDefault="006F4865" w:rsidP="006F4865">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6F4865" w:rsidRPr="00EB5B1D" w:rsidRDefault="00663362" w:rsidP="006F4865">
      <w:pPr>
        <w:widowControl w:val="0"/>
        <w:autoSpaceDE w:val="0"/>
        <w:autoSpaceDN w:val="0"/>
        <w:adjustRightInd w:val="0"/>
        <w:snapToGrid w:val="0"/>
        <w:spacing w:after="60"/>
        <w:rPr>
          <w:szCs w:val="22"/>
          <w:lang w:val="fr-CH"/>
        </w:rPr>
      </w:pPr>
      <w:r w:rsidRPr="00EB5B1D">
        <w:rPr>
          <w:b/>
          <w:i/>
          <w:szCs w:val="22"/>
          <w:lang w:val="fr-CH"/>
        </w:rPr>
        <w:t>Nombre común:</w:t>
      </w:r>
      <w:r w:rsidR="006F4865" w:rsidRPr="00EB5B1D">
        <w:rPr>
          <w:b/>
          <w:i/>
          <w:szCs w:val="22"/>
          <w:lang w:val="fr-CH"/>
        </w:rPr>
        <w:t xml:space="preserve"> </w:t>
      </w:r>
      <w:r w:rsidR="006F4865" w:rsidRPr="00EB5B1D">
        <w:rPr>
          <w:szCs w:val="22"/>
          <w:lang w:val="fr-CH"/>
        </w:rPr>
        <w:t>Mezcla comercial de éter de octabromodifenilo que suele contener éter de hexabromodifenilo, éter de heptabromodifenilo, éter de octabromodifenilo, éter de nonabromodifenilo y éter de decabromodifenilo</w:t>
      </w:r>
    </w:p>
    <w:p w:rsidR="006F4865" w:rsidRPr="00EB5B1D" w:rsidRDefault="00663362" w:rsidP="006F4865">
      <w:pPr>
        <w:widowControl w:val="0"/>
        <w:autoSpaceDE w:val="0"/>
        <w:autoSpaceDN w:val="0"/>
        <w:adjustRightInd w:val="0"/>
        <w:snapToGrid w:val="0"/>
        <w:spacing w:after="60"/>
        <w:rPr>
          <w:szCs w:val="22"/>
          <w:lang w:val="fr-CH"/>
        </w:rPr>
      </w:pPr>
      <w:r w:rsidRPr="00EB5B1D">
        <w:rPr>
          <w:b/>
          <w:i/>
          <w:szCs w:val="22"/>
          <w:lang w:val="fr-CH"/>
        </w:rPr>
        <w:t>Número de CAS:</w:t>
      </w:r>
      <w:r w:rsidR="006F4865" w:rsidRPr="00EB5B1D">
        <w:rPr>
          <w:szCs w:val="22"/>
          <w:lang w:val="fr-CH"/>
        </w:rPr>
        <w:t>1163-19-5, 32536-52-0, 36483-60-0, 63936-56-1, 68928-80-3</w:t>
      </w:r>
    </w:p>
    <w:p w:rsidR="006F4865" w:rsidRPr="00EB5B1D" w:rsidRDefault="006F4865" w:rsidP="006F4865">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Pr="00EB5B1D">
        <w:rPr>
          <w:lang w:val="es-ES"/>
        </w:rPr>
        <w:t>Mezcla comercial de éter de octabromodifenilo que suele contener: hexaBDE: éter de hexabromodifenilo (benceno, 1,1,1'-oxybis-, derivado hexabromado); heptaBDE: éter de heptabromodifenilo (benceno, 1,1'-oxybis-, derivado heptabromado); octaBDE: éter de octabromodifenilo (benceno, 11,1'-oxybis-, derivado octabromado); nonaBDE: éter de nonabromodifenilo (benceno, 1,1,1'-oxybis-, derivado nonabromado); decaBDE: éter de decabromodifenilo (éter bis(pentabromofenilo) (benceno, 1,1,1'- oxybis[2,3,4,5,6-pentabromado-])</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1F02A4" w:rsidRPr="00EB5B1D">
        <w:rPr>
          <w:szCs w:val="22"/>
          <w:lang w:val="fr-CH"/>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se conoce ningún uso del producto químico en Guyana previo a la medida reglamentaria firme.</w:t>
      </w:r>
    </w:p>
    <w:p w:rsidR="006F4865" w:rsidRPr="00EB5B1D" w:rsidRDefault="006F4865" w:rsidP="00703DBB">
      <w:pPr>
        <w:spacing w:after="60"/>
        <w:rPr>
          <w:szCs w:val="22"/>
          <w:lang w:val="es-ES"/>
        </w:rPr>
      </w:pPr>
      <w:r w:rsidRPr="00EB5B1D">
        <w:rPr>
          <w:b/>
          <w:i/>
          <w:szCs w:val="22"/>
          <w:lang w:val="es-ES"/>
        </w:rPr>
        <w:t xml:space="preserve">Uso o usos que siguen autorizados: </w:t>
      </w:r>
      <w:r w:rsidRPr="00EB5B1D">
        <w:rPr>
          <w:szCs w:val="22"/>
          <w:lang w:val="es-ES"/>
        </w:rPr>
        <w:t>Todas las formulaciones o preparaciones y todos los usos están prohibidos por la medida reglamentaria firme.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n.º 4 de 2015 sobre el control de plaguicidas y productos químicos tóxicos (Plaguicidas prohibidos), dictada en el marco de la Ley sobre el control de  plaguicidas y productos químicos tóxicos de 2000 (n.º 13 de 2000), prohíbe la importación, venta y utilización de éter de octabromodifenilo de calidad comercial que contiene típicamente éter de hexabromodifenilo, éter de heptabromodifenilo, éter de octabromodifenilo, éter de nonabromodifenilo y éter de decabromodifenilo o cualquier sustancia en cualquier forma que contenga éter de octabromodifenilo de calidad comercial que contiene típicamente éter de hexabromodifenilo, éter de heptabromodifenilo, éter de octabromodifenilo, éter de nonabromodifenilo y éter de decabromodifenilo.</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 y el medio ambiente</w:t>
      </w:r>
      <w:r w:rsidR="001F02A4" w:rsidRPr="00EB5B1D">
        <w:rPr>
          <w:szCs w:val="22"/>
          <w:lang w:val="es-ES_tradnl"/>
        </w:rPr>
        <w:t>.</w:t>
      </w:r>
    </w:p>
    <w:p w:rsidR="006F4865" w:rsidRPr="00EB5B1D" w:rsidRDefault="006F4865" w:rsidP="006F4865">
      <w:pPr>
        <w:widowControl w:val="0"/>
        <w:autoSpaceDE w:val="0"/>
        <w:autoSpaceDN w:val="0"/>
        <w:adjustRightInd w:val="0"/>
        <w:snapToGrid w:val="0"/>
        <w:spacing w:after="60"/>
        <w:ind w:firstLine="14"/>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El octaBDE (c-octaBDE) de calidad comercial está clasificado como producto tóxico para la reproducción debido a sus efectos sobre la salud humana, asociado con las frases de riesgo "puede dañar al feto" y "posible riesgo de disminución de la fertilidad". Estudios y evaluaciones han aportado pruebas de que el c-octaBDE puede causar efectos adversos tales como daños en los órganos reproductores y para el desarrollo fetal.</w:t>
      </w:r>
    </w:p>
    <w:p w:rsidR="006F4865" w:rsidRPr="00EB5B1D" w:rsidRDefault="006F4865" w:rsidP="006F4865">
      <w:pPr>
        <w:widowControl w:val="0"/>
        <w:autoSpaceDE w:val="0"/>
        <w:autoSpaceDN w:val="0"/>
        <w:adjustRightInd w:val="0"/>
        <w:snapToGrid w:val="0"/>
        <w:spacing w:after="60"/>
        <w:ind w:firstLine="14"/>
        <w:rPr>
          <w:szCs w:val="22"/>
          <w:lang w:val="es-ES_tradnl"/>
        </w:rPr>
      </w:pPr>
      <w:r w:rsidRPr="00EB5B1D">
        <w:rPr>
          <w:szCs w:val="22"/>
          <w:lang w:val="es-ES_tradnl"/>
        </w:rPr>
        <w:t>Los efectos de la exposición repetida al c-octaBDE indicaron consistentemente que el hígado fue el órgano más afectado, y se observaron efectos hepáticos en estudios realizados con animales.</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Se asumió que los componentes del c-octaBDE podrían bioacumularse en el tejido adiposo de los seres humanos. Se reportaron alteraciones en la homeostasis tiroidea con compuestos organoclorados en muchas especies, incluyendo los seres humanos. Los PCB hidroxilados han mostrado una afinidad similar a la hormona tiroidea con la proteína transtiretina transportadora de suero.</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Disminución de la posibilidad de riesgos y exposición a este producto químico para los seres humanos.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Los congéneres del c-octaBDE parecen resistir la degradación y, por lo tanto, tienen la capacidad de persistir en el medio ambiente durante mucho tiempo. Tienen potencial de bioacumulación y, además, hay evidencias de biomagnificación basadas en seguimientos realizados. Los congéneres de tetraBDE, pentaBDE y hexaBDE cumplieron los criterios de persistencia y bioacumulación definidos en el Reglamento sobre la persistencia y bioacumulación de la CEPA de 1999. Además, algunos congéneres del PBDE (tetra-, penta-, hexa, hepta-) han sido identificados como contaminantes orgánicos persistentes (COP) conforme al Convenio de Estocolmo y al Protocolo de la CEPE/ONU sobre los COP, y como tales se reconoce que son sustancias ambiental y biológicamente persistentes que pueden transportarse a gran distancia en el medio ambiente (CECOP, 2007). Con respecto a la persistencia biológica del c-octaBDE, se ha demostrado que el hexaBDE posee un potencial significativo de bioconcentración y biomagnificación; el heptaBDE, por otro lado, se biomagnifica a través de la red alimentaria. Los datos disponibles sugieren que las especies acuáticas bioconcentran y bioacumulan c-octaBDE de su entorno (CECOP, 2007).</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Reducción de la exposición de los organismos acuáticos y otros animales.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D2359C" w:rsidRPr="00EB5B1D" w:rsidRDefault="00D2359C">
      <w:pPr>
        <w:rPr>
          <w:b/>
          <w:caps/>
          <w:szCs w:val="22"/>
          <w:lang w:val="es-ES_tradnl"/>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6F7CC0" w:rsidRPr="00EB5B1D" w:rsidRDefault="00663362" w:rsidP="00F304EA">
      <w:pPr>
        <w:widowControl w:val="0"/>
        <w:autoSpaceDE w:val="0"/>
        <w:autoSpaceDN w:val="0"/>
        <w:adjustRightInd w:val="0"/>
        <w:snapToGrid w:val="0"/>
        <w:spacing w:after="60"/>
        <w:rPr>
          <w:b/>
          <w:i/>
          <w:szCs w:val="22"/>
          <w:lang w:val="fr-CH"/>
        </w:rPr>
      </w:pPr>
      <w:r w:rsidRPr="00EB5B1D">
        <w:rPr>
          <w:b/>
          <w:i/>
          <w:szCs w:val="22"/>
          <w:lang w:val="fr-CH"/>
        </w:rPr>
        <w:t>Nombre común:</w:t>
      </w:r>
      <w:r w:rsidR="00F304EA" w:rsidRPr="00EB5B1D">
        <w:rPr>
          <w:b/>
          <w:i/>
          <w:szCs w:val="22"/>
          <w:lang w:val="fr-CH"/>
        </w:rPr>
        <w:t xml:space="preserve"> </w:t>
      </w:r>
      <w:r w:rsidR="006F7CC0" w:rsidRPr="00EB5B1D">
        <w:rPr>
          <w:szCs w:val="22"/>
          <w:lang w:val="es-ES"/>
        </w:rPr>
        <w:t>Éter de pentabromodifenilo</w:t>
      </w:r>
      <w:r w:rsidR="006F7CC0" w:rsidRPr="00EB5B1D">
        <w:rPr>
          <w:szCs w:val="22"/>
          <w:lang w:val="fr-CH"/>
        </w:rPr>
        <w:t xml:space="preserve">, </w:t>
      </w:r>
      <w:r w:rsidR="00F304EA" w:rsidRPr="00EB5B1D">
        <w:rPr>
          <w:szCs w:val="22"/>
          <w:lang w:val="fr-CH"/>
        </w:rPr>
        <w:t>Éter de pentabromodifenilo de calidad comercial</w:t>
      </w:r>
    </w:p>
    <w:p w:rsidR="00F304EA" w:rsidRPr="00EB5B1D" w:rsidRDefault="00663362" w:rsidP="00F304EA">
      <w:pPr>
        <w:widowControl w:val="0"/>
        <w:autoSpaceDE w:val="0"/>
        <w:autoSpaceDN w:val="0"/>
        <w:adjustRightInd w:val="0"/>
        <w:snapToGrid w:val="0"/>
        <w:spacing w:after="60"/>
        <w:rPr>
          <w:b/>
          <w:i/>
          <w:szCs w:val="22"/>
          <w:lang w:val="fr-CH"/>
        </w:rPr>
      </w:pPr>
      <w:r w:rsidRPr="00EB5B1D">
        <w:rPr>
          <w:b/>
          <w:i/>
          <w:szCs w:val="22"/>
          <w:lang w:val="fr-CH"/>
        </w:rPr>
        <w:t>Número de CAS:</w:t>
      </w:r>
      <w:r w:rsidR="00F304EA" w:rsidRPr="00EB5B1D">
        <w:rPr>
          <w:b/>
          <w:i/>
          <w:szCs w:val="22"/>
          <w:lang w:val="fr-CH"/>
        </w:rPr>
        <w:t xml:space="preserve"> </w:t>
      </w:r>
      <w:r w:rsidR="006F7CC0" w:rsidRPr="00EB5B1D">
        <w:rPr>
          <w:szCs w:val="22"/>
          <w:lang w:val="fr-CH"/>
        </w:rPr>
        <w:t>49690-94-0, 32534-81-9, 40088-47-9, 36483-60-0, 68928-80-3</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006F7CC0" w:rsidRPr="00EB5B1D">
        <w:rPr>
          <w:lang w:val="es-ES"/>
        </w:rPr>
        <w:t>2,4,-dibromo-1-(2,4-dibromofenoxi)benceno o; éter de 2,2',4,4'-tetrabromodifenilo; 2,4,5-tribromo-1-(2,4-dibromofenoxi) benceno o; éter de 2,2',4,4',5-pentabromodifenilo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1F02A4"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se conoce ningún uso del producto químico en Guyana previo a la medida reglamentaria firme.</w:t>
      </w:r>
    </w:p>
    <w:p w:rsidR="006F7CC0" w:rsidRPr="00EB5B1D" w:rsidRDefault="006F7CC0" w:rsidP="00703DBB">
      <w:pPr>
        <w:rPr>
          <w:szCs w:val="22"/>
          <w:lang w:val="es-ES"/>
        </w:rPr>
      </w:pPr>
      <w:r w:rsidRPr="00EB5B1D">
        <w:rPr>
          <w:b/>
          <w:i/>
          <w:szCs w:val="22"/>
          <w:lang w:val="es-ES"/>
        </w:rPr>
        <w:t xml:space="preserve">Uso o usos que siguen autorizados: </w:t>
      </w:r>
      <w:r w:rsidRPr="00EB5B1D">
        <w:rPr>
          <w:szCs w:val="22"/>
          <w:lang w:val="es-ES"/>
        </w:rPr>
        <w:t>Todas las formulaciones o preparaciones y todos los usos están prohibidos por la medida reglamentaria firme.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n.º 4 de 2015 sobre el control de plaguicidas y productos químicos tóxicos (Plaguicidas prohibidos), dictada en el marco de la Ley sobre el control de plaguicidas y productos químicos tóxicos de 2000 (n.º 13 de 2000), prohíbe la importación, venta y utilización de éter de pentabromodifenilo, de éter de pentabromodifenilo de calidad comercial o de cualquier sustancia en cualquier forma que contenga éter de pentabromodifenilo y éter de pentabromodifenilo de calidad comercial.</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 y el medio ambiente</w:t>
      </w:r>
      <w:r w:rsidR="001F02A4" w:rsidRPr="00EB5B1D">
        <w:rPr>
          <w:szCs w:val="22"/>
          <w:lang w:val="es-ES_tradnl"/>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Los riesgos para los trabajadores consistieron en la carga corporal estimada del pentaBDE proveniente de la exposición ocupacional. Se determinaron riesgos inaceptables para el ser humano, incluyendo la exposición humana a través del medio ambiente y la exposición de los lactantes a través de la leche materna. También se detectaron problemas en relación con el medio ambiente acuático y terrestre a partir de la producción y/o utilización de espumas de poliuretano. Esto se consideró alarmante, especialmente para las poblaciones que dependen de los peces para su alimentación (por ejemplo, las poblaciones indígenas).</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 xml:space="preserve">Disminución de la posibilidad de riesgos y exposición a este producto químico para los seres humanos. </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El pentaBDE es un contaminante ambiental que se transporta en la atmósfera a gran distancia, es persistente en el medio ambiente y se bioacumula en varias especies. El c-pentaBDE es persistente desde el punto de vista biológico y ambiental y está reconocido como un contaminante orgánico persistente a nivel mundial en virtud del Convenio de Estocolmo (CECOP, 2006, CECOP, 2007).</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Reducción de la exposición de los seres humanos, organismos acuáticos y otros animales.</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F0768C" w:rsidRDefault="00F0768C">
      <w:pPr>
        <w:rPr>
          <w:b/>
          <w:caps/>
          <w:szCs w:val="22"/>
          <w:lang w:val="fr-CH"/>
        </w:rPr>
      </w:pPr>
      <w:r>
        <w:rPr>
          <w:b/>
          <w:caps/>
          <w:szCs w:val="22"/>
          <w:lang w:val="fr-CH"/>
        </w:rPr>
        <w:br w:type="page"/>
      </w:r>
    </w:p>
    <w:p w:rsidR="006F4865" w:rsidRPr="00EB5B1D" w:rsidRDefault="006F4865" w:rsidP="006F4865">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6F4865" w:rsidRPr="00EB5B1D" w:rsidRDefault="00663362" w:rsidP="006F4865">
      <w:pPr>
        <w:widowControl w:val="0"/>
        <w:autoSpaceDE w:val="0"/>
        <w:autoSpaceDN w:val="0"/>
        <w:adjustRightInd w:val="0"/>
        <w:snapToGrid w:val="0"/>
        <w:spacing w:after="60"/>
        <w:rPr>
          <w:szCs w:val="22"/>
          <w:lang w:val="fr-CH"/>
        </w:rPr>
      </w:pPr>
      <w:r w:rsidRPr="00EB5B1D">
        <w:rPr>
          <w:b/>
          <w:i/>
          <w:szCs w:val="22"/>
          <w:lang w:val="fr-CH"/>
        </w:rPr>
        <w:t>Nombre común:</w:t>
      </w:r>
      <w:r w:rsidR="006F4865" w:rsidRPr="00EB5B1D">
        <w:rPr>
          <w:b/>
          <w:i/>
          <w:szCs w:val="22"/>
          <w:lang w:val="fr-CH"/>
        </w:rPr>
        <w:t xml:space="preserve"> </w:t>
      </w:r>
      <w:r w:rsidR="006F4865" w:rsidRPr="00EB5B1D">
        <w:rPr>
          <w:szCs w:val="22"/>
          <w:lang w:val="fr-CH"/>
        </w:rPr>
        <w:t xml:space="preserve">Ácido perfluorooctano sulfónico, sulfonatos de perfluorooctano, sulfonamidas de perfluorooctano y perfluorooctanos sulfonilos </w:t>
      </w:r>
    </w:p>
    <w:p w:rsidR="006F4865" w:rsidRPr="00EB5B1D" w:rsidRDefault="00663362" w:rsidP="006F4865">
      <w:pPr>
        <w:widowControl w:val="0"/>
        <w:autoSpaceDE w:val="0"/>
        <w:autoSpaceDN w:val="0"/>
        <w:adjustRightInd w:val="0"/>
        <w:snapToGrid w:val="0"/>
        <w:spacing w:after="60"/>
        <w:rPr>
          <w:szCs w:val="22"/>
          <w:lang w:val="fr-CH"/>
        </w:rPr>
      </w:pPr>
      <w:r w:rsidRPr="00EB5B1D">
        <w:rPr>
          <w:b/>
          <w:i/>
          <w:szCs w:val="22"/>
          <w:lang w:val="fr-CH"/>
        </w:rPr>
        <w:t>Número de CAS:</w:t>
      </w:r>
      <w:r w:rsidR="006F4865" w:rsidRPr="00EB5B1D">
        <w:rPr>
          <w:szCs w:val="22"/>
          <w:lang w:val="fr-CH"/>
        </w:rPr>
        <w:t>1691-99-2, 1763-23-1, 24448-09-7, 251099-16-8, 2795-39-3, 29081-56-9, 29457-72-5, 307-35-7, 31506-32-8, 4151-50-2, 56773-42-3, 70225-14-8, 45298-90-6</w:t>
      </w:r>
    </w:p>
    <w:p w:rsidR="006F4865" w:rsidRPr="00EB5B1D" w:rsidRDefault="006F4865" w:rsidP="006F4865">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Pr="00EB5B1D">
        <w:rPr>
          <w:szCs w:val="22"/>
          <w:lang w:val="es-ES"/>
        </w:rPr>
        <w:t>Acido</w:t>
      </w:r>
      <w:r w:rsidRPr="00EB5B1D">
        <w:rPr>
          <w:b/>
          <w:i/>
          <w:szCs w:val="22"/>
          <w:lang w:val="es-ES"/>
        </w:rPr>
        <w:t xml:space="preserve"> </w:t>
      </w:r>
      <w:r w:rsidRPr="00EB5B1D">
        <w:rPr>
          <w:szCs w:val="22"/>
          <w:lang w:val="es-ES"/>
        </w:rPr>
        <w:t>1,1,2,2,3,3,4,4,5,5,6,6,7,7,8,8,8-heptadecafluoro-1-octanosulfónico, sulfonatos de perfluorooctano, sulfonamidas de perfluorooctano y perfluorooctanos sulfonilos</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1F02A4" w:rsidRPr="00EB5B1D">
        <w:rPr>
          <w:szCs w:val="22"/>
          <w:lang w:val="fr-CH"/>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se conoce ningún uso del producto químico en Guyana previo a la medida reglamentaria firme.</w:t>
      </w:r>
    </w:p>
    <w:p w:rsidR="006F4865" w:rsidRPr="00EB5B1D" w:rsidRDefault="006F4865" w:rsidP="00703DBB">
      <w:pPr>
        <w:rPr>
          <w:szCs w:val="22"/>
          <w:lang w:val="es-ES"/>
        </w:rPr>
      </w:pPr>
      <w:r w:rsidRPr="00EB5B1D">
        <w:rPr>
          <w:b/>
          <w:i/>
          <w:szCs w:val="22"/>
          <w:lang w:val="es-ES"/>
        </w:rPr>
        <w:t>Uso o usos que siguen autorizados:</w:t>
      </w:r>
      <w:r w:rsidRPr="00EB5B1D">
        <w:rPr>
          <w:szCs w:val="22"/>
          <w:lang w:val="es-ES"/>
        </w:rPr>
        <w:t xml:space="preserve"> Todas las formulaciones o preparaciones y todos los usos están prohibidos por la medida reglamentaria firme.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n.º 4 de 2015 sobre el control de plaguicidas y productos químicos tóxicos (Plaguicidas prohibidos), dictada en el marco de la Ley sobre el control de plaguicidas y productos químicos tóxicos de 2000 (n.º 13 de 2000), prohíbe la importación, venta y utilización de ácido perfluorooctano sulfónico, sulfonatos de perfluorooctano, sulfonamidas de perfluorooctano y perfluorooctanos sulfonilos o cualquier sustancia en cualquier forma que contenga ácido perfluorooctano sulfónico, sulfonatos de perfluorooctano, sulfonamidas de perfluorooctano y perfluorooctanos sulfonilos.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 y el medio ambiente</w:t>
      </w:r>
      <w:r w:rsidR="001F02A4" w:rsidRPr="00EB5B1D">
        <w:rPr>
          <w:szCs w:val="22"/>
          <w:lang w:val="es-ES_tradnl"/>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El PFOS y las sustancias relacionadas con el PFOS representan un riesgo potencial para la salud humana. En muestras de sangre humana se ha detectado PFOS en el suero de grupos ocupacionales y poblaciones en general. El PFOS se bioacumula y se une preferentemente a las proteínas en el plasma. La evaluación del peligro concluyó que el PFOS es persistente, se bioacumula y es tóxico para los mamíferos. Se ha detectado PFOS en el suero de grupos ocupacionales y poblaciones en general. Existe una asociación estadísticamente significativa entre la exposición al PFOS y el cáncer de vejiga, y parece haber mayor riesgo de casos de neoplasia del sistema reproductor masculino, de la categoría general de cánceres y tumores benignos y neoplasias del tracto gastrointestinal.</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 xml:space="preserve">Disminución de la posibilidad de riesgos y exposición a este producto químico para los seres humanos. </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El PFOS y las sustancias relacionadas con el PFOS representan un riesgo potencial para el medio ambiente.</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El PFOS es persistente en el medio ambiente, no se hidroliza, fotoliza ni volatiliza desde el medio acuático. Se ha detectado PFOS en peces y en la vida silvestre en todo el mundo. Dada la asimilación oral en peces y mamíferos y la baja tasa de eliminación, se puede concluir que el PFOS plantea preocupaciones medioambientales similares, en cuanto a la bioacumulación, a sustancias que son muy bioacumulables.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Reducción de la exposición de los organismos acuáticos y otros animales.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6F4865" w:rsidRPr="00EB5B1D" w:rsidRDefault="006F4865" w:rsidP="00F304EA">
      <w:pPr>
        <w:spacing w:after="60"/>
        <w:rPr>
          <w:lang w:val="es-ES_tradnl"/>
        </w:rPr>
      </w:pPr>
    </w:p>
    <w:p w:rsidR="00E839E9" w:rsidRPr="00EB5B1D" w:rsidRDefault="00E839E9" w:rsidP="00F304EA">
      <w:pPr>
        <w:keepNext/>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6F7CC0" w:rsidRPr="00EB5B1D" w:rsidRDefault="00663362" w:rsidP="006B06B9">
      <w:pPr>
        <w:widowControl w:val="0"/>
        <w:tabs>
          <w:tab w:val="left" w:pos="4680"/>
        </w:tabs>
        <w:autoSpaceDE w:val="0"/>
        <w:autoSpaceDN w:val="0"/>
        <w:adjustRightInd w:val="0"/>
        <w:snapToGrid w:val="0"/>
        <w:spacing w:after="60"/>
        <w:rPr>
          <w:szCs w:val="22"/>
          <w:lang w:val="fr-CH"/>
        </w:rPr>
      </w:pPr>
      <w:r w:rsidRPr="00EB5B1D">
        <w:rPr>
          <w:b/>
          <w:i/>
          <w:szCs w:val="22"/>
          <w:lang w:val="fr-CH"/>
        </w:rPr>
        <w:t>Nombre común:</w:t>
      </w:r>
      <w:r w:rsidR="006F7CC0" w:rsidRPr="00EB5B1D">
        <w:rPr>
          <w:b/>
          <w:i/>
          <w:szCs w:val="22"/>
          <w:lang w:val="fr-CH"/>
        </w:rPr>
        <w:t xml:space="preserve"> </w:t>
      </w:r>
      <w:r w:rsidR="006F7CC0" w:rsidRPr="00EB5B1D">
        <w:rPr>
          <w:szCs w:val="22"/>
          <w:lang w:val="fr-CH"/>
        </w:rPr>
        <w:t>Bifenilos polibromados (PBB)</w:t>
      </w:r>
      <w:r w:rsidR="006B06B9" w:rsidRPr="00EB5B1D">
        <w:rPr>
          <w:szCs w:val="22"/>
          <w:lang w:val="fr-CH"/>
        </w:rPr>
        <w:tab/>
      </w:r>
      <w:r w:rsidRPr="00EB5B1D">
        <w:rPr>
          <w:b/>
          <w:i/>
          <w:szCs w:val="22"/>
          <w:lang w:val="fr-CH"/>
        </w:rPr>
        <w:t>Número de CAS:</w:t>
      </w:r>
      <w:r w:rsidR="006F7CC0" w:rsidRPr="00EB5B1D">
        <w:rPr>
          <w:b/>
          <w:i/>
          <w:szCs w:val="22"/>
          <w:lang w:val="fr-CH"/>
        </w:rPr>
        <w:t xml:space="preserve"> </w:t>
      </w:r>
      <w:r w:rsidR="006F7CC0" w:rsidRPr="00EB5B1D">
        <w:rPr>
          <w:szCs w:val="22"/>
          <w:lang w:val="fr-CH"/>
        </w:rPr>
        <w:t>13654-09-6, 27858-07-7, 36355-01-8</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fr-CH"/>
        </w:rPr>
        <w:t>Hexabromobifenilo, octabromobifenilo, decabromobifenilo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1F02A4"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006F7CC0" w:rsidRPr="00EB5B1D">
        <w:rPr>
          <w:szCs w:val="22"/>
          <w:lang w:val="es-ES_tradnl"/>
        </w:rPr>
        <w:t>No se conoce ningún uso del producto químico en Guyana previo a la medida reglamentaria firme.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006F7CC0" w:rsidRPr="00EB5B1D">
        <w:rPr>
          <w:szCs w:val="22"/>
          <w:lang w:val="es-ES"/>
        </w:rPr>
        <w:t>Todas las formulaciones o preparaciones y todos los usos están prohibidos por la medida reglamentaria firme.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bifenilos polibromados (PBB).</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El motivo por el que se adoptó la medida reglamentaria firme guarda relación con: </w:t>
      </w:r>
      <w:r w:rsidRPr="00EB5B1D">
        <w:rPr>
          <w:szCs w:val="22"/>
          <w:lang w:val="fr-CH"/>
        </w:rPr>
        <w:t>La salud humana y el medio ambiente</w:t>
      </w:r>
      <w:r w:rsidR="001F02A4" w:rsidRPr="00EB5B1D">
        <w:rPr>
          <w:szCs w:val="22"/>
          <w:lang w:val="fr-CH"/>
        </w:rPr>
        <w:t>.</w:t>
      </w:r>
    </w:p>
    <w:p w:rsidR="00E839E9" w:rsidRPr="00EB5B1D" w:rsidRDefault="00E839E9" w:rsidP="00FD2F13">
      <w:pPr>
        <w:widowControl w:val="0"/>
        <w:autoSpaceDE w:val="0"/>
        <w:autoSpaceDN w:val="0"/>
        <w:adjustRightInd w:val="0"/>
        <w:snapToGrid w:val="0"/>
        <w:spacing w:after="60"/>
        <w:ind w:firstLine="14"/>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Ocupacional / Uso: Se han detectado niveles en sangre de hasta 85 µg/l en trabajadores.</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Los PBB se acumulan en las cadenas alimentarias, existen pruebas de toxicidad crónica para varias especies, debido a que son embriotóxicas y teratogénicas. Además, su uso se ha discontinuado debido a que se descubrió que representa un peligro para la salud humana después de su uso accidental en Michigan en 1973.</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Efecto previsto de la medida reglamentaria firme en relación con la salud humana: </w:t>
      </w:r>
      <w:r w:rsidRPr="00EB5B1D">
        <w:rPr>
          <w:szCs w:val="22"/>
          <w:lang w:val="es-ES_tradnl"/>
        </w:rPr>
        <w:t xml:space="preserve">Disminución de la posibilidad de riesgos y exposición a este producto químico para los seres humanos. </w:t>
      </w:r>
    </w:p>
    <w:p w:rsidR="00E839E9" w:rsidRPr="00EB5B1D" w:rsidRDefault="00E839E9" w:rsidP="00FD2F13">
      <w:pPr>
        <w:widowControl w:val="0"/>
        <w:autoSpaceDE w:val="0"/>
        <w:autoSpaceDN w:val="0"/>
        <w:adjustRightInd w:val="0"/>
        <w:snapToGrid w:val="0"/>
        <w:spacing w:after="60"/>
        <w:ind w:firstLine="14"/>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Es persistente en el agua y el suelo, se degrada en presencia de la luz ultravioleta.</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Los PBB se bioconcentran fácilmente en los peces (factor de magnificación: 10 000).</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 xml:space="preserve">Reducción de la exposición de la vida acuática, aviar y otros animales. </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E839E9" w:rsidRPr="00EB5B1D" w:rsidRDefault="00E839E9" w:rsidP="00FD2F13">
      <w:pPr>
        <w:widowControl w:val="0"/>
        <w:pBdr>
          <w:bottom w:val="single" w:sz="4" w:space="1" w:color="auto"/>
        </w:pBdr>
        <w:autoSpaceDE w:val="0"/>
        <w:autoSpaceDN w:val="0"/>
        <w:adjustRightInd w:val="0"/>
        <w:snapToGrid w:val="0"/>
        <w:spacing w:after="60"/>
        <w:rPr>
          <w:szCs w:val="22"/>
          <w:lang w:val="es-ES_tradnl"/>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1F02A4"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Nombre común:</w:t>
      </w:r>
      <w:r w:rsidR="001F02A4" w:rsidRPr="00EB5B1D">
        <w:rPr>
          <w:b/>
          <w:i/>
          <w:szCs w:val="22"/>
          <w:lang w:val="fr-CH"/>
        </w:rPr>
        <w:t xml:space="preserve"> </w:t>
      </w:r>
      <w:r w:rsidR="001F02A4" w:rsidRPr="00EB5B1D">
        <w:rPr>
          <w:szCs w:val="22"/>
          <w:lang w:val="fr-CH"/>
        </w:rPr>
        <w:t>Bifenilos policlorados (PCB)</w:t>
      </w:r>
      <w:r w:rsidR="001F02A4" w:rsidRPr="00EB5B1D">
        <w:rPr>
          <w:b/>
          <w:i/>
          <w:szCs w:val="22"/>
          <w:lang w:val="fr-CH"/>
        </w:rPr>
        <w:tab/>
      </w:r>
      <w:r w:rsidR="001F02A4" w:rsidRPr="00EB5B1D">
        <w:rPr>
          <w:b/>
          <w:i/>
          <w:szCs w:val="22"/>
          <w:lang w:val="fr-CH"/>
        </w:rPr>
        <w:tab/>
      </w:r>
      <w:r w:rsidR="001F02A4" w:rsidRPr="00EB5B1D">
        <w:rPr>
          <w:b/>
          <w:i/>
          <w:szCs w:val="22"/>
          <w:lang w:val="fr-CH"/>
        </w:rPr>
        <w:tab/>
      </w:r>
      <w:r w:rsidR="006B06B9" w:rsidRPr="00EB5B1D">
        <w:rPr>
          <w:b/>
          <w:i/>
          <w:szCs w:val="22"/>
          <w:lang w:val="fr-CH"/>
        </w:rPr>
        <w:tab/>
      </w:r>
      <w:r w:rsidRPr="00EB5B1D">
        <w:rPr>
          <w:b/>
          <w:i/>
          <w:szCs w:val="22"/>
          <w:lang w:val="fr-CH"/>
        </w:rPr>
        <w:t>Número de CAS:</w:t>
      </w:r>
      <w:r w:rsidR="001F02A4" w:rsidRPr="00EB5B1D">
        <w:rPr>
          <w:b/>
          <w:i/>
          <w:szCs w:val="22"/>
          <w:lang w:val="fr-CH"/>
        </w:rPr>
        <w:t xml:space="preserve"> </w:t>
      </w:r>
      <w:r w:rsidR="001F02A4" w:rsidRPr="00EB5B1D">
        <w:rPr>
          <w:szCs w:val="22"/>
          <w:lang w:val="fr-CH"/>
        </w:rPr>
        <w:t>1336-36-3</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fr-CH"/>
        </w:rPr>
        <w:t>Bifenilos policlorados</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663362"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006F7CC0" w:rsidRPr="00EB5B1D">
        <w:rPr>
          <w:szCs w:val="22"/>
          <w:lang w:val="es-ES_tradnl"/>
        </w:rPr>
        <w:t>No se conoce ningún uso del producto químico en Guyana previo a la medida reglamentaria firme.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006F7CC0" w:rsidRPr="00EB5B1D">
        <w:rPr>
          <w:szCs w:val="22"/>
          <w:lang w:val="es-ES_tradnl"/>
        </w:rPr>
        <w:t>Todas las formulaciones o preparaciones y todos los usos están prohibidos por la medida reglamentaria firme.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bifenilos policlorados (PCB).</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 y el medio ambiente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Ocupacional / Uso: La principal vía de absorción es la inhalación. Límite de exposición ocupacional: 0,5 mg/m</w:t>
      </w:r>
      <w:r w:rsidRPr="00EB5B1D">
        <w:rPr>
          <w:szCs w:val="22"/>
          <w:vertAlign w:val="superscript"/>
          <w:lang w:val="es-ES_tradnl"/>
        </w:rPr>
        <w:t>3</w:t>
      </w:r>
      <w:r w:rsidRPr="00EB5B1D">
        <w:rPr>
          <w:szCs w:val="22"/>
          <w:lang w:val="es-ES_tradnl"/>
        </w:rPr>
        <w:t xml:space="preserve"> (promedio ponderado en el tiempo (TWA) de 8 horas). En el tejido adiposo de hombres expuestos ocupacionalmente se han encontrado concentraciones de hasta 700 mg/kg.</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Persistencia en el medio ambiente, bioacumulación en la cadena alimentaria humana, impurezas extremadamente tóxicas, formación de sustancias extremadamente tóxicas en la termólisis, nocividad para la salud humana, toxicidad crónica, contaminación del medio ambiente.</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Estudios con seres humanos han demostrado que la exposición a PCB conduce a anomalías de la piel (forma de acné), aunque hay fuertes evidencias de que esto ocurre sólo en combinación con los dibenzofuranos policlorados (PCDF). En caso de intoxicación accidental se indica que los efectos pueden ser el retraso del crecimiento fetal y la alteración del crecimiento fetal, el retraso y la alteración del metabolismo del calcio en relación con la disfunción hormonal. Hay serias evidencias a partir de estudios de mortalidad humana de que los PCB producen cáncer de hígado, del tracto biliar y de la vesícula biliar.</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Disminución de la posibilidad de riesgos y exposición a este producto químico para los seres humanos.</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Destino final: Los PCB con cinco o más átomos de cloro son bastante resistentes a la biodegradación, pero la fotólisis puede dar como resultado una cierta degradación de los PCB altamente clorados. Su vida media en el suelo es de 5 años.</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Efectos: El factor de bioconcentración en los peces y crustáceos es de 270 000. DL50 en peces: 3 - 3000/µg/l, crustáceos: 10 - 2400/µg/l (Aroclor 1254, muy sensible). Concentración admisible en el agua para proteger la vida acuática: 30/µg/l. Persistencia en el medio ambiente, bioacumulación en la cadena alimentaria humana, impurezas extremadamente tóxicas, formación de sustancias extremadamente tóxicas en la termólisis, nocividad para la salud humana, toxicidad crónica, contaminación del medio ambiente.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Reducción de la exposición de la vida acuática, aviar y otros animales.</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E839E9" w:rsidRPr="00EB5B1D" w:rsidRDefault="00E839E9" w:rsidP="00FD2F13">
      <w:pPr>
        <w:widowControl w:val="0"/>
        <w:pBdr>
          <w:bottom w:val="single" w:sz="4" w:space="1" w:color="auto"/>
        </w:pBdr>
        <w:autoSpaceDE w:val="0"/>
        <w:autoSpaceDN w:val="0"/>
        <w:adjustRightInd w:val="0"/>
        <w:snapToGrid w:val="0"/>
        <w:spacing w:after="60"/>
        <w:rPr>
          <w:szCs w:val="22"/>
          <w:lang w:val="es-ES_tradnl"/>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663362"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 xml:space="preserve">Nombre común: </w:t>
      </w:r>
      <w:r w:rsidRPr="00EB5B1D">
        <w:rPr>
          <w:szCs w:val="22"/>
          <w:lang w:val="fr-CH"/>
        </w:rPr>
        <w:t>Tetraetilo de plomo</w:t>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t xml:space="preserve">Número de CAS: </w:t>
      </w:r>
      <w:r w:rsidRPr="00EB5B1D">
        <w:rPr>
          <w:szCs w:val="22"/>
          <w:lang w:val="fr-CH"/>
        </w:rPr>
        <w:t>78-00-2</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fr-CH"/>
        </w:rPr>
        <w:t>Plumbano, tetraetil-</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663362"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aplicable.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Pr="00EB5B1D">
        <w:rPr>
          <w:szCs w:val="22"/>
          <w:lang w:val="es-ES_tradnl"/>
        </w:rPr>
        <w:t>No aplicable.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tetraetilo de plomo y tetrametilo de plomo.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El motivo por el que se adoptó la medida reglamentaria firme guarda relación con: </w:t>
      </w:r>
      <w:r w:rsidRPr="00EB5B1D">
        <w:rPr>
          <w:szCs w:val="22"/>
          <w:lang w:val="fr-CH"/>
        </w:rPr>
        <w:t>La salud humana</w:t>
      </w:r>
      <w:r w:rsidR="00663362"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Una fuente importante de exposición humana al plomo han sido los compuestos de plomo inorgánicos emitidos por el proceso de combustión como resultado directo del uso de alquilo de plomo como aditivo en la gasolina. El plomo emitido a partir del tubo de escape de los vehículos s principalmente en forma de partículas inorgánicas (por ejemplo, el PbBrCI), con solamente pequeñas cantidades (menos del 10 % de las emisiones totales) en forma de vapores de organoplomo (</w:t>
      </w:r>
      <w:r w:rsidRPr="00EB5B1D">
        <w:rPr>
          <w:i/>
          <w:iCs/>
          <w:szCs w:val="22"/>
          <w:lang w:val="es-ES_tradnl"/>
        </w:rPr>
        <w:t>Royal Society of Canada</w:t>
      </w:r>
      <w:r w:rsidRPr="00EB5B1D">
        <w:rPr>
          <w:szCs w:val="22"/>
          <w:lang w:val="es-ES_tradnl"/>
        </w:rPr>
        <w:t>, septiembre de 1986). Por lo tanto, el debate sobre las propiedades toxicológicas se centra en los riesgos para la salud humana asociados a la exposición al plomo, al tetraetilo de plomo y al tetrametilo de plomo.</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Disminución de la posibilidad de riesgos y exposición a este producto químico para los seres humanos.</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E839E9" w:rsidRPr="00EB5B1D" w:rsidRDefault="00E839E9" w:rsidP="00FD2F13">
      <w:pPr>
        <w:widowControl w:val="0"/>
        <w:pBdr>
          <w:bottom w:val="single" w:sz="4" w:space="1" w:color="auto"/>
        </w:pBdr>
        <w:autoSpaceDE w:val="0"/>
        <w:autoSpaceDN w:val="0"/>
        <w:adjustRightInd w:val="0"/>
        <w:snapToGrid w:val="0"/>
        <w:spacing w:after="60"/>
        <w:rPr>
          <w:szCs w:val="22"/>
          <w:lang w:val="es-ES_tradnl"/>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663362"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 xml:space="preserve">Nombre común: </w:t>
      </w:r>
      <w:r w:rsidRPr="00EB5B1D">
        <w:rPr>
          <w:szCs w:val="22"/>
          <w:lang w:val="fr-CH"/>
        </w:rPr>
        <w:t>Tetrametilo de plomo</w:t>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t xml:space="preserve">Número de CAS: </w:t>
      </w:r>
      <w:r w:rsidRPr="00EB5B1D">
        <w:rPr>
          <w:szCs w:val="22"/>
          <w:lang w:val="fr-CH"/>
        </w:rPr>
        <w:t>75-74-1</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fr-CH"/>
        </w:rPr>
        <w:t>Plumbano, tetrametil-</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aplicable.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Pr="00EB5B1D">
        <w:rPr>
          <w:szCs w:val="22"/>
          <w:lang w:val="es-ES_tradnl"/>
        </w:rPr>
        <w:t>No aplicable.</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tetraetilo de plomo y tetrametilo de plomo.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El motivo por el que se adoptó la medida reglamentaria firme guarda relación con: </w:t>
      </w:r>
      <w:r w:rsidRPr="00EB5B1D">
        <w:rPr>
          <w:szCs w:val="22"/>
          <w:lang w:val="fr-CH"/>
        </w:rPr>
        <w:t>La salud humana</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Una fuente importante de exposición humana al plomo han sido los compuestos de plomo inorgánicos emitidos por el proceso de combustión como resultado directo del uso de alquilo de plomo como aditivo en la gasolina. El plomo emitido a partir del tubo de escape de los vehículos s principalmente en forma de partículas inorgánicas (por ejemplo, el PbBrCI), con solamente pequeñas cantidades (menos del 10 % de las emisiones totales) en forma de vapores de organoplomo (</w:t>
      </w:r>
      <w:r w:rsidRPr="00EB5B1D">
        <w:rPr>
          <w:i/>
          <w:iCs/>
          <w:szCs w:val="22"/>
          <w:lang w:val="es-ES_tradnl"/>
        </w:rPr>
        <w:t>Royal Society of Canada</w:t>
      </w:r>
      <w:r w:rsidRPr="00EB5B1D">
        <w:rPr>
          <w:szCs w:val="22"/>
          <w:lang w:val="es-ES_tradnl"/>
        </w:rPr>
        <w:t>, septiembre de 1986). Por lo tanto, el debate sobre las propiedades toxicológicas se centra en los riesgos para la salud humana asociados a la exposición al plomo, al tetraetilo de plomo y al tetrametilo de plomo.</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Disminución de la posibilidad de riesgos y exposición a este producto químico para los seres humanos.</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6F4865" w:rsidRPr="00EB5B1D" w:rsidRDefault="006F4865" w:rsidP="006F4865">
      <w:pPr>
        <w:widowControl w:val="0"/>
        <w:pBdr>
          <w:bottom w:val="single" w:sz="4" w:space="1" w:color="auto"/>
        </w:pBdr>
        <w:autoSpaceDE w:val="0"/>
        <w:autoSpaceDN w:val="0"/>
        <w:adjustRightInd w:val="0"/>
        <w:snapToGrid w:val="0"/>
        <w:spacing w:after="60"/>
        <w:rPr>
          <w:szCs w:val="22"/>
          <w:lang w:val="es-ES_tradnl"/>
        </w:rPr>
      </w:pPr>
    </w:p>
    <w:p w:rsidR="006F4865" w:rsidRPr="00EB5B1D" w:rsidRDefault="006F4865" w:rsidP="006F4865">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Guyana</w:t>
      </w:r>
    </w:p>
    <w:p w:rsidR="00663362" w:rsidRPr="00EB5B1D" w:rsidRDefault="00663362" w:rsidP="006F4865">
      <w:pPr>
        <w:widowControl w:val="0"/>
        <w:autoSpaceDE w:val="0"/>
        <w:autoSpaceDN w:val="0"/>
        <w:adjustRightInd w:val="0"/>
        <w:snapToGrid w:val="0"/>
        <w:spacing w:after="60"/>
        <w:rPr>
          <w:b/>
          <w:i/>
          <w:szCs w:val="22"/>
          <w:lang w:val="fr-CH"/>
        </w:rPr>
      </w:pPr>
      <w:r w:rsidRPr="00EB5B1D">
        <w:rPr>
          <w:b/>
          <w:i/>
          <w:szCs w:val="22"/>
          <w:lang w:val="fr-CH"/>
        </w:rPr>
        <w:t xml:space="preserve">Nombre común: </w:t>
      </w:r>
      <w:r w:rsidRPr="00EB5B1D">
        <w:rPr>
          <w:szCs w:val="22"/>
          <w:lang w:val="fr-CH"/>
        </w:rPr>
        <w:t xml:space="preserve">Fosfato de </w:t>
      </w:r>
      <w:proofErr w:type="gramStart"/>
      <w:r w:rsidRPr="00EB5B1D">
        <w:rPr>
          <w:szCs w:val="22"/>
          <w:lang w:val="fr-CH"/>
        </w:rPr>
        <w:t>tris(</w:t>
      </w:r>
      <w:proofErr w:type="gramEnd"/>
      <w:r w:rsidRPr="00EB5B1D">
        <w:rPr>
          <w:szCs w:val="22"/>
          <w:lang w:val="fr-CH"/>
        </w:rPr>
        <w:t>2,3-dibromopropilo)</w:t>
      </w:r>
      <w:r w:rsidRPr="00EB5B1D">
        <w:rPr>
          <w:b/>
          <w:i/>
          <w:szCs w:val="22"/>
          <w:lang w:val="fr-CH"/>
        </w:rPr>
        <w:tab/>
      </w:r>
      <w:r w:rsidRPr="00EB5B1D">
        <w:rPr>
          <w:b/>
          <w:i/>
          <w:szCs w:val="22"/>
          <w:lang w:val="fr-CH"/>
        </w:rPr>
        <w:tab/>
      </w:r>
      <w:r w:rsidR="006B06B9" w:rsidRPr="00EB5B1D">
        <w:rPr>
          <w:b/>
          <w:i/>
          <w:szCs w:val="22"/>
          <w:lang w:val="fr-CH"/>
        </w:rPr>
        <w:tab/>
      </w:r>
      <w:r w:rsidRPr="00EB5B1D">
        <w:rPr>
          <w:b/>
          <w:i/>
          <w:szCs w:val="22"/>
          <w:lang w:val="fr-CH"/>
        </w:rPr>
        <w:t xml:space="preserve">Número de CAS: </w:t>
      </w:r>
      <w:r w:rsidRPr="00EB5B1D">
        <w:rPr>
          <w:szCs w:val="22"/>
          <w:lang w:val="fr-CH"/>
        </w:rPr>
        <w:t>126-72-7</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Nombre químico: </w:t>
      </w:r>
      <w:r w:rsidRPr="00EB5B1D">
        <w:rPr>
          <w:szCs w:val="22"/>
          <w:lang w:val="it-IT"/>
        </w:rPr>
        <w:t>2,3-Dibromo-1-propanol, fosfato (3:1);</w:t>
      </w:r>
      <w:r w:rsidRPr="00EB5B1D">
        <w:rPr>
          <w:b/>
          <w:i/>
          <w:szCs w:val="22"/>
          <w:lang w:val="it-IT"/>
        </w:rPr>
        <w:t xml:space="preserve"> </w:t>
      </w:r>
      <w:r w:rsidRPr="00EB5B1D">
        <w:rPr>
          <w:szCs w:val="22"/>
          <w:lang w:val="fr-CH"/>
        </w:rPr>
        <w:t>1-Propanol, 2,3-dibromo-, fosfato (3:1)</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que se ha tomado para la categoría: </w:t>
      </w:r>
      <w:r w:rsidRPr="00EB5B1D">
        <w:rPr>
          <w:szCs w:val="22"/>
          <w:lang w:val="fr-CH"/>
        </w:rPr>
        <w:t>Industrial</w:t>
      </w:r>
    </w:p>
    <w:p w:rsidR="006F4865" w:rsidRPr="00EB5B1D" w:rsidRDefault="006F4865" w:rsidP="006F4865">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663362" w:rsidRPr="00EB5B1D">
        <w:rPr>
          <w:szCs w:val="22"/>
          <w:lang w:val="fr-CH"/>
        </w:rPr>
        <w:t>.</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Pr="00EB5B1D">
        <w:rPr>
          <w:szCs w:val="22"/>
          <w:lang w:val="es-ES_tradnl"/>
        </w:rPr>
        <w:t>No aplicable.</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La medida reglamentaria firme se tomó sobre la base de una evaluación de riesgos o peligros: </w:t>
      </w:r>
      <w:r w:rsidRPr="00EB5B1D">
        <w:rPr>
          <w:szCs w:val="22"/>
          <w:lang w:val="es-ES_tradnl"/>
        </w:rPr>
        <w:t>Si</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La Orden n</w:t>
      </w:r>
      <w:proofErr w:type="gramStart"/>
      <w:r w:rsidRPr="00EB5B1D">
        <w:rPr>
          <w:szCs w:val="22"/>
          <w:lang w:val="es-ES_tradnl"/>
        </w:rPr>
        <w:t>.º</w:t>
      </w:r>
      <w:proofErr w:type="gramEnd"/>
      <w:r w:rsidRPr="00EB5B1D">
        <w:rPr>
          <w:szCs w:val="22"/>
          <w:lang w:val="es-ES_tradnl"/>
        </w:rPr>
        <w:t xml:space="preserve"> 4 de 2015 sobre el control de plaguicidas y productos químicos tóxicos (Plaguicidas prohibidos), dictada en el marco de la Ley sobre el control de plaguicidas y productos químicos tóxicos de 2000 (n.º 13 de 2000), prohíbe la importación, venta y utilización de fosfato de tris(2,3-dibromopropilo).</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El motivo por el que se adoptó la medida reglamentaria firme guarda relación con: </w:t>
      </w:r>
      <w:r w:rsidRPr="00EB5B1D">
        <w:rPr>
          <w:szCs w:val="22"/>
          <w:lang w:val="es-ES_tradnl"/>
        </w:rPr>
        <w:t>La salud humana y el medio ambiente</w:t>
      </w:r>
      <w:r w:rsidR="00663362" w:rsidRPr="00EB5B1D">
        <w:rPr>
          <w:szCs w:val="22"/>
          <w:lang w:val="es-ES_tradnl"/>
        </w:rPr>
        <w:t>.</w:t>
      </w:r>
    </w:p>
    <w:p w:rsidR="006F4865" w:rsidRPr="00EB5B1D" w:rsidRDefault="006F4865" w:rsidP="006F4865">
      <w:pPr>
        <w:widowControl w:val="0"/>
        <w:autoSpaceDE w:val="0"/>
        <w:autoSpaceDN w:val="0"/>
        <w:adjustRightInd w:val="0"/>
        <w:snapToGrid w:val="0"/>
        <w:spacing w:after="60"/>
        <w:ind w:firstLine="14"/>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 xml:space="preserve">Se considera que el fosfato de </w:t>
      </w:r>
      <w:proofErr w:type="gramStart"/>
      <w:r w:rsidRPr="00EB5B1D">
        <w:rPr>
          <w:szCs w:val="22"/>
          <w:lang w:val="es-ES_tradnl"/>
        </w:rPr>
        <w:t>tris(</w:t>
      </w:r>
      <w:proofErr w:type="gramEnd"/>
      <w:r w:rsidRPr="00EB5B1D">
        <w:rPr>
          <w:szCs w:val="22"/>
          <w:lang w:val="es-ES_tradnl"/>
        </w:rPr>
        <w:t>2,3-dibromopropilo) puede ser carcinógeno para los seres humanos.</w:t>
      </w:r>
    </w:p>
    <w:p w:rsidR="006F4865" w:rsidRPr="00EB5B1D" w:rsidRDefault="006F4865" w:rsidP="006F4865">
      <w:pPr>
        <w:widowControl w:val="0"/>
        <w:autoSpaceDE w:val="0"/>
        <w:autoSpaceDN w:val="0"/>
        <w:adjustRightInd w:val="0"/>
        <w:snapToGrid w:val="0"/>
        <w:spacing w:after="60"/>
        <w:rPr>
          <w:szCs w:val="22"/>
          <w:lang w:val="es-ES_tradnl"/>
        </w:rPr>
      </w:pPr>
      <w:r w:rsidRPr="00EB5B1D">
        <w:rPr>
          <w:szCs w:val="22"/>
          <w:lang w:val="es-ES_tradnl"/>
        </w:rPr>
        <w:t>Tiene que evitarse la absorción a través de la piel, principal vía de entrada al cuerpo humano.</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 xml:space="preserve">Disminución de la posibilidad de riesgos y exposición a este producto químico para los seres humanos. </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Debido a la poca información disponible, se supone que el tris es relativamente persistente en el medio ambiente. No es probable que la hidrólisis, la oxidación y la fotodegradación sean procesos de destino significativos. Puede producirse una biodegradación lenta en las aguas residuales sin tratar.</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Reducción de la exposición de la vida acuática, aviar y otros animales.</w:t>
      </w:r>
    </w:p>
    <w:p w:rsidR="006F4865" w:rsidRPr="00EB5B1D" w:rsidRDefault="006F4865" w:rsidP="006F4865">
      <w:pPr>
        <w:widowControl w:val="0"/>
        <w:autoSpaceDE w:val="0"/>
        <w:autoSpaceDN w:val="0"/>
        <w:adjustRightInd w:val="0"/>
        <w:snapToGrid w:val="0"/>
        <w:spacing w:after="60"/>
        <w:rPr>
          <w:szCs w:val="22"/>
          <w:lang w:val="es-ES_tradnl"/>
        </w:rPr>
      </w:pPr>
      <w:r w:rsidRPr="00EB5B1D">
        <w:rPr>
          <w:b/>
          <w:i/>
          <w:szCs w:val="22"/>
          <w:lang w:val="es-ES_tradnl"/>
        </w:rPr>
        <w:t xml:space="preserve">Fecha de entrada en vigor de la medida reglamentaria firme: </w:t>
      </w:r>
      <w:r w:rsidRPr="00EB5B1D">
        <w:rPr>
          <w:szCs w:val="22"/>
          <w:lang w:val="es-ES_tradnl"/>
        </w:rPr>
        <w:t>02/04/2015</w:t>
      </w:r>
    </w:p>
    <w:p w:rsidR="00E839E9" w:rsidRPr="00EB5B1D" w:rsidRDefault="00E839E9" w:rsidP="00FD2F13">
      <w:pPr>
        <w:widowControl w:val="0"/>
        <w:pBdr>
          <w:bottom w:val="single" w:sz="4" w:space="1" w:color="auto"/>
        </w:pBdr>
        <w:autoSpaceDE w:val="0"/>
        <w:autoSpaceDN w:val="0"/>
        <w:adjustRightInd w:val="0"/>
        <w:snapToGrid w:val="0"/>
        <w:spacing w:after="60"/>
        <w:rPr>
          <w:szCs w:val="22"/>
          <w:lang w:val="es-ES_tradnl"/>
        </w:rPr>
      </w:pPr>
    </w:p>
    <w:p w:rsidR="00E839E9" w:rsidRPr="00EB5B1D" w:rsidRDefault="00E839E9"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Perú</w:t>
      </w:r>
    </w:p>
    <w:p w:rsidR="00663362"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 xml:space="preserve">Nombre común: </w:t>
      </w:r>
      <w:r w:rsidRPr="00EB5B1D">
        <w:rPr>
          <w:szCs w:val="22"/>
          <w:lang w:val="fr-CH"/>
        </w:rPr>
        <w:t>Clordecona</w:t>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t xml:space="preserve">Número de CAS: </w:t>
      </w:r>
      <w:r w:rsidRPr="00EB5B1D">
        <w:rPr>
          <w:szCs w:val="22"/>
          <w:lang w:val="fr-CH"/>
        </w:rPr>
        <w:t>143-50-0</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00586F79" w:rsidRPr="00EB5B1D">
        <w:rPr>
          <w:szCs w:val="17"/>
          <w:lang w:val="fr-CH"/>
        </w:rPr>
        <w:t>Decacloropentaciclo [5.3.0.0</w:t>
      </w:r>
      <w:r w:rsidR="00586F79" w:rsidRPr="00EB5B1D">
        <w:rPr>
          <w:szCs w:val="17"/>
          <w:vertAlign w:val="superscript"/>
          <w:lang w:val="fr-CH"/>
        </w:rPr>
        <w:t>2.6.</w:t>
      </w:r>
      <w:r w:rsidR="00586F79" w:rsidRPr="00EB5B1D">
        <w:rPr>
          <w:szCs w:val="17"/>
          <w:lang w:val="fr-CH"/>
        </w:rPr>
        <w:t>0</w:t>
      </w:r>
      <w:r w:rsidR="00586F79" w:rsidRPr="00EB5B1D">
        <w:rPr>
          <w:szCs w:val="17"/>
          <w:vertAlign w:val="superscript"/>
          <w:lang w:val="fr-CH"/>
        </w:rPr>
        <w:t>3.9.</w:t>
      </w:r>
      <w:r w:rsidR="00586F79" w:rsidRPr="00EB5B1D">
        <w:rPr>
          <w:szCs w:val="17"/>
          <w:lang w:val="fr-CH"/>
        </w:rPr>
        <w:t>0</w:t>
      </w:r>
      <w:r w:rsidR="00586F79" w:rsidRPr="00EB5B1D">
        <w:rPr>
          <w:szCs w:val="17"/>
          <w:vertAlign w:val="superscript"/>
          <w:lang w:val="fr-CH"/>
        </w:rPr>
        <w:t>4.8</w:t>
      </w:r>
      <w:r w:rsidR="00586F79" w:rsidRPr="00EB5B1D">
        <w:rPr>
          <w:szCs w:val="17"/>
          <w:lang w:val="fr-CH"/>
        </w:rPr>
        <w:t>] decan-5-ona</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Medida reglamentaria firme que se ha tomado para la categoría: </w:t>
      </w:r>
      <w:r w:rsidRPr="00EB5B1D">
        <w:rPr>
          <w:szCs w:val="22"/>
          <w:lang w:val="fr-CH"/>
        </w:rPr>
        <w:t>Plaguicida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663362"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Uso o usos prohibidos por la medida reglamentaria firme: </w:t>
      </w:r>
      <w:r w:rsidRPr="00EB5B1D">
        <w:rPr>
          <w:szCs w:val="22"/>
          <w:lang w:val="fr-CH"/>
        </w:rPr>
        <w:t>Plaguicida no registrado en el Perú.</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Uso o usos que siguen autorizados: </w:t>
      </w:r>
      <w:r w:rsidRPr="00EB5B1D">
        <w:rPr>
          <w:szCs w:val="22"/>
          <w:lang w:val="fr-CH"/>
        </w:rPr>
        <w:t>Ninguno, plaguicida no registrado en el Perú.</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La medida reglamentaria firme se tomó sobre la base de una evaluación de riesgos o peligros: </w:t>
      </w:r>
      <w:r w:rsidRPr="00EB5B1D">
        <w:rPr>
          <w:szCs w:val="22"/>
          <w:lang w:val="fr-CH"/>
        </w:rPr>
        <w:t>No</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Resumen de la medida reglamentaria firme: </w:t>
      </w:r>
      <w:r w:rsidRPr="00EB5B1D">
        <w:rPr>
          <w:szCs w:val="22"/>
          <w:lang w:val="fr-CH"/>
        </w:rPr>
        <w:t xml:space="preserve">Dispóngase la prohibicién del registro, Importación, formulacién local, distribucién, comercializaciön y uso de formulaciones comerciales de plaguicidas agricolas con base de clordecona lo que incluye a derivados y compuestos que con el se pudieran formular, asi como materia técnica. </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El motivo por el que se adoptó la medida reglamentaria firme guarda relación con: </w:t>
      </w:r>
      <w:r w:rsidRPr="00EB5B1D">
        <w:rPr>
          <w:szCs w:val="22"/>
          <w:lang w:val="fr-CH"/>
        </w:rPr>
        <w:t>La salud humana</w:t>
      </w:r>
      <w:r w:rsidR="00663362"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Fecha de entrada en vigor de la medida reglamentaria firme: </w:t>
      </w:r>
      <w:r w:rsidRPr="00EB5B1D">
        <w:rPr>
          <w:szCs w:val="22"/>
          <w:lang w:val="fr-CH"/>
        </w:rPr>
        <w:t>10/02/2017El plaguicida clordecona ha sido incorporado en el anexo A de la lista de sustancias a eliminar del Convenio de Estocolmo sobre Contaminantes Orgánicos Persistentes.</w:t>
      </w:r>
    </w:p>
    <w:p w:rsidR="00E839E9" w:rsidRPr="00EB5B1D" w:rsidRDefault="000D7688" w:rsidP="00FD2F13">
      <w:pPr>
        <w:widowControl w:val="0"/>
        <w:pBdr>
          <w:bottom w:val="single" w:sz="4" w:space="1" w:color="auto"/>
        </w:pBdr>
        <w:autoSpaceDE w:val="0"/>
        <w:autoSpaceDN w:val="0"/>
        <w:adjustRightInd w:val="0"/>
        <w:snapToGrid w:val="0"/>
        <w:spacing w:after="60"/>
        <w:rPr>
          <w:b/>
          <w:caps/>
          <w:szCs w:val="22"/>
          <w:lang w:val="fr-CH"/>
        </w:rPr>
      </w:pPr>
      <w:r w:rsidRPr="00EB5B1D">
        <w:rPr>
          <w:b/>
          <w:caps/>
          <w:szCs w:val="22"/>
          <w:lang w:val="fr-CH"/>
        </w:rPr>
        <w:t>Unión</w:t>
      </w:r>
      <w:r w:rsidR="00E839E9" w:rsidRPr="00EB5B1D">
        <w:rPr>
          <w:b/>
          <w:caps/>
          <w:szCs w:val="22"/>
          <w:lang w:val="fr-CH"/>
        </w:rPr>
        <w:t xml:space="preserve"> Europea</w:t>
      </w:r>
    </w:p>
    <w:p w:rsidR="00663362" w:rsidRPr="00EB5B1D" w:rsidRDefault="00663362" w:rsidP="00FD2F13">
      <w:pPr>
        <w:widowControl w:val="0"/>
        <w:autoSpaceDE w:val="0"/>
        <w:autoSpaceDN w:val="0"/>
        <w:adjustRightInd w:val="0"/>
        <w:snapToGrid w:val="0"/>
        <w:spacing w:after="60"/>
        <w:rPr>
          <w:b/>
          <w:i/>
          <w:szCs w:val="22"/>
          <w:lang w:val="fr-CH"/>
        </w:rPr>
      </w:pPr>
      <w:r w:rsidRPr="00EB5B1D">
        <w:rPr>
          <w:b/>
          <w:i/>
          <w:szCs w:val="22"/>
          <w:lang w:val="fr-CH"/>
        </w:rPr>
        <w:t xml:space="preserve">Nombre común: </w:t>
      </w:r>
      <w:r w:rsidRPr="00EB5B1D">
        <w:rPr>
          <w:szCs w:val="22"/>
          <w:lang w:val="fr-CH"/>
        </w:rPr>
        <w:t xml:space="preserve">Acetoclor </w:t>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r>
      <w:r w:rsidRPr="00EB5B1D">
        <w:rPr>
          <w:b/>
          <w:i/>
          <w:szCs w:val="22"/>
          <w:lang w:val="fr-CH"/>
        </w:rPr>
        <w:tab/>
      </w:r>
      <w:r w:rsidR="006B06B9" w:rsidRPr="00EB5B1D">
        <w:rPr>
          <w:b/>
          <w:i/>
          <w:szCs w:val="22"/>
          <w:lang w:val="fr-CH"/>
        </w:rPr>
        <w:tab/>
      </w:r>
      <w:r w:rsidRPr="00EB5B1D">
        <w:rPr>
          <w:b/>
          <w:i/>
          <w:szCs w:val="22"/>
          <w:lang w:val="fr-CH"/>
        </w:rPr>
        <w:t xml:space="preserve">Número de CAS: </w:t>
      </w:r>
      <w:r w:rsidRPr="00EB5B1D">
        <w:rPr>
          <w:szCs w:val="22"/>
          <w:lang w:val="fr-CH"/>
        </w:rPr>
        <w:t>34256-82-1</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Nombre químico: </w:t>
      </w:r>
      <w:r w:rsidRPr="00EB5B1D">
        <w:rPr>
          <w:szCs w:val="22"/>
          <w:lang w:val="fr-CH"/>
        </w:rPr>
        <w:t>2-cloro-N (etoximetil)-N-(2-etil-6-metilfenil)-acetamida</w:t>
      </w:r>
    </w:p>
    <w:p w:rsidR="00E839E9" w:rsidRPr="00EB5B1D" w:rsidRDefault="00E839E9" w:rsidP="00FD2F13">
      <w:pPr>
        <w:widowControl w:val="0"/>
        <w:autoSpaceDE w:val="0"/>
        <w:autoSpaceDN w:val="0"/>
        <w:adjustRightInd w:val="0"/>
        <w:snapToGrid w:val="0"/>
        <w:spacing w:after="60"/>
        <w:rPr>
          <w:b/>
          <w:i/>
          <w:szCs w:val="22"/>
          <w:lang w:val="fr-CH"/>
        </w:rPr>
      </w:pPr>
      <w:r w:rsidRPr="00EB5B1D">
        <w:rPr>
          <w:b/>
          <w:i/>
          <w:szCs w:val="22"/>
          <w:lang w:val="fr-CH"/>
        </w:rPr>
        <w:t xml:space="preserve">Medida reglamentaria firme que se ha tomado para la categoría: </w:t>
      </w:r>
      <w:r w:rsidRPr="00EB5B1D">
        <w:rPr>
          <w:szCs w:val="22"/>
          <w:lang w:val="fr-CH"/>
        </w:rPr>
        <w:t>Plaguicida</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Medida reglamentaria firme: </w:t>
      </w:r>
      <w:r w:rsidRPr="00EB5B1D">
        <w:rPr>
          <w:szCs w:val="22"/>
          <w:lang w:val="fr-CH"/>
        </w:rPr>
        <w:t>El producto químico está prohibido</w:t>
      </w:r>
      <w:r w:rsidR="00663362" w:rsidRPr="00EB5B1D">
        <w:rPr>
          <w:szCs w:val="22"/>
          <w:lang w:val="fr-CH"/>
        </w:rPr>
        <w:t>.</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prohibidos por la medida reglamentaria firme: </w:t>
      </w:r>
      <w:r w:rsidRPr="00EB5B1D">
        <w:rPr>
          <w:szCs w:val="22"/>
          <w:lang w:val="es-ES_tradnl"/>
        </w:rPr>
        <w:t>Todas las aplicaciones como producto de protección de plantas.</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Uso o usos que siguen autorizados: </w:t>
      </w:r>
      <w:r w:rsidR="00663362" w:rsidRPr="00EB5B1D">
        <w:rPr>
          <w:szCs w:val="22"/>
          <w:lang w:val="es-ES_tradnl"/>
        </w:rPr>
        <w:t>No pertinente.</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La medida reglamentaria firme se tomó sobre la base de una evaluación de riesgos o peligros: </w:t>
      </w:r>
      <w:r w:rsidRPr="00EB5B1D">
        <w:rPr>
          <w:szCs w:val="22"/>
          <w:lang w:val="fr-CH"/>
        </w:rPr>
        <w:t>No</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la medida reglamentaria firme: </w:t>
      </w:r>
      <w:r w:rsidRPr="00EB5B1D">
        <w:rPr>
          <w:szCs w:val="22"/>
          <w:lang w:val="es-ES_tradnl"/>
        </w:rPr>
        <w:t>Queda prohibido comercializar o utilizar productos de protección de plantas que contengan acetocloro en la Unión Europea. No está aprobada la comercialización del acetocloro de conformidad con el Reglamento (CE) N° 1107/2009 relativo a la comercialización de los productos de protección de plantas (que sustituye la Directiva 91/414/CEE).</w:t>
      </w:r>
    </w:p>
    <w:p w:rsidR="00E839E9" w:rsidRPr="00EB5B1D" w:rsidRDefault="00E839E9" w:rsidP="00FD2F13">
      <w:pPr>
        <w:widowControl w:val="0"/>
        <w:autoSpaceDE w:val="0"/>
        <w:autoSpaceDN w:val="0"/>
        <w:adjustRightInd w:val="0"/>
        <w:snapToGrid w:val="0"/>
        <w:spacing w:after="60"/>
        <w:rPr>
          <w:szCs w:val="22"/>
          <w:lang w:val="es-ES_tradnl"/>
        </w:rPr>
      </w:pPr>
      <w:r w:rsidRPr="00EB5B1D">
        <w:rPr>
          <w:szCs w:val="22"/>
          <w:lang w:val="es-ES_tradnl"/>
        </w:rPr>
        <w:t>Todas las autorizaciones para productos de protección de plantas que contenían acetocloro tuvieron que retirarse por los Estados Miembros el 23 de junio de 2012 y todos los usos de los productos de protección de plantas que contenían acetocloro quedaron prohibidos a partir del 23 de junio de 2013.</w:t>
      </w:r>
    </w:p>
    <w:p w:rsidR="00E839E9" w:rsidRPr="00EB5B1D" w:rsidRDefault="00E839E9" w:rsidP="00FD2F13">
      <w:pPr>
        <w:widowControl w:val="0"/>
        <w:autoSpaceDE w:val="0"/>
        <w:autoSpaceDN w:val="0"/>
        <w:adjustRightInd w:val="0"/>
        <w:snapToGrid w:val="0"/>
        <w:spacing w:after="60"/>
        <w:rPr>
          <w:szCs w:val="22"/>
          <w:lang w:val="fr-CH"/>
        </w:rPr>
      </w:pPr>
      <w:r w:rsidRPr="00EB5B1D">
        <w:rPr>
          <w:b/>
          <w:i/>
          <w:szCs w:val="22"/>
          <w:lang w:val="fr-CH"/>
        </w:rPr>
        <w:t xml:space="preserve">El motivo por el que se adoptó la medida reglamentaria firme guarda relación con: </w:t>
      </w:r>
      <w:r w:rsidRPr="00EB5B1D">
        <w:rPr>
          <w:szCs w:val="22"/>
          <w:lang w:val="fr-CH"/>
        </w:rPr>
        <w:t>La salud humana y el medio ambiente</w:t>
      </w:r>
      <w:r w:rsidR="00663362" w:rsidRPr="00EB5B1D">
        <w:rPr>
          <w:szCs w:val="22"/>
          <w:lang w:val="fr-CH"/>
        </w:rPr>
        <w:t>.</w:t>
      </w:r>
    </w:p>
    <w:p w:rsidR="00E839E9" w:rsidRPr="00EB5B1D" w:rsidRDefault="00E839E9" w:rsidP="00F304EA">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 la salud humana: </w:t>
      </w:r>
      <w:r w:rsidRPr="00EB5B1D">
        <w:rPr>
          <w:szCs w:val="22"/>
          <w:lang w:val="es-ES_tradnl"/>
        </w:rPr>
        <w:t>Como conclusión, no pudo demostrarse que los productos de protección de plantas que contenían acetocloro cumplieran en general con los requisitos establecidos en el Artículo 5, apartado 1, letras (a) y (b) de la Directiva 91/414/CEE.</w:t>
      </w:r>
    </w:p>
    <w:p w:rsidR="00E839E9" w:rsidRPr="00EB5B1D" w:rsidRDefault="00E839E9" w:rsidP="00F304EA">
      <w:pPr>
        <w:widowControl w:val="0"/>
        <w:autoSpaceDE w:val="0"/>
        <w:autoSpaceDN w:val="0"/>
        <w:adjustRightInd w:val="0"/>
        <w:snapToGrid w:val="0"/>
        <w:spacing w:after="60"/>
        <w:rPr>
          <w:szCs w:val="22"/>
          <w:lang w:val="es-ES_tradnl"/>
        </w:rPr>
      </w:pPr>
      <w:r w:rsidRPr="00EB5B1D">
        <w:rPr>
          <w:szCs w:val="22"/>
          <w:lang w:val="es-ES_tradnl"/>
        </w:rPr>
        <w:t>De acuerdo con la evaluación de riesgos relacionados con salud humana se identificaron los siguientes problemas:</w:t>
      </w:r>
    </w:p>
    <w:p w:rsidR="00E839E9" w:rsidRPr="00EB5B1D" w:rsidRDefault="00E839E9" w:rsidP="00586F79">
      <w:pPr>
        <w:pStyle w:val="ListParagraph"/>
        <w:widowControl w:val="0"/>
        <w:numPr>
          <w:ilvl w:val="0"/>
          <w:numId w:val="19"/>
        </w:numPr>
        <w:autoSpaceDE w:val="0"/>
        <w:autoSpaceDN w:val="0"/>
        <w:adjustRightInd w:val="0"/>
        <w:snapToGrid w:val="0"/>
        <w:spacing w:after="60"/>
        <w:contextualSpacing w:val="0"/>
        <w:rPr>
          <w:szCs w:val="22"/>
          <w:lang w:val="es-ES_tradnl"/>
        </w:rPr>
      </w:pPr>
      <w:r w:rsidRPr="00EB5B1D">
        <w:rPr>
          <w:szCs w:val="22"/>
          <w:lang w:val="es-ES_tradnl"/>
        </w:rPr>
        <w:t>La exposición potencial para los seres humanos está por encima de 100% de la ADI, cuando se consideran las concentraciones previstas de los metabolitos del agua subterránea ácido t-oxalínico, ácido t-sulfinilacético, ácido t-sulfónico y acido s-sulfónico,  que se han conclui</w:t>
      </w:r>
      <w:r w:rsidR="00F304EA" w:rsidRPr="00EB5B1D">
        <w:rPr>
          <w:szCs w:val="22"/>
          <w:lang w:val="es-ES_tradnl"/>
        </w:rPr>
        <w:t>do como metabolitos pertinentes;</w:t>
      </w:r>
    </w:p>
    <w:p w:rsidR="00E839E9" w:rsidRPr="00EB5B1D" w:rsidRDefault="00E839E9" w:rsidP="00586F79">
      <w:pPr>
        <w:pStyle w:val="ListParagraph"/>
        <w:widowControl w:val="0"/>
        <w:numPr>
          <w:ilvl w:val="0"/>
          <w:numId w:val="19"/>
        </w:numPr>
        <w:autoSpaceDE w:val="0"/>
        <w:autoSpaceDN w:val="0"/>
        <w:adjustRightInd w:val="0"/>
        <w:snapToGrid w:val="0"/>
        <w:spacing w:after="60"/>
        <w:contextualSpacing w:val="0"/>
        <w:rPr>
          <w:szCs w:val="22"/>
          <w:lang w:val="es-ES_tradnl"/>
        </w:rPr>
      </w:pPr>
      <w:r w:rsidRPr="00EB5B1D">
        <w:rPr>
          <w:szCs w:val="22"/>
          <w:lang w:val="es-ES_tradnl"/>
        </w:rPr>
        <w:t>Existe una exposición potencial para los seres humanos al metabolito acetocloro t-norcloro, cuando se extrae el agua superficial para uso de agua potable, que se ha concluido como relevante desde una perspectiva de evaluación de riesgo toxicológico. Además, los datos toxicológicos para el acetocloro t-nor</w:t>
      </w:r>
      <w:r w:rsidR="00F304EA" w:rsidRPr="00EB5B1D">
        <w:rPr>
          <w:szCs w:val="22"/>
          <w:lang w:val="es-ES_tradnl"/>
        </w:rPr>
        <w:t>cloro indican que es genotóxico;</w:t>
      </w:r>
    </w:p>
    <w:p w:rsidR="00E839E9" w:rsidRPr="00EB5B1D" w:rsidRDefault="00E839E9" w:rsidP="00586F79">
      <w:pPr>
        <w:pStyle w:val="ListParagraph"/>
        <w:widowControl w:val="0"/>
        <w:numPr>
          <w:ilvl w:val="0"/>
          <w:numId w:val="19"/>
        </w:numPr>
        <w:autoSpaceDE w:val="0"/>
        <w:autoSpaceDN w:val="0"/>
        <w:adjustRightInd w:val="0"/>
        <w:snapToGrid w:val="0"/>
        <w:spacing w:after="60"/>
        <w:contextualSpacing w:val="0"/>
        <w:rPr>
          <w:szCs w:val="22"/>
          <w:lang w:val="es-ES_tradnl"/>
        </w:rPr>
      </w:pPr>
      <w:r w:rsidRPr="00EB5B1D">
        <w:rPr>
          <w:szCs w:val="22"/>
          <w:lang w:val="es-ES_tradnl"/>
        </w:rPr>
        <w:t>Se ha identificado un alto potencial de contaminación del agua subterránea en áreas significativas de la UE por los metabolitos ácido t-oxalínico, ácido t-sulfinilacético, ácido t-sulfónico y ácido s-sulfónico, que se han resuel</w:t>
      </w:r>
      <w:r w:rsidR="00F304EA" w:rsidRPr="00EB5B1D">
        <w:rPr>
          <w:szCs w:val="22"/>
          <w:lang w:val="es-ES_tradnl"/>
        </w:rPr>
        <w:t>to como metabolitos pertinentes;</w:t>
      </w:r>
    </w:p>
    <w:p w:rsidR="00E839E9" w:rsidRPr="00EB5B1D" w:rsidRDefault="00E839E9" w:rsidP="00586F79">
      <w:pPr>
        <w:pStyle w:val="ListParagraph"/>
        <w:widowControl w:val="0"/>
        <w:numPr>
          <w:ilvl w:val="0"/>
          <w:numId w:val="19"/>
        </w:numPr>
        <w:autoSpaceDE w:val="0"/>
        <w:autoSpaceDN w:val="0"/>
        <w:adjustRightInd w:val="0"/>
        <w:snapToGrid w:val="0"/>
        <w:spacing w:after="60"/>
        <w:contextualSpacing w:val="0"/>
        <w:rPr>
          <w:szCs w:val="22"/>
          <w:lang w:val="es-ES_tradnl"/>
        </w:rPr>
      </w:pPr>
      <w:r w:rsidRPr="00EB5B1D">
        <w:rPr>
          <w:szCs w:val="22"/>
          <w:lang w:val="es-ES_tradnl"/>
        </w:rPr>
        <w:t>No hay a disposición un método válido para las cantidades residuales en los alimentos de origen vegetal.</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la salud humana: </w:t>
      </w:r>
      <w:r w:rsidRPr="00EB5B1D">
        <w:rPr>
          <w:szCs w:val="22"/>
          <w:lang w:val="es-ES_tradnl"/>
        </w:rPr>
        <w:t>Reducción de riesgos por el uso de productos de protección de plantas que contengan acetocloro.</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Resumen de los peligros y los riesgos conocidos respecto al medio ambiente: </w:t>
      </w:r>
      <w:r w:rsidRPr="00EB5B1D">
        <w:rPr>
          <w:szCs w:val="22"/>
          <w:lang w:val="es-ES_tradnl"/>
        </w:rPr>
        <w:t>Como conclusión, no pudo demostrarse que los productos de protección de plantas que contenían acetocloro cumplieran en general con los requisitos establecidos en el Artículo 5, apartado 1, letras (a) y (b) de la Directiva 91/414/CEE.</w:t>
      </w:r>
      <w:r w:rsidR="00265A71">
        <w:rPr>
          <w:szCs w:val="22"/>
          <w:lang w:val="es-ES_tradnl"/>
        </w:rPr>
        <w:t xml:space="preserve"> </w:t>
      </w:r>
      <w:r w:rsidRPr="00EB5B1D">
        <w:rPr>
          <w:szCs w:val="22"/>
          <w:lang w:val="es-ES_tradnl"/>
        </w:rPr>
        <w:t>De acuerdo con la evaluación del riesgo relacionada con el medio ambiente se identificaron los siguientes problemas:</w:t>
      </w:r>
    </w:p>
    <w:p w:rsidR="00E839E9" w:rsidRPr="00EB5B1D" w:rsidRDefault="00E839E9" w:rsidP="00586F79">
      <w:pPr>
        <w:pStyle w:val="ListParagraph"/>
        <w:widowControl w:val="0"/>
        <w:numPr>
          <w:ilvl w:val="0"/>
          <w:numId w:val="20"/>
        </w:numPr>
        <w:autoSpaceDE w:val="0"/>
        <w:autoSpaceDN w:val="0"/>
        <w:adjustRightInd w:val="0"/>
        <w:snapToGrid w:val="0"/>
        <w:spacing w:after="60"/>
        <w:contextualSpacing w:val="0"/>
        <w:rPr>
          <w:szCs w:val="22"/>
          <w:lang w:val="es-ES_tradnl"/>
        </w:rPr>
      </w:pPr>
      <w:r w:rsidRPr="00EB5B1D">
        <w:rPr>
          <w:szCs w:val="22"/>
          <w:lang w:val="es-ES_tradnl"/>
        </w:rPr>
        <w:t>El acetocloro es muy tóxico para todos los</w:t>
      </w:r>
      <w:r w:rsidR="00F304EA" w:rsidRPr="00EB5B1D">
        <w:rPr>
          <w:szCs w:val="22"/>
          <w:lang w:val="es-ES_tradnl"/>
        </w:rPr>
        <w:t xml:space="preserve"> grupos de organismos acuáticos;</w:t>
      </w:r>
    </w:p>
    <w:p w:rsidR="00E839E9" w:rsidRPr="00EB5B1D" w:rsidRDefault="00E839E9" w:rsidP="00586F79">
      <w:pPr>
        <w:pStyle w:val="ListParagraph"/>
        <w:widowControl w:val="0"/>
        <w:numPr>
          <w:ilvl w:val="0"/>
          <w:numId w:val="20"/>
        </w:numPr>
        <w:autoSpaceDE w:val="0"/>
        <w:autoSpaceDN w:val="0"/>
        <w:adjustRightInd w:val="0"/>
        <w:snapToGrid w:val="0"/>
        <w:spacing w:after="60"/>
        <w:contextualSpacing w:val="0"/>
        <w:rPr>
          <w:szCs w:val="22"/>
          <w:lang w:val="es-ES_tradnl"/>
        </w:rPr>
      </w:pPr>
      <w:r w:rsidRPr="00EB5B1D">
        <w:rPr>
          <w:szCs w:val="22"/>
          <w:lang w:val="es-ES_tradnl"/>
        </w:rPr>
        <w:t xml:space="preserve">Se indicó un alto riesgo agudo para las aves debido a la ingesta de agua potable contaminada por las </w:t>
      </w:r>
      <w:r w:rsidR="00F304EA" w:rsidRPr="00EB5B1D">
        <w:rPr>
          <w:szCs w:val="22"/>
          <w:lang w:val="es-ES_tradnl"/>
        </w:rPr>
        <w:t>aplicaciones de post emergencia;</w:t>
      </w:r>
    </w:p>
    <w:p w:rsidR="00E839E9" w:rsidRPr="00EB5B1D" w:rsidRDefault="00E839E9" w:rsidP="00586F79">
      <w:pPr>
        <w:pStyle w:val="ListParagraph"/>
        <w:widowControl w:val="0"/>
        <w:numPr>
          <w:ilvl w:val="0"/>
          <w:numId w:val="20"/>
        </w:numPr>
        <w:autoSpaceDE w:val="0"/>
        <w:autoSpaceDN w:val="0"/>
        <w:adjustRightInd w:val="0"/>
        <w:snapToGrid w:val="0"/>
        <w:spacing w:after="60"/>
        <w:contextualSpacing w:val="0"/>
        <w:rPr>
          <w:szCs w:val="22"/>
          <w:lang w:val="es-ES_tradnl"/>
        </w:rPr>
      </w:pPr>
      <w:r w:rsidRPr="00EB5B1D">
        <w:rPr>
          <w:szCs w:val="22"/>
          <w:lang w:val="es-ES_tradnl"/>
        </w:rPr>
        <w:t>Existe un alto riesgo para las plantas terrestres no objetivo. La evaluación de riesgos sugiere que se requiere una zona tampón de 5m, para proteger las plantas no objetivo en las áreas</w:t>
      </w:r>
      <w:r w:rsidR="00F304EA" w:rsidRPr="00EB5B1D">
        <w:rPr>
          <w:szCs w:val="22"/>
          <w:lang w:val="es-ES_tradnl"/>
        </w:rPr>
        <w:t xml:space="preserve"> fuera de los terrenos tratados;</w:t>
      </w:r>
    </w:p>
    <w:p w:rsidR="00E839E9" w:rsidRPr="00EB5B1D" w:rsidRDefault="00E839E9" w:rsidP="00586F79">
      <w:pPr>
        <w:pStyle w:val="ListParagraph"/>
        <w:widowControl w:val="0"/>
        <w:numPr>
          <w:ilvl w:val="0"/>
          <w:numId w:val="20"/>
        </w:numPr>
        <w:autoSpaceDE w:val="0"/>
        <w:autoSpaceDN w:val="0"/>
        <w:adjustRightInd w:val="0"/>
        <w:snapToGrid w:val="0"/>
        <w:spacing w:after="60"/>
        <w:contextualSpacing w:val="0"/>
        <w:rPr>
          <w:szCs w:val="22"/>
          <w:lang w:val="es-ES_tradnl"/>
        </w:rPr>
      </w:pPr>
      <w:r w:rsidRPr="00EB5B1D">
        <w:rPr>
          <w:szCs w:val="22"/>
          <w:lang w:val="es-ES_tradnl"/>
        </w:rPr>
        <w:t>Se ha identificado un alto riesgo a largo plazo para las aves herbívoras.</w:t>
      </w:r>
    </w:p>
    <w:p w:rsidR="00E839E9" w:rsidRPr="00EB5B1D" w:rsidRDefault="00E839E9" w:rsidP="00FD2F13">
      <w:pPr>
        <w:widowControl w:val="0"/>
        <w:autoSpaceDE w:val="0"/>
        <w:autoSpaceDN w:val="0"/>
        <w:adjustRightInd w:val="0"/>
        <w:snapToGrid w:val="0"/>
        <w:spacing w:after="60"/>
        <w:rPr>
          <w:szCs w:val="22"/>
          <w:lang w:val="es-ES_tradnl"/>
        </w:rPr>
      </w:pPr>
      <w:r w:rsidRPr="00EB5B1D">
        <w:rPr>
          <w:b/>
          <w:i/>
          <w:szCs w:val="22"/>
          <w:lang w:val="fr-CH"/>
        </w:rPr>
        <w:t xml:space="preserve">Efecto previsto de la medida reglamentaria firme en relación con el medio ambiente: </w:t>
      </w:r>
      <w:r w:rsidRPr="00EB5B1D">
        <w:rPr>
          <w:szCs w:val="22"/>
          <w:lang w:val="es-ES_tradnl"/>
        </w:rPr>
        <w:t>Reducción de riesgos por el uso de productos de protección de plantas que contengan acetocloro.</w:t>
      </w:r>
    </w:p>
    <w:p w:rsidR="00E839E9" w:rsidRPr="00EB5B1D" w:rsidRDefault="00E839E9" w:rsidP="00265A71">
      <w:pPr>
        <w:widowControl w:val="0"/>
        <w:autoSpaceDE w:val="0"/>
        <w:autoSpaceDN w:val="0"/>
        <w:adjustRightInd w:val="0"/>
        <w:snapToGrid w:val="0"/>
        <w:spacing w:after="60"/>
        <w:rPr>
          <w:szCs w:val="17"/>
          <w:lang w:val="fr-CH"/>
        </w:rPr>
      </w:pPr>
      <w:r w:rsidRPr="00EB5B1D">
        <w:rPr>
          <w:b/>
          <w:i/>
          <w:szCs w:val="22"/>
          <w:lang w:val="fr-CH"/>
        </w:rPr>
        <w:t xml:space="preserve">Fecha </w:t>
      </w:r>
      <w:proofErr w:type="gramStart"/>
      <w:r w:rsidRPr="00EB5B1D">
        <w:rPr>
          <w:b/>
          <w:i/>
          <w:szCs w:val="22"/>
          <w:lang w:val="fr-CH"/>
        </w:rPr>
        <w:t>de entrada</w:t>
      </w:r>
      <w:proofErr w:type="gramEnd"/>
      <w:r w:rsidRPr="00EB5B1D">
        <w:rPr>
          <w:b/>
          <w:i/>
          <w:szCs w:val="22"/>
          <w:lang w:val="fr-CH"/>
        </w:rPr>
        <w:t xml:space="preserve"> en vigor de la medida reglamentaria firme: </w:t>
      </w:r>
      <w:r w:rsidRPr="00EB5B1D">
        <w:rPr>
          <w:szCs w:val="22"/>
          <w:lang w:val="fr-CH"/>
        </w:rPr>
        <w:t>23/06/2013</w:t>
      </w:r>
    </w:p>
    <w:p w:rsidR="0029756D" w:rsidRPr="00EB5B1D" w:rsidRDefault="0029756D" w:rsidP="00BE3D62">
      <w:pPr>
        <w:widowControl w:val="0"/>
        <w:autoSpaceDE w:val="0"/>
        <w:autoSpaceDN w:val="0"/>
        <w:adjustRightInd w:val="0"/>
        <w:spacing w:before="80"/>
        <w:ind w:left="839" w:hanging="794"/>
        <w:jc w:val="both"/>
        <w:rPr>
          <w:szCs w:val="17"/>
          <w:lang w:val="fr-CH"/>
        </w:rPr>
        <w:sectPr w:rsidR="0029756D" w:rsidRPr="00EB5B1D" w:rsidSect="008A1D9E">
          <w:headerReference w:type="default" r:id="rId24"/>
          <w:pgSz w:w="11906" w:h="16838"/>
          <w:pgMar w:top="567" w:right="850" w:bottom="850" w:left="1134" w:header="360" w:footer="289" w:gutter="0"/>
          <w:cols w:space="720"/>
        </w:sectPr>
      </w:pPr>
    </w:p>
    <w:p w:rsidR="007B68CF" w:rsidRPr="00EB5B1D" w:rsidRDefault="00A34CFD" w:rsidP="007B68CF">
      <w:pPr>
        <w:ind w:right="23"/>
        <w:jc w:val="center"/>
        <w:rPr>
          <w:b/>
          <w:szCs w:val="22"/>
          <w:u w:val="single"/>
          <w:lang w:val="fr-CH"/>
        </w:rPr>
      </w:pPr>
      <w:r w:rsidRPr="00EB5B1D">
        <w:rPr>
          <w:b/>
          <w:szCs w:val="22"/>
          <w:lang w:val="fr-CH"/>
        </w:rPr>
        <w:t>Sinopsis de las notificaciones de medida reglamentaria firme recibidas en el marco del procedimiento de CFP</w:t>
      </w:r>
    </w:p>
    <w:p w:rsidR="007B68CF" w:rsidRPr="00EB5B1D" w:rsidRDefault="007B68CF" w:rsidP="007B68CF">
      <w:pPr>
        <w:ind w:right="23"/>
        <w:jc w:val="center"/>
        <w:rPr>
          <w:b/>
          <w:szCs w:val="22"/>
          <w:u w:val="single"/>
          <w:lang w:val="fr-CH"/>
        </w:rPr>
      </w:pPr>
    </w:p>
    <w:p w:rsidR="00340E2B" w:rsidRPr="00EB5B1D" w:rsidRDefault="00BC73C4" w:rsidP="00340E2B">
      <w:pPr>
        <w:ind w:right="23"/>
        <w:jc w:val="center"/>
        <w:outlineLvl w:val="1"/>
        <w:rPr>
          <w:b/>
          <w:sz w:val="24"/>
          <w:u w:val="single"/>
          <w:lang w:val="fr-CH"/>
        </w:rPr>
      </w:pPr>
      <w:bookmarkStart w:id="134" w:name="_Toc421544486"/>
      <w:bookmarkStart w:id="135" w:name="_Toc468869212"/>
      <w:bookmarkStart w:id="136" w:name="_Toc468870496"/>
      <w:bookmarkStart w:id="137" w:name="_Toc469002206"/>
      <w:bookmarkStart w:id="138" w:name="_Toc469005867"/>
      <w:bookmarkStart w:id="139" w:name="_Toc469052704"/>
      <w:bookmarkStart w:id="140" w:name="_Toc484686634"/>
      <w:r w:rsidRPr="00EB5B1D">
        <w:rPr>
          <w:b/>
          <w:sz w:val="24"/>
          <w:u w:val="single"/>
          <w:lang w:val="fr-CH"/>
        </w:rPr>
        <w:t>PART</w:t>
      </w:r>
      <w:r w:rsidR="00A34CFD" w:rsidRPr="00EB5B1D">
        <w:rPr>
          <w:b/>
          <w:sz w:val="24"/>
          <w:u w:val="single"/>
          <w:lang w:val="fr-CH"/>
        </w:rPr>
        <w:t>E</w:t>
      </w:r>
      <w:r w:rsidRPr="00EB5B1D">
        <w:rPr>
          <w:b/>
          <w:sz w:val="24"/>
          <w:u w:val="single"/>
          <w:lang w:val="fr-CH"/>
        </w:rPr>
        <w:t xml:space="preserve"> B</w:t>
      </w:r>
      <w:bookmarkEnd w:id="134"/>
      <w:bookmarkEnd w:id="135"/>
      <w:bookmarkEnd w:id="136"/>
      <w:bookmarkEnd w:id="137"/>
      <w:bookmarkEnd w:id="138"/>
      <w:bookmarkEnd w:id="139"/>
      <w:bookmarkEnd w:id="140"/>
    </w:p>
    <w:p w:rsidR="007B68CF" w:rsidRPr="00EB5B1D" w:rsidRDefault="007B68CF" w:rsidP="007B68CF">
      <w:pPr>
        <w:ind w:right="23"/>
        <w:jc w:val="center"/>
        <w:rPr>
          <w:b/>
          <w:sz w:val="24"/>
          <w:lang w:val="fr-CH"/>
        </w:rPr>
      </w:pPr>
    </w:p>
    <w:p w:rsidR="007B68CF" w:rsidRPr="00EB5B1D" w:rsidRDefault="009D41E2" w:rsidP="007B68CF">
      <w:pPr>
        <w:widowControl w:val="0"/>
        <w:tabs>
          <w:tab w:val="left" w:pos="900"/>
        </w:tabs>
        <w:autoSpaceDE w:val="0"/>
        <w:autoSpaceDN w:val="0"/>
        <w:adjustRightInd w:val="0"/>
        <w:ind w:right="23"/>
        <w:jc w:val="center"/>
        <w:rPr>
          <w:b/>
          <w:sz w:val="24"/>
          <w:lang w:val="fr-CH"/>
        </w:rPr>
      </w:pPr>
      <w:r w:rsidRPr="00EB5B1D">
        <w:rPr>
          <w:b/>
          <w:sz w:val="24"/>
          <w:lang w:val="fr-CH"/>
        </w:rPr>
        <w:t>NOTIFICACIONES DE MEDIDA REGLAMENTARIA FIRME QUE SE HA VERIFICADO QUE NO CONTIENE TODA LA INFORMACIÓN ESTIPULADA EN EL ANEXO I DEL CONVENIO</w:t>
      </w:r>
    </w:p>
    <w:p w:rsidR="00924575" w:rsidRPr="00EB5B1D" w:rsidRDefault="00924575" w:rsidP="007B68CF">
      <w:pPr>
        <w:widowControl w:val="0"/>
        <w:autoSpaceDE w:val="0"/>
        <w:autoSpaceDN w:val="0"/>
        <w:adjustRightInd w:val="0"/>
        <w:ind w:right="23"/>
        <w:jc w:val="both"/>
        <w:rPr>
          <w:szCs w:val="22"/>
          <w:lang w:val="fr-C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890"/>
        <w:gridCol w:w="1170"/>
        <w:gridCol w:w="1530"/>
        <w:gridCol w:w="1080"/>
        <w:gridCol w:w="1440"/>
      </w:tblGrid>
      <w:tr w:rsidR="005468BC" w:rsidRPr="00EB5B1D" w:rsidTr="00924575">
        <w:tc>
          <w:tcPr>
            <w:tcW w:w="2178" w:type="dxa"/>
          </w:tcPr>
          <w:p w:rsidR="005468BC" w:rsidRPr="00EB5B1D" w:rsidRDefault="005468BC" w:rsidP="005468BC">
            <w:pPr>
              <w:rPr>
                <w:b/>
                <w:szCs w:val="22"/>
                <w:lang w:val="en-GB"/>
              </w:rPr>
            </w:pPr>
            <w:r w:rsidRPr="00EB5B1D">
              <w:rPr>
                <w:rFonts w:eastAsia="SimSun"/>
                <w:b/>
                <w:bCs/>
                <w:szCs w:val="22"/>
                <w:lang w:val="en-GB" w:eastAsia="en-GB"/>
              </w:rPr>
              <w:t>Producto químico</w:t>
            </w:r>
          </w:p>
        </w:tc>
        <w:tc>
          <w:tcPr>
            <w:tcW w:w="1890" w:type="dxa"/>
          </w:tcPr>
          <w:p w:rsidR="005468BC" w:rsidRPr="00EB5B1D" w:rsidRDefault="005468BC" w:rsidP="005468BC">
            <w:pPr>
              <w:autoSpaceDE w:val="0"/>
              <w:autoSpaceDN w:val="0"/>
              <w:adjustRightInd w:val="0"/>
              <w:rPr>
                <w:rFonts w:eastAsia="SimSun"/>
                <w:b/>
                <w:bCs/>
                <w:szCs w:val="22"/>
                <w:lang w:val="en-GB" w:eastAsia="en-GB"/>
              </w:rPr>
            </w:pPr>
            <w:r w:rsidRPr="00EB5B1D">
              <w:rPr>
                <w:rFonts w:eastAsia="SimSun"/>
                <w:b/>
                <w:bCs/>
                <w:szCs w:val="22"/>
                <w:lang w:val="en-GB" w:eastAsia="en-GB"/>
              </w:rPr>
              <w:t>Número de</w:t>
            </w:r>
          </w:p>
          <w:p w:rsidR="005468BC" w:rsidRPr="00EB5B1D" w:rsidRDefault="005468BC" w:rsidP="005468BC">
            <w:pPr>
              <w:rPr>
                <w:b/>
                <w:szCs w:val="22"/>
                <w:lang w:val="en-GB"/>
              </w:rPr>
            </w:pPr>
            <w:r w:rsidRPr="00EB5B1D">
              <w:rPr>
                <w:rFonts w:eastAsia="SimSun"/>
                <w:b/>
                <w:bCs/>
                <w:szCs w:val="22"/>
                <w:lang w:val="en-GB" w:eastAsia="en-GB"/>
              </w:rPr>
              <w:t>CAS</w:t>
            </w:r>
          </w:p>
        </w:tc>
        <w:tc>
          <w:tcPr>
            <w:tcW w:w="1170" w:type="dxa"/>
          </w:tcPr>
          <w:p w:rsidR="005468BC" w:rsidRPr="00EB5B1D" w:rsidRDefault="005468BC" w:rsidP="005468BC">
            <w:pPr>
              <w:rPr>
                <w:b/>
                <w:szCs w:val="22"/>
                <w:lang w:val="en-GB"/>
              </w:rPr>
            </w:pPr>
            <w:r w:rsidRPr="00EB5B1D">
              <w:rPr>
                <w:rFonts w:eastAsia="SimSun"/>
                <w:b/>
                <w:bCs/>
                <w:szCs w:val="22"/>
                <w:lang w:val="en-GB" w:eastAsia="en-GB"/>
              </w:rPr>
              <w:t>Categoría</w:t>
            </w:r>
          </w:p>
        </w:tc>
        <w:tc>
          <w:tcPr>
            <w:tcW w:w="1530" w:type="dxa"/>
          </w:tcPr>
          <w:p w:rsidR="005468BC" w:rsidRPr="00EB5B1D" w:rsidRDefault="005468BC" w:rsidP="005468BC">
            <w:pPr>
              <w:rPr>
                <w:b/>
                <w:szCs w:val="22"/>
                <w:lang w:val="en-GB"/>
              </w:rPr>
            </w:pPr>
            <w:r w:rsidRPr="00EB5B1D">
              <w:rPr>
                <w:rFonts w:eastAsia="SimSun"/>
                <w:b/>
                <w:bCs/>
                <w:szCs w:val="22"/>
                <w:lang w:val="en-GB" w:eastAsia="en-GB"/>
              </w:rPr>
              <w:t>País</w:t>
            </w:r>
          </w:p>
        </w:tc>
        <w:tc>
          <w:tcPr>
            <w:tcW w:w="1080" w:type="dxa"/>
          </w:tcPr>
          <w:p w:rsidR="005468BC" w:rsidRPr="00EB5B1D" w:rsidRDefault="005468BC" w:rsidP="005468BC">
            <w:pPr>
              <w:rPr>
                <w:b/>
                <w:szCs w:val="22"/>
                <w:lang w:val="en-GB"/>
              </w:rPr>
            </w:pPr>
            <w:r w:rsidRPr="00EB5B1D">
              <w:rPr>
                <w:rFonts w:eastAsia="SimSun"/>
                <w:b/>
                <w:bCs/>
                <w:szCs w:val="22"/>
                <w:lang w:val="en-GB" w:eastAsia="en-GB"/>
              </w:rPr>
              <w:t>Región</w:t>
            </w:r>
          </w:p>
        </w:tc>
        <w:tc>
          <w:tcPr>
            <w:tcW w:w="1440" w:type="dxa"/>
          </w:tcPr>
          <w:p w:rsidR="005468BC" w:rsidRPr="00EB5B1D" w:rsidRDefault="005468BC" w:rsidP="005468BC">
            <w:pPr>
              <w:rPr>
                <w:b/>
                <w:szCs w:val="22"/>
                <w:lang w:val="en-GB"/>
              </w:rPr>
            </w:pPr>
            <w:r w:rsidRPr="00EB5B1D">
              <w:rPr>
                <w:b/>
                <w:bCs/>
                <w:szCs w:val="22"/>
              </w:rPr>
              <w:t xml:space="preserve">Annexo III </w:t>
            </w:r>
          </w:p>
        </w:tc>
      </w:tr>
      <w:tr w:rsidR="005468BC" w:rsidRPr="00EB5B1D" w:rsidTr="00924575">
        <w:tc>
          <w:tcPr>
            <w:tcW w:w="2178" w:type="dxa"/>
          </w:tcPr>
          <w:p w:rsidR="005468BC" w:rsidRPr="00EB5B1D" w:rsidRDefault="005468BC" w:rsidP="005468BC">
            <w:pPr>
              <w:rPr>
                <w:sz w:val="20"/>
                <w:szCs w:val="20"/>
                <w:lang w:val="en-GB"/>
              </w:rPr>
            </w:pPr>
            <w:r w:rsidRPr="00EB5B1D">
              <w:rPr>
                <w:sz w:val="20"/>
                <w:szCs w:val="20"/>
                <w:lang w:val="en-GB"/>
              </w:rPr>
              <w:t>Alaclor</w:t>
            </w:r>
          </w:p>
        </w:tc>
        <w:tc>
          <w:tcPr>
            <w:tcW w:w="1890" w:type="dxa"/>
          </w:tcPr>
          <w:p w:rsidR="005468BC" w:rsidRPr="00EB5B1D" w:rsidRDefault="005468BC" w:rsidP="005468BC">
            <w:pPr>
              <w:rPr>
                <w:sz w:val="20"/>
                <w:szCs w:val="20"/>
                <w:lang w:val="en-GB"/>
              </w:rPr>
            </w:pPr>
            <w:r w:rsidRPr="00EB5B1D">
              <w:rPr>
                <w:sz w:val="20"/>
                <w:szCs w:val="20"/>
                <w:lang w:val="en-GB"/>
              </w:rPr>
              <w:t>15972-60-8</w:t>
            </w:r>
          </w:p>
        </w:tc>
        <w:tc>
          <w:tcPr>
            <w:tcW w:w="1170" w:type="dxa"/>
          </w:tcPr>
          <w:p w:rsidR="005468BC" w:rsidRPr="00EB5B1D" w:rsidRDefault="005468BC" w:rsidP="005468BC">
            <w:pPr>
              <w:rPr>
                <w:sz w:val="20"/>
                <w:szCs w:val="20"/>
                <w:lang w:val="en-GB"/>
              </w:rPr>
            </w:pPr>
            <w:r w:rsidRPr="00EB5B1D">
              <w:rPr>
                <w:rFonts w:eastAsia="SimSun"/>
                <w:sz w:val="20"/>
                <w:szCs w:val="20"/>
                <w:lang w:val="en-GB" w:eastAsia="en-GB"/>
              </w:rPr>
              <w:t>Plaguicida</w:t>
            </w:r>
          </w:p>
        </w:tc>
        <w:tc>
          <w:tcPr>
            <w:tcW w:w="1530" w:type="dxa"/>
          </w:tcPr>
          <w:p w:rsidR="005468BC" w:rsidRPr="00EB5B1D" w:rsidRDefault="005468BC" w:rsidP="005468BC">
            <w:pPr>
              <w:rPr>
                <w:sz w:val="20"/>
                <w:szCs w:val="20"/>
                <w:lang w:val="en-GB"/>
              </w:rPr>
            </w:pPr>
            <w:r w:rsidRPr="00EB5B1D">
              <w:rPr>
                <w:sz w:val="20"/>
                <w:szCs w:val="20"/>
                <w:lang w:val="en-GB"/>
              </w:rPr>
              <w:t>Pakistan</w:t>
            </w:r>
          </w:p>
        </w:tc>
        <w:tc>
          <w:tcPr>
            <w:tcW w:w="1080" w:type="dxa"/>
          </w:tcPr>
          <w:p w:rsidR="005468BC" w:rsidRPr="00EB5B1D" w:rsidRDefault="005468BC" w:rsidP="005468BC">
            <w:pPr>
              <w:rPr>
                <w:sz w:val="20"/>
                <w:szCs w:val="20"/>
                <w:lang w:val="en-GB"/>
              </w:rPr>
            </w:pPr>
            <w:r w:rsidRPr="00EB5B1D">
              <w:rPr>
                <w:sz w:val="20"/>
                <w:szCs w:val="20"/>
                <w:lang w:val="en-GB"/>
              </w:rPr>
              <w:t>Asia</w:t>
            </w:r>
          </w:p>
        </w:tc>
        <w:tc>
          <w:tcPr>
            <w:tcW w:w="1440" w:type="dxa"/>
          </w:tcPr>
          <w:p w:rsidR="005468BC" w:rsidRPr="00EB5B1D" w:rsidRDefault="005468BC" w:rsidP="005468BC">
            <w:pPr>
              <w:rPr>
                <w:sz w:val="20"/>
                <w:szCs w:val="20"/>
                <w:lang w:val="en-GB"/>
              </w:rPr>
            </w:pPr>
            <w:r w:rsidRPr="00EB5B1D">
              <w:rPr>
                <w:rFonts w:eastAsia="SimSun"/>
                <w:sz w:val="20"/>
                <w:szCs w:val="20"/>
                <w:lang w:val="en-GB" w:eastAsia="en-GB"/>
              </w:rPr>
              <w:t>Sí</w:t>
            </w:r>
          </w:p>
        </w:tc>
      </w:tr>
      <w:tr w:rsidR="005468BC" w:rsidRPr="00EB5B1D" w:rsidTr="00924575">
        <w:tc>
          <w:tcPr>
            <w:tcW w:w="2178" w:type="dxa"/>
          </w:tcPr>
          <w:p w:rsidR="005468BC" w:rsidRPr="00EB5B1D" w:rsidRDefault="005468BC" w:rsidP="005468BC">
            <w:pPr>
              <w:rPr>
                <w:sz w:val="20"/>
                <w:szCs w:val="20"/>
                <w:lang w:val="en-GB"/>
              </w:rPr>
            </w:pPr>
            <w:r w:rsidRPr="00EB5B1D">
              <w:rPr>
                <w:sz w:val="20"/>
                <w:szCs w:val="20"/>
                <w:lang w:val="en-GB"/>
              </w:rPr>
              <w:t>Aldicarb</w:t>
            </w:r>
          </w:p>
        </w:tc>
        <w:tc>
          <w:tcPr>
            <w:tcW w:w="1890" w:type="dxa"/>
          </w:tcPr>
          <w:p w:rsidR="005468BC" w:rsidRPr="00EB5B1D" w:rsidRDefault="005468BC" w:rsidP="005468BC">
            <w:pPr>
              <w:rPr>
                <w:sz w:val="20"/>
                <w:szCs w:val="20"/>
                <w:lang w:val="en-GB"/>
              </w:rPr>
            </w:pPr>
            <w:r w:rsidRPr="00EB5B1D">
              <w:rPr>
                <w:sz w:val="20"/>
                <w:szCs w:val="20"/>
                <w:lang w:val="en-GB"/>
              </w:rPr>
              <w:t>116-06-3</w:t>
            </w:r>
          </w:p>
        </w:tc>
        <w:tc>
          <w:tcPr>
            <w:tcW w:w="1170" w:type="dxa"/>
          </w:tcPr>
          <w:p w:rsidR="005468BC" w:rsidRPr="00EB5B1D" w:rsidRDefault="005468BC" w:rsidP="00924575">
            <w:pPr>
              <w:rPr>
                <w:sz w:val="20"/>
                <w:szCs w:val="20"/>
                <w:lang w:val="en-GB"/>
              </w:rPr>
            </w:pPr>
            <w:r w:rsidRPr="00EB5B1D">
              <w:rPr>
                <w:rFonts w:eastAsia="SimSun"/>
                <w:sz w:val="20"/>
                <w:szCs w:val="20"/>
                <w:lang w:val="en-GB" w:eastAsia="en-GB"/>
              </w:rPr>
              <w:t>Plaguicida</w:t>
            </w:r>
          </w:p>
        </w:tc>
        <w:tc>
          <w:tcPr>
            <w:tcW w:w="1530" w:type="dxa"/>
          </w:tcPr>
          <w:p w:rsidR="005468BC" w:rsidRPr="00EB5B1D" w:rsidRDefault="005468BC" w:rsidP="005468BC">
            <w:pPr>
              <w:rPr>
                <w:sz w:val="20"/>
                <w:szCs w:val="20"/>
                <w:lang w:val="en-GB"/>
              </w:rPr>
            </w:pPr>
            <w:r w:rsidRPr="00EB5B1D">
              <w:rPr>
                <w:sz w:val="20"/>
                <w:szCs w:val="20"/>
                <w:lang w:val="en-GB"/>
              </w:rPr>
              <w:t>Pakistan</w:t>
            </w:r>
          </w:p>
        </w:tc>
        <w:tc>
          <w:tcPr>
            <w:tcW w:w="1080" w:type="dxa"/>
          </w:tcPr>
          <w:p w:rsidR="005468BC" w:rsidRPr="00EB5B1D" w:rsidRDefault="005468BC" w:rsidP="005468BC">
            <w:pPr>
              <w:rPr>
                <w:sz w:val="20"/>
                <w:szCs w:val="20"/>
                <w:lang w:val="en-GB"/>
              </w:rPr>
            </w:pPr>
            <w:r w:rsidRPr="00EB5B1D">
              <w:rPr>
                <w:sz w:val="20"/>
                <w:szCs w:val="20"/>
                <w:lang w:val="en-GB"/>
              </w:rPr>
              <w:t>Asia</w:t>
            </w:r>
          </w:p>
        </w:tc>
        <w:tc>
          <w:tcPr>
            <w:tcW w:w="1440" w:type="dxa"/>
          </w:tcPr>
          <w:p w:rsidR="005468BC" w:rsidRPr="00EB5B1D" w:rsidRDefault="005468BC" w:rsidP="005468BC">
            <w:pPr>
              <w:rPr>
                <w:sz w:val="20"/>
                <w:szCs w:val="20"/>
                <w:lang w:val="en-GB"/>
              </w:rPr>
            </w:pPr>
            <w:r w:rsidRPr="00EB5B1D">
              <w:rPr>
                <w:rFonts w:eastAsia="SimSun"/>
                <w:sz w:val="20"/>
                <w:szCs w:val="20"/>
                <w:lang w:val="en-GB" w:eastAsia="en-GB"/>
              </w:rPr>
              <w:t>Sí</w:t>
            </w:r>
          </w:p>
        </w:tc>
      </w:tr>
      <w:tr w:rsidR="005468BC" w:rsidRPr="00EB5B1D" w:rsidTr="00924575">
        <w:tc>
          <w:tcPr>
            <w:tcW w:w="2178" w:type="dxa"/>
          </w:tcPr>
          <w:p w:rsidR="005468BC" w:rsidRPr="00EB5B1D" w:rsidRDefault="005468BC" w:rsidP="005468BC">
            <w:pPr>
              <w:rPr>
                <w:sz w:val="20"/>
                <w:szCs w:val="20"/>
                <w:lang w:val="en-GB"/>
              </w:rPr>
            </w:pPr>
            <w:r w:rsidRPr="00EB5B1D">
              <w:rPr>
                <w:sz w:val="20"/>
                <w:szCs w:val="20"/>
                <w:lang w:val="en-GB"/>
              </w:rPr>
              <w:t>Azinfos-metilo</w:t>
            </w:r>
          </w:p>
        </w:tc>
        <w:tc>
          <w:tcPr>
            <w:tcW w:w="1890" w:type="dxa"/>
          </w:tcPr>
          <w:p w:rsidR="005468BC" w:rsidRPr="00EB5B1D" w:rsidRDefault="005468BC" w:rsidP="005468BC">
            <w:pPr>
              <w:rPr>
                <w:sz w:val="20"/>
                <w:szCs w:val="20"/>
                <w:lang w:val="en-GB"/>
              </w:rPr>
            </w:pPr>
            <w:r w:rsidRPr="00EB5B1D">
              <w:rPr>
                <w:sz w:val="20"/>
                <w:szCs w:val="20"/>
                <w:lang w:val="en-GB"/>
              </w:rPr>
              <w:t>86-50-0</w:t>
            </w:r>
          </w:p>
        </w:tc>
        <w:tc>
          <w:tcPr>
            <w:tcW w:w="1170" w:type="dxa"/>
          </w:tcPr>
          <w:p w:rsidR="005468BC" w:rsidRPr="00EB5B1D" w:rsidRDefault="005468BC" w:rsidP="00924575">
            <w:pPr>
              <w:rPr>
                <w:sz w:val="20"/>
                <w:szCs w:val="20"/>
                <w:lang w:val="en-GB"/>
              </w:rPr>
            </w:pPr>
            <w:r w:rsidRPr="00EB5B1D">
              <w:rPr>
                <w:rFonts w:eastAsia="SimSun"/>
                <w:sz w:val="20"/>
                <w:szCs w:val="20"/>
                <w:lang w:val="en-GB" w:eastAsia="en-GB"/>
              </w:rPr>
              <w:t>Plaguicida</w:t>
            </w:r>
          </w:p>
        </w:tc>
        <w:tc>
          <w:tcPr>
            <w:tcW w:w="1530" w:type="dxa"/>
          </w:tcPr>
          <w:p w:rsidR="005468BC" w:rsidRPr="00EB5B1D" w:rsidRDefault="005468BC" w:rsidP="005468BC">
            <w:pPr>
              <w:rPr>
                <w:sz w:val="20"/>
                <w:szCs w:val="20"/>
                <w:lang w:val="en-GB"/>
              </w:rPr>
            </w:pPr>
            <w:r w:rsidRPr="00EB5B1D">
              <w:rPr>
                <w:sz w:val="20"/>
                <w:szCs w:val="20"/>
                <w:lang w:val="en-GB"/>
              </w:rPr>
              <w:t>Pakistan</w:t>
            </w:r>
          </w:p>
        </w:tc>
        <w:tc>
          <w:tcPr>
            <w:tcW w:w="1080" w:type="dxa"/>
          </w:tcPr>
          <w:p w:rsidR="005468BC" w:rsidRPr="00EB5B1D" w:rsidRDefault="005468BC" w:rsidP="005468BC">
            <w:pPr>
              <w:rPr>
                <w:sz w:val="20"/>
                <w:szCs w:val="20"/>
                <w:lang w:val="en-GB"/>
              </w:rPr>
            </w:pPr>
            <w:r w:rsidRPr="00EB5B1D">
              <w:rPr>
                <w:sz w:val="20"/>
                <w:szCs w:val="20"/>
                <w:lang w:val="en-GB"/>
              </w:rPr>
              <w:t>Asia</w:t>
            </w:r>
          </w:p>
        </w:tc>
        <w:tc>
          <w:tcPr>
            <w:tcW w:w="1440" w:type="dxa"/>
          </w:tcPr>
          <w:p w:rsidR="005468BC" w:rsidRPr="00EB5B1D" w:rsidRDefault="005468BC" w:rsidP="005468BC">
            <w:pPr>
              <w:rPr>
                <w:sz w:val="20"/>
                <w:szCs w:val="20"/>
                <w:lang w:val="en-GB"/>
              </w:rPr>
            </w:pPr>
            <w:r w:rsidRPr="00EB5B1D">
              <w:rPr>
                <w:rFonts w:eastAsia="SimSun"/>
                <w:sz w:val="20"/>
                <w:szCs w:val="20"/>
                <w:lang w:val="en-GB" w:eastAsia="en-GB"/>
              </w:rPr>
              <w:t>Sí</w:t>
            </w:r>
          </w:p>
        </w:tc>
      </w:tr>
      <w:tr w:rsidR="005468BC" w:rsidRPr="00EB5B1D" w:rsidTr="00924575">
        <w:tc>
          <w:tcPr>
            <w:tcW w:w="2178" w:type="dxa"/>
          </w:tcPr>
          <w:p w:rsidR="005468BC" w:rsidRPr="00EB5B1D" w:rsidRDefault="005468BC" w:rsidP="005468BC">
            <w:pPr>
              <w:rPr>
                <w:sz w:val="20"/>
                <w:szCs w:val="20"/>
                <w:lang w:val="en-GB"/>
              </w:rPr>
            </w:pPr>
            <w:r w:rsidRPr="00EB5B1D">
              <w:rPr>
                <w:rFonts w:eastAsia="SimSun"/>
                <w:sz w:val="20"/>
                <w:szCs w:val="20"/>
                <w:lang w:val="en-GB" w:eastAsia="en-GB"/>
              </w:rPr>
              <w:t>Endosulfán</w:t>
            </w:r>
          </w:p>
        </w:tc>
        <w:tc>
          <w:tcPr>
            <w:tcW w:w="1890" w:type="dxa"/>
          </w:tcPr>
          <w:p w:rsidR="005468BC" w:rsidRPr="00EB5B1D" w:rsidRDefault="005468BC" w:rsidP="005468BC">
            <w:pPr>
              <w:rPr>
                <w:sz w:val="20"/>
                <w:szCs w:val="20"/>
                <w:lang w:val="en-GB"/>
              </w:rPr>
            </w:pPr>
            <w:r w:rsidRPr="00EB5B1D">
              <w:rPr>
                <w:sz w:val="20"/>
                <w:szCs w:val="20"/>
                <w:lang w:val="en-GB"/>
              </w:rPr>
              <w:t>115-29-7</w:t>
            </w:r>
          </w:p>
        </w:tc>
        <w:tc>
          <w:tcPr>
            <w:tcW w:w="1170" w:type="dxa"/>
          </w:tcPr>
          <w:p w:rsidR="005468BC" w:rsidRPr="00EB5B1D" w:rsidRDefault="005468BC" w:rsidP="00924575">
            <w:pPr>
              <w:rPr>
                <w:sz w:val="20"/>
                <w:szCs w:val="20"/>
                <w:lang w:val="en-GB"/>
              </w:rPr>
            </w:pPr>
            <w:r w:rsidRPr="00EB5B1D">
              <w:rPr>
                <w:rFonts w:eastAsia="SimSun"/>
                <w:sz w:val="20"/>
                <w:szCs w:val="20"/>
                <w:lang w:val="en-GB" w:eastAsia="en-GB"/>
              </w:rPr>
              <w:t>Plaguicida</w:t>
            </w:r>
          </w:p>
        </w:tc>
        <w:tc>
          <w:tcPr>
            <w:tcW w:w="1530" w:type="dxa"/>
          </w:tcPr>
          <w:p w:rsidR="005468BC" w:rsidRPr="00EB5B1D" w:rsidRDefault="005468BC" w:rsidP="005468BC">
            <w:pPr>
              <w:rPr>
                <w:sz w:val="20"/>
                <w:szCs w:val="20"/>
                <w:lang w:val="en-GB"/>
              </w:rPr>
            </w:pPr>
            <w:r w:rsidRPr="00EB5B1D">
              <w:rPr>
                <w:sz w:val="20"/>
                <w:szCs w:val="20"/>
                <w:lang w:val="en-GB"/>
              </w:rPr>
              <w:t>Pakistan</w:t>
            </w:r>
          </w:p>
        </w:tc>
        <w:tc>
          <w:tcPr>
            <w:tcW w:w="1080" w:type="dxa"/>
          </w:tcPr>
          <w:p w:rsidR="005468BC" w:rsidRPr="00EB5B1D" w:rsidRDefault="005468BC" w:rsidP="005468BC">
            <w:pPr>
              <w:rPr>
                <w:sz w:val="20"/>
                <w:szCs w:val="20"/>
                <w:lang w:val="en-GB"/>
              </w:rPr>
            </w:pPr>
            <w:r w:rsidRPr="00EB5B1D">
              <w:rPr>
                <w:sz w:val="20"/>
                <w:szCs w:val="20"/>
                <w:lang w:val="en-GB"/>
              </w:rPr>
              <w:t>Asia</w:t>
            </w:r>
          </w:p>
        </w:tc>
        <w:tc>
          <w:tcPr>
            <w:tcW w:w="1440" w:type="dxa"/>
          </w:tcPr>
          <w:p w:rsidR="005468BC" w:rsidRPr="00EB5B1D" w:rsidRDefault="005468BC" w:rsidP="005468BC">
            <w:pPr>
              <w:rPr>
                <w:sz w:val="20"/>
                <w:szCs w:val="20"/>
                <w:lang w:val="en-GB"/>
              </w:rPr>
            </w:pPr>
            <w:r w:rsidRPr="00EB5B1D">
              <w:rPr>
                <w:rFonts w:eastAsia="SimSun"/>
                <w:sz w:val="20"/>
                <w:szCs w:val="20"/>
                <w:lang w:val="en-GB" w:eastAsia="en-GB"/>
              </w:rPr>
              <w:t>Sí</w:t>
            </w:r>
          </w:p>
        </w:tc>
      </w:tr>
    </w:tbl>
    <w:p w:rsidR="000C265B" w:rsidRPr="00EB5B1D" w:rsidRDefault="000C265B">
      <w:pPr>
        <w:rPr>
          <w:b/>
          <w:szCs w:val="22"/>
        </w:rPr>
      </w:pPr>
    </w:p>
    <w:p w:rsidR="00924575" w:rsidRPr="00EB5B1D" w:rsidRDefault="00924575">
      <w:pPr>
        <w:rPr>
          <w:b/>
          <w:szCs w:val="22"/>
        </w:rPr>
      </w:pPr>
    </w:p>
    <w:p w:rsidR="00884B4A" w:rsidRPr="00EB5B1D" w:rsidRDefault="00884B4A">
      <w:pPr>
        <w:rPr>
          <w:b/>
          <w:szCs w:val="22"/>
        </w:rPr>
      </w:pPr>
    </w:p>
    <w:p w:rsidR="00340E2B" w:rsidRPr="0043338C" w:rsidRDefault="00BC73C4" w:rsidP="00340E2B">
      <w:pPr>
        <w:ind w:right="23"/>
        <w:jc w:val="center"/>
        <w:outlineLvl w:val="1"/>
        <w:rPr>
          <w:b/>
          <w:sz w:val="24"/>
          <w:u w:val="single"/>
          <w:lang w:val="fr-CH"/>
        </w:rPr>
      </w:pPr>
      <w:bookmarkStart w:id="141" w:name="_Toc421544487"/>
      <w:bookmarkStart w:id="142" w:name="_Toc468869213"/>
      <w:bookmarkStart w:id="143" w:name="_Toc468870497"/>
      <w:bookmarkStart w:id="144" w:name="_Toc469002207"/>
      <w:bookmarkStart w:id="145" w:name="_Toc469005868"/>
      <w:bookmarkStart w:id="146" w:name="_Toc469052705"/>
      <w:bookmarkStart w:id="147" w:name="_Toc484686635"/>
      <w:r w:rsidRPr="0043338C">
        <w:rPr>
          <w:b/>
          <w:sz w:val="24"/>
          <w:u w:val="single"/>
          <w:lang w:val="fr-CH"/>
        </w:rPr>
        <w:t>PART</w:t>
      </w:r>
      <w:r w:rsidR="009D41E2" w:rsidRPr="0043338C">
        <w:rPr>
          <w:b/>
          <w:sz w:val="24"/>
          <w:u w:val="single"/>
          <w:lang w:val="fr-CH"/>
        </w:rPr>
        <w:t>E</w:t>
      </w:r>
      <w:r w:rsidRPr="0043338C">
        <w:rPr>
          <w:b/>
          <w:sz w:val="24"/>
          <w:u w:val="single"/>
          <w:lang w:val="fr-CH"/>
        </w:rPr>
        <w:t xml:space="preserve"> C</w:t>
      </w:r>
      <w:bookmarkEnd w:id="141"/>
      <w:bookmarkEnd w:id="142"/>
      <w:bookmarkEnd w:id="143"/>
      <w:bookmarkEnd w:id="144"/>
      <w:bookmarkEnd w:id="145"/>
      <w:bookmarkEnd w:id="146"/>
      <w:bookmarkEnd w:id="147"/>
    </w:p>
    <w:p w:rsidR="007B68CF" w:rsidRPr="0043338C" w:rsidRDefault="007B68CF" w:rsidP="007B68CF">
      <w:pPr>
        <w:ind w:right="23"/>
        <w:jc w:val="center"/>
        <w:rPr>
          <w:b/>
          <w:sz w:val="24"/>
          <w:lang w:val="fr-CH"/>
        </w:rPr>
      </w:pPr>
    </w:p>
    <w:p w:rsidR="007B68CF" w:rsidRPr="00EB5B1D" w:rsidRDefault="009D41E2" w:rsidP="007B68CF">
      <w:pPr>
        <w:widowControl w:val="0"/>
        <w:autoSpaceDE w:val="0"/>
        <w:autoSpaceDN w:val="0"/>
        <w:adjustRightInd w:val="0"/>
        <w:ind w:right="23"/>
        <w:jc w:val="center"/>
        <w:rPr>
          <w:b/>
          <w:sz w:val="24"/>
          <w:lang w:val="fr-CH"/>
        </w:rPr>
      </w:pPr>
      <w:r w:rsidRPr="00EB5B1D">
        <w:rPr>
          <w:b/>
          <w:sz w:val="24"/>
          <w:lang w:val="fr-CH"/>
        </w:rPr>
        <w:t>NOTIFICACIONES DE MEDIDA REGLAMENTARIA FIRME TODAVÍA EN FASE DE VERIFICACIÓN</w:t>
      </w:r>
    </w:p>
    <w:p w:rsidR="00924575" w:rsidRPr="00EB5B1D" w:rsidRDefault="00924575" w:rsidP="00985981">
      <w:pPr>
        <w:tabs>
          <w:tab w:val="left" w:pos="3686"/>
        </w:tabs>
        <w:ind w:right="23"/>
        <w:rPr>
          <w:szCs w:val="22"/>
          <w:lang w:val="fr-CH"/>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897"/>
        <w:gridCol w:w="1163"/>
        <w:gridCol w:w="1530"/>
        <w:gridCol w:w="1080"/>
        <w:gridCol w:w="1439"/>
      </w:tblGrid>
      <w:tr w:rsidR="00924575" w:rsidRPr="00EB5B1D" w:rsidTr="00924575">
        <w:trPr>
          <w:jc w:val="center"/>
        </w:trPr>
        <w:tc>
          <w:tcPr>
            <w:tcW w:w="2178" w:type="dxa"/>
          </w:tcPr>
          <w:p w:rsidR="00924575" w:rsidRPr="00EB5B1D" w:rsidRDefault="00924575" w:rsidP="00924575">
            <w:pPr>
              <w:rPr>
                <w:b/>
                <w:szCs w:val="22"/>
                <w:lang w:val="en-GB"/>
              </w:rPr>
            </w:pPr>
            <w:r w:rsidRPr="00EB5B1D">
              <w:rPr>
                <w:rFonts w:eastAsia="SimSun"/>
                <w:b/>
                <w:bCs/>
                <w:szCs w:val="22"/>
                <w:lang w:val="en-GB" w:eastAsia="en-GB"/>
              </w:rPr>
              <w:t>Producto químico</w:t>
            </w:r>
          </w:p>
        </w:tc>
        <w:tc>
          <w:tcPr>
            <w:tcW w:w="1897" w:type="dxa"/>
          </w:tcPr>
          <w:p w:rsidR="00924575" w:rsidRPr="00EB5B1D" w:rsidRDefault="00924575" w:rsidP="00924575">
            <w:pPr>
              <w:autoSpaceDE w:val="0"/>
              <w:autoSpaceDN w:val="0"/>
              <w:adjustRightInd w:val="0"/>
              <w:rPr>
                <w:rFonts w:eastAsia="SimSun"/>
                <w:b/>
                <w:bCs/>
                <w:szCs w:val="22"/>
                <w:lang w:val="en-GB" w:eastAsia="en-GB"/>
              </w:rPr>
            </w:pPr>
            <w:r w:rsidRPr="00EB5B1D">
              <w:rPr>
                <w:rFonts w:eastAsia="SimSun"/>
                <w:b/>
                <w:bCs/>
                <w:szCs w:val="22"/>
                <w:lang w:val="en-GB" w:eastAsia="en-GB"/>
              </w:rPr>
              <w:t>Número de</w:t>
            </w:r>
          </w:p>
          <w:p w:rsidR="00924575" w:rsidRPr="00EB5B1D" w:rsidRDefault="00924575" w:rsidP="00924575">
            <w:pPr>
              <w:rPr>
                <w:b/>
                <w:szCs w:val="22"/>
                <w:lang w:val="en-GB"/>
              </w:rPr>
            </w:pPr>
            <w:r w:rsidRPr="00EB5B1D">
              <w:rPr>
                <w:rFonts w:eastAsia="SimSun"/>
                <w:b/>
                <w:bCs/>
                <w:szCs w:val="22"/>
                <w:lang w:val="en-GB" w:eastAsia="en-GB"/>
              </w:rPr>
              <w:t>CAS</w:t>
            </w:r>
          </w:p>
        </w:tc>
        <w:tc>
          <w:tcPr>
            <w:tcW w:w="1163" w:type="dxa"/>
          </w:tcPr>
          <w:p w:rsidR="00924575" w:rsidRPr="00EB5B1D" w:rsidRDefault="00924575" w:rsidP="00924575">
            <w:pPr>
              <w:rPr>
                <w:b/>
                <w:szCs w:val="22"/>
                <w:lang w:val="en-GB"/>
              </w:rPr>
            </w:pPr>
            <w:r w:rsidRPr="00EB5B1D">
              <w:rPr>
                <w:rFonts w:eastAsia="SimSun"/>
                <w:b/>
                <w:bCs/>
                <w:szCs w:val="22"/>
                <w:lang w:val="en-GB" w:eastAsia="en-GB"/>
              </w:rPr>
              <w:t>Categoría</w:t>
            </w:r>
          </w:p>
        </w:tc>
        <w:tc>
          <w:tcPr>
            <w:tcW w:w="1530" w:type="dxa"/>
          </w:tcPr>
          <w:p w:rsidR="00924575" w:rsidRPr="00EB5B1D" w:rsidRDefault="00924575" w:rsidP="00924575">
            <w:pPr>
              <w:rPr>
                <w:b/>
                <w:szCs w:val="22"/>
                <w:lang w:val="en-GB"/>
              </w:rPr>
            </w:pPr>
            <w:r w:rsidRPr="00EB5B1D">
              <w:rPr>
                <w:rFonts w:eastAsia="SimSun"/>
                <w:b/>
                <w:bCs/>
                <w:szCs w:val="22"/>
                <w:lang w:val="en-GB" w:eastAsia="en-GB"/>
              </w:rPr>
              <w:t>País</w:t>
            </w:r>
          </w:p>
        </w:tc>
        <w:tc>
          <w:tcPr>
            <w:tcW w:w="1080" w:type="dxa"/>
          </w:tcPr>
          <w:p w:rsidR="00924575" w:rsidRPr="00EB5B1D" w:rsidRDefault="00924575" w:rsidP="00924575">
            <w:pPr>
              <w:rPr>
                <w:b/>
                <w:szCs w:val="22"/>
                <w:lang w:val="en-GB"/>
              </w:rPr>
            </w:pPr>
            <w:r w:rsidRPr="00EB5B1D">
              <w:rPr>
                <w:rFonts w:eastAsia="SimSun"/>
                <w:b/>
                <w:bCs/>
                <w:szCs w:val="22"/>
                <w:lang w:val="en-GB" w:eastAsia="en-GB"/>
              </w:rPr>
              <w:t>Región</w:t>
            </w:r>
          </w:p>
        </w:tc>
        <w:tc>
          <w:tcPr>
            <w:tcW w:w="1439" w:type="dxa"/>
          </w:tcPr>
          <w:p w:rsidR="00924575" w:rsidRPr="00EB5B1D" w:rsidRDefault="00924575" w:rsidP="00924575">
            <w:pPr>
              <w:rPr>
                <w:b/>
                <w:szCs w:val="22"/>
                <w:lang w:val="en-GB"/>
              </w:rPr>
            </w:pPr>
            <w:r w:rsidRPr="00EB5B1D">
              <w:rPr>
                <w:b/>
                <w:bCs/>
                <w:szCs w:val="22"/>
              </w:rPr>
              <w:t xml:space="preserve">Annexo III </w:t>
            </w:r>
          </w:p>
        </w:tc>
      </w:tr>
      <w:tr w:rsidR="00924575" w:rsidRPr="00EB5B1D" w:rsidTr="00924575">
        <w:trPr>
          <w:jc w:val="center"/>
        </w:trPr>
        <w:tc>
          <w:tcPr>
            <w:tcW w:w="2178" w:type="dxa"/>
          </w:tcPr>
          <w:p w:rsidR="00924575" w:rsidRPr="00EB5B1D" w:rsidRDefault="00924575" w:rsidP="00924575">
            <w:pPr>
              <w:rPr>
                <w:sz w:val="20"/>
                <w:szCs w:val="20"/>
                <w:lang w:val="en-GB"/>
              </w:rPr>
            </w:pPr>
            <w:r w:rsidRPr="00EB5B1D">
              <w:rPr>
                <w:sz w:val="20"/>
                <w:szCs w:val="20"/>
                <w:lang w:val="en-GB"/>
              </w:rPr>
              <w:t>Azinfos-etilo</w:t>
            </w:r>
          </w:p>
        </w:tc>
        <w:tc>
          <w:tcPr>
            <w:tcW w:w="1897" w:type="dxa"/>
          </w:tcPr>
          <w:p w:rsidR="00924575" w:rsidRPr="00EB5B1D" w:rsidRDefault="00924575" w:rsidP="00924575">
            <w:pPr>
              <w:rPr>
                <w:sz w:val="20"/>
                <w:szCs w:val="20"/>
                <w:lang w:val="en-GB"/>
              </w:rPr>
            </w:pPr>
            <w:r w:rsidRPr="00EB5B1D">
              <w:rPr>
                <w:sz w:val="20"/>
                <w:szCs w:val="20"/>
                <w:lang w:val="en-GB"/>
              </w:rPr>
              <w:t>2642-71-9</w:t>
            </w:r>
          </w:p>
        </w:tc>
        <w:tc>
          <w:tcPr>
            <w:tcW w:w="1163" w:type="dxa"/>
          </w:tcPr>
          <w:p w:rsidR="00924575" w:rsidRPr="00EB5B1D" w:rsidRDefault="00924575" w:rsidP="00924575">
            <w:pPr>
              <w:rPr>
                <w:sz w:val="20"/>
                <w:szCs w:val="20"/>
                <w:lang w:val="en-GB"/>
              </w:rPr>
            </w:pPr>
            <w:r w:rsidRPr="00EB5B1D">
              <w:rPr>
                <w:rFonts w:eastAsia="SimSun"/>
                <w:sz w:val="20"/>
                <w:szCs w:val="20"/>
                <w:lang w:val="en-GB" w:eastAsia="en-GB"/>
              </w:rPr>
              <w:t>Plaguicida</w:t>
            </w:r>
          </w:p>
        </w:tc>
        <w:tc>
          <w:tcPr>
            <w:tcW w:w="1530" w:type="dxa"/>
          </w:tcPr>
          <w:p w:rsidR="00924575" w:rsidRPr="00EB5B1D" w:rsidRDefault="00924575" w:rsidP="00924575">
            <w:pPr>
              <w:rPr>
                <w:sz w:val="20"/>
                <w:szCs w:val="20"/>
                <w:lang w:val="en-GB"/>
              </w:rPr>
            </w:pPr>
            <w:r w:rsidRPr="00EB5B1D">
              <w:rPr>
                <w:sz w:val="20"/>
                <w:szCs w:val="20"/>
                <w:lang w:val="en-GB"/>
              </w:rPr>
              <w:t>Irán (Republica Islámica de)</w:t>
            </w:r>
          </w:p>
        </w:tc>
        <w:tc>
          <w:tcPr>
            <w:tcW w:w="1080" w:type="dxa"/>
          </w:tcPr>
          <w:p w:rsidR="00924575" w:rsidRPr="00EB5B1D" w:rsidRDefault="00924575" w:rsidP="00924575">
            <w:pPr>
              <w:rPr>
                <w:sz w:val="20"/>
                <w:szCs w:val="20"/>
                <w:lang w:val="en-GB"/>
              </w:rPr>
            </w:pPr>
            <w:r w:rsidRPr="00EB5B1D">
              <w:rPr>
                <w:sz w:val="20"/>
                <w:szCs w:val="20"/>
                <w:lang w:val="en-GB"/>
              </w:rPr>
              <w:t>Asia</w:t>
            </w:r>
          </w:p>
        </w:tc>
        <w:tc>
          <w:tcPr>
            <w:tcW w:w="1439" w:type="dxa"/>
          </w:tcPr>
          <w:p w:rsidR="00924575" w:rsidRPr="00EB5B1D" w:rsidRDefault="00924575" w:rsidP="00924575">
            <w:pPr>
              <w:rPr>
                <w:sz w:val="20"/>
                <w:szCs w:val="20"/>
                <w:lang w:val="en-GB"/>
              </w:rPr>
            </w:pPr>
            <w:r w:rsidRPr="00EB5B1D">
              <w:rPr>
                <w:sz w:val="20"/>
                <w:szCs w:val="20"/>
                <w:lang w:val="en-GB"/>
              </w:rPr>
              <w:t>No</w:t>
            </w:r>
          </w:p>
        </w:tc>
      </w:tr>
      <w:tr w:rsidR="00924575" w:rsidRPr="00EB5B1D" w:rsidTr="00924575">
        <w:trPr>
          <w:jc w:val="center"/>
        </w:trPr>
        <w:tc>
          <w:tcPr>
            <w:tcW w:w="2178" w:type="dxa"/>
          </w:tcPr>
          <w:p w:rsidR="00924575" w:rsidRPr="00EB5B1D" w:rsidRDefault="00924575" w:rsidP="00924575">
            <w:pPr>
              <w:rPr>
                <w:sz w:val="20"/>
                <w:szCs w:val="20"/>
                <w:lang w:val="en-GB"/>
              </w:rPr>
            </w:pPr>
            <w:r w:rsidRPr="00EB5B1D">
              <w:rPr>
                <w:sz w:val="20"/>
                <w:szCs w:val="20"/>
                <w:lang w:val="en-GB"/>
              </w:rPr>
              <w:t>Azinfos-metilo</w:t>
            </w:r>
          </w:p>
        </w:tc>
        <w:tc>
          <w:tcPr>
            <w:tcW w:w="1897" w:type="dxa"/>
          </w:tcPr>
          <w:p w:rsidR="00924575" w:rsidRPr="00EB5B1D" w:rsidRDefault="00924575" w:rsidP="00924575">
            <w:pPr>
              <w:rPr>
                <w:sz w:val="20"/>
                <w:szCs w:val="20"/>
                <w:lang w:val="en-GB"/>
              </w:rPr>
            </w:pPr>
            <w:r w:rsidRPr="00EB5B1D">
              <w:rPr>
                <w:sz w:val="20"/>
                <w:szCs w:val="20"/>
                <w:lang w:val="en-GB"/>
              </w:rPr>
              <w:t>86-50-0</w:t>
            </w:r>
          </w:p>
        </w:tc>
        <w:tc>
          <w:tcPr>
            <w:tcW w:w="1163" w:type="dxa"/>
          </w:tcPr>
          <w:p w:rsidR="00924575" w:rsidRPr="00EB5B1D" w:rsidRDefault="00924575" w:rsidP="00924575">
            <w:pPr>
              <w:rPr>
                <w:sz w:val="20"/>
                <w:szCs w:val="20"/>
                <w:lang w:val="en-GB"/>
              </w:rPr>
            </w:pPr>
            <w:r w:rsidRPr="00EB5B1D">
              <w:rPr>
                <w:rFonts w:eastAsia="SimSun"/>
                <w:sz w:val="20"/>
                <w:szCs w:val="20"/>
                <w:lang w:val="en-GB" w:eastAsia="en-GB"/>
              </w:rPr>
              <w:t>Plaguicida</w:t>
            </w:r>
          </w:p>
        </w:tc>
        <w:tc>
          <w:tcPr>
            <w:tcW w:w="1530" w:type="dxa"/>
          </w:tcPr>
          <w:p w:rsidR="00924575" w:rsidRPr="00EB5B1D" w:rsidRDefault="00924575" w:rsidP="00924575">
            <w:pPr>
              <w:rPr>
                <w:sz w:val="20"/>
                <w:szCs w:val="20"/>
                <w:lang w:val="en-GB"/>
              </w:rPr>
            </w:pPr>
            <w:r w:rsidRPr="00EB5B1D">
              <w:rPr>
                <w:sz w:val="20"/>
                <w:szCs w:val="20"/>
                <w:lang w:val="en-GB"/>
              </w:rPr>
              <w:t>Irán (Republica Islámica de)</w:t>
            </w:r>
          </w:p>
        </w:tc>
        <w:tc>
          <w:tcPr>
            <w:tcW w:w="1080" w:type="dxa"/>
          </w:tcPr>
          <w:p w:rsidR="00924575" w:rsidRPr="00EB5B1D" w:rsidRDefault="00924575" w:rsidP="00924575">
            <w:pPr>
              <w:rPr>
                <w:sz w:val="20"/>
                <w:szCs w:val="20"/>
                <w:lang w:val="en-GB"/>
              </w:rPr>
            </w:pPr>
            <w:r w:rsidRPr="00EB5B1D">
              <w:rPr>
                <w:sz w:val="20"/>
                <w:szCs w:val="20"/>
                <w:lang w:val="en-GB"/>
              </w:rPr>
              <w:t>Asia</w:t>
            </w:r>
          </w:p>
        </w:tc>
        <w:tc>
          <w:tcPr>
            <w:tcW w:w="1439" w:type="dxa"/>
          </w:tcPr>
          <w:p w:rsidR="00924575" w:rsidRPr="00EB5B1D" w:rsidRDefault="00924575" w:rsidP="00924575">
            <w:pPr>
              <w:rPr>
                <w:sz w:val="20"/>
                <w:szCs w:val="20"/>
                <w:lang w:val="en-GB"/>
              </w:rPr>
            </w:pPr>
            <w:r w:rsidRPr="00EB5B1D">
              <w:rPr>
                <w:rFonts w:eastAsia="SimSun"/>
                <w:sz w:val="20"/>
                <w:szCs w:val="20"/>
                <w:lang w:val="en-GB" w:eastAsia="en-GB"/>
              </w:rPr>
              <w:t>Sí</w:t>
            </w:r>
          </w:p>
        </w:tc>
      </w:tr>
      <w:tr w:rsidR="00924575" w:rsidRPr="00EB5B1D" w:rsidTr="00924575">
        <w:trPr>
          <w:jc w:val="center"/>
        </w:trPr>
        <w:tc>
          <w:tcPr>
            <w:tcW w:w="2178" w:type="dxa"/>
          </w:tcPr>
          <w:p w:rsidR="00924575" w:rsidRPr="00EB5B1D" w:rsidRDefault="0043338C" w:rsidP="00924575">
            <w:pPr>
              <w:rPr>
                <w:sz w:val="20"/>
                <w:szCs w:val="20"/>
                <w:lang w:val="fr-FR"/>
              </w:rPr>
            </w:pPr>
            <w:r>
              <w:rPr>
                <w:sz w:val="20"/>
                <w:szCs w:val="20"/>
                <w:lang w:val="fr-FR"/>
              </w:rPr>
              <w:t>Nonilfenol</w:t>
            </w:r>
            <w:r w:rsidR="00924575" w:rsidRPr="00EB5B1D">
              <w:rPr>
                <w:sz w:val="20"/>
                <w:szCs w:val="20"/>
                <w:lang w:val="fr-FR"/>
              </w:rPr>
              <w:t xml:space="preserve"> y etoxilatos de nonilfenol</w:t>
            </w:r>
          </w:p>
        </w:tc>
        <w:tc>
          <w:tcPr>
            <w:tcW w:w="1897" w:type="dxa"/>
          </w:tcPr>
          <w:p w:rsidR="00924575" w:rsidRPr="00EB5B1D" w:rsidRDefault="00924575" w:rsidP="00924575">
            <w:pPr>
              <w:rPr>
                <w:sz w:val="20"/>
                <w:szCs w:val="20"/>
                <w:lang w:val="en-GB"/>
              </w:rPr>
            </w:pPr>
            <w:r w:rsidRPr="00EB5B1D">
              <w:rPr>
                <w:sz w:val="20"/>
                <w:szCs w:val="20"/>
                <w:lang w:val="en-GB"/>
              </w:rPr>
              <w:t>26027-38-3</w:t>
            </w:r>
          </w:p>
          <w:p w:rsidR="00924575" w:rsidRPr="00EB5B1D" w:rsidRDefault="00924575" w:rsidP="00924575">
            <w:pPr>
              <w:rPr>
                <w:sz w:val="20"/>
                <w:szCs w:val="20"/>
                <w:lang w:val="en-GB"/>
              </w:rPr>
            </w:pPr>
            <w:r w:rsidRPr="00EB5B1D">
              <w:rPr>
                <w:sz w:val="20"/>
                <w:szCs w:val="20"/>
                <w:lang w:val="en-GB"/>
              </w:rPr>
              <w:t>68412-53-3</w:t>
            </w:r>
          </w:p>
          <w:p w:rsidR="00924575" w:rsidRPr="00EB5B1D" w:rsidRDefault="00924575" w:rsidP="00924575">
            <w:pPr>
              <w:rPr>
                <w:sz w:val="20"/>
                <w:szCs w:val="20"/>
                <w:lang w:val="en-GB"/>
              </w:rPr>
            </w:pPr>
            <w:r w:rsidRPr="00EB5B1D">
              <w:rPr>
                <w:sz w:val="20"/>
                <w:szCs w:val="20"/>
                <w:lang w:val="en-GB"/>
              </w:rPr>
              <w:t>68412-54-4</w:t>
            </w:r>
          </w:p>
          <w:p w:rsidR="00924575" w:rsidRPr="00EB5B1D" w:rsidRDefault="00924575" w:rsidP="00924575">
            <w:pPr>
              <w:rPr>
                <w:sz w:val="20"/>
                <w:szCs w:val="20"/>
                <w:lang w:val="en-GB"/>
              </w:rPr>
            </w:pPr>
            <w:r w:rsidRPr="00EB5B1D">
              <w:rPr>
                <w:sz w:val="20"/>
                <w:szCs w:val="20"/>
                <w:lang w:val="en-GB"/>
              </w:rPr>
              <w:t>25154-52-3</w:t>
            </w:r>
          </w:p>
          <w:p w:rsidR="00924575" w:rsidRPr="00EB5B1D" w:rsidRDefault="00924575" w:rsidP="00924575">
            <w:pPr>
              <w:rPr>
                <w:sz w:val="20"/>
                <w:szCs w:val="20"/>
                <w:lang w:val="en-GB"/>
              </w:rPr>
            </w:pPr>
            <w:r w:rsidRPr="00EB5B1D">
              <w:rPr>
                <w:sz w:val="20"/>
                <w:szCs w:val="20"/>
                <w:lang w:val="en-GB"/>
              </w:rPr>
              <w:t>84852-15-3</w:t>
            </w:r>
          </w:p>
          <w:p w:rsidR="00924575" w:rsidRPr="00EB5B1D" w:rsidRDefault="00924575" w:rsidP="00924575">
            <w:pPr>
              <w:rPr>
                <w:sz w:val="20"/>
                <w:szCs w:val="20"/>
                <w:lang w:val="en-GB"/>
              </w:rPr>
            </w:pPr>
            <w:r w:rsidRPr="00EB5B1D">
              <w:rPr>
                <w:sz w:val="20"/>
                <w:szCs w:val="20"/>
                <w:lang w:val="en-GB"/>
              </w:rPr>
              <w:t>104-40-5</w:t>
            </w:r>
          </w:p>
          <w:p w:rsidR="00924575" w:rsidRPr="00EB5B1D" w:rsidRDefault="00924575" w:rsidP="00924575">
            <w:pPr>
              <w:rPr>
                <w:sz w:val="20"/>
                <w:szCs w:val="20"/>
                <w:lang w:val="en-GB"/>
              </w:rPr>
            </w:pPr>
            <w:r w:rsidRPr="00EB5B1D">
              <w:rPr>
                <w:sz w:val="20"/>
                <w:szCs w:val="20"/>
                <w:lang w:val="en-GB"/>
              </w:rPr>
              <w:t>26543-97-5</w:t>
            </w:r>
          </w:p>
          <w:p w:rsidR="00924575" w:rsidRPr="00EB5B1D" w:rsidRDefault="00924575" w:rsidP="00924575">
            <w:pPr>
              <w:rPr>
                <w:sz w:val="20"/>
                <w:szCs w:val="20"/>
                <w:lang w:val="en-GB"/>
              </w:rPr>
            </w:pPr>
            <w:r w:rsidRPr="00EB5B1D">
              <w:rPr>
                <w:sz w:val="20"/>
                <w:szCs w:val="20"/>
                <w:lang w:val="en-GB"/>
              </w:rPr>
              <w:t>30784-30-6</w:t>
            </w:r>
          </w:p>
          <w:p w:rsidR="00924575" w:rsidRPr="00EB5B1D" w:rsidRDefault="00924575" w:rsidP="00924575">
            <w:pPr>
              <w:rPr>
                <w:sz w:val="20"/>
                <w:szCs w:val="20"/>
                <w:lang w:val="en-GB"/>
              </w:rPr>
            </w:pPr>
            <w:r w:rsidRPr="00EB5B1D">
              <w:rPr>
                <w:sz w:val="20"/>
                <w:szCs w:val="20"/>
                <w:lang w:val="en-GB"/>
              </w:rPr>
              <w:t>17404-66-9</w:t>
            </w:r>
          </w:p>
          <w:p w:rsidR="00924575" w:rsidRPr="00EB5B1D" w:rsidRDefault="00924575" w:rsidP="00924575">
            <w:pPr>
              <w:rPr>
                <w:sz w:val="20"/>
                <w:szCs w:val="20"/>
                <w:lang w:val="en-GB"/>
              </w:rPr>
            </w:pPr>
            <w:r w:rsidRPr="00EB5B1D">
              <w:rPr>
                <w:sz w:val="20"/>
                <w:szCs w:val="20"/>
                <w:lang w:val="en-GB"/>
              </w:rPr>
              <w:t>52427-13-1</w:t>
            </w:r>
          </w:p>
          <w:p w:rsidR="00924575" w:rsidRPr="00EB5B1D" w:rsidRDefault="00924575" w:rsidP="00924575">
            <w:pPr>
              <w:rPr>
                <w:sz w:val="20"/>
                <w:szCs w:val="20"/>
                <w:lang w:val="en-GB"/>
              </w:rPr>
            </w:pPr>
            <w:r w:rsidRPr="00EB5B1D">
              <w:rPr>
                <w:sz w:val="20"/>
                <w:szCs w:val="20"/>
                <w:lang w:val="en-GB"/>
              </w:rPr>
              <w:t>104-35-8</w:t>
            </w:r>
          </w:p>
          <w:p w:rsidR="00924575" w:rsidRPr="00EB5B1D" w:rsidRDefault="00924575" w:rsidP="00924575">
            <w:pPr>
              <w:rPr>
                <w:sz w:val="20"/>
                <w:szCs w:val="20"/>
                <w:lang w:val="en-GB"/>
              </w:rPr>
            </w:pPr>
            <w:r w:rsidRPr="00EB5B1D">
              <w:rPr>
                <w:sz w:val="20"/>
                <w:szCs w:val="20"/>
                <w:lang w:val="en-GB"/>
              </w:rPr>
              <w:t>20427-84-3</w:t>
            </w:r>
          </w:p>
          <w:p w:rsidR="00924575" w:rsidRPr="00EB5B1D" w:rsidRDefault="00924575" w:rsidP="00924575">
            <w:pPr>
              <w:rPr>
                <w:sz w:val="20"/>
                <w:szCs w:val="20"/>
                <w:lang w:val="en-GB"/>
              </w:rPr>
            </w:pPr>
            <w:r w:rsidRPr="00EB5B1D">
              <w:rPr>
                <w:sz w:val="20"/>
                <w:szCs w:val="20"/>
                <w:lang w:val="en-GB"/>
              </w:rPr>
              <w:t>26027-38-3</w:t>
            </w:r>
          </w:p>
          <w:p w:rsidR="00924575" w:rsidRPr="00EB5B1D" w:rsidRDefault="00924575" w:rsidP="00924575">
            <w:pPr>
              <w:rPr>
                <w:sz w:val="20"/>
                <w:szCs w:val="20"/>
                <w:lang w:val="en-GB"/>
              </w:rPr>
            </w:pPr>
            <w:r w:rsidRPr="00EB5B1D">
              <w:rPr>
                <w:sz w:val="20"/>
                <w:szCs w:val="20"/>
                <w:lang w:val="en-GB"/>
              </w:rPr>
              <w:t>27177-05-5</w:t>
            </w:r>
          </w:p>
          <w:p w:rsidR="00924575" w:rsidRPr="00EB5B1D" w:rsidRDefault="00924575" w:rsidP="00924575">
            <w:pPr>
              <w:rPr>
                <w:sz w:val="20"/>
                <w:szCs w:val="20"/>
                <w:lang w:val="en-GB"/>
              </w:rPr>
            </w:pPr>
            <w:r w:rsidRPr="00EB5B1D">
              <w:rPr>
                <w:sz w:val="20"/>
                <w:szCs w:val="20"/>
                <w:lang w:val="en-GB"/>
              </w:rPr>
              <w:t>27177-08-8</w:t>
            </w:r>
          </w:p>
          <w:p w:rsidR="00924575" w:rsidRPr="00EB5B1D" w:rsidRDefault="00924575" w:rsidP="00924575">
            <w:pPr>
              <w:rPr>
                <w:sz w:val="20"/>
                <w:szCs w:val="20"/>
                <w:lang w:val="en-GB"/>
              </w:rPr>
            </w:pPr>
            <w:r w:rsidRPr="00EB5B1D">
              <w:rPr>
                <w:sz w:val="20"/>
                <w:szCs w:val="20"/>
                <w:lang w:val="en-GB"/>
              </w:rPr>
              <w:t>286879-13-2</w:t>
            </w:r>
          </w:p>
          <w:p w:rsidR="00924575" w:rsidRPr="00EB5B1D" w:rsidRDefault="00924575" w:rsidP="00924575">
            <w:pPr>
              <w:rPr>
                <w:sz w:val="20"/>
                <w:szCs w:val="20"/>
                <w:lang w:val="en-GB"/>
              </w:rPr>
            </w:pPr>
            <w:r w:rsidRPr="00EB5B1D">
              <w:rPr>
                <w:sz w:val="20"/>
                <w:szCs w:val="20"/>
                <w:lang w:val="en-GB"/>
              </w:rPr>
              <w:t>27986-36-3</w:t>
            </w:r>
          </w:p>
          <w:p w:rsidR="00924575" w:rsidRPr="00EB5B1D" w:rsidRDefault="00924575" w:rsidP="00924575">
            <w:pPr>
              <w:rPr>
                <w:sz w:val="20"/>
                <w:szCs w:val="20"/>
                <w:lang w:val="en-GB"/>
              </w:rPr>
            </w:pPr>
            <w:r w:rsidRPr="00EB5B1D">
              <w:rPr>
                <w:sz w:val="20"/>
                <w:szCs w:val="20"/>
                <w:lang w:val="en-GB"/>
              </w:rPr>
              <w:t>9016-45-9</w:t>
            </w:r>
          </w:p>
          <w:p w:rsidR="00924575" w:rsidRPr="00EB5B1D" w:rsidRDefault="00924575" w:rsidP="00924575">
            <w:pPr>
              <w:rPr>
                <w:sz w:val="20"/>
                <w:szCs w:val="20"/>
                <w:lang w:val="en-GB"/>
              </w:rPr>
            </w:pPr>
            <w:r w:rsidRPr="00EB5B1D">
              <w:rPr>
                <w:sz w:val="20"/>
                <w:szCs w:val="20"/>
                <w:lang w:val="en-GB"/>
              </w:rPr>
              <w:t>27176-93-8</w:t>
            </w:r>
          </w:p>
          <w:p w:rsidR="00924575" w:rsidRPr="00EB5B1D" w:rsidRDefault="00924575" w:rsidP="00924575">
            <w:pPr>
              <w:rPr>
                <w:sz w:val="20"/>
                <w:szCs w:val="20"/>
                <w:lang w:val="en-GB"/>
              </w:rPr>
            </w:pPr>
            <w:r w:rsidRPr="00EB5B1D">
              <w:rPr>
                <w:sz w:val="20"/>
                <w:szCs w:val="20"/>
                <w:lang w:val="en-GB"/>
              </w:rPr>
              <w:t>37340-60-6</w:t>
            </w:r>
          </w:p>
          <w:p w:rsidR="00924575" w:rsidRPr="00EB5B1D" w:rsidRDefault="00924575" w:rsidP="00924575">
            <w:pPr>
              <w:rPr>
                <w:sz w:val="20"/>
                <w:szCs w:val="20"/>
                <w:lang w:val="en-GB"/>
              </w:rPr>
            </w:pPr>
            <w:r w:rsidRPr="00EB5B1D">
              <w:rPr>
                <w:sz w:val="20"/>
                <w:szCs w:val="20"/>
                <w:lang w:val="en-GB"/>
              </w:rPr>
              <w:t>51938-25-1</w:t>
            </w:r>
          </w:p>
          <w:p w:rsidR="00924575" w:rsidRPr="00EB5B1D" w:rsidRDefault="00924575" w:rsidP="00924575">
            <w:pPr>
              <w:rPr>
                <w:sz w:val="20"/>
                <w:szCs w:val="20"/>
                <w:lang w:val="en-GB"/>
              </w:rPr>
            </w:pPr>
            <w:r w:rsidRPr="00EB5B1D">
              <w:rPr>
                <w:sz w:val="20"/>
                <w:szCs w:val="20"/>
                <w:lang w:val="en-GB"/>
              </w:rPr>
              <w:t>68412-53-3</w:t>
            </w:r>
          </w:p>
          <w:p w:rsidR="00924575" w:rsidRPr="00EB5B1D" w:rsidRDefault="00924575" w:rsidP="00924575">
            <w:pPr>
              <w:rPr>
                <w:sz w:val="20"/>
                <w:szCs w:val="20"/>
                <w:lang w:val="en-GB"/>
              </w:rPr>
            </w:pPr>
            <w:r w:rsidRPr="00EB5B1D">
              <w:rPr>
                <w:sz w:val="20"/>
                <w:szCs w:val="20"/>
                <w:lang w:val="en-GB"/>
              </w:rPr>
              <w:t>11066-49-2</w:t>
            </w:r>
          </w:p>
        </w:tc>
        <w:tc>
          <w:tcPr>
            <w:tcW w:w="1163" w:type="dxa"/>
          </w:tcPr>
          <w:p w:rsidR="00924575" w:rsidRPr="00EB5B1D" w:rsidRDefault="00924575" w:rsidP="00924575">
            <w:pPr>
              <w:rPr>
                <w:sz w:val="20"/>
                <w:szCs w:val="20"/>
                <w:lang w:val="en-GB"/>
              </w:rPr>
            </w:pPr>
            <w:r w:rsidRPr="00EB5B1D">
              <w:rPr>
                <w:rFonts w:eastAsia="SimSun"/>
                <w:sz w:val="20"/>
                <w:szCs w:val="20"/>
                <w:lang w:val="en-GB" w:eastAsia="en-GB"/>
              </w:rPr>
              <w:t>Plaguicida</w:t>
            </w:r>
          </w:p>
        </w:tc>
        <w:tc>
          <w:tcPr>
            <w:tcW w:w="1530" w:type="dxa"/>
          </w:tcPr>
          <w:p w:rsidR="00924575" w:rsidRPr="00EB5B1D" w:rsidRDefault="00924575" w:rsidP="00924575">
            <w:pPr>
              <w:rPr>
                <w:sz w:val="20"/>
                <w:szCs w:val="20"/>
                <w:lang w:val="en-GB"/>
              </w:rPr>
            </w:pPr>
            <w:r w:rsidRPr="00EB5B1D">
              <w:rPr>
                <w:sz w:val="20"/>
                <w:szCs w:val="20"/>
                <w:lang w:val="es-ES_tradnl"/>
              </w:rPr>
              <w:t>Sudáfrica</w:t>
            </w:r>
          </w:p>
        </w:tc>
        <w:tc>
          <w:tcPr>
            <w:tcW w:w="1080" w:type="dxa"/>
          </w:tcPr>
          <w:p w:rsidR="00924575" w:rsidRPr="00EB5B1D" w:rsidRDefault="00924575" w:rsidP="00924575">
            <w:pPr>
              <w:rPr>
                <w:sz w:val="20"/>
                <w:szCs w:val="20"/>
                <w:lang w:val="en-GB"/>
              </w:rPr>
            </w:pPr>
            <w:r w:rsidRPr="00EB5B1D">
              <w:rPr>
                <w:sz w:val="20"/>
                <w:szCs w:val="20"/>
                <w:lang w:val="en-GB"/>
              </w:rPr>
              <w:t>Africa</w:t>
            </w:r>
          </w:p>
        </w:tc>
        <w:tc>
          <w:tcPr>
            <w:tcW w:w="1439" w:type="dxa"/>
          </w:tcPr>
          <w:p w:rsidR="00924575" w:rsidRPr="00EB5B1D" w:rsidRDefault="00924575" w:rsidP="00924575">
            <w:pPr>
              <w:rPr>
                <w:sz w:val="20"/>
                <w:szCs w:val="20"/>
                <w:lang w:val="en-GB"/>
              </w:rPr>
            </w:pPr>
            <w:r w:rsidRPr="00EB5B1D">
              <w:rPr>
                <w:sz w:val="20"/>
                <w:szCs w:val="20"/>
                <w:lang w:val="en-GB"/>
              </w:rPr>
              <w:t>No</w:t>
            </w:r>
          </w:p>
        </w:tc>
      </w:tr>
    </w:tbl>
    <w:p w:rsidR="00A7090C" w:rsidRPr="00EB5B1D" w:rsidRDefault="00A7090C" w:rsidP="00985981">
      <w:pPr>
        <w:tabs>
          <w:tab w:val="left" w:pos="3686"/>
        </w:tabs>
        <w:ind w:right="23"/>
        <w:rPr>
          <w:szCs w:val="22"/>
        </w:rPr>
      </w:pPr>
    </w:p>
    <w:p w:rsidR="005068F2" w:rsidRPr="00EB5B1D" w:rsidRDefault="005068F2" w:rsidP="00A84B0B">
      <w:pPr>
        <w:keepNext/>
        <w:keepLines/>
        <w:spacing w:before="80"/>
        <w:rPr>
          <w:rFonts w:ascii="Arial" w:hAnsi="Arial" w:cs="Arial"/>
          <w:b/>
        </w:rPr>
        <w:sectPr w:rsidR="005068F2" w:rsidRPr="00EB5B1D" w:rsidSect="008A1D9E">
          <w:headerReference w:type="even" r:id="rId25"/>
          <w:headerReference w:type="default" r:id="rId26"/>
          <w:pgSz w:w="11907" w:h="16839" w:code="9"/>
          <w:pgMar w:top="1134" w:right="1418" w:bottom="1134" w:left="1418" w:header="709" w:footer="277" w:gutter="0"/>
          <w:cols w:space="709"/>
          <w:docGrid w:linePitch="360"/>
        </w:sectPr>
      </w:pPr>
    </w:p>
    <w:p w:rsidR="00D2359C" w:rsidRPr="00EB5B1D" w:rsidRDefault="00D2359C" w:rsidP="00D2359C">
      <w:pPr>
        <w:pStyle w:val="H1PIC"/>
        <w:jc w:val="center"/>
        <w:rPr>
          <w:color w:val="auto"/>
          <w:sz w:val="24"/>
          <w:szCs w:val="24"/>
          <w:lang w:val="fr-CH"/>
        </w:rPr>
      </w:pPr>
      <w:bookmarkStart w:id="148" w:name="_Toc232307882"/>
      <w:bookmarkStart w:id="149" w:name="_Toc248296438"/>
      <w:bookmarkStart w:id="150" w:name="_Toc248307674"/>
      <w:bookmarkStart w:id="151" w:name="_Toc263866401"/>
      <w:bookmarkStart w:id="152" w:name="_Toc264391972"/>
      <w:bookmarkStart w:id="153" w:name="_Toc264393119"/>
      <w:bookmarkStart w:id="154" w:name="_Toc468869214"/>
      <w:bookmarkStart w:id="155" w:name="_Toc468870498"/>
      <w:bookmarkStart w:id="156" w:name="_Toc468887025"/>
      <w:bookmarkStart w:id="157" w:name="_Toc469005604"/>
      <w:bookmarkStart w:id="158" w:name="_Toc484685686"/>
      <w:bookmarkStart w:id="159" w:name="_Toc484686636"/>
      <w:bookmarkStart w:id="160" w:name="_Toc327357866"/>
      <w:bookmarkStart w:id="161" w:name="_Toc405887615"/>
      <w:bookmarkStart w:id="162" w:name="_Toc421544488"/>
      <w:bookmarkStart w:id="163" w:name="_Toc105228789"/>
      <w:bookmarkStart w:id="164" w:name="_Toc158029016"/>
      <w:bookmarkStart w:id="165" w:name="_Toc168731349"/>
      <w:bookmarkStart w:id="166" w:name="_Toc184545131"/>
      <w:bookmarkStart w:id="167" w:name="_Toc184545466"/>
      <w:bookmarkStart w:id="168" w:name="_Toc187484347"/>
      <w:bookmarkStart w:id="169" w:name="_Toc199906474"/>
      <w:bookmarkStart w:id="170" w:name="_Toc201032662"/>
      <w:bookmarkStart w:id="171" w:name="_Toc215915387"/>
      <w:r w:rsidRPr="00EB5B1D">
        <w:rPr>
          <w:color w:val="auto"/>
          <w:sz w:val="24"/>
          <w:szCs w:val="24"/>
          <w:lang w:val="fr-CH"/>
        </w:rPr>
        <w:t>APÉNDICE II</w:t>
      </w:r>
      <w:bookmarkEnd w:id="148"/>
      <w:bookmarkEnd w:id="149"/>
      <w:bookmarkEnd w:id="150"/>
      <w:bookmarkEnd w:id="151"/>
      <w:bookmarkEnd w:id="152"/>
      <w:bookmarkEnd w:id="153"/>
      <w:bookmarkEnd w:id="154"/>
      <w:bookmarkEnd w:id="155"/>
      <w:bookmarkEnd w:id="156"/>
      <w:bookmarkEnd w:id="157"/>
      <w:bookmarkEnd w:id="158"/>
      <w:bookmarkEnd w:id="159"/>
    </w:p>
    <w:p w:rsidR="00D2359C" w:rsidRPr="00EB5B1D" w:rsidRDefault="00D2359C" w:rsidP="00D2359C">
      <w:pPr>
        <w:pStyle w:val="H1PIC"/>
        <w:jc w:val="center"/>
        <w:rPr>
          <w:color w:val="auto"/>
          <w:sz w:val="24"/>
          <w:szCs w:val="24"/>
          <w:lang w:val="fr-CH"/>
        </w:rPr>
      </w:pPr>
    </w:p>
    <w:p w:rsidR="00D2359C" w:rsidRPr="00EB5B1D" w:rsidRDefault="00D2359C" w:rsidP="00D2359C">
      <w:pPr>
        <w:pStyle w:val="H1PIC"/>
        <w:jc w:val="center"/>
        <w:rPr>
          <w:color w:val="auto"/>
          <w:sz w:val="24"/>
          <w:szCs w:val="24"/>
          <w:lang w:val="fr-CH"/>
        </w:rPr>
      </w:pPr>
      <w:bookmarkStart w:id="172" w:name="_Toc484686637"/>
      <w:r w:rsidRPr="00EB5B1D">
        <w:rPr>
          <w:color w:val="auto"/>
          <w:sz w:val="24"/>
          <w:szCs w:val="24"/>
          <w:lang w:val="fr-CH"/>
        </w:rPr>
        <w:t xml:space="preserve">PROPUESTAS PARA </w:t>
      </w:r>
      <w:proofErr w:type="gramStart"/>
      <w:r w:rsidRPr="00EB5B1D">
        <w:rPr>
          <w:color w:val="auto"/>
          <w:sz w:val="24"/>
          <w:szCs w:val="24"/>
          <w:lang w:val="fr-CH"/>
        </w:rPr>
        <w:t>LA INCLUSIÓN</w:t>
      </w:r>
      <w:proofErr w:type="gramEnd"/>
      <w:r w:rsidRPr="00EB5B1D">
        <w:rPr>
          <w:color w:val="auto"/>
          <w:sz w:val="24"/>
          <w:szCs w:val="24"/>
          <w:lang w:val="fr-CH"/>
        </w:rPr>
        <w:t xml:space="preserve"> DE FORMULACIONES PLAGUICIDAS EXTREMADAMENTE PELIGROSAS EN EL PROCEDIMIENTO DE CFP</w:t>
      </w:r>
      <w:bookmarkEnd w:id="172"/>
    </w:p>
    <w:p w:rsidR="00D2359C" w:rsidRPr="00EB5B1D" w:rsidRDefault="00D2359C" w:rsidP="00D2359C">
      <w:pPr>
        <w:rPr>
          <w:szCs w:val="22"/>
          <w:lang w:val="fr-CH"/>
        </w:rPr>
      </w:pPr>
    </w:p>
    <w:p w:rsidR="00340E2B" w:rsidRPr="00EB5B1D" w:rsidRDefault="00BC73C4" w:rsidP="00340E2B">
      <w:pPr>
        <w:ind w:left="839" w:hanging="839"/>
        <w:jc w:val="center"/>
        <w:outlineLvl w:val="1"/>
        <w:rPr>
          <w:b/>
          <w:sz w:val="24"/>
          <w:lang w:val="fr-CH"/>
        </w:rPr>
      </w:pPr>
      <w:bookmarkStart w:id="173" w:name="_Toc421544489"/>
      <w:bookmarkStart w:id="174" w:name="_Toc468869216"/>
      <w:bookmarkStart w:id="175" w:name="_Toc468870500"/>
      <w:bookmarkStart w:id="176" w:name="_Toc469002209"/>
      <w:bookmarkStart w:id="177" w:name="_Toc469005870"/>
      <w:bookmarkStart w:id="178" w:name="_Toc469052707"/>
      <w:bookmarkStart w:id="179" w:name="_Toc484686638"/>
      <w:bookmarkEnd w:id="160"/>
      <w:bookmarkEnd w:id="161"/>
      <w:bookmarkEnd w:id="162"/>
      <w:r w:rsidRPr="00EB5B1D">
        <w:rPr>
          <w:b/>
          <w:sz w:val="24"/>
          <w:u w:val="single"/>
          <w:lang w:val="fr-CH"/>
        </w:rPr>
        <w:t>PART</w:t>
      </w:r>
      <w:r w:rsidR="00060006" w:rsidRPr="00EB5B1D">
        <w:rPr>
          <w:b/>
          <w:sz w:val="24"/>
          <w:u w:val="single"/>
          <w:lang w:val="fr-CH"/>
        </w:rPr>
        <w:t>E</w:t>
      </w:r>
      <w:r w:rsidRPr="00EB5B1D">
        <w:rPr>
          <w:b/>
          <w:sz w:val="24"/>
          <w:u w:val="single"/>
          <w:lang w:val="fr-CH"/>
        </w:rPr>
        <w:t xml:space="preserve"> A</w:t>
      </w:r>
      <w:bookmarkEnd w:id="173"/>
      <w:bookmarkEnd w:id="174"/>
      <w:bookmarkEnd w:id="175"/>
      <w:bookmarkEnd w:id="176"/>
      <w:bookmarkEnd w:id="177"/>
      <w:bookmarkEnd w:id="178"/>
      <w:bookmarkEnd w:id="179"/>
    </w:p>
    <w:p w:rsidR="007B68CF" w:rsidRPr="00EB5B1D" w:rsidRDefault="007B68CF" w:rsidP="007B68CF">
      <w:pPr>
        <w:jc w:val="center"/>
        <w:rPr>
          <w:b/>
          <w:sz w:val="24"/>
          <w:lang w:val="fr-CH"/>
        </w:rPr>
      </w:pPr>
    </w:p>
    <w:p w:rsidR="007B68CF" w:rsidRPr="00EB5B1D" w:rsidRDefault="00060006" w:rsidP="007B68CF">
      <w:pPr>
        <w:jc w:val="center"/>
        <w:rPr>
          <w:sz w:val="24"/>
          <w:lang w:val="fr-CH"/>
        </w:rPr>
      </w:pPr>
      <w:r w:rsidRPr="00EB5B1D">
        <w:rPr>
          <w:b/>
          <w:sz w:val="24"/>
          <w:lang w:val="fr-CH"/>
        </w:rPr>
        <w:t>RESUMEN DE CADA PROPUESTA PARA LA INCLUSIÓN DE UNA FORMULACIÓN PLAGUICIDA EXTREMADAMENTE PELIGROSA QUE SE HA VERIFICADO QUE CONTIENE TODA LA INFORMACIÓN ESTIPULADA EN EL ANEXO IV, PARTE 1, DEL CONVENIO</w:t>
      </w:r>
    </w:p>
    <w:p w:rsidR="005378C4" w:rsidRPr="00EB5B1D" w:rsidRDefault="005378C4" w:rsidP="007B68CF">
      <w:pPr>
        <w:ind w:left="624" w:hanging="601"/>
        <w:jc w:val="both"/>
        <w:rPr>
          <w:szCs w:val="22"/>
          <w:lang w:val="fr-CH"/>
        </w:rPr>
      </w:pPr>
    </w:p>
    <w:p w:rsidR="00257B9F" w:rsidRPr="00B25F01" w:rsidRDefault="00257B9F" w:rsidP="00090885">
      <w:pPr>
        <w:pBdr>
          <w:bottom w:val="single" w:sz="6" w:space="1" w:color="auto"/>
        </w:pBdr>
        <w:snapToGrid w:val="0"/>
        <w:spacing w:after="60"/>
        <w:ind w:left="624" w:hanging="605"/>
        <w:jc w:val="both"/>
        <w:outlineLvl w:val="1"/>
        <w:rPr>
          <w:b/>
          <w:szCs w:val="22"/>
          <w:lang w:val="es-ES_tradnl"/>
        </w:rPr>
      </w:pPr>
      <w:bookmarkStart w:id="180" w:name="_Toc484686639"/>
      <w:bookmarkStart w:id="181" w:name="_Toc421544490"/>
      <w:bookmarkStart w:id="182" w:name="_Toc468869217"/>
      <w:bookmarkStart w:id="183" w:name="_Toc468870501"/>
      <w:bookmarkStart w:id="184" w:name="_Toc469002210"/>
      <w:bookmarkStart w:id="185" w:name="_Toc469005871"/>
      <w:bookmarkStart w:id="186" w:name="_Toc469052708"/>
      <w:r w:rsidRPr="00B25F01">
        <w:rPr>
          <w:b/>
          <w:szCs w:val="22"/>
          <w:lang w:val="es-ES_tradnl"/>
        </w:rPr>
        <w:t>GEORGIA</w:t>
      </w:r>
      <w:bookmarkEnd w:id="180"/>
    </w:p>
    <w:p w:rsidR="00257B9F" w:rsidRPr="00EB5B1D" w:rsidRDefault="00257B9F" w:rsidP="005B2473">
      <w:pPr>
        <w:snapToGrid w:val="0"/>
        <w:spacing w:after="60"/>
        <w:jc w:val="both"/>
        <w:outlineLvl w:val="1"/>
        <w:rPr>
          <w:b/>
          <w:szCs w:val="22"/>
          <w:u w:val="single"/>
          <w:lang w:val="fr-CH"/>
        </w:rPr>
      </w:pPr>
      <w:bookmarkStart w:id="187" w:name="_Toc484686640"/>
      <w:r w:rsidRPr="00EB5B1D">
        <w:rPr>
          <w:b/>
          <w:i/>
          <w:szCs w:val="22"/>
          <w:lang w:val="fr-FR"/>
        </w:rPr>
        <w:t>Nombre de la formulación:</w:t>
      </w:r>
      <w:r w:rsidRPr="00EB5B1D">
        <w:rPr>
          <w:b/>
          <w:szCs w:val="22"/>
          <w:lang w:val="fr-FR"/>
        </w:rPr>
        <w:t xml:space="preserve"> </w:t>
      </w:r>
      <w:r w:rsidRPr="00EB5B1D">
        <w:rPr>
          <w:szCs w:val="22"/>
          <w:lang w:val="fr-FR"/>
        </w:rPr>
        <w:t>Karate</w:t>
      </w:r>
      <w:bookmarkEnd w:id="187"/>
    </w:p>
    <w:p w:rsidR="00257B9F" w:rsidRPr="00EB5B1D" w:rsidRDefault="00257B9F" w:rsidP="005B2473">
      <w:pPr>
        <w:snapToGrid w:val="0"/>
        <w:spacing w:after="60"/>
        <w:jc w:val="both"/>
        <w:outlineLvl w:val="1"/>
        <w:rPr>
          <w:b/>
          <w:szCs w:val="22"/>
          <w:u w:val="single"/>
          <w:lang w:val="fr-CH"/>
        </w:rPr>
      </w:pPr>
      <w:bookmarkStart w:id="188" w:name="_Toc484686641"/>
      <w:r w:rsidRPr="00EB5B1D">
        <w:rPr>
          <w:b/>
          <w:i/>
          <w:szCs w:val="22"/>
          <w:lang w:val="fr-FR"/>
        </w:rPr>
        <w:t xml:space="preserve">Tipo de formulación (por ejemplo, EC, WP, DP, GR, TB): </w:t>
      </w:r>
      <w:r w:rsidRPr="00EB5B1D">
        <w:rPr>
          <w:szCs w:val="22"/>
          <w:lang w:val="fr-FR"/>
        </w:rPr>
        <w:t>5 EC</w:t>
      </w:r>
      <w:bookmarkEnd w:id="188"/>
    </w:p>
    <w:p w:rsidR="00257B9F" w:rsidRPr="00EB5B1D" w:rsidRDefault="00257B9F" w:rsidP="005B2473">
      <w:pPr>
        <w:snapToGrid w:val="0"/>
        <w:spacing w:after="60"/>
        <w:jc w:val="both"/>
        <w:outlineLvl w:val="1"/>
        <w:rPr>
          <w:b/>
          <w:szCs w:val="22"/>
          <w:u w:val="single"/>
          <w:lang w:val="fr-CH"/>
        </w:rPr>
      </w:pPr>
      <w:bookmarkStart w:id="189" w:name="_Toc484686642"/>
      <w:r w:rsidRPr="00EB5B1D">
        <w:rPr>
          <w:b/>
          <w:i/>
          <w:szCs w:val="22"/>
          <w:lang w:val="fr-FR"/>
        </w:rPr>
        <w:t xml:space="preserve">Nombre comercial y nombre del fabricante, si se conocen: </w:t>
      </w:r>
      <w:r w:rsidRPr="00EB5B1D">
        <w:rPr>
          <w:szCs w:val="22"/>
          <w:lang w:val="nb-NO"/>
        </w:rPr>
        <w:t xml:space="preserve">Karate, </w:t>
      </w:r>
      <w:r w:rsidRPr="00EB5B1D">
        <w:rPr>
          <w:szCs w:val="22"/>
          <w:lang w:val="pt-PT"/>
        </w:rPr>
        <w:t>Syngenta Crop Protection AG Basilea, Suiza</w:t>
      </w:r>
      <w:bookmarkEnd w:id="189"/>
    </w:p>
    <w:p w:rsidR="00257B9F" w:rsidRPr="00EB5B1D" w:rsidRDefault="00257B9F" w:rsidP="005B2473">
      <w:pPr>
        <w:snapToGrid w:val="0"/>
        <w:spacing w:after="60"/>
        <w:jc w:val="both"/>
        <w:outlineLvl w:val="1"/>
        <w:rPr>
          <w:b/>
          <w:szCs w:val="22"/>
          <w:u w:val="single"/>
          <w:lang w:val="fr-FR"/>
        </w:rPr>
      </w:pPr>
      <w:bookmarkStart w:id="190" w:name="_Toc484686643"/>
      <w:r w:rsidRPr="00EB5B1D">
        <w:rPr>
          <w:b/>
          <w:i/>
          <w:szCs w:val="22"/>
          <w:lang w:val="fr-FR"/>
        </w:rPr>
        <w:t>Nombre del ingrediente o ingredientes activos en la formulación:</w:t>
      </w:r>
      <w:r w:rsidRPr="00EB5B1D">
        <w:rPr>
          <w:b/>
          <w:szCs w:val="22"/>
          <w:lang w:val="fr-FR"/>
        </w:rPr>
        <w:t xml:space="preserve"> </w:t>
      </w:r>
      <w:r w:rsidRPr="00EB5B1D">
        <w:rPr>
          <w:szCs w:val="22"/>
          <w:lang w:val="fr-FR"/>
        </w:rPr>
        <w:t>lambda-cialotrina</w:t>
      </w:r>
      <w:bookmarkEnd w:id="190"/>
    </w:p>
    <w:p w:rsidR="00257B9F" w:rsidRPr="00EB5B1D" w:rsidRDefault="00257B9F" w:rsidP="005B2473">
      <w:pPr>
        <w:tabs>
          <w:tab w:val="right" w:leader="dot" w:pos="8822"/>
        </w:tabs>
        <w:snapToGrid w:val="0"/>
        <w:spacing w:after="60"/>
        <w:jc w:val="both"/>
        <w:rPr>
          <w:i/>
          <w:szCs w:val="22"/>
          <w:lang w:val="fr-FR"/>
        </w:rPr>
      </w:pPr>
      <w:r w:rsidRPr="00EB5B1D">
        <w:rPr>
          <w:b/>
          <w:i/>
          <w:szCs w:val="22"/>
          <w:lang w:val="fr-FR"/>
        </w:rPr>
        <w:t>Cantidad relativa de cada ingrediente activo en la formulación:</w:t>
      </w:r>
      <w:r w:rsidRPr="00EB5B1D">
        <w:rPr>
          <w:b/>
          <w:szCs w:val="22"/>
          <w:lang w:val="fr-FR"/>
        </w:rPr>
        <w:t xml:space="preserve"> </w:t>
      </w:r>
      <w:r w:rsidRPr="00EB5B1D">
        <w:rPr>
          <w:szCs w:val="22"/>
          <w:lang w:val="fr-FR"/>
        </w:rPr>
        <w:t>50 g/</w:t>
      </w:r>
      <w:r w:rsidR="008C35CC" w:rsidRPr="00EB5B1D">
        <w:rPr>
          <w:szCs w:val="22"/>
          <w:lang w:val="fr-FR"/>
        </w:rPr>
        <w:t>L</w:t>
      </w:r>
      <w:r w:rsidRPr="00EB5B1D">
        <w:rPr>
          <w:szCs w:val="22"/>
          <w:lang w:val="fr-FR"/>
        </w:rPr>
        <w:t xml:space="preserve"> (concentración expresada en porcentaje)</w:t>
      </w:r>
    </w:p>
    <w:p w:rsidR="00257B9F" w:rsidRPr="00EB5B1D" w:rsidRDefault="00257B9F" w:rsidP="005B2473">
      <w:pPr>
        <w:snapToGrid w:val="0"/>
        <w:spacing w:after="60"/>
        <w:jc w:val="both"/>
        <w:outlineLvl w:val="1"/>
        <w:rPr>
          <w:szCs w:val="22"/>
          <w:lang w:val="fr-FR"/>
        </w:rPr>
      </w:pPr>
      <w:bookmarkStart w:id="191" w:name="_Toc484686644"/>
      <w:r w:rsidRPr="00EB5B1D">
        <w:rPr>
          <w:b/>
          <w:i/>
          <w:szCs w:val="22"/>
          <w:lang w:val="fr-FR"/>
        </w:rPr>
        <w:t>Adjunte una copia de la etiqueta (o etiquetas), si es posible (o describa los aspectos fundamentales de la etiqueta: idioma, etc.):</w:t>
      </w:r>
      <w:r w:rsidRPr="00EB5B1D">
        <w:rPr>
          <w:b/>
          <w:szCs w:val="22"/>
          <w:lang w:val="fr-FR"/>
        </w:rPr>
        <w:t xml:space="preserve"> </w:t>
      </w:r>
      <w:r w:rsidRPr="00EB5B1D">
        <w:rPr>
          <w:szCs w:val="22"/>
          <w:lang w:val="fr-FR"/>
        </w:rPr>
        <w:t>Se adjunta etiqueta</w:t>
      </w:r>
      <w:r w:rsidR="005B2473" w:rsidRPr="00EB5B1D">
        <w:rPr>
          <w:szCs w:val="22"/>
          <w:lang w:val="fr-FR"/>
        </w:rPr>
        <w:t>.</w:t>
      </w:r>
      <w:bookmarkEnd w:id="191"/>
    </w:p>
    <w:p w:rsidR="00257B9F" w:rsidRPr="00EB5B1D" w:rsidRDefault="00257B9F" w:rsidP="005B2473">
      <w:pPr>
        <w:tabs>
          <w:tab w:val="right" w:leader="dot" w:pos="8822"/>
        </w:tabs>
        <w:snapToGrid w:val="0"/>
        <w:spacing w:after="60"/>
        <w:jc w:val="both"/>
        <w:rPr>
          <w:i/>
          <w:szCs w:val="22"/>
          <w:lang w:val="fr-FR"/>
        </w:rPr>
      </w:pPr>
      <w:r w:rsidRPr="00EB5B1D">
        <w:rPr>
          <w:b/>
          <w:i/>
          <w:szCs w:val="22"/>
          <w:lang w:val="fr-FR"/>
        </w:rPr>
        <w:t>Método común y reconocido de utilización de la formulación en el país:</w:t>
      </w:r>
    </w:p>
    <w:p w:rsidR="00257B9F" w:rsidRPr="00EB5B1D" w:rsidRDefault="00257B9F" w:rsidP="005B2473">
      <w:pPr>
        <w:pStyle w:val="ListParagraph"/>
        <w:numPr>
          <w:ilvl w:val="0"/>
          <w:numId w:val="41"/>
        </w:numPr>
        <w:tabs>
          <w:tab w:val="right" w:leader="dot" w:pos="8822"/>
        </w:tabs>
        <w:snapToGrid w:val="0"/>
        <w:spacing w:after="60"/>
        <w:contextualSpacing w:val="0"/>
        <w:jc w:val="both"/>
        <w:rPr>
          <w:b/>
          <w:i/>
          <w:szCs w:val="22"/>
          <w:lang w:val="fr-FR"/>
        </w:rPr>
      </w:pPr>
      <w:r w:rsidRPr="00EB5B1D">
        <w:rPr>
          <w:b/>
          <w:i/>
          <w:szCs w:val="22"/>
          <w:lang w:val="fr-FR"/>
        </w:rPr>
        <w:t>¿Está registrada la formulación en el país? ¿</w:t>
      </w:r>
      <w:r w:rsidR="008C35CC" w:rsidRPr="00EB5B1D">
        <w:rPr>
          <w:b/>
          <w:i/>
          <w:szCs w:val="22"/>
          <w:lang w:val="fr-FR"/>
        </w:rPr>
        <w:t>E</w:t>
      </w:r>
      <w:r w:rsidRPr="00EB5B1D">
        <w:rPr>
          <w:b/>
          <w:i/>
          <w:szCs w:val="22"/>
          <w:lang w:val="fr-FR"/>
        </w:rPr>
        <w:t>stá permitido su uso en el país?</w:t>
      </w:r>
    </w:p>
    <w:p w:rsidR="00257B9F" w:rsidRPr="00EB5B1D" w:rsidRDefault="00257B9F" w:rsidP="005B2473">
      <w:pPr>
        <w:snapToGrid w:val="0"/>
        <w:spacing w:after="60"/>
        <w:ind w:left="360"/>
        <w:jc w:val="both"/>
        <w:rPr>
          <w:szCs w:val="22"/>
        </w:rPr>
      </w:pPr>
      <w:r w:rsidRPr="00EB5B1D">
        <w:rPr>
          <w:szCs w:val="22"/>
        </w:rPr>
        <w:t xml:space="preserve">Registrada y uso permitido desde el 22.12.98, RE-preregistro en </w:t>
      </w:r>
      <w:r w:rsidRPr="00EB5B1D">
        <w:rPr>
          <w:szCs w:val="22"/>
          <w:lang w:val="ka-GE"/>
        </w:rPr>
        <w:t>2004, 2009, 2014</w:t>
      </w:r>
      <w:r w:rsidRPr="00EB5B1D">
        <w:rPr>
          <w:szCs w:val="22"/>
        </w:rPr>
        <w:t>, Reg</w:t>
      </w:r>
      <w:proofErr w:type="gramStart"/>
      <w:r w:rsidRPr="00EB5B1D">
        <w:rPr>
          <w:szCs w:val="22"/>
        </w:rPr>
        <w:t>.#</w:t>
      </w:r>
      <w:proofErr w:type="gramEnd"/>
      <w:r w:rsidRPr="00EB5B1D">
        <w:rPr>
          <w:szCs w:val="22"/>
        </w:rPr>
        <w:t xml:space="preserve"> 048/04/09/14, y uso permitido hasta el 2019.</w:t>
      </w:r>
    </w:p>
    <w:p w:rsidR="00257B9F" w:rsidRPr="00EB5B1D" w:rsidRDefault="00257B9F" w:rsidP="005B2473">
      <w:pPr>
        <w:numPr>
          <w:ilvl w:val="0"/>
          <w:numId w:val="40"/>
        </w:numPr>
        <w:tabs>
          <w:tab w:val="right" w:leader="dot" w:pos="8496"/>
        </w:tabs>
        <w:snapToGrid w:val="0"/>
        <w:spacing w:after="60"/>
        <w:ind w:left="0" w:firstLine="0"/>
        <w:jc w:val="both"/>
        <w:rPr>
          <w:b/>
          <w:i/>
          <w:szCs w:val="22"/>
          <w:lang w:val="fr-FR"/>
        </w:rPr>
      </w:pPr>
      <w:r w:rsidRPr="00EB5B1D">
        <w:rPr>
          <w:b/>
          <w:i/>
          <w:szCs w:val="22"/>
          <w:lang w:val="fr-FR"/>
        </w:rPr>
        <w:t xml:space="preserve">¿Cuáles son los usos permitidos? </w:t>
      </w:r>
      <w:r w:rsidR="00A946C2" w:rsidRPr="00EB5B1D">
        <w:rPr>
          <w:b/>
          <w:i/>
          <w:szCs w:val="22"/>
          <w:lang w:val="fr-FR"/>
        </w:rPr>
        <w:t>¿</w:t>
      </w:r>
      <w:r w:rsidRPr="00EB5B1D">
        <w:rPr>
          <w:b/>
          <w:i/>
          <w:szCs w:val="22"/>
          <w:lang w:val="fr-FR"/>
        </w:rPr>
        <w:t>En los siguientes usos agrícolas</w:t>
      </w:r>
      <w:r w:rsidR="00A946C2" w:rsidRPr="00EB5B1D">
        <w:rPr>
          <w:b/>
          <w:i/>
          <w:szCs w:val="22"/>
          <w:lang w:val="fr-FR"/>
        </w:rPr>
        <w:t>?</w:t>
      </w:r>
    </w:p>
    <w:p w:rsidR="008C35CC" w:rsidRPr="00EB5B1D" w:rsidRDefault="00257B9F" w:rsidP="005B2473">
      <w:pPr>
        <w:pStyle w:val="ListParagraph"/>
        <w:widowControl w:val="0"/>
        <w:autoSpaceDE w:val="0"/>
        <w:autoSpaceDN w:val="0"/>
        <w:adjustRightInd w:val="0"/>
        <w:snapToGrid w:val="0"/>
        <w:spacing w:after="60"/>
        <w:ind w:left="360"/>
        <w:contextualSpacing w:val="0"/>
        <w:jc w:val="both"/>
        <w:rPr>
          <w:szCs w:val="22"/>
          <w:lang w:val="es-ES_tradnl"/>
        </w:rPr>
      </w:pPr>
      <w:r w:rsidRPr="00EB5B1D">
        <w:rPr>
          <w:szCs w:val="22"/>
          <w:lang w:val="es-ES_tradnl"/>
        </w:rPr>
        <w:t>Trigo, cebada 0,15-0,2 l/ha, maíz 0,2 l/ha, soja 0,4 l/ha, manzana 0,4-0,8 l/ha, frutas pomáceas y con hueso (vivero) 0,3-0,4 l/ha, patata 0,1-0,3 l/ha, col, tomate 0,1 l/ha, frambuesa 0,4 l/ha, fresa 0,5 l/ha, grosella 0,3-0,4 l/ha, huertos no productivos, protección contra viento y forestas de las plantas verdes en las ciudades 0,2-0,4 l/ha, uva 0,3-0,4 l/ha, terrenos no agrícolas 0,1-0,4 l/ha, fábricas de fármacos 0,1-0,4 l/ha, pinos 2,5-5 ml/m2, almacenes sin carga, granjas de procesamiento de granos 0,4 ml/m2, y áreas de granjas para el procesado de granos 0,8 ml/m2.</w:t>
      </w:r>
    </w:p>
    <w:p w:rsidR="00257B9F" w:rsidRPr="00EB5B1D" w:rsidRDefault="00257B9F" w:rsidP="005B2473">
      <w:pPr>
        <w:pStyle w:val="ListParagraph"/>
        <w:widowControl w:val="0"/>
        <w:autoSpaceDE w:val="0"/>
        <w:autoSpaceDN w:val="0"/>
        <w:adjustRightInd w:val="0"/>
        <w:snapToGrid w:val="0"/>
        <w:spacing w:after="60"/>
        <w:ind w:left="360"/>
        <w:contextualSpacing w:val="0"/>
        <w:jc w:val="both"/>
        <w:rPr>
          <w:szCs w:val="22"/>
          <w:lang w:val="es-ES_tradnl"/>
        </w:rPr>
      </w:pPr>
      <w:r w:rsidRPr="00EB5B1D">
        <w:rPr>
          <w:szCs w:val="22"/>
          <w:lang w:val="es-ES_tradnl"/>
        </w:rPr>
        <w:t>La autoridad reguladora es consciente de que algunas granjas usan Karate para "uso doméstico" en animales (ganado), pero actualmente no hay productos con Lambda-cialotrina registrados para uso veterinario.</w:t>
      </w:r>
    </w:p>
    <w:p w:rsidR="004632E4" w:rsidRPr="00EB5B1D" w:rsidRDefault="00257B9F" w:rsidP="005B2473">
      <w:pPr>
        <w:pStyle w:val="ListParagraph"/>
        <w:numPr>
          <w:ilvl w:val="0"/>
          <w:numId w:val="40"/>
        </w:numPr>
        <w:tabs>
          <w:tab w:val="right" w:leader="dot" w:pos="8822"/>
        </w:tabs>
        <w:snapToGrid w:val="0"/>
        <w:spacing w:after="60"/>
        <w:contextualSpacing w:val="0"/>
        <w:jc w:val="both"/>
        <w:rPr>
          <w:szCs w:val="22"/>
          <w:lang w:val="fr-FR"/>
        </w:rPr>
      </w:pPr>
      <w:r w:rsidRPr="00EB5B1D">
        <w:rPr>
          <w:b/>
          <w:i/>
          <w:szCs w:val="22"/>
          <w:lang w:val="fr-FR"/>
        </w:rPr>
        <w:t>¿Existen restricciones a su manipulación o aplicación como condición expresa para registrarla?</w:t>
      </w:r>
    </w:p>
    <w:p w:rsidR="008C35CC" w:rsidRPr="00EB5B1D" w:rsidRDefault="00257B9F" w:rsidP="004632E4">
      <w:pPr>
        <w:pStyle w:val="ListParagraph"/>
        <w:tabs>
          <w:tab w:val="right" w:leader="dot" w:pos="8822"/>
        </w:tabs>
        <w:snapToGrid w:val="0"/>
        <w:spacing w:after="60"/>
        <w:ind w:left="360"/>
        <w:contextualSpacing w:val="0"/>
        <w:jc w:val="both"/>
        <w:rPr>
          <w:szCs w:val="22"/>
          <w:lang w:val="fr-FR"/>
        </w:rPr>
      </w:pPr>
      <w:r w:rsidRPr="00EB5B1D">
        <w:rPr>
          <w:szCs w:val="22"/>
          <w:lang w:val="fr-FR"/>
        </w:rPr>
        <w:t>NO</w:t>
      </w:r>
    </w:p>
    <w:p w:rsidR="00257B9F" w:rsidRPr="00EB5B1D" w:rsidRDefault="00257B9F" w:rsidP="005B2473">
      <w:pPr>
        <w:pStyle w:val="ListParagraph"/>
        <w:numPr>
          <w:ilvl w:val="0"/>
          <w:numId w:val="40"/>
        </w:numPr>
        <w:tabs>
          <w:tab w:val="right" w:leader="dot" w:pos="8822"/>
        </w:tabs>
        <w:snapToGrid w:val="0"/>
        <w:spacing w:after="60"/>
        <w:contextualSpacing w:val="0"/>
        <w:jc w:val="both"/>
        <w:rPr>
          <w:i/>
          <w:szCs w:val="22"/>
          <w:lang w:val="fr-FR"/>
        </w:rPr>
      </w:pPr>
      <w:r w:rsidRPr="00EB5B1D">
        <w:rPr>
          <w:b/>
          <w:i/>
          <w:szCs w:val="22"/>
          <w:lang w:val="fr-FR"/>
        </w:rPr>
        <w:t>Información sobre la difusión del uso de la formulación, como el número de solicitudes de registro o el volumen de produ</w:t>
      </w:r>
      <w:r w:rsidR="005B2473" w:rsidRPr="00EB5B1D">
        <w:rPr>
          <w:b/>
          <w:i/>
          <w:szCs w:val="22"/>
          <w:lang w:val="fr-FR"/>
        </w:rPr>
        <w:t>cción o de ventas, si se conocen:</w:t>
      </w:r>
    </w:p>
    <w:p w:rsidR="005B2473" w:rsidRPr="00EB5B1D" w:rsidRDefault="00257B9F" w:rsidP="005B2473">
      <w:pPr>
        <w:pStyle w:val="ListParagraph"/>
        <w:widowControl w:val="0"/>
        <w:autoSpaceDE w:val="0"/>
        <w:autoSpaceDN w:val="0"/>
        <w:adjustRightInd w:val="0"/>
        <w:snapToGrid w:val="0"/>
        <w:spacing w:after="60"/>
        <w:ind w:left="360"/>
        <w:contextualSpacing w:val="0"/>
        <w:jc w:val="both"/>
        <w:rPr>
          <w:szCs w:val="22"/>
          <w:lang w:val="es-ES_tradnl"/>
        </w:rPr>
      </w:pPr>
      <w:r w:rsidRPr="00EB5B1D">
        <w:rPr>
          <w:szCs w:val="22"/>
          <w:lang w:val="es-ES_tradnl"/>
        </w:rPr>
        <w:t>Georgia no produce pesticidas. Se registran importaciones de plaguicidas por 3000 toneladas anualmente, pero no se mantienen registros para los productos individuales.</w:t>
      </w:r>
    </w:p>
    <w:p w:rsidR="005B2473" w:rsidRPr="00EB5B1D" w:rsidRDefault="00257B9F" w:rsidP="005B2473">
      <w:pPr>
        <w:pStyle w:val="ListParagraph"/>
        <w:widowControl w:val="0"/>
        <w:autoSpaceDE w:val="0"/>
        <w:autoSpaceDN w:val="0"/>
        <w:adjustRightInd w:val="0"/>
        <w:snapToGrid w:val="0"/>
        <w:spacing w:after="60"/>
        <w:ind w:left="360"/>
        <w:contextualSpacing w:val="0"/>
        <w:jc w:val="both"/>
        <w:rPr>
          <w:szCs w:val="22"/>
          <w:lang w:val="es-ES_tradnl"/>
        </w:rPr>
      </w:pPr>
      <w:r w:rsidRPr="00EB5B1D">
        <w:rPr>
          <w:szCs w:val="22"/>
          <w:lang w:val="es-ES_tradnl"/>
        </w:rPr>
        <w:t>Los productos registrados en Georgia con Lambda-cialotrina incluyen: Karate, Karate Zeon, Valsamba, Kaiso, Grand 5, Kung-FU, Efdal lamothrin, Tecvando capsula, Cavancha.</w:t>
      </w:r>
    </w:p>
    <w:p w:rsidR="00257B9F" w:rsidRPr="00EB5B1D" w:rsidRDefault="00257B9F" w:rsidP="005B2473">
      <w:pPr>
        <w:pStyle w:val="ListParagraph"/>
        <w:widowControl w:val="0"/>
        <w:autoSpaceDE w:val="0"/>
        <w:autoSpaceDN w:val="0"/>
        <w:adjustRightInd w:val="0"/>
        <w:snapToGrid w:val="0"/>
        <w:spacing w:after="60"/>
        <w:ind w:left="360"/>
        <w:contextualSpacing w:val="0"/>
        <w:jc w:val="both"/>
        <w:rPr>
          <w:szCs w:val="22"/>
          <w:lang w:val="es-ES_tradnl"/>
        </w:rPr>
      </w:pPr>
      <w:r w:rsidRPr="00EB5B1D">
        <w:rPr>
          <w:szCs w:val="22"/>
          <w:lang w:val="es-ES_tradnl"/>
        </w:rPr>
        <w:t>Los países exportadores/ países de origen son Syngenta Crop Protection AG Basilea Suiza; Información de la etiqueta: Oficina de contacto Syngenta Crop Protection AG Basilea, Suiza, P.O. Box 1777.</w:t>
      </w:r>
    </w:p>
    <w:p w:rsidR="00257B9F" w:rsidRPr="00EB5B1D" w:rsidRDefault="00257B9F" w:rsidP="00090885">
      <w:pPr>
        <w:pStyle w:val="ListParagraph"/>
        <w:widowControl w:val="0"/>
        <w:autoSpaceDE w:val="0"/>
        <w:autoSpaceDN w:val="0"/>
        <w:adjustRightInd w:val="0"/>
        <w:snapToGrid w:val="0"/>
        <w:spacing w:after="60"/>
        <w:ind w:left="360"/>
        <w:contextualSpacing w:val="0"/>
        <w:jc w:val="both"/>
        <w:rPr>
          <w:szCs w:val="22"/>
          <w:lang w:val="es-ES_tradnl"/>
        </w:rPr>
      </w:pPr>
      <w:r w:rsidRPr="00EB5B1D">
        <w:rPr>
          <w:szCs w:val="22"/>
          <w:lang w:val="es-ES_tradnl"/>
        </w:rPr>
        <w:t xml:space="preserve">En el país fue establecido después de 1998 un sistema estatal de registro y control cuando se promulgó la ley de Georgia sobre "plaguicidas y agroquímicos". En este sistema están involucrados el Ministerio de Agricultura y el Ministerio de Protección del Medio Ambiente y Recursos Naturales y el Ministerio </w:t>
      </w:r>
      <w:r w:rsidR="008C35CC" w:rsidRPr="00EB5B1D">
        <w:rPr>
          <w:szCs w:val="22"/>
          <w:lang w:val="es-ES_tradnl"/>
        </w:rPr>
        <w:t xml:space="preserve">de Salud. </w:t>
      </w:r>
      <w:r w:rsidRPr="00EB5B1D">
        <w:rPr>
          <w:szCs w:val="22"/>
          <w:lang w:val="es-ES_tradnl"/>
        </w:rPr>
        <w:t>Los plaguicidas con el ingrediente activo Lambda-cialotrina son ampliamente utilizados en Georgia. De los 497 agricultores que identificaron los productos más utilizados, el 29% dijo utilizar Lambda cialotrina (comparado con el siguiente producto más común, el dimetoato, que es utilizado por el 12% de los agricultores).</w:t>
      </w:r>
    </w:p>
    <w:p w:rsidR="00257B9F" w:rsidRPr="00EB5B1D" w:rsidRDefault="00257B9F" w:rsidP="00090885">
      <w:pPr>
        <w:pStyle w:val="ListParagraph"/>
        <w:widowControl w:val="0"/>
        <w:autoSpaceDE w:val="0"/>
        <w:autoSpaceDN w:val="0"/>
        <w:adjustRightInd w:val="0"/>
        <w:snapToGrid w:val="0"/>
        <w:spacing w:after="60"/>
        <w:ind w:left="360"/>
        <w:contextualSpacing w:val="0"/>
        <w:jc w:val="both"/>
        <w:rPr>
          <w:szCs w:val="22"/>
          <w:lang w:val="es-ES_tradnl"/>
        </w:rPr>
      </w:pPr>
      <w:r w:rsidRPr="00EB5B1D">
        <w:rPr>
          <w:szCs w:val="22"/>
          <w:lang w:val="es-ES_tradnl"/>
        </w:rPr>
        <w:t>El karate se utiliza contra las principales plagas en los cultivos agrícolas. Una encuesta realizada en el 2016 indicó que sus usos primarios en el área en objeto de Kvemo Kartli eran contra el escarabajo colorado (Leptinotarsa decemlineata) en cultivos de papas, contra grillos mole (Gryllotalpa spp.) y un uso no registrado contra ectoparásitos en bovinos. Los cultivos comunes en los que se utilizó incluyen papa, tomate y frutas de huerto. Los detalles de los incidentes figuran en el Anexo II adjunto.</w:t>
      </w:r>
    </w:p>
    <w:p w:rsidR="00257B9F" w:rsidRPr="00EB5B1D" w:rsidRDefault="00257B9F" w:rsidP="00257B9F">
      <w:pPr>
        <w:numPr>
          <w:ilvl w:val="0"/>
          <w:numId w:val="39"/>
        </w:numPr>
        <w:tabs>
          <w:tab w:val="clear" w:pos="720"/>
          <w:tab w:val="num" w:pos="366"/>
          <w:tab w:val="right" w:leader="dot" w:pos="8822"/>
        </w:tabs>
        <w:snapToGrid w:val="0"/>
        <w:spacing w:after="60"/>
        <w:ind w:left="0" w:firstLine="0"/>
        <w:jc w:val="both"/>
        <w:rPr>
          <w:b/>
          <w:i/>
          <w:szCs w:val="22"/>
          <w:lang w:val="fr-FR"/>
        </w:rPr>
      </w:pPr>
      <w:r w:rsidRPr="00EB5B1D">
        <w:rPr>
          <w:b/>
          <w:i/>
          <w:szCs w:val="22"/>
          <w:lang w:val="fr-FR"/>
        </w:rPr>
        <w:t>Más información sobre el modo en que se utiliza normalmente la formulación en el país</w:t>
      </w:r>
      <w:r w:rsidR="00090885" w:rsidRPr="00EB5B1D">
        <w:rPr>
          <w:b/>
          <w:i/>
          <w:szCs w:val="22"/>
          <w:lang w:val="fr-FR"/>
        </w:rPr>
        <w:t>:</w:t>
      </w:r>
    </w:p>
    <w:p w:rsidR="00257B9F" w:rsidRPr="00EB5B1D" w:rsidRDefault="00257B9F" w:rsidP="00090885">
      <w:pPr>
        <w:widowControl w:val="0"/>
        <w:autoSpaceDE w:val="0"/>
        <w:autoSpaceDN w:val="0"/>
        <w:adjustRightInd w:val="0"/>
        <w:snapToGrid w:val="0"/>
        <w:spacing w:after="60"/>
        <w:ind w:left="360"/>
        <w:jc w:val="both"/>
        <w:rPr>
          <w:szCs w:val="22"/>
          <w:lang w:val="es-ES_tradnl"/>
        </w:rPr>
      </w:pPr>
      <w:r w:rsidRPr="00EB5B1D">
        <w:rPr>
          <w:szCs w:val="22"/>
          <w:lang w:val="es-ES_tradnl"/>
        </w:rPr>
        <w:t>Por favor consulten Parte B y Anexo III adjuntos para mayor detalle.</w:t>
      </w:r>
    </w:p>
    <w:p w:rsidR="00257B9F" w:rsidRPr="00EB5B1D" w:rsidRDefault="00257B9F" w:rsidP="00090885">
      <w:pPr>
        <w:pStyle w:val="ListParagraph"/>
        <w:numPr>
          <w:ilvl w:val="0"/>
          <w:numId w:val="39"/>
        </w:numPr>
        <w:tabs>
          <w:tab w:val="clear" w:pos="720"/>
        </w:tabs>
        <w:snapToGrid w:val="0"/>
        <w:spacing w:after="60"/>
        <w:ind w:left="360"/>
        <w:jc w:val="both"/>
        <w:outlineLvl w:val="1"/>
        <w:rPr>
          <w:b/>
          <w:i/>
          <w:szCs w:val="22"/>
          <w:lang w:val="fr-FR"/>
        </w:rPr>
      </w:pPr>
      <w:bookmarkStart w:id="192" w:name="_Toc484686645"/>
      <w:r w:rsidRPr="00EB5B1D">
        <w:rPr>
          <w:b/>
          <w:i/>
          <w:szCs w:val="22"/>
          <w:lang w:val="fr-FR"/>
        </w:rPr>
        <w:t>Descripción clara del incidente o incidentes relacionados con la formulación en cuestión, incluyendo los efectos adversos y el modo en que se ha utilizado. Pueden utilizarse otros formularios disponibles en el país para comunicar incidentes en la medida en qu</w:t>
      </w:r>
      <w:r w:rsidR="00090885" w:rsidRPr="00EB5B1D">
        <w:rPr>
          <w:b/>
          <w:i/>
          <w:szCs w:val="22"/>
          <w:lang w:val="fr-FR"/>
        </w:rPr>
        <w:t>e contengan información análoga:</w:t>
      </w:r>
      <w:bookmarkEnd w:id="192"/>
    </w:p>
    <w:p w:rsidR="00257B9F" w:rsidRPr="00EB5B1D" w:rsidRDefault="00257B9F" w:rsidP="00090885">
      <w:pPr>
        <w:widowControl w:val="0"/>
        <w:autoSpaceDE w:val="0"/>
        <w:autoSpaceDN w:val="0"/>
        <w:adjustRightInd w:val="0"/>
        <w:snapToGrid w:val="0"/>
        <w:spacing w:after="60"/>
        <w:ind w:left="360"/>
        <w:jc w:val="both"/>
        <w:rPr>
          <w:szCs w:val="22"/>
          <w:lang w:val="es-ES_tradnl"/>
        </w:rPr>
      </w:pPr>
      <w:r w:rsidRPr="00EB5B1D">
        <w:rPr>
          <w:szCs w:val="22"/>
          <w:lang w:val="es-ES_tradnl"/>
        </w:rPr>
        <w:t>La encuesta de 2016 recogió detalles de 8 incidentes relacionados con Karate 5 CE y 1 incidente relacionados con Karate Zeon 5 SC, en todos los casos el ingrediente activo fue Lambda cialotrina.</w:t>
      </w:r>
    </w:p>
    <w:p w:rsidR="00257B9F" w:rsidRPr="00EB5B1D" w:rsidRDefault="00257B9F" w:rsidP="00090885">
      <w:pPr>
        <w:widowControl w:val="0"/>
        <w:autoSpaceDE w:val="0"/>
        <w:autoSpaceDN w:val="0"/>
        <w:adjustRightInd w:val="0"/>
        <w:snapToGrid w:val="0"/>
        <w:spacing w:after="60"/>
        <w:ind w:left="360"/>
        <w:jc w:val="both"/>
        <w:rPr>
          <w:szCs w:val="22"/>
          <w:lang w:val="es-ES_tradnl"/>
        </w:rPr>
      </w:pPr>
      <w:r w:rsidRPr="00EB5B1D">
        <w:rPr>
          <w:szCs w:val="22"/>
          <w:lang w:val="es-ES_tradnl"/>
        </w:rPr>
        <w:t>Los incidentes relacionados con el karate se pueden resumir de la siguiente manera:</w:t>
      </w:r>
    </w:p>
    <w:p w:rsidR="00257B9F" w:rsidRPr="00EB5B1D" w:rsidRDefault="00257B9F" w:rsidP="00090885">
      <w:pPr>
        <w:pStyle w:val="ListParagraph"/>
        <w:widowControl w:val="0"/>
        <w:numPr>
          <w:ilvl w:val="1"/>
          <w:numId w:val="41"/>
        </w:numPr>
        <w:autoSpaceDE w:val="0"/>
        <w:autoSpaceDN w:val="0"/>
        <w:adjustRightInd w:val="0"/>
        <w:snapToGrid w:val="0"/>
        <w:spacing w:after="60"/>
        <w:contextualSpacing w:val="0"/>
        <w:jc w:val="both"/>
        <w:rPr>
          <w:szCs w:val="22"/>
          <w:lang w:val="es-ES_tradnl"/>
        </w:rPr>
      </w:pPr>
      <w:r w:rsidRPr="00EB5B1D">
        <w:rPr>
          <w:szCs w:val="22"/>
          <w:lang w:val="es-ES_tradnl"/>
        </w:rPr>
        <w:t>4 incidentes se relacionan con la aplicación del plaguicida a los cultivos (principalmente patatas), pero también implica la aplicación a tomates, pepinos, hortalizas de raíz, frijoles y frutas del huerto utilizando pulverizador de mochila o a escoba/cepillo</w:t>
      </w:r>
      <w:r w:rsidR="00090885" w:rsidRPr="00EB5B1D">
        <w:rPr>
          <w:szCs w:val="22"/>
          <w:lang w:val="es-ES_tradnl"/>
        </w:rPr>
        <w:t>;</w:t>
      </w:r>
    </w:p>
    <w:p w:rsidR="00257B9F" w:rsidRPr="00EB5B1D" w:rsidRDefault="00257B9F" w:rsidP="00090885">
      <w:pPr>
        <w:pStyle w:val="ListParagraph"/>
        <w:widowControl w:val="0"/>
        <w:numPr>
          <w:ilvl w:val="1"/>
          <w:numId w:val="17"/>
        </w:numPr>
        <w:autoSpaceDE w:val="0"/>
        <w:autoSpaceDN w:val="0"/>
        <w:adjustRightInd w:val="0"/>
        <w:snapToGrid w:val="0"/>
        <w:spacing w:after="60"/>
        <w:contextualSpacing w:val="0"/>
        <w:jc w:val="both"/>
        <w:rPr>
          <w:szCs w:val="22"/>
          <w:lang w:val="es-ES_tradnl"/>
        </w:rPr>
      </w:pPr>
      <w:r w:rsidRPr="00EB5B1D">
        <w:rPr>
          <w:szCs w:val="22"/>
          <w:lang w:val="es-ES_tradnl"/>
        </w:rPr>
        <w:t>Tres usaron un cepillo /escobas y un cubo para aplicar pesticidas</w:t>
      </w:r>
      <w:r w:rsidR="00090885" w:rsidRPr="00EB5B1D">
        <w:rPr>
          <w:szCs w:val="22"/>
          <w:lang w:val="es-ES_tradnl"/>
        </w:rPr>
        <w:t>;</w:t>
      </w:r>
    </w:p>
    <w:p w:rsidR="00257B9F" w:rsidRPr="00EB5B1D" w:rsidRDefault="00257B9F" w:rsidP="00090885">
      <w:pPr>
        <w:pStyle w:val="ListParagraph"/>
        <w:widowControl w:val="0"/>
        <w:numPr>
          <w:ilvl w:val="1"/>
          <w:numId w:val="17"/>
        </w:numPr>
        <w:autoSpaceDE w:val="0"/>
        <w:autoSpaceDN w:val="0"/>
        <w:adjustRightInd w:val="0"/>
        <w:snapToGrid w:val="0"/>
        <w:spacing w:after="60"/>
        <w:contextualSpacing w:val="0"/>
        <w:jc w:val="both"/>
        <w:rPr>
          <w:szCs w:val="22"/>
          <w:lang w:val="es-ES_tradnl"/>
        </w:rPr>
      </w:pPr>
      <w:r w:rsidRPr="00EB5B1D">
        <w:rPr>
          <w:szCs w:val="22"/>
          <w:lang w:val="es-ES_tradnl"/>
        </w:rPr>
        <w:t>Tres usaron un pulverizador a mochila</w:t>
      </w:r>
      <w:r w:rsidR="00090885" w:rsidRPr="00EB5B1D">
        <w:rPr>
          <w:szCs w:val="22"/>
          <w:lang w:val="es-ES_tradnl"/>
        </w:rPr>
        <w:t>;</w:t>
      </w:r>
    </w:p>
    <w:p w:rsidR="00257B9F" w:rsidRPr="00EB5B1D" w:rsidRDefault="00257B9F" w:rsidP="00090885">
      <w:pPr>
        <w:pStyle w:val="ListParagraph"/>
        <w:widowControl w:val="0"/>
        <w:numPr>
          <w:ilvl w:val="1"/>
          <w:numId w:val="41"/>
        </w:numPr>
        <w:autoSpaceDE w:val="0"/>
        <w:autoSpaceDN w:val="0"/>
        <w:adjustRightInd w:val="0"/>
        <w:snapToGrid w:val="0"/>
        <w:spacing w:after="60"/>
        <w:contextualSpacing w:val="0"/>
        <w:jc w:val="both"/>
        <w:rPr>
          <w:szCs w:val="22"/>
          <w:lang w:val="es-ES_tradnl"/>
        </w:rPr>
      </w:pPr>
      <w:r w:rsidRPr="00EB5B1D">
        <w:rPr>
          <w:szCs w:val="22"/>
          <w:lang w:val="es-ES_tradnl"/>
        </w:rPr>
        <w:t>1 incidente relacionado con la mezcla y carga/ preparación del plaguicida para su uso</w:t>
      </w:r>
      <w:r w:rsidR="00090885" w:rsidRPr="00EB5B1D">
        <w:rPr>
          <w:szCs w:val="22"/>
          <w:lang w:val="es-ES_tradnl"/>
        </w:rPr>
        <w:t>;</w:t>
      </w:r>
    </w:p>
    <w:p w:rsidR="00257B9F" w:rsidRPr="00EB5B1D" w:rsidRDefault="00257B9F" w:rsidP="00090885">
      <w:pPr>
        <w:pStyle w:val="ListParagraph"/>
        <w:widowControl w:val="0"/>
        <w:numPr>
          <w:ilvl w:val="1"/>
          <w:numId w:val="41"/>
        </w:numPr>
        <w:autoSpaceDE w:val="0"/>
        <w:autoSpaceDN w:val="0"/>
        <w:adjustRightInd w:val="0"/>
        <w:snapToGrid w:val="0"/>
        <w:spacing w:after="60"/>
        <w:contextualSpacing w:val="0"/>
        <w:jc w:val="both"/>
        <w:rPr>
          <w:szCs w:val="22"/>
          <w:lang w:val="es-ES_tradnl"/>
        </w:rPr>
      </w:pPr>
      <w:r w:rsidRPr="00EB5B1D">
        <w:rPr>
          <w:szCs w:val="22"/>
          <w:lang w:val="es-ES_tradnl"/>
        </w:rPr>
        <w:t xml:space="preserve">3 incidentes se relacionan con la aplicación del </w:t>
      </w:r>
      <w:r w:rsidR="005B2473" w:rsidRPr="00EB5B1D">
        <w:rPr>
          <w:szCs w:val="22"/>
          <w:lang w:val="es-ES_tradnl"/>
        </w:rPr>
        <w:t>karate al ganado con esponjas a</w:t>
      </w:r>
      <w:r w:rsidRPr="00EB5B1D">
        <w:rPr>
          <w:szCs w:val="22"/>
          <w:lang w:val="es-ES_tradnl"/>
        </w:rPr>
        <w:t>el fin de controlar los ectoparásitos (uso no registrado)</w:t>
      </w:r>
      <w:r w:rsidR="00090885" w:rsidRPr="00EB5B1D">
        <w:rPr>
          <w:szCs w:val="22"/>
          <w:lang w:val="es-ES_tradnl"/>
        </w:rPr>
        <w:t>.</w:t>
      </w:r>
    </w:p>
    <w:p w:rsidR="00257B9F" w:rsidRPr="00EB5B1D" w:rsidRDefault="00257B9F" w:rsidP="00090885">
      <w:pPr>
        <w:widowControl w:val="0"/>
        <w:autoSpaceDE w:val="0"/>
        <w:autoSpaceDN w:val="0"/>
        <w:adjustRightInd w:val="0"/>
        <w:snapToGrid w:val="0"/>
        <w:spacing w:after="60"/>
        <w:ind w:left="360"/>
        <w:jc w:val="both"/>
        <w:rPr>
          <w:szCs w:val="22"/>
          <w:lang w:val="es-ES_tradnl"/>
        </w:rPr>
      </w:pPr>
      <w:r w:rsidRPr="00EB5B1D">
        <w:rPr>
          <w:szCs w:val="22"/>
          <w:lang w:val="es-ES_tradnl"/>
        </w:rPr>
        <w:t>6 de los informes se refieren a personas que sólo usaron ropa ordinaria sin protección al manipular los plaguicidas. Dos de los informes se refieren a personas que llevaron ropa ordinaria más botas y una máscara anti polvo (no una máscara resistente a los productos químicos). Una de estas personas también llevaba guantes (de nuevo, no resistentes a los productos químicos).</w:t>
      </w:r>
    </w:p>
    <w:p w:rsidR="00257B9F" w:rsidRPr="00EB5B1D" w:rsidRDefault="00257B9F" w:rsidP="00090885">
      <w:pPr>
        <w:widowControl w:val="0"/>
        <w:autoSpaceDE w:val="0"/>
        <w:autoSpaceDN w:val="0"/>
        <w:adjustRightInd w:val="0"/>
        <w:snapToGrid w:val="0"/>
        <w:spacing w:after="60"/>
        <w:ind w:left="360"/>
        <w:jc w:val="both"/>
        <w:rPr>
          <w:szCs w:val="22"/>
          <w:lang w:val="es-ES_tradnl"/>
        </w:rPr>
      </w:pPr>
      <w:r w:rsidRPr="00EB5B1D">
        <w:rPr>
          <w:szCs w:val="22"/>
          <w:lang w:val="es-ES_tradnl"/>
        </w:rPr>
        <w:t>La falta de equipos de protección (PPE) es típica de la situación en Georgia. Pocos proveedores en Georgia ofrecen PPE. Incluso las personas que deseen comprarlos tendrán dificultades para encontrar un EPP efectivo. Algunas personas usan máscaras de polvo y guantes de albañilería creyendo erróneamente que estos artículos ofrecerán protección suficiente (como se ve en dos de los incidentes reportados).</w:t>
      </w:r>
    </w:p>
    <w:p w:rsidR="00257B9F" w:rsidRPr="00EB5B1D" w:rsidRDefault="00257B9F" w:rsidP="00090885">
      <w:pPr>
        <w:widowControl w:val="0"/>
        <w:autoSpaceDE w:val="0"/>
        <w:autoSpaceDN w:val="0"/>
        <w:adjustRightInd w:val="0"/>
        <w:snapToGrid w:val="0"/>
        <w:spacing w:after="60"/>
        <w:ind w:left="360"/>
        <w:jc w:val="both"/>
        <w:rPr>
          <w:szCs w:val="22"/>
          <w:lang w:val="es-ES_tradnl"/>
        </w:rPr>
      </w:pPr>
      <w:r w:rsidRPr="00EB5B1D">
        <w:rPr>
          <w:szCs w:val="22"/>
          <w:lang w:val="es-ES_tradnl"/>
        </w:rPr>
        <w:t>Los síntomas reportados incluyen irritación ocular y cutánea, dolor de cabeza y náuseas.</w:t>
      </w:r>
    </w:p>
    <w:p w:rsidR="00257B9F" w:rsidRPr="00EB5B1D" w:rsidRDefault="00257B9F" w:rsidP="00090885">
      <w:pPr>
        <w:widowControl w:val="0"/>
        <w:autoSpaceDE w:val="0"/>
        <w:autoSpaceDN w:val="0"/>
        <w:adjustRightInd w:val="0"/>
        <w:snapToGrid w:val="0"/>
        <w:spacing w:after="60"/>
        <w:ind w:left="360"/>
        <w:jc w:val="both"/>
        <w:rPr>
          <w:szCs w:val="22"/>
          <w:lang w:val="es-ES_tradnl"/>
        </w:rPr>
      </w:pPr>
      <w:r w:rsidRPr="00EB5B1D">
        <w:rPr>
          <w:szCs w:val="22"/>
          <w:lang w:val="es-ES_tradnl"/>
        </w:rPr>
        <w:t>Informes más detallados de los incidentes individuales figuran en el anexo II adjunto.</w:t>
      </w:r>
    </w:p>
    <w:p w:rsidR="00257B9F" w:rsidRPr="00EB5B1D" w:rsidRDefault="00257B9F" w:rsidP="00090885">
      <w:pPr>
        <w:pStyle w:val="ListParagraph"/>
        <w:numPr>
          <w:ilvl w:val="0"/>
          <w:numId w:val="39"/>
        </w:numPr>
        <w:tabs>
          <w:tab w:val="clear" w:pos="720"/>
        </w:tabs>
        <w:snapToGrid w:val="0"/>
        <w:spacing w:after="60"/>
        <w:ind w:left="360"/>
        <w:jc w:val="both"/>
        <w:rPr>
          <w:b/>
          <w:i/>
          <w:szCs w:val="22"/>
          <w:lang w:val="fr-FR"/>
        </w:rPr>
      </w:pPr>
      <w:r w:rsidRPr="00EB5B1D">
        <w:rPr>
          <w:b/>
          <w:i/>
          <w:szCs w:val="22"/>
          <w:lang w:val="fr-FR"/>
        </w:rPr>
        <w:t>Medidas reglamentarias, administrativas o de otra índole, adoptadas o previstas por la Parte que formula la propuesta</w:t>
      </w:r>
      <w:r w:rsidR="00090885" w:rsidRPr="00EB5B1D">
        <w:rPr>
          <w:b/>
          <w:i/>
          <w:szCs w:val="22"/>
          <w:lang w:val="fr-FR"/>
        </w:rPr>
        <w:t xml:space="preserve"> en respuesta a esos incidentes:</w:t>
      </w:r>
    </w:p>
    <w:p w:rsidR="00090885" w:rsidRPr="00EB5B1D" w:rsidRDefault="00257B9F" w:rsidP="00090885">
      <w:pPr>
        <w:snapToGrid w:val="0"/>
        <w:spacing w:after="60"/>
        <w:ind w:left="360"/>
        <w:jc w:val="both"/>
        <w:outlineLvl w:val="1"/>
        <w:rPr>
          <w:szCs w:val="22"/>
          <w:lang w:val="es-ES_tradnl"/>
        </w:rPr>
      </w:pPr>
      <w:bookmarkStart w:id="193" w:name="_Toc484686646"/>
      <w:r w:rsidRPr="00EB5B1D">
        <w:rPr>
          <w:szCs w:val="22"/>
          <w:lang w:val="es-ES_tradnl"/>
        </w:rPr>
        <w:t>Georgia ya ha respondido a los resultados de encuestas recientes adoptando medidas más estrictas para hacer cumplir las normas sobre el etiquetado y re empaque de plaguicidas.</w:t>
      </w:r>
      <w:bookmarkEnd w:id="193"/>
      <w:r w:rsidR="00090885" w:rsidRPr="00EB5B1D">
        <w:rPr>
          <w:szCs w:val="22"/>
          <w:lang w:val="es-ES_tradnl"/>
        </w:rPr>
        <w:t xml:space="preserve"> </w:t>
      </w:r>
    </w:p>
    <w:p w:rsidR="00257B9F" w:rsidRPr="00EB5B1D" w:rsidRDefault="00257B9F" w:rsidP="00090885">
      <w:pPr>
        <w:snapToGrid w:val="0"/>
        <w:spacing w:after="60"/>
        <w:ind w:left="360"/>
        <w:jc w:val="both"/>
        <w:outlineLvl w:val="1"/>
        <w:rPr>
          <w:szCs w:val="22"/>
          <w:lang w:val="es-ES_tradnl"/>
        </w:rPr>
      </w:pPr>
      <w:bookmarkStart w:id="194" w:name="_Toc484686647"/>
      <w:r w:rsidRPr="00EB5B1D">
        <w:rPr>
          <w:szCs w:val="22"/>
          <w:lang w:val="es-ES_tradnl"/>
        </w:rPr>
        <w:t>Georgia no tiene sistemas organizados de notificación de incidentes de intoxicación por plaguicidas. La Agencia Nacional de Alimentos (NFA) es a veces alertada de estos incidentes por las llamadas a la línea directa de la NFA. Hasta ahora, no se han adoptado medidas a nivel nacional. Sin embargo, existen accidentes de salud entre los trabajadores agrícolas; intoxicaciones y accidentes con productos químicos han estado ocurriendo en varias regiones de Georgia. Como agencia de registro de plaguicidas, la Agencia Nacional de Alimentos tiene información sobre todos los plaguicidas registrados en el país. Pero lamentablemente, los casos de intoxicación no están registrados por la Agencia. La falta de un centro de intoxicaciones accesible las 24 horas del día los 7 días de la semana y el acceso a la información pertinente sobre la toxicología de los plaguicidas (diagnóstico y tratamiento) así como la ausencia de un procedimiento de notificación de incidentes dificulta el registro de tales incidentes y casos.</w:t>
      </w:r>
      <w:bookmarkEnd w:id="194"/>
    </w:p>
    <w:p w:rsidR="00257B9F" w:rsidRPr="00EB5B1D" w:rsidRDefault="00257B9F" w:rsidP="00257B9F">
      <w:pPr>
        <w:snapToGrid w:val="0"/>
        <w:spacing w:after="60"/>
        <w:outlineLvl w:val="1"/>
        <w:rPr>
          <w:szCs w:val="22"/>
          <w:lang w:val="es-ES_tradnl"/>
        </w:rPr>
      </w:pPr>
    </w:p>
    <w:p w:rsidR="00257B9F" w:rsidRPr="00B25F01" w:rsidRDefault="00090885" w:rsidP="00090885">
      <w:pPr>
        <w:pBdr>
          <w:bottom w:val="single" w:sz="6" w:space="1" w:color="auto"/>
        </w:pBdr>
        <w:snapToGrid w:val="0"/>
        <w:spacing w:after="60"/>
        <w:ind w:left="624" w:hanging="605"/>
        <w:jc w:val="both"/>
        <w:outlineLvl w:val="1"/>
        <w:rPr>
          <w:b/>
          <w:szCs w:val="22"/>
          <w:lang w:val="es-ES_tradnl"/>
        </w:rPr>
      </w:pPr>
      <w:bookmarkStart w:id="195" w:name="_Toc484686648"/>
      <w:r w:rsidRPr="00B25F01">
        <w:rPr>
          <w:b/>
          <w:szCs w:val="22"/>
          <w:lang w:val="es-ES_tradnl"/>
        </w:rPr>
        <w:t>GEORGIA</w:t>
      </w:r>
      <w:bookmarkEnd w:id="195"/>
    </w:p>
    <w:p w:rsidR="00257B9F" w:rsidRPr="00B25F01" w:rsidRDefault="00257B9F" w:rsidP="00090885">
      <w:pPr>
        <w:snapToGrid w:val="0"/>
        <w:spacing w:after="60"/>
        <w:ind w:left="624" w:hanging="605"/>
        <w:jc w:val="both"/>
        <w:outlineLvl w:val="1"/>
        <w:rPr>
          <w:b/>
          <w:szCs w:val="22"/>
          <w:u w:val="single"/>
          <w:lang w:val="fr-CH"/>
        </w:rPr>
      </w:pPr>
      <w:bookmarkStart w:id="196" w:name="_Toc484686649"/>
      <w:r w:rsidRPr="00B25F01">
        <w:rPr>
          <w:b/>
          <w:i/>
          <w:szCs w:val="22"/>
          <w:lang w:val="fr-FR"/>
        </w:rPr>
        <w:t>Nombre de la formulación:</w:t>
      </w:r>
      <w:r w:rsidRPr="00B25F01">
        <w:rPr>
          <w:b/>
          <w:szCs w:val="22"/>
          <w:lang w:val="fr-FR"/>
        </w:rPr>
        <w:t xml:space="preserve"> </w:t>
      </w:r>
      <w:r w:rsidRPr="00B25F01">
        <w:rPr>
          <w:szCs w:val="22"/>
          <w:lang w:val="fr-FR"/>
        </w:rPr>
        <w:t>Karate zeon</w:t>
      </w:r>
      <w:bookmarkEnd w:id="196"/>
    </w:p>
    <w:p w:rsidR="00257B9F" w:rsidRPr="00B25F01" w:rsidRDefault="00257B9F" w:rsidP="00090885">
      <w:pPr>
        <w:snapToGrid w:val="0"/>
        <w:spacing w:after="60"/>
        <w:ind w:left="624" w:hanging="605"/>
        <w:jc w:val="both"/>
        <w:outlineLvl w:val="1"/>
        <w:rPr>
          <w:b/>
          <w:szCs w:val="22"/>
          <w:u w:val="single"/>
          <w:lang w:val="fr-CH"/>
        </w:rPr>
      </w:pPr>
      <w:bookmarkStart w:id="197" w:name="_Toc484686650"/>
      <w:r w:rsidRPr="00B25F01">
        <w:rPr>
          <w:b/>
          <w:i/>
          <w:szCs w:val="22"/>
          <w:lang w:val="fr-FR"/>
        </w:rPr>
        <w:t>Tipo de formulación (por ejemplo, EC, WP, DP, GR, TB):</w:t>
      </w:r>
      <w:r w:rsidRPr="00B25F01">
        <w:rPr>
          <w:b/>
          <w:szCs w:val="22"/>
          <w:lang w:val="fr-FR"/>
        </w:rPr>
        <w:t xml:space="preserve"> </w:t>
      </w:r>
      <w:r w:rsidRPr="00B25F01">
        <w:rPr>
          <w:szCs w:val="22"/>
          <w:lang w:val="fr-FR"/>
        </w:rPr>
        <w:t>5 CS</w:t>
      </w:r>
      <w:bookmarkEnd w:id="197"/>
    </w:p>
    <w:p w:rsidR="00257B9F" w:rsidRPr="00EB5B1D" w:rsidRDefault="00257B9F" w:rsidP="00090885">
      <w:pPr>
        <w:snapToGrid w:val="0"/>
        <w:spacing w:after="60"/>
        <w:ind w:firstLine="19"/>
        <w:jc w:val="both"/>
        <w:outlineLvl w:val="1"/>
        <w:rPr>
          <w:b/>
          <w:sz w:val="24"/>
          <w:u w:val="single"/>
          <w:lang w:val="fr-CH"/>
        </w:rPr>
      </w:pPr>
      <w:bookmarkStart w:id="198" w:name="_Toc484686651"/>
      <w:r w:rsidRPr="00B25F01">
        <w:rPr>
          <w:b/>
          <w:i/>
          <w:szCs w:val="22"/>
          <w:lang w:val="fr-FR"/>
        </w:rPr>
        <w:t>Nombre comercial</w:t>
      </w:r>
      <w:r w:rsidRPr="00EB5B1D">
        <w:rPr>
          <w:b/>
          <w:i/>
          <w:szCs w:val="22"/>
          <w:lang w:val="fr-FR"/>
        </w:rPr>
        <w:t xml:space="preserve"> y nombre del fabricante, si se conocen:</w:t>
      </w:r>
      <w:r w:rsidRPr="00EB5B1D">
        <w:rPr>
          <w:b/>
          <w:szCs w:val="22"/>
          <w:lang w:val="fr-FR"/>
        </w:rPr>
        <w:t xml:space="preserve"> </w:t>
      </w:r>
      <w:r w:rsidRPr="00EB5B1D">
        <w:rPr>
          <w:lang w:val="nb-NO"/>
        </w:rPr>
        <w:t xml:space="preserve">Karate zeon, </w:t>
      </w:r>
      <w:r w:rsidRPr="00EB5B1D">
        <w:rPr>
          <w:szCs w:val="22"/>
          <w:lang w:val="pt-PT"/>
        </w:rPr>
        <w:t>Syngenta Crop Protection AG Basilea, Suiza</w:t>
      </w:r>
      <w:bookmarkEnd w:id="198"/>
    </w:p>
    <w:p w:rsidR="00257B9F" w:rsidRPr="00EB5B1D" w:rsidRDefault="00257B9F" w:rsidP="00090885">
      <w:pPr>
        <w:snapToGrid w:val="0"/>
        <w:spacing w:after="60"/>
        <w:ind w:left="624" w:hanging="605"/>
        <w:jc w:val="both"/>
        <w:outlineLvl w:val="1"/>
        <w:rPr>
          <w:b/>
          <w:sz w:val="24"/>
          <w:u w:val="single"/>
          <w:lang w:val="fr-FR"/>
        </w:rPr>
      </w:pPr>
      <w:bookmarkStart w:id="199" w:name="_Toc484686652"/>
      <w:r w:rsidRPr="00EB5B1D">
        <w:rPr>
          <w:b/>
          <w:i/>
          <w:szCs w:val="22"/>
          <w:lang w:val="fr-FR"/>
        </w:rPr>
        <w:t>Nombre del ingrediente o ingredientes activos en la formulación:</w:t>
      </w:r>
      <w:r w:rsidRPr="00EB5B1D">
        <w:rPr>
          <w:b/>
          <w:szCs w:val="22"/>
          <w:lang w:val="fr-FR"/>
        </w:rPr>
        <w:t xml:space="preserve"> </w:t>
      </w:r>
      <w:r w:rsidRPr="00EB5B1D">
        <w:rPr>
          <w:szCs w:val="22"/>
          <w:lang w:val="fr-FR"/>
        </w:rPr>
        <w:t>lambda-cialotrina</w:t>
      </w:r>
      <w:bookmarkEnd w:id="199"/>
    </w:p>
    <w:p w:rsidR="00257B9F" w:rsidRPr="00EB5B1D" w:rsidRDefault="00257B9F" w:rsidP="00090885">
      <w:pPr>
        <w:tabs>
          <w:tab w:val="right" w:leader="dot" w:pos="8822"/>
        </w:tabs>
        <w:snapToGrid w:val="0"/>
        <w:spacing w:after="60"/>
        <w:jc w:val="both"/>
        <w:rPr>
          <w:szCs w:val="22"/>
          <w:lang w:val="fr-FR"/>
        </w:rPr>
      </w:pPr>
      <w:r w:rsidRPr="00EB5B1D">
        <w:rPr>
          <w:b/>
          <w:i/>
          <w:szCs w:val="22"/>
          <w:lang w:val="fr-FR"/>
        </w:rPr>
        <w:t xml:space="preserve">Cantidad relativa de cada ingrediente activo en la formulación: </w:t>
      </w:r>
      <w:r w:rsidR="008C35CC" w:rsidRPr="00EB5B1D">
        <w:rPr>
          <w:szCs w:val="22"/>
          <w:lang w:val="fr-FR"/>
        </w:rPr>
        <w:t xml:space="preserve">50 g/L </w:t>
      </w:r>
      <w:r w:rsidRPr="00EB5B1D">
        <w:rPr>
          <w:szCs w:val="22"/>
          <w:lang w:val="fr-FR"/>
        </w:rPr>
        <w:t>(concentración expresada en porcentaje)</w:t>
      </w:r>
    </w:p>
    <w:p w:rsidR="00257B9F" w:rsidRPr="00EB5B1D" w:rsidRDefault="00257B9F" w:rsidP="00090885">
      <w:pPr>
        <w:snapToGrid w:val="0"/>
        <w:spacing w:after="60"/>
        <w:ind w:firstLine="19"/>
        <w:jc w:val="both"/>
        <w:outlineLvl w:val="1"/>
        <w:rPr>
          <w:szCs w:val="22"/>
          <w:lang w:val="fr-FR"/>
        </w:rPr>
      </w:pPr>
      <w:bookmarkStart w:id="200" w:name="_Toc484686653"/>
      <w:r w:rsidRPr="00EB5B1D">
        <w:rPr>
          <w:b/>
          <w:i/>
          <w:szCs w:val="22"/>
          <w:lang w:val="fr-FR"/>
        </w:rPr>
        <w:t>Adjunte una copia de la etiqueta (o etiquetas), si es posible (o describa los aspectos fundamental</w:t>
      </w:r>
      <w:r w:rsidR="00090885" w:rsidRPr="00EB5B1D">
        <w:rPr>
          <w:b/>
          <w:i/>
          <w:szCs w:val="22"/>
          <w:lang w:val="fr-FR"/>
        </w:rPr>
        <w:t>es de la etiqueta: idioma, etc.):</w:t>
      </w:r>
      <w:r w:rsidRPr="00EB5B1D">
        <w:rPr>
          <w:b/>
          <w:szCs w:val="22"/>
          <w:lang w:val="fr-FR"/>
        </w:rPr>
        <w:t xml:space="preserve"> </w:t>
      </w:r>
      <w:r w:rsidRPr="00EB5B1D">
        <w:rPr>
          <w:szCs w:val="22"/>
          <w:lang w:val="fr-FR"/>
        </w:rPr>
        <w:t>Se adjunta etiqueta</w:t>
      </w:r>
      <w:r w:rsidR="005B2473" w:rsidRPr="00EB5B1D">
        <w:rPr>
          <w:szCs w:val="22"/>
          <w:lang w:val="fr-FR"/>
        </w:rPr>
        <w:t>.</w:t>
      </w:r>
      <w:bookmarkEnd w:id="200"/>
    </w:p>
    <w:p w:rsidR="00257B9F" w:rsidRPr="00EB5B1D" w:rsidRDefault="00257B9F" w:rsidP="00090885">
      <w:pPr>
        <w:tabs>
          <w:tab w:val="right" w:leader="dot" w:pos="8822"/>
        </w:tabs>
        <w:snapToGrid w:val="0"/>
        <w:spacing w:after="60"/>
        <w:ind w:left="6"/>
        <w:jc w:val="both"/>
        <w:rPr>
          <w:i/>
          <w:szCs w:val="22"/>
          <w:lang w:val="fr-FR"/>
        </w:rPr>
      </w:pPr>
      <w:r w:rsidRPr="00EB5B1D">
        <w:rPr>
          <w:b/>
          <w:i/>
          <w:szCs w:val="22"/>
          <w:lang w:val="fr-FR"/>
        </w:rPr>
        <w:t>Método común y reconocido de utilización de la formulación en el país:</w:t>
      </w:r>
    </w:p>
    <w:p w:rsidR="00257B9F" w:rsidRPr="00EB5B1D" w:rsidRDefault="00257B9F" w:rsidP="00090885">
      <w:pPr>
        <w:numPr>
          <w:ilvl w:val="0"/>
          <w:numId w:val="39"/>
        </w:numPr>
        <w:tabs>
          <w:tab w:val="clear" w:pos="720"/>
          <w:tab w:val="num" w:pos="366"/>
          <w:tab w:val="right" w:leader="dot" w:pos="8822"/>
        </w:tabs>
        <w:snapToGrid w:val="0"/>
        <w:spacing w:after="60"/>
        <w:ind w:hanging="714"/>
        <w:jc w:val="both"/>
        <w:rPr>
          <w:b/>
          <w:i/>
          <w:szCs w:val="22"/>
          <w:lang w:val="fr-FR"/>
        </w:rPr>
      </w:pPr>
      <w:r w:rsidRPr="00EB5B1D">
        <w:rPr>
          <w:b/>
          <w:i/>
          <w:szCs w:val="22"/>
          <w:lang w:val="fr-FR"/>
        </w:rPr>
        <w:t>¿Está registrada la formulación en el país? ¿está permitido su uso en el país?</w:t>
      </w:r>
    </w:p>
    <w:p w:rsidR="00257B9F" w:rsidRPr="00EB5B1D" w:rsidRDefault="00257B9F" w:rsidP="00682191">
      <w:pPr>
        <w:snapToGrid w:val="0"/>
        <w:spacing w:after="60"/>
        <w:ind w:left="360"/>
        <w:jc w:val="both"/>
        <w:rPr>
          <w:szCs w:val="22"/>
        </w:rPr>
      </w:pPr>
      <w:r w:rsidRPr="00EB5B1D">
        <w:rPr>
          <w:szCs w:val="22"/>
        </w:rPr>
        <w:t xml:space="preserve">Registrada y uso permitido desde el 22.12.98, RE-preregistro en </w:t>
      </w:r>
      <w:r w:rsidRPr="00EB5B1D">
        <w:rPr>
          <w:szCs w:val="22"/>
          <w:lang w:val="ka-GE"/>
        </w:rPr>
        <w:t>2004, 2009, 2014</w:t>
      </w:r>
      <w:r w:rsidRPr="00EB5B1D">
        <w:rPr>
          <w:szCs w:val="22"/>
        </w:rPr>
        <w:t>, Reg</w:t>
      </w:r>
      <w:proofErr w:type="gramStart"/>
      <w:r w:rsidRPr="00EB5B1D">
        <w:rPr>
          <w:szCs w:val="22"/>
        </w:rPr>
        <w:t>.#</w:t>
      </w:r>
      <w:proofErr w:type="gramEnd"/>
      <w:r w:rsidRPr="00EB5B1D">
        <w:rPr>
          <w:szCs w:val="22"/>
        </w:rPr>
        <w:t xml:space="preserve"> 048/04/09/14, y uso permitido hasta el 2019.</w:t>
      </w:r>
    </w:p>
    <w:p w:rsidR="00257B9F" w:rsidRPr="00EB5B1D" w:rsidRDefault="00257B9F" w:rsidP="00090885">
      <w:pPr>
        <w:numPr>
          <w:ilvl w:val="0"/>
          <w:numId w:val="40"/>
        </w:numPr>
        <w:tabs>
          <w:tab w:val="right" w:leader="dot" w:pos="8496"/>
        </w:tabs>
        <w:snapToGrid w:val="0"/>
        <w:spacing w:after="60"/>
        <w:ind w:left="357" w:hanging="357"/>
        <w:jc w:val="both"/>
        <w:rPr>
          <w:b/>
          <w:i/>
          <w:szCs w:val="22"/>
          <w:lang w:val="fr-FR"/>
        </w:rPr>
      </w:pPr>
      <w:r w:rsidRPr="00EB5B1D">
        <w:rPr>
          <w:b/>
          <w:i/>
          <w:szCs w:val="22"/>
          <w:lang w:val="fr-FR"/>
        </w:rPr>
        <w:t>¿Cuáles son los usos permitidos? En los siguientes usos agrícolas</w:t>
      </w:r>
      <w:r w:rsidR="00682191" w:rsidRPr="00EB5B1D">
        <w:rPr>
          <w:b/>
          <w:i/>
          <w:szCs w:val="22"/>
          <w:lang w:val="fr-FR"/>
        </w:rPr>
        <w:t>?</w:t>
      </w:r>
    </w:p>
    <w:p w:rsidR="00682191" w:rsidRPr="00EB5B1D" w:rsidRDefault="00257B9F" w:rsidP="005B2473">
      <w:pPr>
        <w:widowControl w:val="0"/>
        <w:autoSpaceDE w:val="0"/>
        <w:autoSpaceDN w:val="0"/>
        <w:adjustRightInd w:val="0"/>
        <w:snapToGrid w:val="0"/>
        <w:spacing w:after="60"/>
        <w:ind w:left="360"/>
        <w:jc w:val="both"/>
        <w:rPr>
          <w:szCs w:val="22"/>
          <w:lang w:val="es-ES_tradnl"/>
        </w:rPr>
      </w:pPr>
      <w:r w:rsidRPr="00EB5B1D">
        <w:rPr>
          <w:szCs w:val="22"/>
          <w:lang w:val="es-ES_tradnl"/>
        </w:rPr>
        <w:t>Trigo, cebada 0</w:t>
      </w:r>
      <w:r w:rsidR="00682191" w:rsidRPr="00EB5B1D">
        <w:rPr>
          <w:szCs w:val="22"/>
          <w:lang w:val="es-ES_tradnl"/>
        </w:rPr>
        <w:t>.</w:t>
      </w:r>
      <w:r w:rsidRPr="00EB5B1D">
        <w:rPr>
          <w:szCs w:val="22"/>
          <w:lang w:val="es-ES_tradnl"/>
        </w:rPr>
        <w:t>15-0</w:t>
      </w:r>
      <w:r w:rsidR="00682191" w:rsidRPr="00EB5B1D">
        <w:rPr>
          <w:szCs w:val="22"/>
          <w:lang w:val="es-ES_tradnl"/>
        </w:rPr>
        <w:t>.</w:t>
      </w:r>
      <w:r w:rsidRPr="00EB5B1D">
        <w:rPr>
          <w:szCs w:val="22"/>
          <w:lang w:val="es-ES_tradnl"/>
        </w:rPr>
        <w:t>2 l/ha, maíz 0</w:t>
      </w:r>
      <w:r w:rsidR="00682191" w:rsidRPr="00EB5B1D">
        <w:rPr>
          <w:szCs w:val="22"/>
          <w:lang w:val="es-ES_tradnl"/>
        </w:rPr>
        <w:t>.</w:t>
      </w:r>
      <w:r w:rsidRPr="00EB5B1D">
        <w:rPr>
          <w:szCs w:val="22"/>
          <w:lang w:val="es-ES_tradnl"/>
        </w:rPr>
        <w:t>2 l/ha, soja 0</w:t>
      </w:r>
      <w:r w:rsidR="00682191" w:rsidRPr="00EB5B1D">
        <w:rPr>
          <w:szCs w:val="22"/>
          <w:lang w:val="es-ES_tradnl"/>
        </w:rPr>
        <w:t>.</w:t>
      </w:r>
      <w:r w:rsidRPr="00EB5B1D">
        <w:rPr>
          <w:szCs w:val="22"/>
          <w:lang w:val="es-ES_tradnl"/>
        </w:rPr>
        <w:t>4 l/ha, manzana 0</w:t>
      </w:r>
      <w:r w:rsidR="00682191" w:rsidRPr="00EB5B1D">
        <w:rPr>
          <w:szCs w:val="22"/>
          <w:lang w:val="es-ES_tradnl"/>
        </w:rPr>
        <w:t>.</w:t>
      </w:r>
      <w:r w:rsidRPr="00EB5B1D">
        <w:rPr>
          <w:szCs w:val="22"/>
          <w:lang w:val="es-ES_tradnl"/>
        </w:rPr>
        <w:t>4-0</w:t>
      </w:r>
      <w:r w:rsidR="00682191" w:rsidRPr="00EB5B1D">
        <w:rPr>
          <w:szCs w:val="22"/>
          <w:lang w:val="es-ES_tradnl"/>
        </w:rPr>
        <w:t>.</w:t>
      </w:r>
      <w:r w:rsidRPr="00EB5B1D">
        <w:rPr>
          <w:szCs w:val="22"/>
          <w:lang w:val="es-ES_tradnl"/>
        </w:rPr>
        <w:t>8 l/ha, frutas pomáceas y con hueso (vivero) 0</w:t>
      </w:r>
      <w:r w:rsidR="00682191" w:rsidRPr="00EB5B1D">
        <w:rPr>
          <w:szCs w:val="22"/>
          <w:lang w:val="es-ES_tradnl"/>
        </w:rPr>
        <w:t>.</w:t>
      </w:r>
      <w:r w:rsidRPr="00EB5B1D">
        <w:rPr>
          <w:szCs w:val="22"/>
          <w:lang w:val="es-ES_tradnl"/>
        </w:rPr>
        <w:t>3-0,4 l/ha, patata 0</w:t>
      </w:r>
      <w:r w:rsidR="00682191" w:rsidRPr="00EB5B1D">
        <w:rPr>
          <w:szCs w:val="22"/>
          <w:lang w:val="es-ES_tradnl"/>
        </w:rPr>
        <w:t>.</w:t>
      </w:r>
      <w:r w:rsidRPr="00EB5B1D">
        <w:rPr>
          <w:szCs w:val="22"/>
          <w:lang w:val="es-ES_tradnl"/>
        </w:rPr>
        <w:t>1-0</w:t>
      </w:r>
      <w:r w:rsidR="00682191" w:rsidRPr="00EB5B1D">
        <w:rPr>
          <w:szCs w:val="22"/>
          <w:lang w:val="es-ES_tradnl"/>
        </w:rPr>
        <w:t>.</w:t>
      </w:r>
      <w:r w:rsidRPr="00EB5B1D">
        <w:rPr>
          <w:szCs w:val="22"/>
          <w:lang w:val="es-ES_tradnl"/>
        </w:rPr>
        <w:t>3 l/ha, col, tomate 0</w:t>
      </w:r>
      <w:r w:rsidR="00682191" w:rsidRPr="00EB5B1D">
        <w:rPr>
          <w:szCs w:val="22"/>
          <w:lang w:val="es-ES_tradnl"/>
        </w:rPr>
        <w:t>.</w:t>
      </w:r>
      <w:r w:rsidRPr="00EB5B1D">
        <w:rPr>
          <w:szCs w:val="22"/>
          <w:lang w:val="es-ES_tradnl"/>
        </w:rPr>
        <w:t>1 l/ha, frambuesa 0</w:t>
      </w:r>
      <w:r w:rsidR="00682191" w:rsidRPr="00EB5B1D">
        <w:rPr>
          <w:szCs w:val="22"/>
          <w:lang w:val="es-ES_tradnl"/>
        </w:rPr>
        <w:t>.</w:t>
      </w:r>
      <w:r w:rsidRPr="00EB5B1D">
        <w:rPr>
          <w:szCs w:val="22"/>
          <w:lang w:val="es-ES_tradnl"/>
        </w:rPr>
        <w:t>4 l/ha, fresa 0</w:t>
      </w:r>
      <w:r w:rsidR="00682191" w:rsidRPr="00EB5B1D">
        <w:rPr>
          <w:szCs w:val="22"/>
          <w:lang w:val="es-ES_tradnl"/>
        </w:rPr>
        <w:t>.</w:t>
      </w:r>
      <w:r w:rsidRPr="00EB5B1D">
        <w:rPr>
          <w:szCs w:val="22"/>
          <w:lang w:val="es-ES_tradnl"/>
        </w:rPr>
        <w:t>5 l/ha, grosella 0</w:t>
      </w:r>
      <w:r w:rsidR="00682191" w:rsidRPr="00EB5B1D">
        <w:rPr>
          <w:szCs w:val="22"/>
          <w:lang w:val="es-ES_tradnl"/>
        </w:rPr>
        <w:t>.</w:t>
      </w:r>
      <w:r w:rsidRPr="00EB5B1D">
        <w:rPr>
          <w:szCs w:val="22"/>
          <w:lang w:val="es-ES_tradnl"/>
        </w:rPr>
        <w:t>3-0,4 l/ha, huertos no productivos, protección contra viento y forestas de las plantas verdes en las ciudades 0</w:t>
      </w:r>
      <w:r w:rsidR="00682191" w:rsidRPr="00EB5B1D">
        <w:rPr>
          <w:szCs w:val="22"/>
          <w:lang w:val="es-ES_tradnl"/>
        </w:rPr>
        <w:t>.</w:t>
      </w:r>
      <w:r w:rsidRPr="00EB5B1D">
        <w:rPr>
          <w:szCs w:val="22"/>
          <w:lang w:val="es-ES_tradnl"/>
        </w:rPr>
        <w:t>2-0</w:t>
      </w:r>
      <w:r w:rsidR="00682191" w:rsidRPr="00EB5B1D">
        <w:rPr>
          <w:szCs w:val="22"/>
          <w:lang w:val="es-ES_tradnl"/>
        </w:rPr>
        <w:t>.</w:t>
      </w:r>
      <w:r w:rsidRPr="00EB5B1D">
        <w:rPr>
          <w:szCs w:val="22"/>
          <w:lang w:val="es-ES_tradnl"/>
        </w:rPr>
        <w:t>4 l/ha, uva 0</w:t>
      </w:r>
      <w:r w:rsidR="00682191" w:rsidRPr="00EB5B1D">
        <w:rPr>
          <w:szCs w:val="22"/>
          <w:lang w:val="es-ES_tradnl"/>
        </w:rPr>
        <w:t>.</w:t>
      </w:r>
      <w:r w:rsidRPr="00EB5B1D">
        <w:rPr>
          <w:szCs w:val="22"/>
          <w:lang w:val="es-ES_tradnl"/>
        </w:rPr>
        <w:t>3-0</w:t>
      </w:r>
      <w:r w:rsidR="00682191" w:rsidRPr="00EB5B1D">
        <w:rPr>
          <w:szCs w:val="22"/>
          <w:lang w:val="es-ES_tradnl"/>
        </w:rPr>
        <w:t>.</w:t>
      </w:r>
      <w:r w:rsidRPr="00EB5B1D">
        <w:rPr>
          <w:szCs w:val="22"/>
          <w:lang w:val="es-ES_tradnl"/>
        </w:rPr>
        <w:t>4 l/ha, terrenos no agrícolas 0</w:t>
      </w:r>
      <w:r w:rsidR="00682191" w:rsidRPr="00EB5B1D">
        <w:rPr>
          <w:szCs w:val="22"/>
          <w:lang w:val="es-ES_tradnl"/>
        </w:rPr>
        <w:t>.</w:t>
      </w:r>
      <w:r w:rsidRPr="00EB5B1D">
        <w:rPr>
          <w:szCs w:val="22"/>
          <w:lang w:val="es-ES_tradnl"/>
        </w:rPr>
        <w:t>1-0</w:t>
      </w:r>
      <w:r w:rsidR="00682191" w:rsidRPr="00EB5B1D">
        <w:rPr>
          <w:szCs w:val="22"/>
          <w:lang w:val="es-ES_tradnl"/>
        </w:rPr>
        <w:t>.</w:t>
      </w:r>
      <w:r w:rsidRPr="00EB5B1D">
        <w:rPr>
          <w:szCs w:val="22"/>
          <w:lang w:val="es-ES_tradnl"/>
        </w:rPr>
        <w:t>4 l/ha, fábricas de fármacos 0</w:t>
      </w:r>
      <w:r w:rsidR="00682191" w:rsidRPr="00EB5B1D">
        <w:rPr>
          <w:szCs w:val="22"/>
          <w:lang w:val="es-ES_tradnl"/>
        </w:rPr>
        <w:t>.</w:t>
      </w:r>
      <w:r w:rsidRPr="00EB5B1D">
        <w:rPr>
          <w:szCs w:val="22"/>
          <w:lang w:val="es-ES_tradnl"/>
        </w:rPr>
        <w:t>1-0</w:t>
      </w:r>
      <w:r w:rsidR="00682191" w:rsidRPr="00EB5B1D">
        <w:rPr>
          <w:szCs w:val="22"/>
          <w:lang w:val="es-ES_tradnl"/>
        </w:rPr>
        <w:t>.</w:t>
      </w:r>
      <w:r w:rsidRPr="00EB5B1D">
        <w:rPr>
          <w:szCs w:val="22"/>
          <w:lang w:val="es-ES_tradnl"/>
        </w:rPr>
        <w:t>4 l/ha, pinos 2</w:t>
      </w:r>
      <w:r w:rsidR="00682191" w:rsidRPr="00EB5B1D">
        <w:rPr>
          <w:szCs w:val="22"/>
          <w:lang w:val="es-ES_tradnl"/>
        </w:rPr>
        <w:t>.</w:t>
      </w:r>
      <w:r w:rsidRPr="00EB5B1D">
        <w:rPr>
          <w:szCs w:val="22"/>
          <w:lang w:val="es-ES_tradnl"/>
        </w:rPr>
        <w:t>5-5 ml/m2, almacenes sin carga, granjas de procesamiento de granos 0</w:t>
      </w:r>
      <w:r w:rsidR="00682191" w:rsidRPr="00EB5B1D">
        <w:rPr>
          <w:szCs w:val="22"/>
          <w:lang w:val="es-ES_tradnl"/>
        </w:rPr>
        <w:t>.</w:t>
      </w:r>
      <w:r w:rsidRPr="00EB5B1D">
        <w:rPr>
          <w:szCs w:val="22"/>
          <w:lang w:val="es-ES_tradnl"/>
        </w:rPr>
        <w:t>4 ml/m2, y áreas de granjas para el procesado de granos 0</w:t>
      </w:r>
      <w:r w:rsidR="00682191" w:rsidRPr="00EB5B1D">
        <w:rPr>
          <w:szCs w:val="22"/>
          <w:lang w:val="es-ES_tradnl"/>
        </w:rPr>
        <w:t>.</w:t>
      </w:r>
      <w:r w:rsidRPr="00EB5B1D">
        <w:rPr>
          <w:szCs w:val="22"/>
          <w:lang w:val="es-ES_tradnl"/>
        </w:rPr>
        <w:t>8 ml/m2.</w:t>
      </w:r>
    </w:p>
    <w:p w:rsidR="00257B9F" w:rsidRPr="00EB5B1D" w:rsidRDefault="00257B9F" w:rsidP="005B2473">
      <w:pPr>
        <w:widowControl w:val="0"/>
        <w:autoSpaceDE w:val="0"/>
        <w:autoSpaceDN w:val="0"/>
        <w:adjustRightInd w:val="0"/>
        <w:snapToGrid w:val="0"/>
        <w:spacing w:after="60"/>
        <w:ind w:left="360"/>
        <w:jc w:val="both"/>
        <w:rPr>
          <w:szCs w:val="22"/>
          <w:lang w:val="es-ES_tradnl"/>
        </w:rPr>
      </w:pPr>
      <w:r w:rsidRPr="00EB5B1D">
        <w:rPr>
          <w:szCs w:val="22"/>
          <w:lang w:val="es-ES_tradnl"/>
        </w:rPr>
        <w:t>La autoridad reguladora es consciente de que algunas granjas usan Karate para "uso doméstico" en animales (ganado), pero actualmente no hay productos con Lambda-cialotrina registrados para uso veterinario.</w:t>
      </w:r>
    </w:p>
    <w:p w:rsidR="004632E4" w:rsidRPr="00EB5B1D" w:rsidRDefault="00257B9F" w:rsidP="005B2473">
      <w:pPr>
        <w:numPr>
          <w:ilvl w:val="0"/>
          <w:numId w:val="39"/>
        </w:numPr>
        <w:tabs>
          <w:tab w:val="clear" w:pos="720"/>
        </w:tabs>
        <w:snapToGrid w:val="0"/>
        <w:spacing w:after="60"/>
        <w:ind w:left="360" w:hanging="354"/>
        <w:jc w:val="both"/>
        <w:rPr>
          <w:szCs w:val="22"/>
          <w:lang w:val="fr-FR"/>
        </w:rPr>
      </w:pPr>
      <w:r w:rsidRPr="00EB5B1D">
        <w:rPr>
          <w:b/>
          <w:i/>
          <w:szCs w:val="22"/>
          <w:lang w:val="fr-FR"/>
        </w:rPr>
        <w:t>¿Existen restricciones a su manipulación o aplicación como condición expresa para registrarla?</w:t>
      </w:r>
      <w:r w:rsidR="005E100F" w:rsidRPr="00EB5B1D">
        <w:rPr>
          <w:b/>
          <w:i/>
          <w:szCs w:val="22"/>
          <w:lang w:val="fr-FR"/>
        </w:rPr>
        <w:t xml:space="preserve"> </w:t>
      </w:r>
    </w:p>
    <w:p w:rsidR="00257B9F" w:rsidRPr="00EB5B1D" w:rsidRDefault="00257B9F" w:rsidP="004632E4">
      <w:pPr>
        <w:snapToGrid w:val="0"/>
        <w:spacing w:after="60"/>
        <w:ind w:left="360"/>
        <w:jc w:val="both"/>
        <w:rPr>
          <w:szCs w:val="22"/>
          <w:lang w:val="fr-FR"/>
        </w:rPr>
      </w:pPr>
      <w:r w:rsidRPr="00EB5B1D">
        <w:rPr>
          <w:szCs w:val="22"/>
          <w:lang w:val="fr-FR"/>
        </w:rPr>
        <w:t>NO</w:t>
      </w:r>
    </w:p>
    <w:p w:rsidR="00257B9F" w:rsidRPr="00EB5B1D" w:rsidRDefault="00257B9F" w:rsidP="00090885">
      <w:pPr>
        <w:numPr>
          <w:ilvl w:val="0"/>
          <w:numId w:val="39"/>
        </w:numPr>
        <w:tabs>
          <w:tab w:val="clear" w:pos="720"/>
          <w:tab w:val="num" w:pos="366"/>
          <w:tab w:val="right" w:leader="dot" w:pos="8822"/>
        </w:tabs>
        <w:snapToGrid w:val="0"/>
        <w:spacing w:after="60"/>
        <w:ind w:left="366"/>
        <w:jc w:val="both"/>
        <w:rPr>
          <w:b/>
          <w:i/>
          <w:szCs w:val="22"/>
          <w:lang w:val="fr-FR"/>
        </w:rPr>
      </w:pPr>
      <w:r w:rsidRPr="00EB5B1D">
        <w:rPr>
          <w:b/>
          <w:i/>
          <w:szCs w:val="22"/>
          <w:lang w:val="fr-FR"/>
        </w:rPr>
        <w:t>Información sobre la difusión del uso de la formulación, como el número de solicitudes de registro o el volumen de producción o de ventas, si se conocen</w:t>
      </w:r>
      <w:r w:rsidR="005B2473" w:rsidRPr="00EB5B1D">
        <w:rPr>
          <w:b/>
          <w:i/>
          <w:szCs w:val="22"/>
          <w:lang w:val="fr-FR"/>
        </w:rPr>
        <w:t>:</w:t>
      </w:r>
    </w:p>
    <w:p w:rsidR="005B2473" w:rsidRPr="00EB5B1D" w:rsidRDefault="00257B9F" w:rsidP="005B2473">
      <w:pPr>
        <w:widowControl w:val="0"/>
        <w:autoSpaceDE w:val="0"/>
        <w:autoSpaceDN w:val="0"/>
        <w:adjustRightInd w:val="0"/>
        <w:snapToGrid w:val="0"/>
        <w:spacing w:after="60"/>
        <w:ind w:left="366"/>
        <w:rPr>
          <w:szCs w:val="22"/>
          <w:lang w:val="es-ES_tradnl"/>
        </w:rPr>
      </w:pPr>
      <w:r w:rsidRPr="00EB5B1D">
        <w:rPr>
          <w:szCs w:val="22"/>
          <w:lang w:val="es-ES_tradnl"/>
        </w:rPr>
        <w:t>Georgia no produce pesticidas. Se registran importaciones de plaguicidas por 3000 toneladas anualmente, pero no se mantienen registros para los productos individuales.</w:t>
      </w:r>
    </w:p>
    <w:p w:rsidR="005B2473" w:rsidRPr="00EB5B1D" w:rsidRDefault="00257B9F" w:rsidP="005B2473">
      <w:pPr>
        <w:widowControl w:val="0"/>
        <w:autoSpaceDE w:val="0"/>
        <w:autoSpaceDN w:val="0"/>
        <w:adjustRightInd w:val="0"/>
        <w:snapToGrid w:val="0"/>
        <w:spacing w:after="60"/>
        <w:ind w:left="366"/>
        <w:rPr>
          <w:szCs w:val="22"/>
          <w:lang w:val="es-ES_tradnl"/>
        </w:rPr>
      </w:pPr>
      <w:r w:rsidRPr="00EB5B1D">
        <w:rPr>
          <w:szCs w:val="22"/>
          <w:lang w:val="es-ES_tradnl"/>
        </w:rPr>
        <w:t>Los productos registrados en Georgia con Lambda-cialotrina incluyen: Karate, Karate Zeon, Valsamba, Kaiso, Grand 5, Kung-FU, Efdal lamothrin, Tecvando capsula, Cavancha.</w:t>
      </w:r>
    </w:p>
    <w:p w:rsidR="008C35CC" w:rsidRPr="00EB5B1D" w:rsidRDefault="005B2473" w:rsidP="005B2473">
      <w:pPr>
        <w:widowControl w:val="0"/>
        <w:autoSpaceDE w:val="0"/>
        <w:autoSpaceDN w:val="0"/>
        <w:adjustRightInd w:val="0"/>
        <w:snapToGrid w:val="0"/>
        <w:spacing w:after="60"/>
        <w:ind w:left="366"/>
        <w:rPr>
          <w:szCs w:val="22"/>
          <w:lang w:val="es-ES_tradnl"/>
        </w:rPr>
      </w:pPr>
      <w:r w:rsidRPr="00EB5B1D">
        <w:rPr>
          <w:szCs w:val="22"/>
          <w:lang w:val="es-ES_tradnl"/>
        </w:rPr>
        <w:t>L</w:t>
      </w:r>
      <w:r w:rsidR="00257B9F" w:rsidRPr="00EB5B1D">
        <w:rPr>
          <w:szCs w:val="22"/>
          <w:lang w:val="es-ES_tradnl"/>
        </w:rPr>
        <w:t>os países exportadores/ países de origen son Syngenta Crop Protection AG Basilea Suiza; Información de la etiqueta: Oficina de contacto Syngenta Crop Protection AG</w:t>
      </w:r>
      <w:r w:rsidR="008C35CC" w:rsidRPr="00EB5B1D">
        <w:rPr>
          <w:szCs w:val="22"/>
          <w:lang w:val="es-ES_tradnl"/>
        </w:rPr>
        <w:t xml:space="preserve"> Basilea, Suiza, P.O. Box 1777.</w:t>
      </w:r>
    </w:p>
    <w:p w:rsidR="00257B9F" w:rsidRPr="00EB5B1D" w:rsidRDefault="00257B9F" w:rsidP="005B2473">
      <w:pPr>
        <w:widowControl w:val="0"/>
        <w:autoSpaceDE w:val="0"/>
        <w:autoSpaceDN w:val="0"/>
        <w:adjustRightInd w:val="0"/>
        <w:snapToGrid w:val="0"/>
        <w:spacing w:after="60"/>
        <w:ind w:left="366"/>
        <w:rPr>
          <w:szCs w:val="22"/>
          <w:lang w:val="es-ES_tradnl"/>
        </w:rPr>
      </w:pPr>
      <w:r w:rsidRPr="00EB5B1D">
        <w:rPr>
          <w:szCs w:val="22"/>
          <w:lang w:val="es-ES_tradnl"/>
        </w:rPr>
        <w:t>En el país fue establecido después de 1998 un sistema estatal de registro y control cuando se promulgó la ley de Georgia sobre "plaguicidas y agroquímicos". En este sistema están involucrados el Ministerio de Agricultura y el Ministerio de Protección del Medio Ambiente y Recursos Naturales y el Min</w:t>
      </w:r>
      <w:r w:rsidR="008C35CC" w:rsidRPr="00EB5B1D">
        <w:rPr>
          <w:szCs w:val="22"/>
          <w:lang w:val="es-ES_tradnl"/>
        </w:rPr>
        <w:t xml:space="preserve">isterio de Salud. </w:t>
      </w:r>
      <w:r w:rsidRPr="00EB5B1D">
        <w:rPr>
          <w:szCs w:val="22"/>
          <w:lang w:val="es-ES_tradnl"/>
        </w:rPr>
        <w:t>Los plaguicidas con el ingrediente activo Lambda-cialotrina son ampliamente utilizados en Georgia. De los 497 agricultores que identificaron los productos más utilizados, el 29% dijo utilizar Lambda cialotrina (comparado con el siguiente producto más común, el dimetoato, que es utilizado por el 12% de los agricultores).</w:t>
      </w:r>
    </w:p>
    <w:p w:rsidR="00257B9F" w:rsidRPr="00EB5B1D" w:rsidRDefault="00257B9F" w:rsidP="005B2473">
      <w:pPr>
        <w:widowControl w:val="0"/>
        <w:autoSpaceDE w:val="0"/>
        <w:autoSpaceDN w:val="0"/>
        <w:adjustRightInd w:val="0"/>
        <w:snapToGrid w:val="0"/>
        <w:spacing w:after="60"/>
        <w:ind w:left="366"/>
        <w:jc w:val="both"/>
        <w:rPr>
          <w:szCs w:val="22"/>
          <w:lang w:val="es-ES_tradnl"/>
        </w:rPr>
      </w:pPr>
      <w:r w:rsidRPr="00EB5B1D">
        <w:rPr>
          <w:szCs w:val="22"/>
          <w:lang w:val="es-ES_tradnl"/>
        </w:rPr>
        <w:t>El karate se utiliza contra las principales plagas en los cultivos agrícolas. Una encuesta realizada en el 2016 indicó que sus usos primarios en el área en objeto de Kvemo Kartli eran contra el esc</w:t>
      </w:r>
      <w:r w:rsidR="005B2473" w:rsidRPr="00EB5B1D">
        <w:rPr>
          <w:szCs w:val="22"/>
          <w:lang w:val="es-ES_tradnl"/>
        </w:rPr>
        <w:t xml:space="preserve">arabajo colorado (Leptinotarsa </w:t>
      </w:r>
      <w:r w:rsidRPr="00EB5B1D">
        <w:rPr>
          <w:szCs w:val="22"/>
          <w:lang w:val="es-ES_tradnl"/>
        </w:rPr>
        <w:t>decemlineata) en cultivos de papas, contra grillos mole (Gryllotalpa spp.) y un uso no registrado contra ectoparásitos en bovinos. Los cultivos comunes en los que se utilizó incluyen papa, tomate y frutas de huerto. Los detalles de los incidentes figuran en el Anexo II adjunto.</w:t>
      </w:r>
    </w:p>
    <w:p w:rsidR="00257B9F" w:rsidRPr="00EB5B1D" w:rsidRDefault="00257B9F" w:rsidP="00090885">
      <w:pPr>
        <w:numPr>
          <w:ilvl w:val="0"/>
          <w:numId w:val="39"/>
        </w:numPr>
        <w:tabs>
          <w:tab w:val="clear" w:pos="720"/>
          <w:tab w:val="num" w:pos="366"/>
          <w:tab w:val="right" w:leader="dot" w:pos="8822"/>
        </w:tabs>
        <w:snapToGrid w:val="0"/>
        <w:spacing w:after="60"/>
        <w:ind w:hanging="714"/>
        <w:jc w:val="both"/>
        <w:rPr>
          <w:b/>
          <w:i/>
          <w:szCs w:val="22"/>
          <w:lang w:val="fr-FR"/>
        </w:rPr>
      </w:pPr>
      <w:r w:rsidRPr="00EB5B1D">
        <w:rPr>
          <w:b/>
          <w:i/>
          <w:szCs w:val="22"/>
          <w:lang w:val="fr-FR"/>
        </w:rPr>
        <w:t>Más información sobre el modo en que se utiliza normalmente la formulación en el país</w:t>
      </w:r>
      <w:r w:rsidR="00162DCF" w:rsidRPr="00EB5B1D">
        <w:rPr>
          <w:b/>
          <w:i/>
          <w:szCs w:val="22"/>
          <w:lang w:val="fr-FR"/>
        </w:rPr>
        <w:t>:</w:t>
      </w:r>
    </w:p>
    <w:p w:rsidR="00090885" w:rsidRPr="00EB5B1D" w:rsidRDefault="00257B9F" w:rsidP="00090885">
      <w:pPr>
        <w:widowControl w:val="0"/>
        <w:autoSpaceDE w:val="0"/>
        <w:autoSpaceDN w:val="0"/>
        <w:adjustRightInd w:val="0"/>
        <w:snapToGrid w:val="0"/>
        <w:spacing w:after="60"/>
        <w:ind w:left="360"/>
        <w:jc w:val="both"/>
        <w:rPr>
          <w:szCs w:val="22"/>
          <w:lang w:val="es-ES_tradnl"/>
        </w:rPr>
      </w:pPr>
      <w:r w:rsidRPr="00EB5B1D">
        <w:rPr>
          <w:szCs w:val="22"/>
          <w:lang w:val="es-ES_tradnl"/>
        </w:rPr>
        <w:t>Por favor consulten Parte B y Anexo III adjuntos para mayor detalle.</w:t>
      </w:r>
    </w:p>
    <w:p w:rsidR="00257B9F" w:rsidRPr="00EB5B1D" w:rsidRDefault="00257B9F" w:rsidP="00090885">
      <w:pPr>
        <w:pStyle w:val="ListParagraph"/>
        <w:widowControl w:val="0"/>
        <w:numPr>
          <w:ilvl w:val="0"/>
          <w:numId w:val="39"/>
        </w:numPr>
        <w:tabs>
          <w:tab w:val="clear" w:pos="720"/>
          <w:tab w:val="left" w:pos="360"/>
        </w:tabs>
        <w:autoSpaceDE w:val="0"/>
        <w:autoSpaceDN w:val="0"/>
        <w:adjustRightInd w:val="0"/>
        <w:snapToGrid w:val="0"/>
        <w:spacing w:after="60"/>
        <w:ind w:left="360"/>
        <w:jc w:val="both"/>
        <w:rPr>
          <w:i/>
          <w:szCs w:val="22"/>
          <w:lang w:val="es-ES_tradnl"/>
        </w:rPr>
      </w:pPr>
      <w:r w:rsidRPr="00EB5B1D">
        <w:rPr>
          <w:b/>
          <w:i/>
          <w:szCs w:val="22"/>
          <w:lang w:val="fr-FR"/>
        </w:rPr>
        <w:t>Descripción clara del incidente o incidentes relacionados con la formulación en cuestión, incluyendo los efectos adversos y el modo en que se ha utilizado. Pueden utilizarse otros formularios disponibles en el país para comunicar incidentes en la medida en que contengan información análoga</w:t>
      </w:r>
      <w:r w:rsidR="00090885" w:rsidRPr="00EB5B1D">
        <w:rPr>
          <w:b/>
          <w:i/>
          <w:szCs w:val="22"/>
          <w:lang w:val="fr-FR"/>
        </w:rPr>
        <w:t>:</w:t>
      </w:r>
    </w:p>
    <w:p w:rsidR="00257B9F" w:rsidRPr="00EB5B1D" w:rsidRDefault="00257B9F" w:rsidP="00090885">
      <w:pPr>
        <w:tabs>
          <w:tab w:val="right" w:leader="dot" w:pos="8822"/>
        </w:tabs>
        <w:snapToGrid w:val="0"/>
        <w:spacing w:after="60"/>
        <w:ind w:left="360"/>
        <w:jc w:val="both"/>
        <w:rPr>
          <w:szCs w:val="22"/>
          <w:lang w:val="es-ES_tradnl"/>
        </w:rPr>
      </w:pPr>
      <w:r w:rsidRPr="00EB5B1D">
        <w:rPr>
          <w:szCs w:val="22"/>
          <w:lang w:val="es-ES_tradnl"/>
        </w:rPr>
        <w:t>La encuesta del 2016 recogió detalles de 8 incidentes relacionados con el Karate y un incidente relacionado con Karate zeon. En todos los casos el ingrediente activo es Lambda cialotrina.</w:t>
      </w:r>
    </w:p>
    <w:p w:rsidR="00257B9F" w:rsidRPr="00EB5B1D" w:rsidRDefault="00257B9F" w:rsidP="00090885">
      <w:pPr>
        <w:tabs>
          <w:tab w:val="right" w:leader="dot" w:pos="8822"/>
        </w:tabs>
        <w:snapToGrid w:val="0"/>
        <w:spacing w:after="60"/>
        <w:ind w:left="360"/>
        <w:jc w:val="both"/>
        <w:rPr>
          <w:szCs w:val="22"/>
          <w:lang w:val="es-ES_tradnl"/>
        </w:rPr>
      </w:pPr>
      <w:r w:rsidRPr="00EB5B1D">
        <w:rPr>
          <w:szCs w:val="22"/>
          <w:lang w:val="es-ES_tradnl"/>
        </w:rPr>
        <w:t>El incidente relacionado con Karate zeon puede resumirse de la siguiente manera:</w:t>
      </w:r>
    </w:p>
    <w:p w:rsidR="00257B9F" w:rsidRPr="00EB5B1D" w:rsidRDefault="00257B9F" w:rsidP="00090885">
      <w:pPr>
        <w:pStyle w:val="ListParagraph"/>
        <w:numPr>
          <w:ilvl w:val="1"/>
          <w:numId w:val="41"/>
        </w:numPr>
        <w:tabs>
          <w:tab w:val="right" w:leader="dot" w:pos="8822"/>
        </w:tabs>
        <w:snapToGrid w:val="0"/>
        <w:spacing w:after="60"/>
        <w:contextualSpacing w:val="0"/>
        <w:jc w:val="both"/>
        <w:rPr>
          <w:szCs w:val="22"/>
          <w:lang w:val="es-ES_tradnl"/>
        </w:rPr>
      </w:pPr>
      <w:r w:rsidRPr="00EB5B1D">
        <w:rPr>
          <w:szCs w:val="22"/>
          <w:lang w:val="es-ES_tradnl"/>
        </w:rPr>
        <w:t>Ocurrió al preparar y/ o pulverizar plaguicidas</w:t>
      </w:r>
      <w:r w:rsidR="00090885" w:rsidRPr="00EB5B1D">
        <w:rPr>
          <w:szCs w:val="22"/>
          <w:lang w:val="es-ES_tradnl"/>
        </w:rPr>
        <w:t>;</w:t>
      </w:r>
    </w:p>
    <w:p w:rsidR="00257B9F" w:rsidRPr="00EB5B1D" w:rsidRDefault="00257B9F" w:rsidP="00090885">
      <w:pPr>
        <w:pStyle w:val="ListParagraph"/>
        <w:numPr>
          <w:ilvl w:val="1"/>
          <w:numId w:val="41"/>
        </w:numPr>
        <w:tabs>
          <w:tab w:val="right" w:leader="dot" w:pos="8822"/>
        </w:tabs>
        <w:snapToGrid w:val="0"/>
        <w:spacing w:after="60"/>
        <w:contextualSpacing w:val="0"/>
        <w:jc w:val="both"/>
        <w:rPr>
          <w:szCs w:val="22"/>
          <w:lang w:val="es-ES_tradnl"/>
        </w:rPr>
      </w:pPr>
      <w:r w:rsidRPr="00EB5B1D">
        <w:rPr>
          <w:szCs w:val="22"/>
          <w:lang w:val="es-ES_tradnl"/>
        </w:rPr>
        <w:t>La frecuencia de aplicación es de 3 veces al año</w:t>
      </w:r>
      <w:r w:rsidR="00090885" w:rsidRPr="00EB5B1D">
        <w:rPr>
          <w:szCs w:val="22"/>
          <w:lang w:val="es-ES_tradnl"/>
        </w:rPr>
        <w:t>;</w:t>
      </w:r>
    </w:p>
    <w:p w:rsidR="00257B9F" w:rsidRPr="00EB5B1D" w:rsidRDefault="00257B9F" w:rsidP="00090885">
      <w:pPr>
        <w:pStyle w:val="ListParagraph"/>
        <w:numPr>
          <w:ilvl w:val="1"/>
          <w:numId w:val="41"/>
        </w:numPr>
        <w:tabs>
          <w:tab w:val="right" w:leader="dot" w:pos="8822"/>
        </w:tabs>
        <w:snapToGrid w:val="0"/>
        <w:spacing w:after="60"/>
        <w:contextualSpacing w:val="0"/>
        <w:jc w:val="both"/>
        <w:rPr>
          <w:szCs w:val="22"/>
          <w:lang w:val="es-ES_tradnl"/>
        </w:rPr>
      </w:pPr>
      <w:r w:rsidRPr="00EB5B1D">
        <w:rPr>
          <w:szCs w:val="22"/>
          <w:lang w:val="es-ES_tradnl"/>
        </w:rPr>
        <w:t>Los síntomas ocurrieron 5-12 horas después de la exposición</w:t>
      </w:r>
      <w:r w:rsidR="00090885" w:rsidRPr="00EB5B1D">
        <w:rPr>
          <w:szCs w:val="22"/>
          <w:lang w:val="es-ES_tradnl"/>
        </w:rPr>
        <w:t>;</w:t>
      </w:r>
    </w:p>
    <w:p w:rsidR="00257B9F" w:rsidRPr="00EB5B1D" w:rsidRDefault="00257B9F" w:rsidP="00090885">
      <w:pPr>
        <w:pStyle w:val="ListParagraph"/>
        <w:numPr>
          <w:ilvl w:val="1"/>
          <w:numId w:val="41"/>
        </w:numPr>
        <w:tabs>
          <w:tab w:val="right" w:leader="dot" w:pos="8822"/>
        </w:tabs>
        <w:snapToGrid w:val="0"/>
        <w:spacing w:after="60"/>
        <w:contextualSpacing w:val="0"/>
        <w:jc w:val="both"/>
        <w:rPr>
          <w:szCs w:val="22"/>
          <w:lang w:val="es-ES_tradnl"/>
        </w:rPr>
      </w:pPr>
      <w:r w:rsidRPr="00EB5B1D">
        <w:rPr>
          <w:szCs w:val="22"/>
          <w:lang w:val="es-ES_tradnl"/>
        </w:rPr>
        <w:t>No se utilizó equipo de protección</w:t>
      </w:r>
      <w:r w:rsidR="00090885" w:rsidRPr="00EB5B1D">
        <w:rPr>
          <w:szCs w:val="22"/>
          <w:lang w:val="es-ES_tradnl"/>
        </w:rPr>
        <w:t>;</w:t>
      </w:r>
    </w:p>
    <w:p w:rsidR="00257B9F" w:rsidRPr="00EB5B1D" w:rsidRDefault="00257B9F" w:rsidP="00090885">
      <w:pPr>
        <w:pStyle w:val="ListParagraph"/>
        <w:numPr>
          <w:ilvl w:val="1"/>
          <w:numId w:val="41"/>
        </w:numPr>
        <w:tabs>
          <w:tab w:val="right" w:leader="dot" w:pos="8822"/>
        </w:tabs>
        <w:snapToGrid w:val="0"/>
        <w:spacing w:after="60"/>
        <w:contextualSpacing w:val="0"/>
        <w:jc w:val="both"/>
        <w:rPr>
          <w:szCs w:val="22"/>
          <w:lang w:val="es-ES_tradnl"/>
        </w:rPr>
      </w:pPr>
      <w:r w:rsidRPr="00EB5B1D">
        <w:rPr>
          <w:szCs w:val="22"/>
          <w:lang w:val="es-ES_tradnl"/>
        </w:rPr>
        <w:t>Ambos sufrieron dolor de cabeza e irritación de la piel, pero uno describió síntomas más extensos e inusuales. Esta persona era bastante mayor, no sa</w:t>
      </w:r>
      <w:r w:rsidR="00090885" w:rsidRPr="00EB5B1D">
        <w:rPr>
          <w:szCs w:val="22"/>
          <w:lang w:val="es-ES_tradnl"/>
        </w:rPr>
        <w:t>bemos si eso pudo ser un factor;</w:t>
      </w:r>
    </w:p>
    <w:p w:rsidR="00257B9F" w:rsidRPr="00EB5B1D" w:rsidRDefault="00257B9F" w:rsidP="00090885">
      <w:pPr>
        <w:pStyle w:val="ListParagraph"/>
        <w:numPr>
          <w:ilvl w:val="1"/>
          <w:numId w:val="41"/>
        </w:numPr>
        <w:tabs>
          <w:tab w:val="right" w:leader="dot" w:pos="8822"/>
        </w:tabs>
        <w:snapToGrid w:val="0"/>
        <w:spacing w:after="60"/>
        <w:contextualSpacing w:val="0"/>
        <w:jc w:val="both"/>
        <w:rPr>
          <w:szCs w:val="22"/>
          <w:lang w:val="es-ES_tradnl"/>
        </w:rPr>
      </w:pPr>
      <w:r w:rsidRPr="00EB5B1D">
        <w:rPr>
          <w:szCs w:val="22"/>
          <w:lang w:val="es-ES_tradnl"/>
        </w:rPr>
        <w:t>Un incidente ocurrió en cultivos de huertos; uno sobre cultivos de campo</w:t>
      </w:r>
      <w:r w:rsidR="00090885" w:rsidRPr="00EB5B1D">
        <w:rPr>
          <w:szCs w:val="22"/>
          <w:lang w:val="es-ES_tradnl"/>
        </w:rPr>
        <w:t>;</w:t>
      </w:r>
    </w:p>
    <w:p w:rsidR="00257B9F" w:rsidRPr="00EB5B1D" w:rsidRDefault="00257B9F" w:rsidP="00090885">
      <w:pPr>
        <w:pStyle w:val="ListParagraph"/>
        <w:numPr>
          <w:ilvl w:val="1"/>
          <w:numId w:val="41"/>
        </w:numPr>
        <w:tabs>
          <w:tab w:val="right" w:leader="dot" w:pos="8822"/>
        </w:tabs>
        <w:snapToGrid w:val="0"/>
        <w:spacing w:after="60"/>
        <w:contextualSpacing w:val="0"/>
        <w:jc w:val="both"/>
        <w:rPr>
          <w:szCs w:val="22"/>
          <w:lang w:val="es-ES_tradnl"/>
        </w:rPr>
      </w:pPr>
      <w:r w:rsidRPr="00EB5B1D">
        <w:rPr>
          <w:szCs w:val="22"/>
          <w:lang w:val="es-ES_tradnl"/>
        </w:rPr>
        <w:t>Un incidente ocurrió mientras se usaba un pulverizador a mochila, el otro mientras se estaba usando cepillos y un cubo con el plaguicida</w:t>
      </w:r>
      <w:r w:rsidR="00090885" w:rsidRPr="00EB5B1D">
        <w:rPr>
          <w:szCs w:val="22"/>
          <w:lang w:val="es-ES_tradnl"/>
        </w:rPr>
        <w:t>.</w:t>
      </w:r>
    </w:p>
    <w:p w:rsidR="00257B9F" w:rsidRPr="00EB5B1D" w:rsidRDefault="00257B9F" w:rsidP="00090885">
      <w:pPr>
        <w:tabs>
          <w:tab w:val="right" w:leader="dot" w:pos="8822"/>
        </w:tabs>
        <w:snapToGrid w:val="0"/>
        <w:spacing w:after="60"/>
        <w:ind w:left="720"/>
        <w:jc w:val="both"/>
        <w:rPr>
          <w:szCs w:val="22"/>
          <w:lang w:val="es-ES_tradnl"/>
        </w:rPr>
      </w:pPr>
      <w:r w:rsidRPr="00EB5B1D">
        <w:rPr>
          <w:szCs w:val="22"/>
          <w:lang w:val="es-ES_tradnl"/>
        </w:rPr>
        <w:t>Informes más detallados de los incidentes individuales figuran en el anexo adjunto.</w:t>
      </w:r>
    </w:p>
    <w:p w:rsidR="00257B9F" w:rsidRPr="00EB5B1D" w:rsidRDefault="00257B9F" w:rsidP="00090885">
      <w:pPr>
        <w:pStyle w:val="ListParagraph"/>
        <w:numPr>
          <w:ilvl w:val="0"/>
          <w:numId w:val="39"/>
        </w:numPr>
        <w:tabs>
          <w:tab w:val="clear" w:pos="720"/>
        </w:tabs>
        <w:snapToGrid w:val="0"/>
        <w:spacing w:after="60"/>
        <w:ind w:left="360"/>
        <w:jc w:val="both"/>
        <w:rPr>
          <w:b/>
          <w:i/>
          <w:szCs w:val="22"/>
          <w:lang w:val="fr-FR"/>
        </w:rPr>
      </w:pPr>
      <w:r w:rsidRPr="00EB5B1D">
        <w:rPr>
          <w:b/>
          <w:i/>
          <w:szCs w:val="22"/>
          <w:lang w:val="fr-FR"/>
        </w:rPr>
        <w:t>Medidas reglamentarias, administrativas o de otra índole, adoptadas o previstas por la Parte que formula la propuesta</w:t>
      </w:r>
      <w:r w:rsidR="00162DCF" w:rsidRPr="00EB5B1D">
        <w:rPr>
          <w:b/>
          <w:i/>
          <w:szCs w:val="22"/>
          <w:lang w:val="fr-FR"/>
        </w:rPr>
        <w:t xml:space="preserve"> en respuesta a esos incidentes:</w:t>
      </w:r>
    </w:p>
    <w:p w:rsidR="00162DCF" w:rsidRPr="00EB5B1D" w:rsidRDefault="00257B9F" w:rsidP="00090885">
      <w:pPr>
        <w:snapToGrid w:val="0"/>
        <w:spacing w:after="60"/>
        <w:ind w:left="360"/>
        <w:jc w:val="both"/>
        <w:outlineLvl w:val="1"/>
        <w:rPr>
          <w:szCs w:val="22"/>
          <w:lang w:val="es-ES_tradnl"/>
        </w:rPr>
      </w:pPr>
      <w:bookmarkStart w:id="201" w:name="_Toc484686654"/>
      <w:r w:rsidRPr="00EB5B1D">
        <w:rPr>
          <w:szCs w:val="22"/>
          <w:lang w:val="es-ES_tradnl"/>
        </w:rPr>
        <w:t>Georgia ya ha respondido a los resultados de encuestas recientes adoptando medidas más estrictas para hacer cumplir las normas sobre el etiquetado y re empaque de plaguicidas.</w:t>
      </w:r>
      <w:bookmarkEnd w:id="201"/>
    </w:p>
    <w:p w:rsidR="00257B9F" w:rsidRPr="00EB5B1D" w:rsidRDefault="00257B9F" w:rsidP="00090885">
      <w:pPr>
        <w:snapToGrid w:val="0"/>
        <w:spacing w:after="60"/>
        <w:ind w:left="360"/>
        <w:jc w:val="both"/>
        <w:outlineLvl w:val="1"/>
        <w:rPr>
          <w:szCs w:val="22"/>
          <w:lang w:val="es-ES_tradnl"/>
        </w:rPr>
      </w:pPr>
      <w:bookmarkStart w:id="202" w:name="_Toc484686655"/>
      <w:r w:rsidRPr="00EB5B1D">
        <w:rPr>
          <w:szCs w:val="22"/>
          <w:lang w:val="es-ES_tradnl"/>
        </w:rPr>
        <w:t>Georgia no tiene sistemas organizados de notificación de incidentes de intoxicación por plaguicidas. La Agencia Nacional de Alimentos (NFA) es a veces alertada de estos incidentes por las llamadas a la línea directa de la NFA. Hasta ahora, no se han adoptado medidas a nivel nacional. Sin embargo, existen accidentes de salud entre los trabajadores agrícolas; intoxicaciones y accidentes con productos químicos han estado ocurriendo en varias regiones de Georgia. Como agencia de registro de plaguicidas, la Agencia Nacional de Alimentos tiene información sobre todos los plaguicidas registrados en el país. Pero lamentablemente, los casos de intoxicación no están registrados por la Agencia. La falta de un centro de intoxicaciones accesible las 24 horas del día los 7 días de la semana y el acceso a la información pertinente sobre la toxicología de los plaguicidas (diagnóstico y tratamiento) así como la ausencia de un procedimiento de notificación de incidentes dificulta el registro de tales incidentes y casos.</w:t>
      </w:r>
      <w:bookmarkEnd w:id="202"/>
    </w:p>
    <w:p w:rsidR="00257B9F" w:rsidRPr="00EB5B1D" w:rsidRDefault="00257B9F" w:rsidP="00090885">
      <w:pPr>
        <w:snapToGrid w:val="0"/>
        <w:spacing w:after="60"/>
        <w:outlineLvl w:val="1"/>
        <w:rPr>
          <w:sz w:val="24"/>
          <w:u w:val="single"/>
          <w:lang w:val="es-ES_tradnl"/>
        </w:rPr>
      </w:pPr>
    </w:p>
    <w:p w:rsidR="00090885" w:rsidRPr="00EB5B1D" w:rsidRDefault="00090885" w:rsidP="00090885">
      <w:pPr>
        <w:snapToGrid w:val="0"/>
        <w:spacing w:after="60"/>
        <w:outlineLvl w:val="1"/>
        <w:rPr>
          <w:sz w:val="24"/>
          <w:u w:val="single"/>
          <w:lang w:val="es-ES_tradnl"/>
        </w:rPr>
      </w:pPr>
    </w:p>
    <w:p w:rsidR="00340E2B" w:rsidRPr="00EB5B1D" w:rsidRDefault="001F46B4" w:rsidP="00290F9F">
      <w:pPr>
        <w:spacing w:before="80"/>
        <w:ind w:left="624" w:hanging="605"/>
        <w:jc w:val="center"/>
        <w:outlineLvl w:val="1"/>
        <w:rPr>
          <w:b/>
          <w:sz w:val="24"/>
          <w:u w:val="single"/>
          <w:lang w:val="fr-CH"/>
        </w:rPr>
      </w:pPr>
      <w:bookmarkStart w:id="203" w:name="_Toc484686656"/>
      <w:r w:rsidRPr="00EB5B1D">
        <w:rPr>
          <w:b/>
          <w:sz w:val="24"/>
          <w:u w:val="single"/>
          <w:lang w:val="fr-CH"/>
        </w:rPr>
        <w:t>PART</w:t>
      </w:r>
      <w:r w:rsidR="00060006" w:rsidRPr="00EB5B1D">
        <w:rPr>
          <w:b/>
          <w:sz w:val="24"/>
          <w:u w:val="single"/>
          <w:lang w:val="fr-CH"/>
        </w:rPr>
        <w:t>E</w:t>
      </w:r>
      <w:r w:rsidRPr="00EB5B1D">
        <w:rPr>
          <w:b/>
          <w:sz w:val="24"/>
          <w:u w:val="single"/>
          <w:lang w:val="fr-CH"/>
        </w:rPr>
        <w:t xml:space="preserve"> B</w:t>
      </w:r>
      <w:bookmarkEnd w:id="181"/>
      <w:bookmarkEnd w:id="182"/>
      <w:bookmarkEnd w:id="183"/>
      <w:bookmarkEnd w:id="184"/>
      <w:bookmarkEnd w:id="185"/>
      <w:bookmarkEnd w:id="186"/>
      <w:bookmarkEnd w:id="203"/>
    </w:p>
    <w:p w:rsidR="007B68CF" w:rsidRPr="00EB5B1D" w:rsidRDefault="007B68CF" w:rsidP="00290F9F">
      <w:pPr>
        <w:spacing w:before="80"/>
        <w:ind w:left="601" w:hanging="605"/>
        <w:jc w:val="center"/>
        <w:rPr>
          <w:b/>
          <w:sz w:val="24"/>
          <w:lang w:val="fr-CH"/>
        </w:rPr>
      </w:pPr>
    </w:p>
    <w:p w:rsidR="007B68CF" w:rsidRPr="00EB5B1D" w:rsidRDefault="00060006" w:rsidP="00290F9F">
      <w:pPr>
        <w:spacing w:before="80"/>
        <w:ind w:left="601" w:hanging="605"/>
        <w:jc w:val="center"/>
        <w:rPr>
          <w:sz w:val="24"/>
          <w:lang w:val="fr-CH"/>
        </w:rPr>
      </w:pPr>
      <w:r w:rsidRPr="00EB5B1D">
        <w:rPr>
          <w:b/>
          <w:sz w:val="24"/>
          <w:lang w:val="fr-CH"/>
        </w:rPr>
        <w:t>PROPUESTAS PARA LA INCLUSIÓN DE FORMULACIONES PLAGUICIDAS EXTREMADAMENTE PELIGROSAS TODAVÍA EN FASE DE VERIFICACIÓN</w:t>
      </w:r>
    </w:p>
    <w:p w:rsidR="007B68CF" w:rsidRPr="00EB5B1D" w:rsidRDefault="007B68CF" w:rsidP="005378C4">
      <w:pPr>
        <w:ind w:left="624" w:hanging="601"/>
        <w:jc w:val="both"/>
        <w:rPr>
          <w:szCs w:val="22"/>
          <w:lang w:val="fr-CH"/>
        </w:rPr>
      </w:pPr>
    </w:p>
    <w:p w:rsidR="00A84B0B" w:rsidRPr="00EB5B1D" w:rsidRDefault="00060006" w:rsidP="007516BF">
      <w:pPr>
        <w:jc w:val="both"/>
        <w:rPr>
          <w:szCs w:val="22"/>
          <w:lang w:val="fr-CH"/>
        </w:rPr>
      </w:pPr>
      <w:r w:rsidRPr="00EB5B1D">
        <w:rPr>
          <w:szCs w:val="22"/>
          <w:lang w:val="fr-CH"/>
        </w:rPr>
        <w:t xml:space="preserve">No hay ninguna propuesta para la inclusión de una formulacióne plaguicida extremadamente peligrosa en el </w:t>
      </w:r>
      <w:r w:rsidR="00296313" w:rsidRPr="00EB5B1D">
        <w:rPr>
          <w:szCs w:val="22"/>
          <w:lang w:val="fr-CH"/>
        </w:rPr>
        <w:t>p</w:t>
      </w:r>
      <w:r w:rsidRPr="00EB5B1D">
        <w:rPr>
          <w:szCs w:val="22"/>
          <w:lang w:val="fr-CH"/>
        </w:rPr>
        <w:t xml:space="preserve">rocedimiento de CFP </w:t>
      </w:r>
      <w:r w:rsidR="003045C5" w:rsidRPr="00EB5B1D">
        <w:rPr>
          <w:szCs w:val="22"/>
          <w:lang w:val="es-ES_tradnl"/>
        </w:rPr>
        <w:t>que se encuentre</w:t>
      </w:r>
      <w:r w:rsidR="003045C5" w:rsidRPr="00EB5B1D">
        <w:rPr>
          <w:szCs w:val="22"/>
          <w:lang w:val="fr-CH"/>
        </w:rPr>
        <w:t xml:space="preserve"> </w:t>
      </w:r>
      <w:r w:rsidRPr="00EB5B1D">
        <w:rPr>
          <w:szCs w:val="22"/>
          <w:lang w:val="fr-CH"/>
        </w:rPr>
        <w:t>en fase de verificación por la Secretaría</w:t>
      </w:r>
      <w:r w:rsidR="00BC73C4" w:rsidRPr="00EB5B1D">
        <w:rPr>
          <w:szCs w:val="22"/>
          <w:lang w:val="fr-CH"/>
        </w:rPr>
        <w:t>.</w:t>
      </w:r>
    </w:p>
    <w:p w:rsidR="00A84B0B" w:rsidRPr="00EB5B1D" w:rsidRDefault="00A84B0B" w:rsidP="005378C4">
      <w:pPr>
        <w:ind w:left="624" w:hanging="601"/>
        <w:jc w:val="both"/>
        <w:rPr>
          <w:szCs w:val="22"/>
          <w:lang w:val="fr-CH"/>
        </w:rPr>
      </w:pPr>
    </w:p>
    <w:p w:rsidR="00A84B0B" w:rsidRPr="00EB5B1D" w:rsidRDefault="00A84B0B" w:rsidP="007B68CF">
      <w:pPr>
        <w:jc w:val="both"/>
        <w:rPr>
          <w:rFonts w:ascii="Arial" w:hAnsi="Arial" w:cs="Arial"/>
          <w:szCs w:val="22"/>
          <w:lang w:val="fr-CH"/>
        </w:rPr>
        <w:sectPr w:rsidR="00A84B0B" w:rsidRPr="00EB5B1D" w:rsidSect="008A1D9E">
          <w:headerReference w:type="default" r:id="rId27"/>
          <w:pgSz w:w="11907" w:h="16839" w:code="9"/>
          <w:pgMar w:top="1134" w:right="1418" w:bottom="1134" w:left="1418" w:header="709" w:footer="277" w:gutter="0"/>
          <w:cols w:space="709"/>
          <w:docGrid w:linePitch="360"/>
        </w:sectPr>
      </w:pPr>
    </w:p>
    <w:p w:rsidR="00C178F3" w:rsidRPr="00EB5B1D" w:rsidRDefault="00063D1B" w:rsidP="007B68CF">
      <w:pPr>
        <w:pStyle w:val="H1PIC"/>
        <w:jc w:val="center"/>
        <w:rPr>
          <w:color w:val="auto"/>
          <w:sz w:val="24"/>
          <w:szCs w:val="24"/>
        </w:rPr>
      </w:pPr>
      <w:bookmarkStart w:id="204" w:name="_Toc469002211"/>
      <w:bookmarkStart w:id="205" w:name="_Toc469005872"/>
      <w:bookmarkStart w:id="206" w:name="_Toc469052709"/>
      <w:bookmarkStart w:id="207" w:name="_Toc484686657"/>
      <w:bookmarkStart w:id="208" w:name="_Toc327357867"/>
      <w:bookmarkStart w:id="209" w:name="_Toc405887616"/>
      <w:bookmarkStart w:id="210" w:name="_Toc421544491"/>
      <w:bookmarkEnd w:id="163"/>
      <w:bookmarkEnd w:id="164"/>
      <w:bookmarkEnd w:id="165"/>
      <w:bookmarkEnd w:id="166"/>
      <w:bookmarkEnd w:id="167"/>
      <w:bookmarkEnd w:id="168"/>
      <w:bookmarkEnd w:id="169"/>
      <w:bookmarkEnd w:id="170"/>
      <w:bookmarkEnd w:id="171"/>
      <w:r w:rsidRPr="00EB5B1D">
        <w:rPr>
          <w:color w:val="auto"/>
          <w:sz w:val="24"/>
          <w:szCs w:val="24"/>
        </w:rPr>
        <w:t>APÉNDICE III</w:t>
      </w:r>
      <w:bookmarkEnd w:id="204"/>
      <w:bookmarkEnd w:id="205"/>
      <w:bookmarkEnd w:id="206"/>
      <w:bookmarkEnd w:id="207"/>
    </w:p>
    <w:p w:rsidR="00C178F3" w:rsidRPr="00EB5B1D" w:rsidRDefault="00C178F3" w:rsidP="007B68CF">
      <w:pPr>
        <w:pStyle w:val="H1PIC"/>
        <w:jc w:val="center"/>
        <w:rPr>
          <w:color w:val="auto"/>
          <w:sz w:val="24"/>
          <w:szCs w:val="24"/>
        </w:rPr>
      </w:pPr>
    </w:p>
    <w:p w:rsidR="007B68CF" w:rsidRPr="00EB5B1D" w:rsidRDefault="00063D1B" w:rsidP="007B68CF">
      <w:pPr>
        <w:pStyle w:val="H1PIC"/>
        <w:jc w:val="center"/>
        <w:rPr>
          <w:rFonts w:eastAsia="SimSun"/>
          <w:color w:val="auto"/>
          <w:sz w:val="24"/>
          <w:szCs w:val="24"/>
          <w:lang w:eastAsia="zh-CN"/>
        </w:rPr>
      </w:pPr>
      <w:bookmarkStart w:id="211" w:name="_Toc484686658"/>
      <w:bookmarkEnd w:id="208"/>
      <w:bookmarkEnd w:id="209"/>
      <w:bookmarkEnd w:id="210"/>
      <w:r w:rsidRPr="00EB5B1D">
        <w:rPr>
          <w:rFonts w:eastAsia="SimSun"/>
          <w:color w:val="auto"/>
          <w:sz w:val="24"/>
          <w:szCs w:val="24"/>
          <w:lang w:eastAsia="zh-CN"/>
        </w:rPr>
        <w:t>PRODUCTOS QUÍMICOS SUJETOS AL PROCEDIMIENTO DE CONSENTIMIENTO FUNDAMENTADO PREVIO</w:t>
      </w:r>
      <w:bookmarkEnd w:id="211"/>
    </w:p>
    <w:p w:rsidR="00D277F4" w:rsidRPr="00EB5B1D" w:rsidRDefault="00D277F4" w:rsidP="007B68CF">
      <w:pPr>
        <w:pStyle w:val="H1PIC"/>
        <w:jc w:val="center"/>
        <w:rPr>
          <w:rFonts w:eastAsia="SimSun"/>
          <w:color w:val="auto"/>
          <w:lang w:eastAsia="zh-CN"/>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95"/>
        <w:gridCol w:w="1801"/>
        <w:gridCol w:w="1439"/>
        <w:gridCol w:w="3073"/>
      </w:tblGrid>
      <w:tr w:rsidR="000200B2" w:rsidRPr="00985C05" w:rsidTr="00AA36A8">
        <w:trPr>
          <w:cantSplit/>
          <w:tblHeader/>
        </w:trPr>
        <w:tc>
          <w:tcPr>
            <w:tcW w:w="1908" w:type="pct"/>
            <w:tcBorders>
              <w:top w:val="double" w:sz="4" w:space="0" w:color="auto"/>
              <w:left w:val="double" w:sz="4" w:space="0" w:color="auto"/>
              <w:bottom w:val="double" w:sz="4" w:space="0" w:color="auto"/>
              <w:right w:val="double" w:sz="4" w:space="0" w:color="auto"/>
            </w:tcBorders>
            <w:shd w:val="clear" w:color="auto" w:fill="auto"/>
            <w:vAlign w:val="center"/>
          </w:tcPr>
          <w:p w:rsidR="00063D1B" w:rsidRPr="00EB5B1D" w:rsidRDefault="00063D1B" w:rsidP="000220B2">
            <w:pPr>
              <w:snapToGrid w:val="0"/>
              <w:spacing w:before="40" w:after="40"/>
              <w:jc w:val="center"/>
              <w:rPr>
                <w:b/>
                <w:sz w:val="20"/>
              </w:rPr>
            </w:pPr>
            <w:r w:rsidRPr="00EB5B1D">
              <w:rPr>
                <w:b/>
                <w:sz w:val="20"/>
              </w:rPr>
              <w:t>Nombre del producto químico</w:t>
            </w:r>
          </w:p>
        </w:tc>
        <w:tc>
          <w:tcPr>
            <w:tcW w:w="882" w:type="pct"/>
            <w:tcBorders>
              <w:top w:val="double" w:sz="4" w:space="0" w:color="auto"/>
              <w:left w:val="double" w:sz="4" w:space="0" w:color="auto"/>
              <w:bottom w:val="double" w:sz="4" w:space="0" w:color="auto"/>
              <w:right w:val="double" w:sz="4" w:space="0" w:color="auto"/>
            </w:tcBorders>
            <w:shd w:val="clear" w:color="auto" w:fill="auto"/>
            <w:vAlign w:val="center"/>
          </w:tcPr>
          <w:p w:rsidR="00063D1B" w:rsidRPr="00EB5B1D" w:rsidRDefault="00063D1B" w:rsidP="004632E4">
            <w:pPr>
              <w:snapToGrid w:val="0"/>
              <w:spacing w:before="40" w:after="40"/>
              <w:jc w:val="center"/>
              <w:rPr>
                <w:b/>
                <w:sz w:val="20"/>
                <w:lang w:val="pt-PT"/>
              </w:rPr>
            </w:pPr>
            <w:r w:rsidRPr="00EB5B1D">
              <w:rPr>
                <w:b/>
                <w:sz w:val="20"/>
                <w:lang w:val="pt-PT"/>
              </w:rPr>
              <w:t>Número de CAS</w:t>
            </w:r>
          </w:p>
        </w:tc>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rsidR="00063D1B" w:rsidRPr="00EB5B1D" w:rsidRDefault="00063D1B" w:rsidP="000220B2">
            <w:pPr>
              <w:snapToGrid w:val="0"/>
              <w:spacing w:before="40" w:after="40"/>
              <w:jc w:val="center"/>
              <w:rPr>
                <w:b/>
                <w:sz w:val="20"/>
              </w:rPr>
            </w:pPr>
            <w:r w:rsidRPr="00EB5B1D">
              <w:rPr>
                <w:b/>
                <w:sz w:val="20"/>
              </w:rPr>
              <w:t>Categoría</w:t>
            </w:r>
          </w:p>
        </w:tc>
        <w:tc>
          <w:tcPr>
            <w:tcW w:w="1505" w:type="pct"/>
            <w:tcBorders>
              <w:top w:val="double" w:sz="4" w:space="0" w:color="auto"/>
              <w:left w:val="double" w:sz="4" w:space="0" w:color="auto"/>
              <w:bottom w:val="double" w:sz="4" w:space="0" w:color="auto"/>
              <w:right w:val="double" w:sz="4" w:space="0" w:color="auto"/>
            </w:tcBorders>
            <w:shd w:val="clear" w:color="auto" w:fill="auto"/>
            <w:vAlign w:val="center"/>
          </w:tcPr>
          <w:p w:rsidR="00063D1B" w:rsidRPr="00EB5B1D" w:rsidRDefault="00063D1B" w:rsidP="000220B2">
            <w:pPr>
              <w:snapToGrid w:val="0"/>
              <w:spacing w:before="40" w:after="40"/>
              <w:jc w:val="center"/>
              <w:rPr>
                <w:b/>
                <w:sz w:val="20"/>
                <w:lang w:val="fr-CH"/>
              </w:rPr>
            </w:pPr>
            <w:r w:rsidRPr="00EB5B1D">
              <w:rPr>
                <w:b/>
                <w:sz w:val="20"/>
                <w:lang w:val="fr-CH"/>
              </w:rPr>
              <w:t>Fecha de la primera expedición de los documentos de orientación para la toma de decisiones</w:t>
            </w:r>
          </w:p>
        </w:tc>
      </w:tr>
      <w:tr w:rsidR="000200B2" w:rsidRPr="00985C05" w:rsidTr="00AA36A8">
        <w:trPr>
          <w:cantSplit/>
        </w:trPr>
        <w:tc>
          <w:tcPr>
            <w:tcW w:w="1908" w:type="pct"/>
            <w:tcBorders>
              <w:top w:val="double" w:sz="4" w:space="0" w:color="auto"/>
            </w:tcBorders>
            <w:shd w:val="clear" w:color="auto" w:fill="auto"/>
          </w:tcPr>
          <w:p w:rsidR="00063D1B" w:rsidRPr="00EB5B1D" w:rsidRDefault="00063D1B" w:rsidP="000220B2">
            <w:pPr>
              <w:snapToGrid w:val="0"/>
              <w:spacing w:before="40" w:after="40"/>
              <w:rPr>
                <w:sz w:val="20"/>
                <w:lang w:val="fr-CH"/>
              </w:rPr>
            </w:pPr>
            <w:r w:rsidRPr="00EB5B1D">
              <w:rPr>
                <w:sz w:val="20"/>
                <w:lang w:val="fr-CH"/>
              </w:rPr>
              <w:t>2</w:t>
            </w:r>
            <w:proofErr w:type="gramStart"/>
            <w:r w:rsidRPr="00EB5B1D">
              <w:rPr>
                <w:sz w:val="20"/>
                <w:lang w:val="fr-CH"/>
              </w:rPr>
              <w:t>,4,5</w:t>
            </w:r>
            <w:proofErr w:type="gramEnd"/>
            <w:r w:rsidRPr="00EB5B1D">
              <w:rPr>
                <w:sz w:val="20"/>
                <w:lang w:val="fr-CH"/>
              </w:rPr>
              <w:t>-T y sus sales y esteres</w:t>
            </w:r>
          </w:p>
        </w:tc>
        <w:tc>
          <w:tcPr>
            <w:tcW w:w="882" w:type="pct"/>
            <w:tcBorders>
              <w:top w:val="double" w:sz="4" w:space="0" w:color="auto"/>
            </w:tcBorders>
            <w:shd w:val="clear" w:color="auto" w:fill="auto"/>
          </w:tcPr>
          <w:p w:rsidR="00063D1B" w:rsidRPr="00EB5B1D" w:rsidRDefault="00063D1B" w:rsidP="000220B2">
            <w:pPr>
              <w:snapToGrid w:val="0"/>
              <w:spacing w:before="40" w:after="40"/>
              <w:rPr>
                <w:sz w:val="20"/>
              </w:rPr>
            </w:pPr>
            <w:r w:rsidRPr="00EB5B1D">
              <w:rPr>
                <w:sz w:val="20"/>
              </w:rPr>
              <w:t>93-76-5*</w:t>
            </w:r>
          </w:p>
        </w:tc>
        <w:tc>
          <w:tcPr>
            <w:tcW w:w="705" w:type="pct"/>
            <w:tcBorders>
              <w:top w:val="double" w:sz="4" w:space="0" w:color="auto"/>
            </w:tcBorders>
            <w:shd w:val="clear" w:color="auto" w:fill="auto"/>
          </w:tcPr>
          <w:p w:rsidR="00063D1B" w:rsidRPr="00EB5B1D" w:rsidRDefault="00063D1B" w:rsidP="000220B2">
            <w:pPr>
              <w:snapToGrid w:val="0"/>
              <w:spacing w:before="40" w:after="40"/>
              <w:rPr>
                <w:sz w:val="20"/>
              </w:rPr>
            </w:pPr>
            <w:r w:rsidRPr="00EB5B1D">
              <w:rPr>
                <w:sz w:val="20"/>
              </w:rPr>
              <w:t>Plaguicida</w:t>
            </w:r>
          </w:p>
        </w:tc>
        <w:tc>
          <w:tcPr>
            <w:tcW w:w="1505" w:type="pct"/>
            <w:tcBorders>
              <w:top w:val="double" w:sz="4" w:space="0" w:color="auto"/>
            </w:tcBorders>
            <w:shd w:val="clear" w:color="auto" w:fill="auto"/>
          </w:tcPr>
          <w:p w:rsidR="00063D1B" w:rsidRPr="00EB5B1D" w:rsidRDefault="00063D1B"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EB5B1D" w:rsidTr="00AA36A8">
        <w:trPr>
          <w:cantSplit/>
        </w:trPr>
        <w:tc>
          <w:tcPr>
            <w:tcW w:w="1908" w:type="pct"/>
            <w:shd w:val="clear" w:color="auto" w:fill="auto"/>
          </w:tcPr>
          <w:p w:rsidR="00063D1B" w:rsidRPr="00EB5B1D" w:rsidRDefault="00063D1B" w:rsidP="000220B2">
            <w:pPr>
              <w:snapToGrid w:val="0"/>
              <w:spacing w:before="40" w:after="40"/>
              <w:rPr>
                <w:sz w:val="20"/>
              </w:rPr>
            </w:pPr>
            <w:r w:rsidRPr="00EB5B1D">
              <w:rPr>
                <w:sz w:val="20"/>
              </w:rPr>
              <w:t>Alaclor</w:t>
            </w:r>
          </w:p>
        </w:tc>
        <w:tc>
          <w:tcPr>
            <w:tcW w:w="882" w:type="pct"/>
            <w:shd w:val="clear" w:color="auto" w:fill="auto"/>
          </w:tcPr>
          <w:p w:rsidR="00063D1B" w:rsidRPr="00EB5B1D" w:rsidRDefault="00063D1B" w:rsidP="000220B2">
            <w:pPr>
              <w:snapToGrid w:val="0"/>
              <w:spacing w:before="40" w:after="40"/>
              <w:rPr>
                <w:sz w:val="20"/>
              </w:rPr>
            </w:pPr>
            <w:r w:rsidRPr="00EB5B1D">
              <w:rPr>
                <w:sz w:val="20"/>
              </w:rPr>
              <w:t>15972-60-8</w:t>
            </w:r>
          </w:p>
        </w:tc>
        <w:tc>
          <w:tcPr>
            <w:tcW w:w="705" w:type="pct"/>
            <w:shd w:val="clear" w:color="auto" w:fill="auto"/>
          </w:tcPr>
          <w:p w:rsidR="00063D1B" w:rsidRPr="00EB5B1D" w:rsidRDefault="00063D1B" w:rsidP="000220B2">
            <w:pPr>
              <w:snapToGrid w:val="0"/>
              <w:spacing w:before="40" w:after="40"/>
              <w:rPr>
                <w:sz w:val="20"/>
              </w:rPr>
            </w:pPr>
            <w:r w:rsidRPr="00EB5B1D">
              <w:rPr>
                <w:sz w:val="20"/>
              </w:rPr>
              <w:t>Plaguicida</w:t>
            </w:r>
          </w:p>
        </w:tc>
        <w:tc>
          <w:tcPr>
            <w:tcW w:w="1505" w:type="pct"/>
            <w:shd w:val="clear" w:color="auto" w:fill="auto"/>
          </w:tcPr>
          <w:p w:rsidR="00063D1B" w:rsidRPr="00EB5B1D" w:rsidRDefault="00063D1B" w:rsidP="000220B2">
            <w:pPr>
              <w:snapToGrid w:val="0"/>
              <w:spacing w:before="40" w:after="40"/>
              <w:rPr>
                <w:sz w:val="20"/>
              </w:rPr>
            </w:pPr>
            <w:r w:rsidRPr="00EB5B1D">
              <w:rPr>
                <w:sz w:val="20"/>
              </w:rPr>
              <w:t>24 de octubre de 2011</w:t>
            </w:r>
          </w:p>
        </w:tc>
      </w:tr>
      <w:tr w:rsidR="000200B2" w:rsidRPr="00EB5B1D" w:rsidTr="00AA36A8">
        <w:trPr>
          <w:cantSplit/>
        </w:trPr>
        <w:tc>
          <w:tcPr>
            <w:tcW w:w="1908" w:type="pct"/>
            <w:shd w:val="clear" w:color="auto" w:fill="auto"/>
          </w:tcPr>
          <w:p w:rsidR="00063D1B" w:rsidRPr="00EB5B1D" w:rsidRDefault="00063D1B" w:rsidP="000220B2">
            <w:pPr>
              <w:snapToGrid w:val="0"/>
              <w:spacing w:before="40" w:after="40"/>
              <w:rPr>
                <w:sz w:val="20"/>
              </w:rPr>
            </w:pPr>
            <w:r w:rsidRPr="00EB5B1D">
              <w:rPr>
                <w:sz w:val="20"/>
              </w:rPr>
              <w:t>Aldicarb</w:t>
            </w:r>
          </w:p>
        </w:tc>
        <w:tc>
          <w:tcPr>
            <w:tcW w:w="882" w:type="pct"/>
            <w:shd w:val="clear" w:color="auto" w:fill="auto"/>
          </w:tcPr>
          <w:p w:rsidR="00063D1B" w:rsidRPr="00EB5B1D" w:rsidRDefault="00063D1B" w:rsidP="000220B2">
            <w:pPr>
              <w:snapToGrid w:val="0"/>
              <w:spacing w:before="40" w:after="40"/>
              <w:rPr>
                <w:sz w:val="20"/>
              </w:rPr>
            </w:pPr>
            <w:r w:rsidRPr="00EB5B1D">
              <w:rPr>
                <w:sz w:val="20"/>
              </w:rPr>
              <w:t>116-06-3</w:t>
            </w:r>
          </w:p>
        </w:tc>
        <w:tc>
          <w:tcPr>
            <w:tcW w:w="705" w:type="pct"/>
            <w:shd w:val="clear" w:color="auto" w:fill="auto"/>
          </w:tcPr>
          <w:p w:rsidR="00063D1B" w:rsidRPr="00EB5B1D" w:rsidRDefault="00063D1B" w:rsidP="000220B2">
            <w:pPr>
              <w:snapToGrid w:val="0"/>
              <w:spacing w:before="40" w:after="40"/>
              <w:rPr>
                <w:sz w:val="20"/>
              </w:rPr>
            </w:pPr>
            <w:r w:rsidRPr="00EB5B1D">
              <w:rPr>
                <w:sz w:val="20"/>
              </w:rPr>
              <w:t>Plaguicida</w:t>
            </w:r>
          </w:p>
        </w:tc>
        <w:tc>
          <w:tcPr>
            <w:tcW w:w="1505" w:type="pct"/>
            <w:shd w:val="clear" w:color="auto" w:fill="auto"/>
          </w:tcPr>
          <w:p w:rsidR="00063D1B" w:rsidRPr="00EB5B1D" w:rsidRDefault="00063D1B" w:rsidP="000220B2">
            <w:pPr>
              <w:snapToGrid w:val="0"/>
              <w:spacing w:before="40" w:after="40"/>
              <w:rPr>
                <w:sz w:val="20"/>
              </w:rPr>
            </w:pPr>
            <w:r w:rsidRPr="00EB5B1D">
              <w:rPr>
                <w:sz w:val="20"/>
              </w:rPr>
              <w:t>24 de octubre de 2011</w:t>
            </w:r>
          </w:p>
        </w:tc>
      </w:tr>
      <w:tr w:rsidR="000200B2" w:rsidRPr="00985C05" w:rsidTr="00AA36A8">
        <w:trPr>
          <w:cantSplit/>
        </w:trPr>
        <w:tc>
          <w:tcPr>
            <w:tcW w:w="1908" w:type="pct"/>
            <w:shd w:val="clear" w:color="auto" w:fill="auto"/>
          </w:tcPr>
          <w:p w:rsidR="00063D1B" w:rsidRPr="00EB5B1D" w:rsidRDefault="00063D1B" w:rsidP="000220B2">
            <w:pPr>
              <w:snapToGrid w:val="0"/>
              <w:spacing w:before="40" w:after="40"/>
              <w:rPr>
                <w:sz w:val="20"/>
              </w:rPr>
            </w:pPr>
            <w:r w:rsidRPr="00EB5B1D">
              <w:rPr>
                <w:sz w:val="20"/>
              </w:rPr>
              <w:t>Aldrina</w:t>
            </w:r>
          </w:p>
        </w:tc>
        <w:tc>
          <w:tcPr>
            <w:tcW w:w="882" w:type="pct"/>
            <w:shd w:val="clear" w:color="auto" w:fill="auto"/>
          </w:tcPr>
          <w:p w:rsidR="00063D1B" w:rsidRPr="00EB5B1D" w:rsidRDefault="00063D1B" w:rsidP="000220B2">
            <w:pPr>
              <w:snapToGrid w:val="0"/>
              <w:spacing w:before="40" w:after="40"/>
              <w:rPr>
                <w:sz w:val="20"/>
              </w:rPr>
            </w:pPr>
            <w:r w:rsidRPr="00EB5B1D">
              <w:rPr>
                <w:sz w:val="20"/>
              </w:rPr>
              <w:t>309-00-2</w:t>
            </w:r>
          </w:p>
        </w:tc>
        <w:tc>
          <w:tcPr>
            <w:tcW w:w="705" w:type="pct"/>
            <w:shd w:val="clear" w:color="auto" w:fill="auto"/>
          </w:tcPr>
          <w:p w:rsidR="00063D1B" w:rsidRPr="00EB5B1D" w:rsidRDefault="00063D1B" w:rsidP="000220B2">
            <w:pPr>
              <w:snapToGrid w:val="0"/>
              <w:spacing w:before="40" w:after="40"/>
              <w:rPr>
                <w:sz w:val="20"/>
              </w:rPr>
            </w:pPr>
            <w:r w:rsidRPr="00EB5B1D">
              <w:rPr>
                <w:sz w:val="20"/>
              </w:rPr>
              <w:t>Plaguicida</w:t>
            </w:r>
          </w:p>
        </w:tc>
        <w:tc>
          <w:tcPr>
            <w:tcW w:w="1505" w:type="pct"/>
            <w:shd w:val="clear" w:color="auto" w:fill="auto"/>
          </w:tcPr>
          <w:p w:rsidR="00063D1B" w:rsidRPr="00EB5B1D" w:rsidRDefault="00063D1B"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EB5B1D" w:rsidTr="00AA36A8">
        <w:trPr>
          <w:cantSplit/>
          <w:trHeight w:val="467"/>
        </w:trPr>
        <w:tc>
          <w:tcPr>
            <w:tcW w:w="1908" w:type="pct"/>
            <w:shd w:val="clear" w:color="auto" w:fill="auto"/>
          </w:tcPr>
          <w:p w:rsidR="00063D1B" w:rsidRPr="00EB5B1D" w:rsidRDefault="00063D1B" w:rsidP="000220B2">
            <w:pPr>
              <w:snapToGrid w:val="0"/>
              <w:spacing w:before="40" w:after="40"/>
              <w:rPr>
                <w:sz w:val="20"/>
              </w:rPr>
            </w:pPr>
            <w:r w:rsidRPr="00EB5B1D">
              <w:rPr>
                <w:sz w:val="20"/>
              </w:rPr>
              <w:t>Azinfos-metilo</w:t>
            </w:r>
          </w:p>
        </w:tc>
        <w:tc>
          <w:tcPr>
            <w:tcW w:w="882" w:type="pct"/>
            <w:shd w:val="clear" w:color="auto" w:fill="auto"/>
          </w:tcPr>
          <w:p w:rsidR="00063D1B" w:rsidRPr="00EB5B1D" w:rsidRDefault="00063D1B" w:rsidP="000220B2">
            <w:pPr>
              <w:snapToGrid w:val="0"/>
              <w:spacing w:before="40" w:after="40"/>
              <w:rPr>
                <w:sz w:val="20"/>
              </w:rPr>
            </w:pPr>
            <w:r w:rsidRPr="00EB5B1D">
              <w:rPr>
                <w:sz w:val="20"/>
                <w:lang w:val="en-GB"/>
              </w:rPr>
              <w:t>86-50-0</w:t>
            </w:r>
          </w:p>
        </w:tc>
        <w:tc>
          <w:tcPr>
            <w:tcW w:w="705" w:type="pct"/>
            <w:shd w:val="clear" w:color="auto" w:fill="auto"/>
          </w:tcPr>
          <w:p w:rsidR="00063D1B" w:rsidRPr="00EB5B1D" w:rsidRDefault="00063D1B" w:rsidP="000220B2">
            <w:pPr>
              <w:snapToGrid w:val="0"/>
              <w:spacing w:before="40" w:after="40"/>
              <w:rPr>
                <w:sz w:val="20"/>
              </w:rPr>
            </w:pPr>
            <w:r w:rsidRPr="00EB5B1D">
              <w:rPr>
                <w:sz w:val="20"/>
              </w:rPr>
              <w:t>Plaguicida</w:t>
            </w:r>
          </w:p>
        </w:tc>
        <w:tc>
          <w:tcPr>
            <w:tcW w:w="1505" w:type="pct"/>
            <w:shd w:val="clear" w:color="auto" w:fill="auto"/>
          </w:tcPr>
          <w:p w:rsidR="00063D1B" w:rsidRPr="00EB5B1D" w:rsidRDefault="00063D1B" w:rsidP="000220B2">
            <w:pPr>
              <w:snapToGrid w:val="0"/>
              <w:spacing w:before="40" w:after="40"/>
              <w:rPr>
                <w:sz w:val="20"/>
              </w:rPr>
            </w:pPr>
            <w:r w:rsidRPr="00EB5B1D">
              <w:rPr>
                <w:sz w:val="20"/>
              </w:rPr>
              <w:t>10 de agosto de 2013</w:t>
            </w:r>
          </w:p>
        </w:tc>
      </w:tr>
      <w:tr w:rsidR="000200B2" w:rsidRPr="00EB5B1D" w:rsidTr="00AA36A8">
        <w:trPr>
          <w:cantSplit/>
          <w:trHeight w:val="431"/>
        </w:trPr>
        <w:tc>
          <w:tcPr>
            <w:tcW w:w="1908" w:type="pct"/>
            <w:shd w:val="clear" w:color="auto" w:fill="auto"/>
          </w:tcPr>
          <w:p w:rsidR="00063D1B" w:rsidRPr="00EB5B1D" w:rsidRDefault="00063D1B" w:rsidP="000220B2">
            <w:pPr>
              <w:snapToGrid w:val="0"/>
              <w:spacing w:before="40" w:after="40"/>
              <w:rPr>
                <w:sz w:val="20"/>
              </w:rPr>
            </w:pPr>
            <w:r w:rsidRPr="00EB5B1D">
              <w:rPr>
                <w:sz w:val="20"/>
              </w:rPr>
              <w:t>Binapacril</w:t>
            </w:r>
          </w:p>
        </w:tc>
        <w:tc>
          <w:tcPr>
            <w:tcW w:w="882" w:type="pct"/>
            <w:shd w:val="clear" w:color="auto" w:fill="auto"/>
          </w:tcPr>
          <w:p w:rsidR="00063D1B" w:rsidRPr="00EB5B1D" w:rsidRDefault="00063D1B" w:rsidP="000220B2">
            <w:pPr>
              <w:snapToGrid w:val="0"/>
              <w:spacing w:before="40" w:after="40"/>
              <w:rPr>
                <w:sz w:val="20"/>
              </w:rPr>
            </w:pPr>
            <w:r w:rsidRPr="00EB5B1D">
              <w:rPr>
                <w:sz w:val="20"/>
              </w:rPr>
              <w:t>485-31-4</w:t>
            </w:r>
          </w:p>
        </w:tc>
        <w:tc>
          <w:tcPr>
            <w:tcW w:w="705" w:type="pct"/>
            <w:shd w:val="clear" w:color="auto" w:fill="auto"/>
          </w:tcPr>
          <w:p w:rsidR="00063D1B" w:rsidRPr="00EB5B1D" w:rsidRDefault="00063D1B" w:rsidP="000220B2">
            <w:pPr>
              <w:snapToGrid w:val="0"/>
              <w:spacing w:before="40" w:after="40"/>
              <w:rPr>
                <w:sz w:val="20"/>
              </w:rPr>
            </w:pPr>
            <w:r w:rsidRPr="00EB5B1D">
              <w:rPr>
                <w:sz w:val="20"/>
              </w:rPr>
              <w:t>Plaguicida</w:t>
            </w:r>
          </w:p>
        </w:tc>
        <w:tc>
          <w:tcPr>
            <w:tcW w:w="1505" w:type="pct"/>
            <w:shd w:val="clear" w:color="auto" w:fill="auto"/>
          </w:tcPr>
          <w:p w:rsidR="00063D1B" w:rsidRPr="00EB5B1D" w:rsidRDefault="00063D1B" w:rsidP="000220B2">
            <w:pPr>
              <w:snapToGrid w:val="0"/>
              <w:spacing w:before="40" w:after="40"/>
              <w:rPr>
                <w:sz w:val="20"/>
              </w:rPr>
            </w:pPr>
            <w:r w:rsidRPr="00EB5B1D">
              <w:rPr>
                <w:sz w:val="20"/>
              </w:rPr>
              <w:t>1 de febrero de 2005</w:t>
            </w:r>
          </w:p>
        </w:tc>
      </w:tr>
      <w:tr w:rsidR="000200B2" w:rsidRPr="00985C05" w:rsidTr="00AA36A8">
        <w:trPr>
          <w:cantSplit/>
        </w:trPr>
        <w:tc>
          <w:tcPr>
            <w:tcW w:w="1908" w:type="pct"/>
            <w:shd w:val="clear" w:color="auto" w:fill="auto"/>
          </w:tcPr>
          <w:p w:rsidR="00063D1B" w:rsidRPr="00EB5B1D" w:rsidRDefault="00063D1B" w:rsidP="000220B2">
            <w:pPr>
              <w:snapToGrid w:val="0"/>
              <w:spacing w:before="40" w:after="40"/>
              <w:rPr>
                <w:sz w:val="20"/>
              </w:rPr>
            </w:pPr>
            <w:r w:rsidRPr="00EB5B1D">
              <w:rPr>
                <w:sz w:val="20"/>
              </w:rPr>
              <w:t>Captafol</w:t>
            </w:r>
          </w:p>
        </w:tc>
        <w:tc>
          <w:tcPr>
            <w:tcW w:w="882" w:type="pct"/>
            <w:shd w:val="clear" w:color="auto" w:fill="auto"/>
          </w:tcPr>
          <w:p w:rsidR="00063D1B" w:rsidRPr="00EB5B1D" w:rsidRDefault="00063D1B" w:rsidP="000220B2">
            <w:pPr>
              <w:snapToGrid w:val="0"/>
              <w:spacing w:before="40" w:after="40"/>
              <w:rPr>
                <w:sz w:val="20"/>
              </w:rPr>
            </w:pPr>
            <w:r w:rsidRPr="00EB5B1D">
              <w:rPr>
                <w:sz w:val="20"/>
              </w:rPr>
              <w:t>2425-06-1</w:t>
            </w:r>
          </w:p>
        </w:tc>
        <w:tc>
          <w:tcPr>
            <w:tcW w:w="705" w:type="pct"/>
            <w:shd w:val="clear" w:color="auto" w:fill="auto"/>
          </w:tcPr>
          <w:p w:rsidR="00063D1B" w:rsidRPr="00EB5B1D" w:rsidRDefault="00063D1B" w:rsidP="000220B2">
            <w:pPr>
              <w:snapToGrid w:val="0"/>
              <w:spacing w:before="40" w:after="40"/>
              <w:rPr>
                <w:sz w:val="20"/>
              </w:rPr>
            </w:pPr>
            <w:r w:rsidRPr="00EB5B1D">
              <w:rPr>
                <w:sz w:val="20"/>
              </w:rPr>
              <w:t>Plaguicida</w:t>
            </w:r>
          </w:p>
        </w:tc>
        <w:tc>
          <w:tcPr>
            <w:tcW w:w="1505" w:type="pct"/>
            <w:shd w:val="clear" w:color="auto" w:fill="auto"/>
          </w:tcPr>
          <w:p w:rsidR="00063D1B" w:rsidRPr="00EB5B1D" w:rsidRDefault="00063D1B"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szCs w:val="20"/>
                <w:lang w:val="es-ES"/>
              </w:rPr>
              <w:t>Carbofurano</w:t>
            </w:r>
          </w:p>
        </w:tc>
        <w:tc>
          <w:tcPr>
            <w:tcW w:w="882" w:type="pct"/>
            <w:shd w:val="clear" w:color="auto" w:fill="auto"/>
          </w:tcPr>
          <w:p w:rsidR="000200B2" w:rsidRPr="00EB5B1D" w:rsidRDefault="000200B2" w:rsidP="000220B2">
            <w:pPr>
              <w:snapToGrid w:val="0"/>
              <w:spacing w:before="40" w:after="40"/>
              <w:rPr>
                <w:sz w:val="20"/>
              </w:rPr>
            </w:pPr>
            <w:r w:rsidRPr="00EB5B1D">
              <w:rPr>
                <w:sz w:val="20"/>
                <w:szCs w:val="20"/>
                <w:lang w:val="es-ES"/>
              </w:rPr>
              <w:t>1563-66-2</w:t>
            </w:r>
          </w:p>
        </w:tc>
        <w:tc>
          <w:tcPr>
            <w:tcW w:w="705" w:type="pct"/>
            <w:shd w:val="clear" w:color="auto" w:fill="auto"/>
          </w:tcPr>
          <w:p w:rsidR="000200B2" w:rsidRPr="00EB5B1D" w:rsidRDefault="000200B2" w:rsidP="000220B2">
            <w:pPr>
              <w:snapToGrid w:val="0"/>
              <w:spacing w:before="40" w:after="40"/>
              <w:rPr>
                <w:sz w:val="20"/>
              </w:rPr>
            </w:pPr>
            <w:r w:rsidRPr="00EB5B1D">
              <w:rPr>
                <w:sz w:val="20"/>
                <w:szCs w:val="20"/>
                <w:lang w:val="es-ES"/>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rFonts w:eastAsia="SimSun"/>
                <w:sz w:val="20"/>
                <w:szCs w:val="20"/>
                <w:lang w:val="es-ES" w:eastAsia="zh-CN"/>
              </w:rPr>
              <w:t>Prevista para el 15 de septiembre de 2017</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Clordano</w:t>
            </w:r>
          </w:p>
        </w:tc>
        <w:tc>
          <w:tcPr>
            <w:tcW w:w="882" w:type="pct"/>
            <w:shd w:val="clear" w:color="auto" w:fill="auto"/>
          </w:tcPr>
          <w:p w:rsidR="000200B2" w:rsidRPr="00EB5B1D" w:rsidRDefault="000200B2" w:rsidP="000220B2">
            <w:pPr>
              <w:snapToGrid w:val="0"/>
              <w:spacing w:before="40" w:after="40"/>
              <w:rPr>
                <w:sz w:val="20"/>
              </w:rPr>
            </w:pPr>
            <w:r w:rsidRPr="00EB5B1D">
              <w:rPr>
                <w:sz w:val="20"/>
              </w:rPr>
              <w:t>57-74-9</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Clordimeformo</w:t>
            </w:r>
          </w:p>
        </w:tc>
        <w:tc>
          <w:tcPr>
            <w:tcW w:w="882" w:type="pct"/>
            <w:shd w:val="clear" w:color="auto" w:fill="auto"/>
          </w:tcPr>
          <w:p w:rsidR="000200B2" w:rsidRPr="00EB5B1D" w:rsidRDefault="000200B2" w:rsidP="000220B2">
            <w:pPr>
              <w:snapToGrid w:val="0"/>
              <w:spacing w:before="40" w:after="40"/>
              <w:rPr>
                <w:sz w:val="20"/>
              </w:rPr>
            </w:pPr>
            <w:r w:rsidRPr="00EB5B1D">
              <w:rPr>
                <w:sz w:val="20"/>
              </w:rPr>
              <w:t>6164-98-3</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Clorobencilato</w:t>
            </w:r>
          </w:p>
        </w:tc>
        <w:tc>
          <w:tcPr>
            <w:tcW w:w="882" w:type="pct"/>
            <w:shd w:val="clear" w:color="auto" w:fill="auto"/>
          </w:tcPr>
          <w:p w:rsidR="000200B2" w:rsidRPr="00EB5B1D" w:rsidRDefault="000200B2" w:rsidP="000220B2">
            <w:pPr>
              <w:snapToGrid w:val="0"/>
              <w:spacing w:before="40" w:after="40"/>
              <w:rPr>
                <w:sz w:val="20"/>
              </w:rPr>
            </w:pPr>
            <w:r w:rsidRPr="00EB5B1D">
              <w:rPr>
                <w:sz w:val="20"/>
              </w:rPr>
              <w:t>510-15-6</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DDT</w:t>
            </w:r>
          </w:p>
        </w:tc>
        <w:tc>
          <w:tcPr>
            <w:tcW w:w="882" w:type="pct"/>
            <w:shd w:val="clear" w:color="auto" w:fill="auto"/>
          </w:tcPr>
          <w:p w:rsidR="000200B2" w:rsidRPr="00EB5B1D" w:rsidRDefault="000200B2" w:rsidP="000220B2">
            <w:pPr>
              <w:snapToGrid w:val="0"/>
              <w:spacing w:before="40" w:after="40"/>
              <w:rPr>
                <w:sz w:val="20"/>
              </w:rPr>
            </w:pPr>
            <w:r w:rsidRPr="00EB5B1D">
              <w:rPr>
                <w:sz w:val="20"/>
              </w:rPr>
              <w:t>50-29-3</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Dieldrina</w:t>
            </w:r>
          </w:p>
        </w:tc>
        <w:tc>
          <w:tcPr>
            <w:tcW w:w="882" w:type="pct"/>
            <w:shd w:val="clear" w:color="auto" w:fill="auto"/>
          </w:tcPr>
          <w:p w:rsidR="000200B2" w:rsidRPr="00EB5B1D" w:rsidRDefault="000200B2" w:rsidP="000220B2">
            <w:pPr>
              <w:snapToGrid w:val="0"/>
              <w:spacing w:before="40" w:after="40"/>
              <w:rPr>
                <w:sz w:val="20"/>
              </w:rPr>
            </w:pPr>
            <w:r w:rsidRPr="00EB5B1D">
              <w:rPr>
                <w:sz w:val="20"/>
              </w:rPr>
              <w:t>60-57-1</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EB5B1D"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Dinitro-</w:t>
            </w:r>
            <w:r w:rsidRPr="00EB5B1D">
              <w:rPr>
                <w:i/>
                <w:sz w:val="20"/>
              </w:rPr>
              <w:t>orto</w:t>
            </w:r>
            <w:r w:rsidRPr="00EB5B1D">
              <w:rPr>
                <w:sz w:val="20"/>
              </w:rPr>
              <w:t>-cresol (DNOC) y sus sales (como las sales de amonio, potasio y sodio)</w:t>
            </w:r>
          </w:p>
        </w:tc>
        <w:tc>
          <w:tcPr>
            <w:tcW w:w="882" w:type="pct"/>
            <w:shd w:val="clear" w:color="auto" w:fill="auto"/>
          </w:tcPr>
          <w:p w:rsidR="000200B2" w:rsidRPr="00EB5B1D" w:rsidRDefault="000200B2" w:rsidP="000220B2">
            <w:pPr>
              <w:snapToGrid w:val="0"/>
              <w:spacing w:before="40" w:after="40"/>
              <w:rPr>
                <w:bCs/>
                <w:iCs/>
                <w:sz w:val="20"/>
              </w:rPr>
            </w:pPr>
            <w:r w:rsidRPr="00EB5B1D">
              <w:rPr>
                <w:sz w:val="20"/>
              </w:rPr>
              <w:t>534-52-1</w:t>
            </w:r>
          </w:p>
          <w:p w:rsidR="000200B2" w:rsidRPr="00EB5B1D" w:rsidRDefault="000200B2" w:rsidP="000220B2">
            <w:pPr>
              <w:snapToGrid w:val="0"/>
              <w:spacing w:before="40" w:after="40"/>
              <w:rPr>
                <w:bCs/>
                <w:iCs/>
                <w:sz w:val="20"/>
              </w:rPr>
            </w:pPr>
            <w:r w:rsidRPr="00EB5B1D">
              <w:rPr>
                <w:bCs/>
                <w:iCs/>
                <w:sz w:val="20"/>
              </w:rPr>
              <w:t>2980-64-5</w:t>
            </w:r>
          </w:p>
          <w:p w:rsidR="000200B2" w:rsidRPr="00EB5B1D" w:rsidRDefault="000200B2" w:rsidP="000220B2">
            <w:pPr>
              <w:snapToGrid w:val="0"/>
              <w:spacing w:before="40" w:after="40"/>
              <w:rPr>
                <w:bCs/>
                <w:iCs/>
                <w:sz w:val="20"/>
              </w:rPr>
            </w:pPr>
            <w:r w:rsidRPr="00EB5B1D">
              <w:rPr>
                <w:bCs/>
                <w:iCs/>
                <w:sz w:val="20"/>
              </w:rPr>
              <w:t>5787-96-2</w:t>
            </w:r>
          </w:p>
          <w:p w:rsidR="000200B2" w:rsidRPr="00EB5B1D" w:rsidRDefault="000200B2" w:rsidP="000220B2">
            <w:pPr>
              <w:snapToGrid w:val="0"/>
              <w:spacing w:before="40" w:after="40"/>
              <w:rPr>
                <w:sz w:val="20"/>
              </w:rPr>
            </w:pPr>
            <w:r w:rsidRPr="00EB5B1D">
              <w:rPr>
                <w:sz w:val="20"/>
              </w:rPr>
              <w:t>2312-76-7</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2005</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lang w:val="fr-CH"/>
              </w:rPr>
            </w:pPr>
            <w:r w:rsidRPr="00EB5B1D">
              <w:rPr>
                <w:sz w:val="20"/>
                <w:lang w:val="fr-CH"/>
              </w:rPr>
              <w:t>Dinoseb y sus sales y esteres</w:t>
            </w:r>
          </w:p>
        </w:tc>
        <w:tc>
          <w:tcPr>
            <w:tcW w:w="882" w:type="pct"/>
            <w:shd w:val="clear" w:color="auto" w:fill="auto"/>
          </w:tcPr>
          <w:p w:rsidR="000200B2" w:rsidRPr="00EB5B1D" w:rsidRDefault="000200B2" w:rsidP="000220B2">
            <w:pPr>
              <w:snapToGrid w:val="0"/>
              <w:spacing w:before="40" w:after="40"/>
              <w:rPr>
                <w:sz w:val="20"/>
              </w:rPr>
            </w:pPr>
            <w:r w:rsidRPr="00EB5B1D">
              <w:rPr>
                <w:sz w:val="20"/>
              </w:rPr>
              <w:t>88-85-7*</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1,2-dibromoetano (EDB)</w:t>
            </w:r>
          </w:p>
        </w:tc>
        <w:tc>
          <w:tcPr>
            <w:tcW w:w="882" w:type="pct"/>
            <w:shd w:val="clear" w:color="auto" w:fill="auto"/>
          </w:tcPr>
          <w:p w:rsidR="000200B2" w:rsidRPr="00EB5B1D" w:rsidRDefault="000200B2" w:rsidP="000220B2">
            <w:pPr>
              <w:snapToGrid w:val="0"/>
              <w:spacing w:before="40" w:after="40"/>
              <w:rPr>
                <w:sz w:val="20"/>
              </w:rPr>
            </w:pPr>
            <w:r w:rsidRPr="00EB5B1D">
              <w:rPr>
                <w:sz w:val="20"/>
              </w:rPr>
              <w:t>106-93-4</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EB5B1D"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Endosulfán</w:t>
            </w:r>
          </w:p>
        </w:tc>
        <w:tc>
          <w:tcPr>
            <w:tcW w:w="882" w:type="pct"/>
            <w:shd w:val="clear" w:color="auto" w:fill="auto"/>
          </w:tcPr>
          <w:p w:rsidR="000200B2" w:rsidRPr="00EB5B1D" w:rsidRDefault="000200B2" w:rsidP="000220B2">
            <w:pPr>
              <w:snapToGrid w:val="0"/>
              <w:spacing w:before="40" w:after="40"/>
              <w:rPr>
                <w:sz w:val="20"/>
              </w:rPr>
            </w:pPr>
            <w:r w:rsidRPr="00EB5B1D">
              <w:rPr>
                <w:sz w:val="20"/>
              </w:rPr>
              <w:t>115-29-7</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rPr>
            </w:pPr>
            <w:r w:rsidRPr="00EB5B1D">
              <w:rPr>
                <w:sz w:val="20"/>
              </w:rPr>
              <w:t>24 de octubre de 2011</w:t>
            </w:r>
          </w:p>
        </w:tc>
      </w:tr>
      <w:tr w:rsidR="000200B2" w:rsidRPr="00EB5B1D" w:rsidTr="00AA36A8">
        <w:trPr>
          <w:cantSplit/>
          <w:trHeight w:val="494"/>
        </w:trPr>
        <w:tc>
          <w:tcPr>
            <w:tcW w:w="1908" w:type="pct"/>
            <w:shd w:val="clear" w:color="auto" w:fill="auto"/>
          </w:tcPr>
          <w:p w:rsidR="000200B2" w:rsidRPr="00EB5B1D" w:rsidRDefault="000200B2" w:rsidP="000220B2">
            <w:pPr>
              <w:snapToGrid w:val="0"/>
              <w:spacing w:before="40" w:after="40"/>
              <w:rPr>
                <w:sz w:val="20"/>
              </w:rPr>
            </w:pPr>
            <w:r w:rsidRPr="00EB5B1D">
              <w:rPr>
                <w:sz w:val="20"/>
              </w:rPr>
              <w:t>Dicloruro de etileno</w:t>
            </w:r>
          </w:p>
        </w:tc>
        <w:tc>
          <w:tcPr>
            <w:tcW w:w="882" w:type="pct"/>
            <w:shd w:val="clear" w:color="auto" w:fill="auto"/>
          </w:tcPr>
          <w:p w:rsidR="000200B2" w:rsidRPr="00EB5B1D" w:rsidRDefault="000200B2" w:rsidP="000220B2">
            <w:pPr>
              <w:snapToGrid w:val="0"/>
              <w:spacing w:before="40" w:after="40"/>
              <w:rPr>
                <w:sz w:val="20"/>
              </w:rPr>
            </w:pPr>
            <w:r w:rsidRPr="00EB5B1D">
              <w:rPr>
                <w:sz w:val="20"/>
              </w:rPr>
              <w:t>107-06-2</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2005</w:t>
            </w:r>
          </w:p>
        </w:tc>
      </w:tr>
      <w:tr w:rsidR="000200B2" w:rsidRPr="00EB5B1D" w:rsidTr="00AA36A8">
        <w:trPr>
          <w:cantSplit/>
          <w:trHeight w:val="449"/>
        </w:trPr>
        <w:tc>
          <w:tcPr>
            <w:tcW w:w="1908" w:type="pct"/>
            <w:shd w:val="clear" w:color="auto" w:fill="auto"/>
          </w:tcPr>
          <w:p w:rsidR="000200B2" w:rsidRPr="00EB5B1D" w:rsidRDefault="000200B2" w:rsidP="000220B2">
            <w:pPr>
              <w:snapToGrid w:val="0"/>
              <w:spacing w:before="40" w:after="40"/>
              <w:rPr>
                <w:sz w:val="20"/>
              </w:rPr>
            </w:pPr>
            <w:r w:rsidRPr="00EB5B1D">
              <w:rPr>
                <w:sz w:val="20"/>
              </w:rPr>
              <w:t>Óxido de etileno</w:t>
            </w:r>
          </w:p>
        </w:tc>
        <w:tc>
          <w:tcPr>
            <w:tcW w:w="882" w:type="pct"/>
            <w:shd w:val="clear" w:color="auto" w:fill="auto"/>
          </w:tcPr>
          <w:p w:rsidR="000200B2" w:rsidRPr="00EB5B1D" w:rsidRDefault="000200B2" w:rsidP="000220B2">
            <w:pPr>
              <w:snapToGrid w:val="0"/>
              <w:spacing w:before="40" w:after="40"/>
              <w:rPr>
                <w:sz w:val="20"/>
              </w:rPr>
            </w:pPr>
            <w:r w:rsidRPr="00EB5B1D">
              <w:rPr>
                <w:sz w:val="20"/>
              </w:rPr>
              <w:t>75-21-8</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2005</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Fluoroacetamida</w:t>
            </w:r>
          </w:p>
        </w:tc>
        <w:tc>
          <w:tcPr>
            <w:tcW w:w="882" w:type="pct"/>
            <w:shd w:val="clear" w:color="auto" w:fill="auto"/>
          </w:tcPr>
          <w:p w:rsidR="000200B2" w:rsidRPr="00EB5B1D" w:rsidRDefault="000200B2" w:rsidP="000220B2">
            <w:pPr>
              <w:snapToGrid w:val="0"/>
              <w:spacing w:before="40" w:after="40"/>
              <w:rPr>
                <w:sz w:val="20"/>
              </w:rPr>
            </w:pPr>
            <w:r w:rsidRPr="00EB5B1D">
              <w:rPr>
                <w:sz w:val="20"/>
              </w:rPr>
              <w:t>640-19-7</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HCH (mezcla de isómeros)</w:t>
            </w:r>
          </w:p>
        </w:tc>
        <w:tc>
          <w:tcPr>
            <w:tcW w:w="882" w:type="pct"/>
            <w:shd w:val="clear" w:color="auto" w:fill="auto"/>
          </w:tcPr>
          <w:p w:rsidR="000200B2" w:rsidRPr="00EB5B1D" w:rsidRDefault="000200B2" w:rsidP="000220B2">
            <w:pPr>
              <w:snapToGrid w:val="0"/>
              <w:spacing w:before="40" w:after="40"/>
              <w:rPr>
                <w:sz w:val="20"/>
              </w:rPr>
            </w:pPr>
            <w:r w:rsidRPr="00EB5B1D">
              <w:rPr>
                <w:sz w:val="20"/>
              </w:rPr>
              <w:t>608-73-1</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Heptacloro</w:t>
            </w:r>
          </w:p>
        </w:tc>
        <w:tc>
          <w:tcPr>
            <w:tcW w:w="882" w:type="pct"/>
            <w:shd w:val="clear" w:color="auto" w:fill="auto"/>
          </w:tcPr>
          <w:p w:rsidR="000200B2" w:rsidRPr="00EB5B1D" w:rsidRDefault="000200B2" w:rsidP="000220B2">
            <w:pPr>
              <w:snapToGrid w:val="0"/>
              <w:spacing w:before="40" w:after="40"/>
              <w:rPr>
                <w:sz w:val="20"/>
              </w:rPr>
            </w:pPr>
            <w:r w:rsidRPr="00EB5B1D">
              <w:rPr>
                <w:sz w:val="20"/>
              </w:rPr>
              <w:t>76-44-8</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Hexaclorobenceno</w:t>
            </w:r>
          </w:p>
        </w:tc>
        <w:tc>
          <w:tcPr>
            <w:tcW w:w="882" w:type="pct"/>
            <w:shd w:val="clear" w:color="auto" w:fill="auto"/>
          </w:tcPr>
          <w:p w:rsidR="000200B2" w:rsidRPr="00EB5B1D" w:rsidRDefault="000200B2" w:rsidP="000220B2">
            <w:pPr>
              <w:snapToGrid w:val="0"/>
              <w:spacing w:before="40" w:after="40"/>
              <w:rPr>
                <w:sz w:val="20"/>
              </w:rPr>
            </w:pPr>
            <w:r w:rsidRPr="00EB5B1D">
              <w:rPr>
                <w:sz w:val="20"/>
              </w:rPr>
              <w:t>118-74-1</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Lindano</w:t>
            </w:r>
          </w:p>
        </w:tc>
        <w:tc>
          <w:tcPr>
            <w:tcW w:w="882" w:type="pct"/>
            <w:shd w:val="clear" w:color="auto" w:fill="auto"/>
          </w:tcPr>
          <w:p w:rsidR="000200B2" w:rsidRPr="00EB5B1D" w:rsidRDefault="000200B2" w:rsidP="000220B2">
            <w:pPr>
              <w:snapToGrid w:val="0"/>
              <w:spacing w:before="40" w:after="40"/>
              <w:rPr>
                <w:sz w:val="20"/>
              </w:rPr>
            </w:pPr>
            <w:r w:rsidRPr="00EB5B1D">
              <w:rPr>
                <w:sz w:val="20"/>
              </w:rPr>
              <w:t>58-89-9</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lang w:val="fr-CH"/>
              </w:rPr>
            </w:pPr>
            <w:r w:rsidRPr="00EB5B1D">
              <w:rPr>
                <w:sz w:val="20"/>
                <w:lang w:val="fr-CH"/>
              </w:rPr>
              <w:t>Compuestos de mercurio, incluidos compuestos inorgánicos de mercurio, compuestos alquílicos de mercurio y compuestos alcoxialquílicos y arílicos de mercurio</w:t>
            </w:r>
          </w:p>
        </w:tc>
        <w:tc>
          <w:tcPr>
            <w:tcW w:w="882" w:type="pct"/>
            <w:shd w:val="clear" w:color="auto" w:fill="auto"/>
          </w:tcPr>
          <w:p w:rsidR="000200B2" w:rsidRPr="00EB5B1D" w:rsidRDefault="000200B2" w:rsidP="000220B2">
            <w:pPr>
              <w:snapToGrid w:val="0"/>
              <w:spacing w:before="40" w:after="40"/>
              <w:rPr>
                <w:sz w:val="20"/>
                <w:lang w:val="fr-CH"/>
              </w:rPr>
            </w:pP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EB5B1D"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 xml:space="preserve">Metamidofos </w:t>
            </w:r>
          </w:p>
        </w:tc>
        <w:tc>
          <w:tcPr>
            <w:tcW w:w="882" w:type="pct"/>
            <w:shd w:val="clear" w:color="auto" w:fill="auto"/>
          </w:tcPr>
          <w:p w:rsidR="000200B2" w:rsidRPr="00EB5B1D" w:rsidRDefault="000200B2" w:rsidP="000220B2">
            <w:pPr>
              <w:snapToGrid w:val="0"/>
              <w:spacing w:before="40" w:after="40"/>
              <w:rPr>
                <w:sz w:val="20"/>
              </w:rPr>
            </w:pPr>
            <w:r w:rsidRPr="00EB5B1D">
              <w:rPr>
                <w:sz w:val="20"/>
              </w:rPr>
              <w:t>10265-92-6</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rPr>
            </w:pPr>
            <w:r w:rsidRPr="00EB5B1D">
              <w:rPr>
                <w:sz w:val="20"/>
              </w:rPr>
              <w:t>15 de septiembre de 2015</w:t>
            </w:r>
          </w:p>
        </w:tc>
      </w:tr>
      <w:tr w:rsidR="000200B2" w:rsidRPr="00EB5B1D" w:rsidTr="00AA36A8">
        <w:trPr>
          <w:cantSplit/>
          <w:trHeight w:val="476"/>
        </w:trPr>
        <w:tc>
          <w:tcPr>
            <w:tcW w:w="1908" w:type="pct"/>
            <w:shd w:val="clear" w:color="auto" w:fill="auto"/>
          </w:tcPr>
          <w:p w:rsidR="000200B2" w:rsidRPr="00EB5B1D" w:rsidRDefault="000200B2" w:rsidP="000220B2">
            <w:pPr>
              <w:snapToGrid w:val="0"/>
              <w:spacing w:before="40" w:after="40"/>
              <w:rPr>
                <w:sz w:val="20"/>
              </w:rPr>
            </w:pPr>
            <w:r w:rsidRPr="00EB5B1D">
              <w:rPr>
                <w:sz w:val="20"/>
              </w:rPr>
              <w:t>Monocrotofós</w:t>
            </w:r>
          </w:p>
        </w:tc>
        <w:tc>
          <w:tcPr>
            <w:tcW w:w="882" w:type="pct"/>
            <w:shd w:val="clear" w:color="auto" w:fill="auto"/>
          </w:tcPr>
          <w:p w:rsidR="000200B2" w:rsidRPr="00EB5B1D" w:rsidRDefault="000200B2" w:rsidP="000220B2">
            <w:pPr>
              <w:snapToGrid w:val="0"/>
              <w:spacing w:before="40" w:after="40"/>
              <w:rPr>
                <w:sz w:val="20"/>
              </w:rPr>
            </w:pPr>
            <w:r w:rsidRPr="00EB5B1D">
              <w:rPr>
                <w:sz w:val="20"/>
              </w:rPr>
              <w:t>6923-22-4</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2005</w:t>
            </w:r>
          </w:p>
        </w:tc>
      </w:tr>
      <w:tr w:rsidR="000200B2" w:rsidRPr="00EB5B1D" w:rsidTr="00AA36A8">
        <w:trPr>
          <w:cantSplit/>
          <w:trHeight w:val="449"/>
        </w:trPr>
        <w:tc>
          <w:tcPr>
            <w:tcW w:w="1908" w:type="pct"/>
            <w:shd w:val="clear" w:color="auto" w:fill="auto"/>
          </w:tcPr>
          <w:p w:rsidR="000200B2" w:rsidRPr="00EB5B1D" w:rsidRDefault="000200B2" w:rsidP="000220B2">
            <w:pPr>
              <w:snapToGrid w:val="0"/>
              <w:spacing w:before="40" w:after="40"/>
              <w:rPr>
                <w:sz w:val="20"/>
              </w:rPr>
            </w:pPr>
            <w:r w:rsidRPr="00EB5B1D">
              <w:rPr>
                <w:sz w:val="20"/>
              </w:rPr>
              <w:t>Paratión</w:t>
            </w:r>
          </w:p>
        </w:tc>
        <w:tc>
          <w:tcPr>
            <w:tcW w:w="882" w:type="pct"/>
            <w:shd w:val="clear" w:color="auto" w:fill="auto"/>
          </w:tcPr>
          <w:p w:rsidR="000200B2" w:rsidRPr="00EB5B1D" w:rsidRDefault="000200B2" w:rsidP="000220B2">
            <w:pPr>
              <w:snapToGrid w:val="0"/>
              <w:spacing w:before="40" w:after="40"/>
              <w:rPr>
                <w:sz w:val="20"/>
              </w:rPr>
            </w:pPr>
            <w:r w:rsidRPr="00EB5B1D">
              <w:rPr>
                <w:sz w:val="20"/>
              </w:rPr>
              <w:t>56-38-2</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2005</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lang w:val="fr-CH"/>
              </w:rPr>
            </w:pPr>
            <w:r w:rsidRPr="00EB5B1D">
              <w:rPr>
                <w:sz w:val="20"/>
                <w:lang w:val="fr-CH"/>
              </w:rPr>
              <w:t>Pentaclorofenol y sus sales y esteres</w:t>
            </w:r>
          </w:p>
        </w:tc>
        <w:tc>
          <w:tcPr>
            <w:tcW w:w="882" w:type="pct"/>
            <w:shd w:val="clear" w:color="auto" w:fill="auto"/>
          </w:tcPr>
          <w:p w:rsidR="000200B2" w:rsidRPr="00EB5B1D" w:rsidRDefault="000200B2" w:rsidP="000220B2">
            <w:pPr>
              <w:snapToGrid w:val="0"/>
              <w:spacing w:before="40" w:after="40"/>
              <w:rPr>
                <w:sz w:val="20"/>
              </w:rPr>
            </w:pPr>
            <w:r w:rsidRPr="00EB5B1D">
              <w:rPr>
                <w:sz w:val="20"/>
              </w:rPr>
              <w:t>87-86-5*</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0939D4">
              <w:rPr>
                <w:sz w:val="20"/>
                <w:lang w:val="es-AR"/>
              </w:rPr>
              <w:t>Antes de la adopción del Convenio</w:t>
            </w:r>
          </w:p>
        </w:tc>
      </w:tr>
      <w:tr w:rsidR="000200B2" w:rsidRPr="00EB5B1D" w:rsidTr="00AA36A8">
        <w:trPr>
          <w:cantSplit/>
          <w:trHeight w:val="422"/>
        </w:trPr>
        <w:tc>
          <w:tcPr>
            <w:tcW w:w="1908" w:type="pct"/>
            <w:shd w:val="clear" w:color="auto" w:fill="auto"/>
          </w:tcPr>
          <w:p w:rsidR="000200B2" w:rsidRPr="00EB5B1D" w:rsidRDefault="000200B2" w:rsidP="000220B2">
            <w:pPr>
              <w:snapToGrid w:val="0"/>
              <w:spacing w:before="40" w:after="40"/>
              <w:rPr>
                <w:sz w:val="20"/>
              </w:rPr>
            </w:pPr>
            <w:r w:rsidRPr="00EB5B1D">
              <w:rPr>
                <w:sz w:val="20"/>
              </w:rPr>
              <w:t>Toxafeno</w:t>
            </w:r>
          </w:p>
        </w:tc>
        <w:tc>
          <w:tcPr>
            <w:tcW w:w="882" w:type="pct"/>
            <w:shd w:val="clear" w:color="auto" w:fill="auto"/>
          </w:tcPr>
          <w:p w:rsidR="000200B2" w:rsidRPr="00EB5B1D" w:rsidRDefault="000200B2" w:rsidP="000220B2">
            <w:pPr>
              <w:snapToGrid w:val="0"/>
              <w:spacing w:before="40" w:after="40"/>
              <w:rPr>
                <w:sz w:val="20"/>
              </w:rPr>
            </w:pPr>
            <w:r w:rsidRPr="00EB5B1D">
              <w:rPr>
                <w:sz w:val="20"/>
              </w:rPr>
              <w:t>8001-35-2</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2005</w:t>
            </w:r>
          </w:p>
        </w:tc>
      </w:tr>
      <w:tr w:rsidR="000200B2" w:rsidRPr="00EB5B1D" w:rsidTr="00AA36A8">
        <w:trPr>
          <w:cantSplit/>
        </w:trPr>
        <w:tc>
          <w:tcPr>
            <w:tcW w:w="1908" w:type="pct"/>
            <w:shd w:val="clear" w:color="auto" w:fill="auto"/>
          </w:tcPr>
          <w:p w:rsidR="000200B2" w:rsidRPr="00EB5B1D" w:rsidRDefault="000200B2" w:rsidP="000220B2">
            <w:pPr>
              <w:pStyle w:val="H1PIC"/>
              <w:snapToGrid w:val="0"/>
              <w:spacing w:before="40" w:after="40"/>
              <w:rPr>
                <w:b w:val="0"/>
                <w:color w:val="auto"/>
                <w:sz w:val="20"/>
                <w:szCs w:val="20"/>
                <w:lang w:val="es-ES"/>
              </w:rPr>
            </w:pPr>
            <w:bookmarkStart w:id="212" w:name="_Toc390440978"/>
            <w:bookmarkStart w:id="213" w:name="_Toc405882309"/>
            <w:bookmarkStart w:id="214" w:name="_Toc469002213"/>
            <w:bookmarkStart w:id="215" w:name="_Toc469005874"/>
            <w:bookmarkStart w:id="216" w:name="_Toc469052711"/>
            <w:bookmarkStart w:id="217" w:name="_Toc484686659"/>
            <w:r w:rsidRPr="00EB5B1D">
              <w:rPr>
                <w:b w:val="0"/>
                <w:color w:val="auto"/>
                <w:sz w:val="20"/>
                <w:szCs w:val="20"/>
                <w:lang w:val="es-ES"/>
              </w:rPr>
              <w:t>Todos los compuestos de tributilo de estaño, a saber:</w:t>
            </w:r>
            <w:bookmarkEnd w:id="212"/>
            <w:bookmarkEnd w:id="213"/>
            <w:bookmarkEnd w:id="214"/>
            <w:bookmarkEnd w:id="215"/>
            <w:bookmarkEnd w:id="216"/>
            <w:bookmarkEnd w:id="217"/>
          </w:p>
          <w:p w:rsidR="000200B2" w:rsidRPr="00EB5B1D" w:rsidRDefault="000200B2" w:rsidP="006C6617">
            <w:pPr>
              <w:pStyle w:val="H1PIC"/>
              <w:numPr>
                <w:ilvl w:val="0"/>
                <w:numId w:val="4"/>
              </w:numPr>
              <w:snapToGrid w:val="0"/>
              <w:spacing w:before="40" w:after="40"/>
              <w:ind w:left="274" w:hanging="274"/>
              <w:rPr>
                <w:color w:val="auto"/>
                <w:sz w:val="20"/>
                <w:szCs w:val="20"/>
                <w:lang w:val="es-ES"/>
              </w:rPr>
            </w:pPr>
            <w:bookmarkStart w:id="218" w:name="_Toc390440979"/>
            <w:bookmarkStart w:id="219" w:name="_Toc405882310"/>
            <w:bookmarkStart w:id="220" w:name="_Toc469002214"/>
            <w:bookmarkStart w:id="221" w:name="_Toc469005875"/>
            <w:bookmarkStart w:id="222" w:name="_Toc469052712"/>
            <w:bookmarkStart w:id="223" w:name="_Toc484686660"/>
            <w:r w:rsidRPr="00EB5B1D">
              <w:rPr>
                <w:b w:val="0"/>
                <w:color w:val="auto"/>
                <w:sz w:val="20"/>
                <w:szCs w:val="20"/>
                <w:lang w:val="es-ES"/>
              </w:rPr>
              <w:t>Óxido de tributilo de estaño</w:t>
            </w:r>
            <w:bookmarkEnd w:id="218"/>
            <w:bookmarkEnd w:id="219"/>
            <w:bookmarkEnd w:id="220"/>
            <w:bookmarkEnd w:id="221"/>
            <w:bookmarkEnd w:id="222"/>
            <w:bookmarkEnd w:id="223"/>
          </w:p>
          <w:p w:rsidR="000200B2" w:rsidRPr="00EB5B1D" w:rsidRDefault="000200B2" w:rsidP="006C6617">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Fluoruro de tributilo </w:t>
            </w:r>
            <w:proofErr w:type="gramStart"/>
            <w:r w:rsidRPr="00EB5B1D">
              <w:rPr>
                <w:sz w:val="20"/>
                <w:lang w:val="fr-CH"/>
              </w:rPr>
              <w:t>de estaño</w:t>
            </w:r>
            <w:proofErr w:type="gramEnd"/>
          </w:p>
          <w:p w:rsidR="000200B2" w:rsidRPr="00EB5B1D" w:rsidRDefault="000200B2" w:rsidP="006C6617">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Metacrilato tributilo </w:t>
            </w:r>
            <w:proofErr w:type="gramStart"/>
            <w:r w:rsidRPr="00EB5B1D">
              <w:rPr>
                <w:sz w:val="20"/>
                <w:lang w:val="fr-CH"/>
              </w:rPr>
              <w:t>de estaño</w:t>
            </w:r>
            <w:proofErr w:type="gramEnd"/>
          </w:p>
          <w:p w:rsidR="000200B2" w:rsidRPr="00EB5B1D" w:rsidRDefault="000200B2" w:rsidP="006C6617">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Benzoato de tributilo </w:t>
            </w:r>
            <w:proofErr w:type="gramStart"/>
            <w:r w:rsidRPr="00EB5B1D">
              <w:rPr>
                <w:sz w:val="20"/>
                <w:lang w:val="fr-CH"/>
              </w:rPr>
              <w:t>de estaño</w:t>
            </w:r>
            <w:proofErr w:type="gramEnd"/>
          </w:p>
          <w:p w:rsidR="000200B2" w:rsidRPr="00EB5B1D" w:rsidRDefault="000200B2" w:rsidP="006C6617">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Cloruro de tributilo </w:t>
            </w:r>
            <w:proofErr w:type="gramStart"/>
            <w:r w:rsidRPr="00EB5B1D">
              <w:rPr>
                <w:sz w:val="20"/>
                <w:lang w:val="fr-CH"/>
              </w:rPr>
              <w:t>de estaño</w:t>
            </w:r>
            <w:proofErr w:type="gramEnd"/>
          </w:p>
          <w:p w:rsidR="000200B2" w:rsidRPr="00EB5B1D" w:rsidRDefault="000200B2" w:rsidP="006C6617">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Linoleato de tributilo </w:t>
            </w:r>
            <w:proofErr w:type="gramStart"/>
            <w:r w:rsidRPr="00EB5B1D">
              <w:rPr>
                <w:sz w:val="20"/>
                <w:lang w:val="fr-CH"/>
              </w:rPr>
              <w:t>de estaño</w:t>
            </w:r>
            <w:proofErr w:type="gramEnd"/>
          </w:p>
          <w:p w:rsidR="000200B2" w:rsidRPr="00EB5B1D" w:rsidRDefault="000200B2" w:rsidP="006C6617">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Naftenato de tributilo </w:t>
            </w:r>
            <w:proofErr w:type="gramStart"/>
            <w:r w:rsidRPr="00EB5B1D">
              <w:rPr>
                <w:sz w:val="20"/>
                <w:lang w:val="fr-CH"/>
              </w:rPr>
              <w:t>de estaño</w:t>
            </w:r>
            <w:proofErr w:type="gramEnd"/>
          </w:p>
        </w:tc>
        <w:tc>
          <w:tcPr>
            <w:tcW w:w="882" w:type="pct"/>
            <w:shd w:val="clear" w:color="auto" w:fill="auto"/>
          </w:tcPr>
          <w:p w:rsidR="000200B2" w:rsidRPr="00EB5B1D" w:rsidRDefault="000200B2" w:rsidP="000220B2">
            <w:pPr>
              <w:snapToGrid w:val="0"/>
              <w:spacing w:before="40" w:after="40"/>
              <w:rPr>
                <w:sz w:val="20"/>
                <w:lang w:val="fr-CH"/>
              </w:rPr>
            </w:pPr>
          </w:p>
          <w:p w:rsidR="000200B2" w:rsidRPr="00EB5B1D" w:rsidRDefault="000200B2" w:rsidP="000220B2">
            <w:pPr>
              <w:snapToGrid w:val="0"/>
              <w:spacing w:before="40" w:after="40"/>
              <w:rPr>
                <w:sz w:val="20"/>
                <w:lang w:val="fr-CH"/>
              </w:rPr>
            </w:pPr>
          </w:p>
          <w:p w:rsidR="000200B2" w:rsidRPr="00EB5B1D" w:rsidRDefault="000200B2" w:rsidP="009B08F2">
            <w:pPr>
              <w:snapToGrid w:val="0"/>
              <w:spacing w:before="120" w:after="40"/>
              <w:rPr>
                <w:sz w:val="20"/>
                <w:lang w:val="fr-FR"/>
              </w:rPr>
            </w:pPr>
            <w:r w:rsidRPr="00EB5B1D">
              <w:rPr>
                <w:sz w:val="20"/>
                <w:lang w:val="fr-FR"/>
              </w:rPr>
              <w:t>56-35-9</w:t>
            </w:r>
          </w:p>
          <w:p w:rsidR="000200B2" w:rsidRPr="00EB5B1D" w:rsidRDefault="000200B2" w:rsidP="000220B2">
            <w:pPr>
              <w:snapToGrid w:val="0"/>
              <w:spacing w:before="40" w:after="40"/>
              <w:rPr>
                <w:sz w:val="20"/>
                <w:lang w:val="fr-FR"/>
              </w:rPr>
            </w:pPr>
            <w:r w:rsidRPr="00EB5B1D">
              <w:rPr>
                <w:sz w:val="20"/>
                <w:lang w:val="fr-FR"/>
              </w:rPr>
              <w:t>1983-10-4</w:t>
            </w:r>
          </w:p>
          <w:p w:rsidR="000200B2" w:rsidRPr="00EB5B1D" w:rsidRDefault="000200B2" w:rsidP="000220B2">
            <w:pPr>
              <w:snapToGrid w:val="0"/>
              <w:spacing w:before="40" w:after="40"/>
              <w:rPr>
                <w:sz w:val="20"/>
                <w:lang w:val="fr-FR"/>
              </w:rPr>
            </w:pPr>
            <w:r w:rsidRPr="00EB5B1D">
              <w:rPr>
                <w:sz w:val="20"/>
                <w:lang w:val="fr-FR"/>
              </w:rPr>
              <w:t>2155-70-6</w:t>
            </w:r>
          </w:p>
          <w:p w:rsidR="000200B2" w:rsidRPr="00EB5B1D" w:rsidRDefault="000200B2" w:rsidP="000220B2">
            <w:pPr>
              <w:snapToGrid w:val="0"/>
              <w:spacing w:before="40" w:after="40"/>
              <w:rPr>
                <w:sz w:val="20"/>
                <w:lang w:val="fr-FR"/>
              </w:rPr>
            </w:pPr>
            <w:r w:rsidRPr="00EB5B1D">
              <w:rPr>
                <w:sz w:val="20"/>
                <w:lang w:val="fr-FR"/>
              </w:rPr>
              <w:t>4342-36-3</w:t>
            </w:r>
          </w:p>
          <w:p w:rsidR="000200B2" w:rsidRPr="00EB5B1D" w:rsidRDefault="000200B2" w:rsidP="000220B2">
            <w:pPr>
              <w:snapToGrid w:val="0"/>
              <w:spacing w:before="40" w:after="40"/>
              <w:rPr>
                <w:sz w:val="20"/>
                <w:lang w:val="fr-FR"/>
              </w:rPr>
            </w:pPr>
            <w:r w:rsidRPr="00EB5B1D">
              <w:rPr>
                <w:sz w:val="20"/>
                <w:lang w:val="fr-FR"/>
              </w:rPr>
              <w:t>1461-22-9</w:t>
            </w:r>
          </w:p>
          <w:p w:rsidR="000200B2" w:rsidRPr="00EB5B1D" w:rsidRDefault="000200B2" w:rsidP="000220B2">
            <w:pPr>
              <w:snapToGrid w:val="0"/>
              <w:spacing w:before="40" w:after="40"/>
              <w:rPr>
                <w:sz w:val="20"/>
                <w:lang w:val="fr-FR"/>
              </w:rPr>
            </w:pPr>
            <w:r w:rsidRPr="00EB5B1D">
              <w:rPr>
                <w:sz w:val="20"/>
                <w:lang w:val="fr-FR"/>
              </w:rPr>
              <w:t>24124-25-2</w:t>
            </w:r>
          </w:p>
          <w:p w:rsidR="000200B2" w:rsidRPr="00EB5B1D" w:rsidRDefault="000200B2" w:rsidP="000220B2">
            <w:pPr>
              <w:snapToGrid w:val="0"/>
              <w:spacing w:before="40" w:after="40"/>
              <w:rPr>
                <w:sz w:val="20"/>
              </w:rPr>
            </w:pPr>
            <w:r w:rsidRPr="00EB5B1D">
              <w:rPr>
                <w:sz w:val="20"/>
                <w:lang w:val="fr-FR"/>
              </w:rPr>
              <w:t>85409-17-2</w:t>
            </w:r>
          </w:p>
        </w:tc>
        <w:tc>
          <w:tcPr>
            <w:tcW w:w="705" w:type="pct"/>
            <w:shd w:val="clear" w:color="auto" w:fill="auto"/>
          </w:tcPr>
          <w:p w:rsidR="000200B2" w:rsidRPr="00EB5B1D" w:rsidRDefault="000200B2" w:rsidP="000220B2">
            <w:pPr>
              <w:snapToGrid w:val="0"/>
              <w:spacing w:before="40" w:after="40"/>
              <w:rPr>
                <w:sz w:val="20"/>
              </w:rPr>
            </w:pPr>
            <w:r w:rsidRPr="00EB5B1D">
              <w:rPr>
                <w:sz w:val="20"/>
              </w:rPr>
              <w:t>Plaguicida</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2009</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lang w:val="fr-CH"/>
              </w:rPr>
            </w:pPr>
            <w:r w:rsidRPr="00EB5B1D">
              <w:rPr>
                <w:sz w:val="20"/>
                <w:szCs w:val="20"/>
                <w:lang w:val="es-ES"/>
              </w:rPr>
              <w:t>Triclorfón</w:t>
            </w:r>
          </w:p>
        </w:tc>
        <w:tc>
          <w:tcPr>
            <w:tcW w:w="882" w:type="pct"/>
            <w:shd w:val="clear" w:color="auto" w:fill="auto"/>
          </w:tcPr>
          <w:p w:rsidR="000200B2" w:rsidRPr="00EB5B1D" w:rsidRDefault="000200B2" w:rsidP="009B08F2">
            <w:pPr>
              <w:snapToGrid w:val="0"/>
              <w:rPr>
                <w:rFonts w:eastAsia="SimSun"/>
                <w:sz w:val="20"/>
              </w:rPr>
            </w:pPr>
            <w:r w:rsidRPr="00EB5B1D">
              <w:rPr>
                <w:sz w:val="20"/>
                <w:szCs w:val="20"/>
                <w:lang w:val="es-ES"/>
              </w:rPr>
              <w:t>52-68-6</w:t>
            </w:r>
          </w:p>
        </w:tc>
        <w:tc>
          <w:tcPr>
            <w:tcW w:w="705" w:type="pct"/>
            <w:shd w:val="clear" w:color="auto" w:fill="auto"/>
          </w:tcPr>
          <w:p w:rsidR="000200B2" w:rsidRPr="00EB5B1D" w:rsidRDefault="000200B2" w:rsidP="000220B2">
            <w:pPr>
              <w:snapToGrid w:val="0"/>
              <w:spacing w:before="40" w:after="40"/>
              <w:rPr>
                <w:sz w:val="20"/>
              </w:rPr>
            </w:pPr>
            <w:r w:rsidRPr="00EB5B1D">
              <w:rPr>
                <w:sz w:val="20"/>
                <w:szCs w:val="20"/>
                <w:lang w:val="es-ES"/>
              </w:rPr>
              <w:t>Plaguicida</w:t>
            </w:r>
          </w:p>
        </w:tc>
        <w:tc>
          <w:tcPr>
            <w:tcW w:w="1505" w:type="pct"/>
            <w:shd w:val="clear" w:color="auto" w:fill="auto"/>
          </w:tcPr>
          <w:p w:rsidR="000200B2" w:rsidRPr="00EB5B1D" w:rsidRDefault="000200B2" w:rsidP="000220B2">
            <w:pPr>
              <w:snapToGrid w:val="0"/>
              <w:spacing w:before="40" w:after="40"/>
              <w:rPr>
                <w:sz w:val="20"/>
                <w:lang w:val="fr-CH"/>
              </w:rPr>
            </w:pPr>
            <w:r w:rsidRPr="00EB5B1D">
              <w:rPr>
                <w:rFonts w:eastAsia="SimSun"/>
                <w:sz w:val="20"/>
                <w:szCs w:val="20"/>
                <w:lang w:val="es-ES" w:eastAsia="zh-CN"/>
              </w:rPr>
              <w:t>Prevista para el 15 de septiembre de 2017</w:t>
            </w:r>
          </w:p>
        </w:tc>
      </w:tr>
      <w:tr w:rsidR="000200B2" w:rsidRPr="00EB5B1D" w:rsidTr="00AA36A8">
        <w:trPr>
          <w:cantSplit/>
        </w:trPr>
        <w:tc>
          <w:tcPr>
            <w:tcW w:w="1908" w:type="pct"/>
            <w:shd w:val="clear" w:color="auto" w:fill="auto"/>
          </w:tcPr>
          <w:p w:rsidR="000200B2" w:rsidRPr="00EB5B1D" w:rsidRDefault="000200B2" w:rsidP="000220B2">
            <w:pPr>
              <w:snapToGrid w:val="0"/>
              <w:spacing w:before="40" w:after="40"/>
              <w:rPr>
                <w:sz w:val="20"/>
                <w:lang w:val="fr-CH"/>
              </w:rPr>
            </w:pPr>
            <w:r w:rsidRPr="00EB5B1D">
              <w:rPr>
                <w:sz w:val="20"/>
                <w:lang w:val="fr-CH"/>
              </w:rPr>
              <w:t>Formulaciones de polvo seco que contienen una combinación de:</w:t>
            </w:r>
          </w:p>
          <w:p w:rsidR="000200B2" w:rsidRPr="00EB5B1D" w:rsidRDefault="000200B2" w:rsidP="006C6617">
            <w:pPr>
              <w:pStyle w:val="ListParagraph"/>
              <w:numPr>
                <w:ilvl w:val="0"/>
                <w:numId w:val="5"/>
              </w:numPr>
              <w:snapToGrid w:val="0"/>
              <w:spacing w:before="40" w:after="40"/>
              <w:ind w:left="270" w:hanging="270"/>
              <w:rPr>
                <w:sz w:val="20"/>
              </w:rPr>
            </w:pPr>
            <w:r w:rsidRPr="00EB5B1D">
              <w:rPr>
                <w:sz w:val="20"/>
              </w:rPr>
              <w:t xml:space="preserve">Benomilo al 7% o superior, </w:t>
            </w:r>
          </w:p>
          <w:p w:rsidR="000200B2" w:rsidRPr="00EB5B1D" w:rsidRDefault="000200B2" w:rsidP="006C6617">
            <w:pPr>
              <w:pStyle w:val="ListParagraph"/>
              <w:numPr>
                <w:ilvl w:val="0"/>
                <w:numId w:val="5"/>
              </w:numPr>
              <w:snapToGrid w:val="0"/>
              <w:spacing w:before="40" w:after="40"/>
              <w:ind w:left="270" w:hanging="270"/>
              <w:rPr>
                <w:sz w:val="20"/>
              </w:rPr>
            </w:pPr>
            <w:r w:rsidRPr="00EB5B1D">
              <w:rPr>
                <w:sz w:val="20"/>
              </w:rPr>
              <w:t xml:space="preserve">Carbofurano al 10% o superior, y </w:t>
            </w:r>
          </w:p>
          <w:p w:rsidR="000200B2" w:rsidRPr="00EB5B1D" w:rsidRDefault="000200B2" w:rsidP="006C6617">
            <w:pPr>
              <w:pStyle w:val="ListParagraph"/>
              <w:numPr>
                <w:ilvl w:val="0"/>
                <w:numId w:val="5"/>
              </w:numPr>
              <w:snapToGrid w:val="0"/>
              <w:spacing w:before="40" w:after="40"/>
              <w:ind w:left="270" w:hanging="270"/>
              <w:rPr>
                <w:sz w:val="20"/>
              </w:rPr>
            </w:pPr>
            <w:r w:rsidRPr="00EB5B1D">
              <w:rPr>
                <w:sz w:val="20"/>
              </w:rPr>
              <w:t xml:space="preserve">Tiram al 15% o superior </w:t>
            </w:r>
          </w:p>
        </w:tc>
        <w:tc>
          <w:tcPr>
            <w:tcW w:w="882" w:type="pct"/>
            <w:shd w:val="clear" w:color="auto" w:fill="auto"/>
          </w:tcPr>
          <w:p w:rsidR="000200B2" w:rsidRPr="00EB5B1D" w:rsidRDefault="000200B2" w:rsidP="009B08F2">
            <w:pPr>
              <w:snapToGrid w:val="0"/>
              <w:rPr>
                <w:rFonts w:eastAsia="SimSun"/>
                <w:sz w:val="20"/>
              </w:rPr>
            </w:pPr>
          </w:p>
          <w:p w:rsidR="000200B2" w:rsidRPr="00EB5B1D" w:rsidRDefault="000200B2" w:rsidP="009B08F2">
            <w:pPr>
              <w:snapToGrid w:val="0"/>
              <w:rPr>
                <w:rFonts w:eastAsia="SimSun"/>
                <w:sz w:val="20"/>
              </w:rPr>
            </w:pPr>
          </w:p>
          <w:p w:rsidR="000200B2" w:rsidRPr="00EB5B1D" w:rsidRDefault="000200B2" w:rsidP="000220B2">
            <w:pPr>
              <w:snapToGrid w:val="0"/>
              <w:spacing w:before="40" w:after="40"/>
              <w:rPr>
                <w:rFonts w:eastAsia="SimSun"/>
                <w:sz w:val="20"/>
              </w:rPr>
            </w:pPr>
            <w:r w:rsidRPr="00EB5B1D">
              <w:rPr>
                <w:rFonts w:eastAsia="SimSun"/>
                <w:sz w:val="20"/>
              </w:rPr>
              <w:t>17804-35-2</w:t>
            </w:r>
          </w:p>
          <w:p w:rsidR="000200B2" w:rsidRPr="00EB5B1D" w:rsidRDefault="000200B2" w:rsidP="000220B2">
            <w:pPr>
              <w:snapToGrid w:val="0"/>
              <w:spacing w:before="40" w:after="40"/>
              <w:rPr>
                <w:rFonts w:eastAsia="SimSun"/>
                <w:sz w:val="20"/>
              </w:rPr>
            </w:pPr>
            <w:r w:rsidRPr="00EB5B1D">
              <w:rPr>
                <w:rFonts w:eastAsia="SimSun"/>
                <w:sz w:val="20"/>
              </w:rPr>
              <w:t>1563-66-2</w:t>
            </w:r>
          </w:p>
          <w:p w:rsidR="000200B2" w:rsidRPr="00EB5B1D" w:rsidRDefault="000200B2" w:rsidP="000220B2">
            <w:pPr>
              <w:snapToGrid w:val="0"/>
              <w:spacing w:before="40" w:after="40"/>
              <w:rPr>
                <w:rFonts w:eastAsia="SimSun"/>
                <w:sz w:val="20"/>
              </w:rPr>
            </w:pPr>
            <w:r w:rsidRPr="00EB5B1D">
              <w:rPr>
                <w:rFonts w:eastAsia="SimSun"/>
                <w:sz w:val="20"/>
              </w:rPr>
              <w:t>137-26-8</w:t>
            </w:r>
          </w:p>
        </w:tc>
        <w:tc>
          <w:tcPr>
            <w:tcW w:w="705" w:type="pct"/>
            <w:shd w:val="clear" w:color="auto" w:fill="auto"/>
          </w:tcPr>
          <w:p w:rsidR="000200B2" w:rsidRPr="00EB5B1D" w:rsidRDefault="000200B2" w:rsidP="000220B2">
            <w:pPr>
              <w:snapToGrid w:val="0"/>
              <w:spacing w:before="40" w:after="40"/>
              <w:rPr>
                <w:sz w:val="20"/>
              </w:rPr>
            </w:pPr>
            <w:r w:rsidRPr="00EB5B1D">
              <w:rPr>
                <w:sz w:val="20"/>
              </w:rPr>
              <w:t>Formulación plaguicida extremadamente peligrosa</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2005</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lang w:val="fr-CH"/>
              </w:rPr>
            </w:pPr>
            <w:r w:rsidRPr="00EB5B1D">
              <w:rPr>
                <w:sz w:val="20"/>
                <w:lang w:val="fr-CH"/>
              </w:rPr>
              <w:t>Fosfamidón (formulaciones líquidas solubles de la sustancia que sobrepasen los 1000 g/l de ingrediente activo)</w:t>
            </w:r>
          </w:p>
        </w:tc>
        <w:tc>
          <w:tcPr>
            <w:tcW w:w="882" w:type="pct"/>
            <w:shd w:val="clear" w:color="auto" w:fill="auto"/>
          </w:tcPr>
          <w:p w:rsidR="000200B2" w:rsidRPr="00EB5B1D" w:rsidRDefault="000200B2" w:rsidP="000220B2">
            <w:pPr>
              <w:snapToGrid w:val="0"/>
              <w:spacing w:before="40" w:after="40"/>
              <w:rPr>
                <w:sz w:val="20"/>
                <w:lang w:val="fr-CH"/>
              </w:rPr>
            </w:pPr>
            <w:r w:rsidRPr="00EB5B1D">
              <w:rPr>
                <w:sz w:val="20"/>
                <w:lang w:val="fr-CH"/>
              </w:rPr>
              <w:t>13171-21-6 (mezcla, isómeros (E) y (Z))</w:t>
            </w:r>
          </w:p>
          <w:p w:rsidR="000200B2" w:rsidRPr="00EB5B1D" w:rsidRDefault="000200B2" w:rsidP="000220B2">
            <w:pPr>
              <w:snapToGrid w:val="0"/>
              <w:spacing w:before="40" w:after="40"/>
              <w:rPr>
                <w:sz w:val="20"/>
              </w:rPr>
            </w:pPr>
            <w:r w:rsidRPr="00EB5B1D">
              <w:rPr>
                <w:sz w:val="20"/>
              </w:rPr>
              <w:t xml:space="preserve">23783-98-4 </w:t>
            </w:r>
            <w:r w:rsidRPr="00EB5B1D">
              <w:rPr>
                <w:sz w:val="18"/>
                <w:szCs w:val="18"/>
              </w:rPr>
              <w:t>(isómero (Z))</w:t>
            </w:r>
          </w:p>
          <w:p w:rsidR="000200B2" w:rsidRPr="00EB5B1D" w:rsidRDefault="000200B2" w:rsidP="000220B2">
            <w:pPr>
              <w:snapToGrid w:val="0"/>
              <w:spacing w:before="40" w:after="40"/>
              <w:rPr>
                <w:sz w:val="20"/>
                <w:lang w:val="fr-FR"/>
              </w:rPr>
            </w:pPr>
            <w:r w:rsidRPr="00EB5B1D">
              <w:rPr>
                <w:sz w:val="20"/>
              </w:rPr>
              <w:t xml:space="preserve">297-99-4 </w:t>
            </w:r>
            <w:r w:rsidRPr="00EB5B1D">
              <w:rPr>
                <w:sz w:val="18"/>
                <w:szCs w:val="18"/>
              </w:rPr>
              <w:t>(isómero (E))</w:t>
            </w:r>
          </w:p>
        </w:tc>
        <w:tc>
          <w:tcPr>
            <w:tcW w:w="705" w:type="pct"/>
            <w:shd w:val="clear" w:color="auto" w:fill="auto"/>
          </w:tcPr>
          <w:p w:rsidR="000200B2" w:rsidRPr="00EB5B1D" w:rsidRDefault="000200B2" w:rsidP="000220B2">
            <w:pPr>
              <w:snapToGrid w:val="0"/>
              <w:spacing w:before="40" w:after="40"/>
              <w:rPr>
                <w:sz w:val="20"/>
              </w:rPr>
            </w:pPr>
            <w:r w:rsidRPr="00EB5B1D">
              <w:rPr>
                <w:sz w:val="20"/>
              </w:rPr>
              <w:t>Formulación plaguicida extremadamente peligrosa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lang w:val="fr-CH"/>
              </w:rPr>
            </w:pPr>
            <w:r w:rsidRPr="00EB5B1D">
              <w:rPr>
                <w:sz w:val="20"/>
                <w:lang w:val="fr-CH"/>
              </w:rPr>
              <w:t>Metil-paratión (concentrados emulsificables (CE) al 19,5% o superior de ingrediente activo y polvos al 1,5% o superior de ingrediente activo)</w:t>
            </w:r>
          </w:p>
        </w:tc>
        <w:tc>
          <w:tcPr>
            <w:tcW w:w="882" w:type="pct"/>
            <w:shd w:val="clear" w:color="auto" w:fill="auto"/>
          </w:tcPr>
          <w:p w:rsidR="000200B2" w:rsidRPr="00EB5B1D" w:rsidRDefault="000200B2" w:rsidP="000220B2">
            <w:pPr>
              <w:snapToGrid w:val="0"/>
              <w:spacing w:before="40" w:after="40"/>
              <w:rPr>
                <w:sz w:val="20"/>
                <w:lang w:val="fr-FR"/>
              </w:rPr>
            </w:pPr>
            <w:r w:rsidRPr="00EB5B1D">
              <w:rPr>
                <w:rFonts w:eastAsia="SimSun"/>
                <w:sz w:val="20"/>
              </w:rPr>
              <w:t>298-00-0</w:t>
            </w:r>
          </w:p>
        </w:tc>
        <w:tc>
          <w:tcPr>
            <w:tcW w:w="705" w:type="pct"/>
            <w:shd w:val="clear" w:color="auto" w:fill="auto"/>
          </w:tcPr>
          <w:p w:rsidR="000200B2" w:rsidRPr="00EB5B1D" w:rsidRDefault="000200B2" w:rsidP="000220B2">
            <w:pPr>
              <w:snapToGrid w:val="0"/>
              <w:spacing w:before="40" w:after="40"/>
              <w:rPr>
                <w:sz w:val="20"/>
              </w:rPr>
            </w:pPr>
            <w:r w:rsidRPr="00EB5B1D">
              <w:rPr>
                <w:sz w:val="20"/>
              </w:rPr>
              <w:t>Formulación plaguicida extremadamente peligrosa</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EB5B1D" w:rsidTr="00AA36A8">
        <w:trPr>
          <w:cantSplit/>
        </w:trPr>
        <w:tc>
          <w:tcPr>
            <w:tcW w:w="1908" w:type="pct"/>
            <w:shd w:val="clear" w:color="auto" w:fill="auto"/>
          </w:tcPr>
          <w:p w:rsidR="000200B2" w:rsidRPr="00EB5B1D" w:rsidRDefault="000200B2" w:rsidP="009B08F2">
            <w:pPr>
              <w:snapToGrid w:val="0"/>
              <w:spacing w:before="40" w:after="40"/>
              <w:rPr>
                <w:sz w:val="20"/>
              </w:rPr>
            </w:pPr>
            <w:r w:rsidRPr="00EB5B1D">
              <w:rPr>
                <w:sz w:val="20"/>
              </w:rPr>
              <w:t>Amianto:</w:t>
            </w:r>
          </w:p>
          <w:p w:rsidR="000200B2" w:rsidRPr="00EB5B1D" w:rsidRDefault="000200B2" w:rsidP="006C6617">
            <w:pPr>
              <w:pStyle w:val="ListParagraph"/>
              <w:numPr>
                <w:ilvl w:val="0"/>
                <w:numId w:val="6"/>
              </w:numPr>
              <w:snapToGrid w:val="0"/>
              <w:spacing w:before="40" w:after="40"/>
              <w:ind w:left="270" w:hanging="270"/>
              <w:contextualSpacing w:val="0"/>
              <w:rPr>
                <w:sz w:val="20"/>
              </w:rPr>
            </w:pPr>
            <w:r w:rsidRPr="00EB5B1D">
              <w:rPr>
                <w:sz w:val="20"/>
              </w:rPr>
              <w:t>Actinolita</w:t>
            </w:r>
          </w:p>
          <w:p w:rsidR="000200B2" w:rsidRPr="00EB5B1D" w:rsidRDefault="000200B2" w:rsidP="006C6617">
            <w:pPr>
              <w:pStyle w:val="ListParagraph"/>
              <w:numPr>
                <w:ilvl w:val="0"/>
                <w:numId w:val="6"/>
              </w:numPr>
              <w:snapToGrid w:val="0"/>
              <w:spacing w:before="40" w:after="40"/>
              <w:ind w:left="270" w:hanging="270"/>
              <w:contextualSpacing w:val="0"/>
              <w:rPr>
                <w:sz w:val="20"/>
              </w:rPr>
            </w:pPr>
            <w:r w:rsidRPr="00EB5B1D">
              <w:rPr>
                <w:sz w:val="20"/>
              </w:rPr>
              <w:t>Antofilita</w:t>
            </w:r>
          </w:p>
          <w:p w:rsidR="000200B2" w:rsidRPr="00EB5B1D" w:rsidRDefault="000200B2" w:rsidP="006C6617">
            <w:pPr>
              <w:pStyle w:val="ListParagraph"/>
              <w:numPr>
                <w:ilvl w:val="0"/>
                <w:numId w:val="6"/>
              </w:numPr>
              <w:snapToGrid w:val="0"/>
              <w:spacing w:before="40" w:after="40"/>
              <w:ind w:left="270" w:hanging="270"/>
              <w:contextualSpacing w:val="0"/>
              <w:rPr>
                <w:sz w:val="20"/>
              </w:rPr>
            </w:pPr>
            <w:r w:rsidRPr="00EB5B1D">
              <w:rPr>
                <w:sz w:val="20"/>
              </w:rPr>
              <w:t>Amosita</w:t>
            </w:r>
          </w:p>
          <w:p w:rsidR="000200B2" w:rsidRPr="00EB5B1D" w:rsidRDefault="000200B2" w:rsidP="006C6617">
            <w:pPr>
              <w:pStyle w:val="ListParagraph"/>
              <w:numPr>
                <w:ilvl w:val="0"/>
                <w:numId w:val="6"/>
              </w:numPr>
              <w:snapToGrid w:val="0"/>
              <w:spacing w:before="40" w:after="40"/>
              <w:ind w:left="270" w:hanging="270"/>
              <w:contextualSpacing w:val="0"/>
              <w:rPr>
                <w:sz w:val="20"/>
              </w:rPr>
            </w:pPr>
            <w:r w:rsidRPr="00EB5B1D">
              <w:rPr>
                <w:sz w:val="20"/>
              </w:rPr>
              <w:t>Crocidolita</w:t>
            </w:r>
          </w:p>
          <w:p w:rsidR="000200B2" w:rsidRPr="00EB5B1D" w:rsidRDefault="000200B2" w:rsidP="006C6617">
            <w:pPr>
              <w:pStyle w:val="ListParagraph"/>
              <w:numPr>
                <w:ilvl w:val="0"/>
                <w:numId w:val="6"/>
              </w:numPr>
              <w:snapToGrid w:val="0"/>
              <w:spacing w:before="40" w:after="40"/>
              <w:ind w:left="270" w:hanging="270"/>
              <w:contextualSpacing w:val="0"/>
              <w:rPr>
                <w:sz w:val="20"/>
              </w:rPr>
            </w:pPr>
            <w:r w:rsidRPr="00EB5B1D">
              <w:rPr>
                <w:sz w:val="20"/>
              </w:rPr>
              <w:t>Tremolita</w:t>
            </w:r>
          </w:p>
        </w:tc>
        <w:tc>
          <w:tcPr>
            <w:tcW w:w="882" w:type="pct"/>
            <w:shd w:val="clear" w:color="auto" w:fill="auto"/>
          </w:tcPr>
          <w:p w:rsidR="000200B2" w:rsidRPr="00EB5B1D" w:rsidRDefault="000200B2" w:rsidP="009B08F2">
            <w:pPr>
              <w:snapToGrid w:val="0"/>
              <w:spacing w:before="40" w:after="40"/>
              <w:rPr>
                <w:rFonts w:eastAsia="SimSun"/>
                <w:sz w:val="20"/>
              </w:rPr>
            </w:pPr>
          </w:p>
          <w:p w:rsidR="000200B2" w:rsidRPr="00EB5B1D" w:rsidRDefault="000200B2" w:rsidP="009B08F2">
            <w:pPr>
              <w:snapToGrid w:val="0"/>
              <w:spacing w:before="40" w:after="40"/>
              <w:rPr>
                <w:rFonts w:eastAsia="SimSun"/>
                <w:sz w:val="20"/>
              </w:rPr>
            </w:pPr>
            <w:r w:rsidRPr="00EB5B1D">
              <w:rPr>
                <w:rFonts w:eastAsia="SimSun"/>
                <w:sz w:val="20"/>
              </w:rPr>
              <w:t>77536-66-4</w:t>
            </w:r>
          </w:p>
          <w:p w:rsidR="000200B2" w:rsidRPr="00EB5B1D" w:rsidRDefault="000200B2" w:rsidP="009B08F2">
            <w:pPr>
              <w:snapToGrid w:val="0"/>
              <w:spacing w:before="40" w:after="40"/>
              <w:rPr>
                <w:rFonts w:eastAsia="SimSun"/>
                <w:sz w:val="20"/>
              </w:rPr>
            </w:pPr>
            <w:r w:rsidRPr="00EB5B1D">
              <w:rPr>
                <w:rFonts w:eastAsia="SimSun"/>
                <w:sz w:val="20"/>
              </w:rPr>
              <w:t>77536-67-5</w:t>
            </w:r>
          </w:p>
          <w:p w:rsidR="000200B2" w:rsidRPr="00EB5B1D" w:rsidRDefault="000200B2" w:rsidP="009B08F2">
            <w:pPr>
              <w:snapToGrid w:val="0"/>
              <w:spacing w:before="40" w:after="40"/>
              <w:rPr>
                <w:rFonts w:eastAsia="SimSun"/>
                <w:sz w:val="20"/>
              </w:rPr>
            </w:pPr>
            <w:r w:rsidRPr="00EB5B1D">
              <w:rPr>
                <w:rFonts w:eastAsia="SimSun"/>
                <w:sz w:val="20"/>
              </w:rPr>
              <w:t>12172-73-5</w:t>
            </w:r>
          </w:p>
          <w:p w:rsidR="000200B2" w:rsidRPr="00EB5B1D" w:rsidRDefault="000200B2" w:rsidP="009B08F2">
            <w:pPr>
              <w:snapToGrid w:val="0"/>
              <w:spacing w:before="40" w:after="40"/>
              <w:rPr>
                <w:rFonts w:eastAsia="SimSun"/>
                <w:sz w:val="20"/>
              </w:rPr>
            </w:pPr>
            <w:r w:rsidRPr="00EB5B1D">
              <w:rPr>
                <w:rFonts w:eastAsia="SimSun"/>
                <w:sz w:val="20"/>
              </w:rPr>
              <w:t>12001-28-4</w:t>
            </w:r>
          </w:p>
          <w:p w:rsidR="000200B2" w:rsidRPr="00EB5B1D" w:rsidRDefault="000200B2" w:rsidP="009B08F2">
            <w:pPr>
              <w:snapToGrid w:val="0"/>
              <w:spacing w:before="40" w:after="40"/>
              <w:rPr>
                <w:rFonts w:eastAsia="SimSun"/>
                <w:sz w:val="20"/>
              </w:rPr>
            </w:pPr>
            <w:r w:rsidRPr="00EB5B1D">
              <w:rPr>
                <w:rFonts w:eastAsia="SimSun"/>
                <w:sz w:val="20"/>
              </w:rPr>
              <w:t>77536-68-6</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9B08F2">
            <w:pPr>
              <w:snapToGrid w:val="0"/>
              <w:spacing w:before="40" w:after="40"/>
              <w:rPr>
                <w:sz w:val="20"/>
                <w:lang w:val="fr-CH"/>
              </w:rPr>
            </w:pPr>
          </w:p>
          <w:p w:rsidR="000200B2" w:rsidRPr="00EB5B1D" w:rsidRDefault="000200B2" w:rsidP="009B08F2">
            <w:pPr>
              <w:snapToGrid w:val="0"/>
              <w:spacing w:before="40" w:after="40"/>
              <w:rPr>
                <w:sz w:val="20"/>
                <w:lang w:val="fr-CH"/>
              </w:rPr>
            </w:pPr>
            <w:r w:rsidRPr="00EB5B1D">
              <w:rPr>
                <w:sz w:val="20"/>
                <w:lang w:val="fr-CH"/>
              </w:rPr>
              <w:t>1 de febrero de 2005</w:t>
            </w:r>
          </w:p>
          <w:p w:rsidR="000200B2" w:rsidRPr="00EB5B1D" w:rsidRDefault="000200B2" w:rsidP="009B08F2">
            <w:pPr>
              <w:snapToGrid w:val="0"/>
              <w:spacing w:before="40" w:after="40"/>
              <w:rPr>
                <w:sz w:val="20"/>
                <w:lang w:val="fr-CH"/>
              </w:rPr>
            </w:pPr>
            <w:r w:rsidRPr="00EB5B1D">
              <w:rPr>
                <w:sz w:val="20"/>
                <w:lang w:val="fr-CH"/>
              </w:rPr>
              <w:t>1 de febrero de 2005</w:t>
            </w:r>
          </w:p>
          <w:p w:rsidR="000200B2" w:rsidRPr="00EB5B1D" w:rsidRDefault="000200B2" w:rsidP="009B08F2">
            <w:pPr>
              <w:snapToGrid w:val="0"/>
              <w:spacing w:before="40" w:after="40"/>
              <w:rPr>
                <w:sz w:val="20"/>
                <w:lang w:val="fr-CH"/>
              </w:rPr>
            </w:pPr>
            <w:r w:rsidRPr="00EB5B1D">
              <w:rPr>
                <w:sz w:val="20"/>
                <w:lang w:val="fr-CH"/>
              </w:rPr>
              <w:t>1 de febrero de 2005</w:t>
            </w:r>
          </w:p>
          <w:p w:rsidR="000200B2" w:rsidRPr="00EB5B1D" w:rsidRDefault="000200B2" w:rsidP="009B08F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p w:rsidR="000200B2" w:rsidRPr="00EB5B1D" w:rsidRDefault="000200B2" w:rsidP="009B08F2">
            <w:pPr>
              <w:snapToGrid w:val="0"/>
              <w:spacing w:before="40" w:after="40"/>
              <w:rPr>
                <w:sz w:val="20"/>
              </w:rPr>
            </w:pPr>
            <w:r w:rsidRPr="00EB5B1D">
              <w:rPr>
                <w:sz w:val="20"/>
              </w:rPr>
              <w:t>1 de febrero de 2005</w:t>
            </w:r>
          </w:p>
        </w:tc>
      </w:tr>
      <w:tr w:rsidR="000200B2" w:rsidRPr="00EB5B1D"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lang w:val="es-ES_tradnl"/>
              </w:rPr>
              <w:t>Ácido perfluorooctano sulfónico, sulfonatos de perfluorooctano, sulfonamidas de perfluorooctano y perfluorooctanos sulfonilos, entre otros</w:t>
            </w:r>
            <w:r w:rsidRPr="00EB5B1D">
              <w:rPr>
                <w:sz w:val="20"/>
              </w:rPr>
              <w:t>:</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 xml:space="preserve">Ácido perfluorooctano sulfónico </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Perfluorooctano sulfonato de potasio</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Perfluorooctano sulfonato de litio</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Perfluorooctano sulfonato de amonio</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Perfluorooctano sulfonato de dietanolamonio</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Perfluorooctano sulfonato de tetraetilamonio</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Perfluorooctano sulfonato de didecildimetilamonio</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N-etilperfluorooctano sulfonamida</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N-metilperfluorooctano sulfonamida</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N-etil-N-(2-hidroxietil)perfluorooctano sulfonamida</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it-IT"/>
              </w:rPr>
              <w:t>N-(2-hidroxietil)-N-metilperfluoro octano sulfonamida</w:t>
            </w:r>
          </w:p>
          <w:p w:rsidR="000200B2" w:rsidRPr="00EB5B1D" w:rsidRDefault="000200B2" w:rsidP="006C6617">
            <w:pPr>
              <w:pStyle w:val="ListParagraph"/>
              <w:numPr>
                <w:ilvl w:val="0"/>
                <w:numId w:val="7"/>
              </w:numPr>
              <w:snapToGrid w:val="0"/>
              <w:spacing w:before="40" w:after="40"/>
              <w:ind w:left="270" w:hanging="270"/>
              <w:rPr>
                <w:sz w:val="20"/>
                <w:lang w:val="it-IT"/>
              </w:rPr>
            </w:pPr>
            <w:r w:rsidRPr="00EB5B1D">
              <w:rPr>
                <w:sz w:val="20"/>
                <w:lang w:val="es-ES_tradnl"/>
              </w:rPr>
              <w:t>Fluoruro de perfluorooctano sulfonilo</w:t>
            </w:r>
          </w:p>
        </w:tc>
        <w:tc>
          <w:tcPr>
            <w:tcW w:w="882" w:type="pct"/>
            <w:shd w:val="clear" w:color="auto" w:fill="auto"/>
          </w:tcPr>
          <w:p w:rsidR="000200B2" w:rsidRPr="00EB5B1D" w:rsidRDefault="000200B2" w:rsidP="000220B2">
            <w:pPr>
              <w:snapToGrid w:val="0"/>
              <w:spacing w:before="40" w:after="40"/>
              <w:rPr>
                <w:sz w:val="20"/>
                <w:lang w:val="it-IT"/>
              </w:rPr>
            </w:pPr>
          </w:p>
          <w:p w:rsidR="000200B2" w:rsidRPr="00EB5B1D" w:rsidRDefault="000200B2" w:rsidP="000220B2">
            <w:pPr>
              <w:snapToGrid w:val="0"/>
              <w:spacing w:before="40" w:after="40"/>
              <w:rPr>
                <w:sz w:val="20"/>
                <w:lang w:val="it-IT"/>
              </w:rPr>
            </w:pPr>
          </w:p>
          <w:p w:rsidR="000200B2" w:rsidRPr="00EB5B1D" w:rsidRDefault="000200B2" w:rsidP="000220B2">
            <w:pPr>
              <w:snapToGrid w:val="0"/>
              <w:spacing w:before="40" w:after="40"/>
              <w:rPr>
                <w:sz w:val="20"/>
                <w:lang w:val="it-IT"/>
              </w:rPr>
            </w:pPr>
          </w:p>
          <w:p w:rsidR="000200B2" w:rsidRPr="00EB5B1D" w:rsidRDefault="000200B2" w:rsidP="009B08F2">
            <w:pPr>
              <w:snapToGrid w:val="0"/>
              <w:spacing w:before="240" w:after="40"/>
              <w:rPr>
                <w:sz w:val="20"/>
                <w:lang w:val="en-GB"/>
              </w:rPr>
            </w:pPr>
            <w:r w:rsidRPr="00EB5B1D">
              <w:rPr>
                <w:sz w:val="20"/>
              </w:rPr>
              <w:t>1763-23-1</w:t>
            </w:r>
          </w:p>
          <w:p w:rsidR="000200B2" w:rsidRPr="00EB5B1D" w:rsidRDefault="000200B2" w:rsidP="000220B2">
            <w:pPr>
              <w:snapToGrid w:val="0"/>
              <w:spacing w:before="40" w:after="40"/>
              <w:rPr>
                <w:sz w:val="20"/>
              </w:rPr>
            </w:pPr>
            <w:r w:rsidRPr="00EB5B1D">
              <w:rPr>
                <w:sz w:val="20"/>
              </w:rPr>
              <w:t>2795-39-3</w:t>
            </w:r>
          </w:p>
          <w:p w:rsidR="000200B2" w:rsidRPr="00EB5B1D" w:rsidRDefault="000200B2" w:rsidP="000220B2">
            <w:pPr>
              <w:snapToGrid w:val="0"/>
              <w:spacing w:before="40" w:after="40"/>
              <w:rPr>
                <w:sz w:val="20"/>
                <w:lang w:val="en-GB"/>
              </w:rPr>
            </w:pPr>
            <w:r w:rsidRPr="00EB5B1D">
              <w:rPr>
                <w:sz w:val="20"/>
              </w:rPr>
              <w:t>29457-72-5</w:t>
            </w:r>
          </w:p>
          <w:p w:rsidR="000200B2" w:rsidRPr="00EB5B1D" w:rsidRDefault="000200B2" w:rsidP="000220B2">
            <w:pPr>
              <w:snapToGrid w:val="0"/>
              <w:spacing w:before="40" w:after="40"/>
              <w:rPr>
                <w:sz w:val="20"/>
              </w:rPr>
            </w:pPr>
            <w:r w:rsidRPr="00EB5B1D">
              <w:rPr>
                <w:sz w:val="20"/>
              </w:rPr>
              <w:t>29081-56-9</w:t>
            </w:r>
          </w:p>
          <w:p w:rsidR="000200B2" w:rsidRPr="00EB5B1D" w:rsidRDefault="000200B2" w:rsidP="00703DBB">
            <w:pPr>
              <w:snapToGrid w:val="0"/>
              <w:spacing w:before="40" w:after="40"/>
              <w:rPr>
                <w:sz w:val="20"/>
              </w:rPr>
            </w:pPr>
            <w:r w:rsidRPr="00EB5B1D">
              <w:rPr>
                <w:sz w:val="20"/>
              </w:rPr>
              <w:t>70225-14-8</w:t>
            </w:r>
          </w:p>
          <w:p w:rsidR="000200B2" w:rsidRPr="00EB5B1D" w:rsidRDefault="000200B2" w:rsidP="000220B2">
            <w:pPr>
              <w:snapToGrid w:val="0"/>
              <w:spacing w:before="40" w:after="40"/>
              <w:rPr>
                <w:sz w:val="20"/>
                <w:lang w:val="en-GB"/>
              </w:rPr>
            </w:pPr>
          </w:p>
          <w:p w:rsidR="000200B2" w:rsidRPr="00EB5B1D" w:rsidRDefault="000200B2" w:rsidP="009B08F2">
            <w:pPr>
              <w:snapToGrid w:val="0"/>
              <w:rPr>
                <w:sz w:val="20"/>
              </w:rPr>
            </w:pPr>
            <w:r w:rsidRPr="00EB5B1D">
              <w:rPr>
                <w:sz w:val="20"/>
              </w:rPr>
              <w:t>56773-42-3</w:t>
            </w:r>
          </w:p>
          <w:p w:rsidR="000200B2" w:rsidRPr="00EB5B1D" w:rsidRDefault="000200B2" w:rsidP="009B08F2">
            <w:pPr>
              <w:snapToGrid w:val="0"/>
              <w:rPr>
                <w:sz w:val="20"/>
              </w:rPr>
            </w:pPr>
          </w:p>
          <w:p w:rsidR="000200B2" w:rsidRPr="00EB5B1D" w:rsidRDefault="000200B2" w:rsidP="009B08F2">
            <w:pPr>
              <w:snapToGrid w:val="0"/>
              <w:rPr>
                <w:sz w:val="20"/>
                <w:lang w:val="en-GB"/>
              </w:rPr>
            </w:pPr>
            <w:r w:rsidRPr="00EB5B1D">
              <w:rPr>
                <w:sz w:val="20"/>
              </w:rPr>
              <w:t>251099-16-8</w:t>
            </w:r>
          </w:p>
          <w:p w:rsidR="000200B2" w:rsidRPr="00EB5B1D" w:rsidRDefault="000200B2" w:rsidP="009B08F2">
            <w:pPr>
              <w:snapToGrid w:val="0"/>
              <w:rPr>
                <w:sz w:val="20"/>
                <w:lang w:val="en-GB"/>
              </w:rPr>
            </w:pPr>
            <w:r w:rsidRPr="00EB5B1D">
              <w:rPr>
                <w:sz w:val="20"/>
              </w:rPr>
              <w:t>4151-50-2</w:t>
            </w:r>
          </w:p>
          <w:p w:rsidR="000200B2" w:rsidRPr="00EB5B1D" w:rsidRDefault="000200B2" w:rsidP="009B08F2">
            <w:pPr>
              <w:snapToGrid w:val="0"/>
              <w:spacing w:before="40"/>
              <w:rPr>
                <w:sz w:val="20"/>
                <w:lang w:val="en-GB"/>
              </w:rPr>
            </w:pPr>
            <w:r w:rsidRPr="00EB5B1D">
              <w:rPr>
                <w:sz w:val="20"/>
              </w:rPr>
              <w:t>31506-32-8</w:t>
            </w:r>
          </w:p>
          <w:p w:rsidR="000200B2" w:rsidRPr="00EB5B1D" w:rsidRDefault="000200B2" w:rsidP="009B08F2">
            <w:pPr>
              <w:snapToGrid w:val="0"/>
              <w:spacing w:before="40"/>
              <w:rPr>
                <w:sz w:val="20"/>
                <w:lang w:val="en-GB"/>
              </w:rPr>
            </w:pPr>
            <w:r w:rsidRPr="00EB5B1D">
              <w:rPr>
                <w:sz w:val="20"/>
                <w:lang w:val="fr-CH"/>
              </w:rPr>
              <w:t>1691-99-2</w:t>
            </w:r>
          </w:p>
          <w:p w:rsidR="000200B2" w:rsidRPr="00EB5B1D" w:rsidRDefault="000200B2" w:rsidP="009B08F2">
            <w:pPr>
              <w:snapToGrid w:val="0"/>
              <w:rPr>
                <w:sz w:val="20"/>
                <w:lang w:val="fr-CH"/>
              </w:rPr>
            </w:pPr>
          </w:p>
          <w:p w:rsidR="000200B2" w:rsidRPr="00EB5B1D" w:rsidRDefault="000200B2" w:rsidP="009B08F2">
            <w:pPr>
              <w:snapToGrid w:val="0"/>
              <w:spacing w:before="120"/>
              <w:rPr>
                <w:sz w:val="20"/>
                <w:lang w:val="en-GB"/>
              </w:rPr>
            </w:pPr>
            <w:r w:rsidRPr="00EB5B1D">
              <w:rPr>
                <w:sz w:val="20"/>
                <w:lang w:val="fr-CH"/>
              </w:rPr>
              <w:t>24448-09-7</w:t>
            </w:r>
          </w:p>
          <w:p w:rsidR="000200B2" w:rsidRPr="00EB5B1D" w:rsidRDefault="000200B2" w:rsidP="009B08F2">
            <w:pPr>
              <w:snapToGrid w:val="0"/>
              <w:rPr>
                <w:sz w:val="20"/>
              </w:rPr>
            </w:pPr>
          </w:p>
          <w:p w:rsidR="000200B2" w:rsidRPr="00EB5B1D" w:rsidRDefault="000200B2" w:rsidP="009B08F2">
            <w:pPr>
              <w:snapToGrid w:val="0"/>
              <w:rPr>
                <w:sz w:val="20"/>
              </w:rPr>
            </w:pPr>
            <w:r w:rsidRPr="00EB5B1D">
              <w:rPr>
                <w:sz w:val="20"/>
              </w:rPr>
              <w:t>307-35-7</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rPr>
            </w:pPr>
            <w:r w:rsidRPr="00EB5B1D">
              <w:rPr>
                <w:sz w:val="20"/>
              </w:rPr>
              <w:t>10 de agosto de 2013</w:t>
            </w:r>
          </w:p>
        </w:tc>
      </w:tr>
      <w:tr w:rsidR="000200B2" w:rsidRPr="00EB5B1D" w:rsidTr="00AA36A8">
        <w:trPr>
          <w:cantSplit/>
        </w:trPr>
        <w:tc>
          <w:tcPr>
            <w:tcW w:w="1908" w:type="pct"/>
            <w:shd w:val="clear" w:color="auto" w:fill="auto"/>
          </w:tcPr>
          <w:p w:rsidR="000200B2" w:rsidRPr="00EB5B1D" w:rsidRDefault="000200B2" w:rsidP="000220B2">
            <w:pPr>
              <w:snapToGrid w:val="0"/>
              <w:spacing w:before="40" w:after="40"/>
              <w:rPr>
                <w:sz w:val="20"/>
                <w:lang w:val="fr-CH"/>
              </w:rPr>
            </w:pPr>
            <w:r w:rsidRPr="00EB5B1D">
              <w:rPr>
                <w:sz w:val="20"/>
                <w:lang w:val="fr-CH"/>
              </w:rPr>
              <w:t>Éter de pentabromodifenilo de calidad comercial</w:t>
            </w:r>
            <w:r w:rsidR="00435BA9" w:rsidRPr="00EB5B1D">
              <w:rPr>
                <w:sz w:val="20"/>
                <w:lang w:val="fr-CH"/>
              </w:rPr>
              <w:t>, entre otr</w:t>
            </w:r>
            <w:r w:rsidR="002E141A" w:rsidRPr="00EB5B1D">
              <w:rPr>
                <w:sz w:val="20"/>
                <w:lang w:val="fr-CH"/>
              </w:rPr>
              <w:t>o</w:t>
            </w:r>
            <w:r w:rsidR="00435BA9" w:rsidRPr="00EB5B1D">
              <w:rPr>
                <w:sz w:val="20"/>
                <w:lang w:val="fr-CH"/>
              </w:rPr>
              <w:t>s</w:t>
            </w:r>
            <w:r w:rsidRPr="00EB5B1D">
              <w:rPr>
                <w:sz w:val="20"/>
                <w:lang w:val="fr-CH"/>
              </w:rPr>
              <w:t>:</w:t>
            </w:r>
          </w:p>
          <w:p w:rsidR="000200B2" w:rsidRPr="00EB5B1D" w:rsidRDefault="000200B2" w:rsidP="006C6617">
            <w:pPr>
              <w:pStyle w:val="ListParagraph"/>
              <w:numPr>
                <w:ilvl w:val="0"/>
                <w:numId w:val="8"/>
              </w:numPr>
              <w:snapToGrid w:val="0"/>
              <w:spacing w:before="40" w:after="40"/>
              <w:ind w:left="270" w:hanging="270"/>
              <w:rPr>
                <w:sz w:val="20"/>
                <w:lang w:val="fr-CH"/>
              </w:rPr>
            </w:pPr>
            <w:r w:rsidRPr="00EB5B1D">
              <w:rPr>
                <w:sz w:val="20"/>
                <w:lang w:val="fr-CH"/>
              </w:rPr>
              <w:t>Éter de tetrabromodifenilo</w:t>
            </w:r>
          </w:p>
          <w:p w:rsidR="000200B2" w:rsidRPr="00EB5B1D" w:rsidRDefault="000200B2" w:rsidP="006C6617">
            <w:pPr>
              <w:pStyle w:val="ListParagraph"/>
              <w:numPr>
                <w:ilvl w:val="0"/>
                <w:numId w:val="8"/>
              </w:numPr>
              <w:snapToGrid w:val="0"/>
              <w:spacing w:before="40" w:after="40"/>
              <w:ind w:left="270" w:hanging="270"/>
              <w:rPr>
                <w:sz w:val="20"/>
                <w:lang w:val="fr-CH"/>
              </w:rPr>
            </w:pPr>
            <w:r w:rsidRPr="00EB5B1D">
              <w:rPr>
                <w:sz w:val="20"/>
                <w:lang w:val="fr-CH"/>
              </w:rPr>
              <w:t>Éter de pentabromodifenilo</w:t>
            </w:r>
          </w:p>
        </w:tc>
        <w:tc>
          <w:tcPr>
            <w:tcW w:w="882" w:type="pct"/>
            <w:shd w:val="clear" w:color="auto" w:fill="auto"/>
          </w:tcPr>
          <w:p w:rsidR="000200B2" w:rsidRPr="00EB5B1D" w:rsidRDefault="000200B2" w:rsidP="000220B2">
            <w:pPr>
              <w:snapToGrid w:val="0"/>
              <w:spacing w:before="40" w:after="40"/>
              <w:rPr>
                <w:rFonts w:eastAsia="SimSun"/>
                <w:sz w:val="20"/>
                <w:lang w:val="fr-CH"/>
              </w:rPr>
            </w:pPr>
          </w:p>
          <w:p w:rsidR="000200B2" w:rsidRPr="00EB5B1D" w:rsidRDefault="000200B2" w:rsidP="000220B2">
            <w:pPr>
              <w:snapToGrid w:val="0"/>
              <w:spacing w:before="40" w:after="40"/>
              <w:rPr>
                <w:rFonts w:eastAsia="SimSun"/>
                <w:sz w:val="20"/>
                <w:lang w:val="fr-CH"/>
              </w:rPr>
            </w:pPr>
          </w:p>
          <w:p w:rsidR="000200B2" w:rsidRPr="00EB5B1D" w:rsidRDefault="000200B2" w:rsidP="000220B2">
            <w:pPr>
              <w:snapToGrid w:val="0"/>
              <w:spacing w:before="40" w:after="40"/>
              <w:rPr>
                <w:rFonts w:eastAsia="SimSun"/>
                <w:sz w:val="20"/>
              </w:rPr>
            </w:pPr>
            <w:r w:rsidRPr="00EB5B1D">
              <w:rPr>
                <w:rFonts w:eastAsia="SimSun"/>
                <w:sz w:val="20"/>
              </w:rPr>
              <w:t>40088-47-9</w:t>
            </w:r>
          </w:p>
          <w:p w:rsidR="000200B2" w:rsidRPr="00EB5B1D" w:rsidRDefault="000200B2" w:rsidP="000220B2">
            <w:pPr>
              <w:snapToGrid w:val="0"/>
              <w:spacing w:before="40" w:after="40"/>
              <w:rPr>
                <w:sz w:val="20"/>
              </w:rPr>
            </w:pPr>
            <w:r w:rsidRPr="00EB5B1D">
              <w:rPr>
                <w:rFonts w:eastAsia="SimSun"/>
                <w:sz w:val="20"/>
              </w:rPr>
              <w:t>32534-81-9</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rPr>
            </w:pPr>
            <w:r w:rsidRPr="00EB5B1D">
              <w:rPr>
                <w:sz w:val="20"/>
              </w:rPr>
              <w:t>10 de agosto de 2013</w:t>
            </w:r>
          </w:p>
        </w:tc>
      </w:tr>
      <w:tr w:rsidR="000200B2" w:rsidRPr="00EB5B1D" w:rsidTr="00AA36A8">
        <w:trPr>
          <w:cantSplit/>
        </w:trPr>
        <w:tc>
          <w:tcPr>
            <w:tcW w:w="1908" w:type="pct"/>
            <w:shd w:val="clear" w:color="auto" w:fill="auto"/>
          </w:tcPr>
          <w:p w:rsidR="000200B2" w:rsidRPr="00EB5B1D" w:rsidRDefault="000200B2" w:rsidP="000220B2">
            <w:pPr>
              <w:snapToGrid w:val="0"/>
              <w:spacing w:before="40" w:after="40"/>
              <w:rPr>
                <w:sz w:val="20"/>
                <w:lang w:val="es-ES_tradnl"/>
              </w:rPr>
            </w:pPr>
            <w:r w:rsidRPr="00EB5B1D">
              <w:rPr>
                <w:sz w:val="20"/>
                <w:lang w:val="es-ES_tradnl"/>
              </w:rPr>
              <w:t>Éter de octabromodifenilo de calidad comercial</w:t>
            </w:r>
            <w:r w:rsidR="00435BA9" w:rsidRPr="00EB5B1D">
              <w:rPr>
                <w:sz w:val="20"/>
                <w:lang w:val="es-ES_tradnl"/>
              </w:rPr>
              <w:t>, entre otr</w:t>
            </w:r>
            <w:r w:rsidR="002E141A" w:rsidRPr="00EB5B1D">
              <w:rPr>
                <w:sz w:val="20"/>
                <w:lang w:val="es-ES_tradnl"/>
              </w:rPr>
              <w:t>o</w:t>
            </w:r>
            <w:r w:rsidR="00435BA9" w:rsidRPr="00EB5B1D">
              <w:rPr>
                <w:sz w:val="20"/>
                <w:lang w:val="es-ES_tradnl"/>
              </w:rPr>
              <w:t>s</w:t>
            </w:r>
            <w:r w:rsidRPr="00EB5B1D">
              <w:rPr>
                <w:sz w:val="20"/>
                <w:lang w:val="es-ES_tradnl"/>
              </w:rPr>
              <w:t>:</w:t>
            </w:r>
          </w:p>
          <w:p w:rsidR="000200B2" w:rsidRPr="00EB5B1D" w:rsidRDefault="000200B2" w:rsidP="006C6617">
            <w:pPr>
              <w:pStyle w:val="ListParagraph"/>
              <w:numPr>
                <w:ilvl w:val="0"/>
                <w:numId w:val="9"/>
              </w:numPr>
              <w:snapToGrid w:val="0"/>
              <w:spacing w:before="40" w:after="40"/>
              <w:ind w:left="270" w:hanging="270"/>
              <w:rPr>
                <w:sz w:val="20"/>
                <w:lang w:val="fr-CH"/>
              </w:rPr>
            </w:pPr>
            <w:r w:rsidRPr="00EB5B1D">
              <w:rPr>
                <w:sz w:val="20"/>
                <w:lang w:val="fr-CH"/>
              </w:rPr>
              <w:t>Éter de hexabromodifenilo</w:t>
            </w:r>
          </w:p>
          <w:p w:rsidR="000200B2" w:rsidRPr="00EB5B1D" w:rsidRDefault="000200B2" w:rsidP="006C6617">
            <w:pPr>
              <w:pStyle w:val="ListParagraph"/>
              <w:numPr>
                <w:ilvl w:val="0"/>
                <w:numId w:val="9"/>
              </w:numPr>
              <w:snapToGrid w:val="0"/>
              <w:spacing w:before="40" w:after="40"/>
              <w:ind w:left="270" w:hanging="270"/>
              <w:rPr>
                <w:sz w:val="20"/>
              </w:rPr>
            </w:pPr>
            <w:r w:rsidRPr="00EB5B1D">
              <w:rPr>
                <w:sz w:val="20"/>
                <w:lang w:val="fr-CH"/>
              </w:rPr>
              <w:t>Éter de heptabromodifenilo</w:t>
            </w:r>
          </w:p>
        </w:tc>
        <w:tc>
          <w:tcPr>
            <w:tcW w:w="882" w:type="pct"/>
            <w:shd w:val="clear" w:color="auto" w:fill="auto"/>
          </w:tcPr>
          <w:p w:rsidR="000200B2" w:rsidRPr="00EB5B1D" w:rsidRDefault="000200B2" w:rsidP="000220B2">
            <w:pPr>
              <w:snapToGrid w:val="0"/>
              <w:spacing w:before="40" w:after="40"/>
              <w:rPr>
                <w:rFonts w:eastAsia="SimSun"/>
                <w:sz w:val="20"/>
              </w:rPr>
            </w:pPr>
          </w:p>
          <w:p w:rsidR="000200B2" w:rsidRPr="00EB5B1D" w:rsidRDefault="000200B2" w:rsidP="000220B2">
            <w:pPr>
              <w:snapToGrid w:val="0"/>
              <w:spacing w:before="40" w:after="40"/>
              <w:rPr>
                <w:rFonts w:eastAsia="SimSun"/>
                <w:sz w:val="20"/>
              </w:rPr>
            </w:pPr>
          </w:p>
          <w:p w:rsidR="000200B2" w:rsidRPr="00EB5B1D" w:rsidRDefault="000200B2" w:rsidP="000220B2">
            <w:pPr>
              <w:snapToGrid w:val="0"/>
              <w:spacing w:before="40" w:after="40"/>
              <w:rPr>
                <w:rFonts w:eastAsia="SimSun"/>
                <w:sz w:val="20"/>
              </w:rPr>
            </w:pPr>
            <w:r w:rsidRPr="00EB5B1D">
              <w:rPr>
                <w:rFonts w:eastAsia="SimSun"/>
                <w:sz w:val="20"/>
              </w:rPr>
              <w:t>36483-60-0</w:t>
            </w:r>
          </w:p>
          <w:p w:rsidR="000200B2" w:rsidRPr="00EB5B1D" w:rsidRDefault="000200B2" w:rsidP="000220B2">
            <w:pPr>
              <w:snapToGrid w:val="0"/>
              <w:spacing w:before="40" w:after="40"/>
              <w:rPr>
                <w:sz w:val="20"/>
              </w:rPr>
            </w:pPr>
            <w:r w:rsidRPr="00EB5B1D">
              <w:rPr>
                <w:rFonts w:eastAsia="SimSun"/>
                <w:sz w:val="20"/>
              </w:rPr>
              <w:t>68928-80-3</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rPr>
            </w:pPr>
            <w:r w:rsidRPr="00EB5B1D">
              <w:rPr>
                <w:sz w:val="20"/>
              </w:rPr>
              <w:t>10 de agosto de 2013</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Bifenilos polibromados (PBB)</w:t>
            </w:r>
          </w:p>
        </w:tc>
        <w:tc>
          <w:tcPr>
            <w:tcW w:w="882" w:type="pct"/>
            <w:shd w:val="clear" w:color="auto" w:fill="auto"/>
          </w:tcPr>
          <w:p w:rsidR="00AA36A8" w:rsidRPr="00EB5B1D" w:rsidRDefault="00AA36A8" w:rsidP="00AA36A8">
            <w:pPr>
              <w:snapToGrid w:val="0"/>
              <w:spacing w:before="40" w:after="40"/>
              <w:rPr>
                <w:sz w:val="20"/>
              </w:rPr>
            </w:pPr>
            <w:r w:rsidRPr="00EB5B1D">
              <w:rPr>
                <w:sz w:val="20"/>
              </w:rPr>
              <w:t>13654-09-6 (hexa-)</w:t>
            </w:r>
          </w:p>
          <w:p w:rsidR="00AA36A8" w:rsidRPr="00EB5B1D" w:rsidRDefault="00AA36A8" w:rsidP="00AA36A8">
            <w:pPr>
              <w:snapToGrid w:val="0"/>
              <w:spacing w:before="40" w:after="40"/>
              <w:rPr>
                <w:sz w:val="20"/>
              </w:rPr>
            </w:pPr>
            <w:r w:rsidRPr="00EB5B1D">
              <w:rPr>
                <w:sz w:val="20"/>
              </w:rPr>
              <w:t>36355-01-8 (octa-)</w:t>
            </w:r>
          </w:p>
          <w:p w:rsidR="000200B2" w:rsidRPr="00EB5B1D" w:rsidRDefault="00AA36A8" w:rsidP="00AA36A8">
            <w:pPr>
              <w:snapToGrid w:val="0"/>
              <w:spacing w:before="40" w:after="40"/>
              <w:rPr>
                <w:sz w:val="20"/>
              </w:rPr>
            </w:pPr>
            <w:r w:rsidRPr="00EB5B1D">
              <w:rPr>
                <w:sz w:val="20"/>
              </w:rPr>
              <w:t>27858-07-7 (deca-)</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Bifenilos policlorados (PCB)</w:t>
            </w:r>
          </w:p>
        </w:tc>
        <w:tc>
          <w:tcPr>
            <w:tcW w:w="882" w:type="pct"/>
            <w:shd w:val="clear" w:color="auto" w:fill="auto"/>
          </w:tcPr>
          <w:p w:rsidR="000200B2" w:rsidRPr="00EB5B1D" w:rsidRDefault="000200B2" w:rsidP="000220B2">
            <w:pPr>
              <w:snapToGrid w:val="0"/>
              <w:spacing w:before="40" w:after="40"/>
              <w:rPr>
                <w:sz w:val="20"/>
              </w:rPr>
            </w:pPr>
            <w:r w:rsidRPr="00EB5B1D">
              <w:rPr>
                <w:sz w:val="20"/>
              </w:rPr>
              <w:t>1336-36-3</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Trifenilos policlorados (PCT)</w:t>
            </w:r>
          </w:p>
        </w:tc>
        <w:tc>
          <w:tcPr>
            <w:tcW w:w="882" w:type="pct"/>
            <w:shd w:val="clear" w:color="auto" w:fill="auto"/>
          </w:tcPr>
          <w:p w:rsidR="000200B2" w:rsidRPr="00EB5B1D" w:rsidRDefault="000200B2" w:rsidP="000220B2">
            <w:pPr>
              <w:snapToGrid w:val="0"/>
              <w:spacing w:before="40" w:after="40"/>
              <w:rPr>
                <w:sz w:val="20"/>
              </w:rPr>
            </w:pPr>
            <w:r w:rsidRPr="00EB5B1D">
              <w:rPr>
                <w:sz w:val="20"/>
              </w:rPr>
              <w:t>61788-33-8</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lang w:val="fr-CH"/>
              </w:rPr>
            </w:pPr>
            <w:r w:rsidRPr="00EB5B1D">
              <w:rPr>
                <w:sz w:val="20"/>
                <w:szCs w:val="20"/>
                <w:lang w:val="es-ES"/>
              </w:rPr>
              <w:t>Parafinas cloradas de cadena corta</w:t>
            </w:r>
          </w:p>
        </w:tc>
        <w:tc>
          <w:tcPr>
            <w:tcW w:w="882" w:type="pct"/>
            <w:shd w:val="clear" w:color="auto" w:fill="auto"/>
          </w:tcPr>
          <w:p w:rsidR="000200B2" w:rsidRPr="00EB5B1D" w:rsidRDefault="000200B2" w:rsidP="000220B2">
            <w:pPr>
              <w:snapToGrid w:val="0"/>
              <w:spacing w:before="40" w:after="40"/>
              <w:rPr>
                <w:sz w:val="20"/>
              </w:rPr>
            </w:pPr>
            <w:r w:rsidRPr="00EB5B1D">
              <w:rPr>
                <w:sz w:val="20"/>
                <w:szCs w:val="20"/>
                <w:lang w:val="es-ES"/>
              </w:rPr>
              <w:t>85535-84-8</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lang w:val="fr-CH"/>
              </w:rPr>
            </w:pPr>
            <w:r w:rsidRPr="00EB5B1D">
              <w:rPr>
                <w:rFonts w:eastAsia="SimSun"/>
                <w:sz w:val="20"/>
                <w:szCs w:val="20"/>
                <w:lang w:val="es-ES" w:eastAsia="zh-CN"/>
              </w:rPr>
              <w:t>Prevista para el 15 de septiembre de 2017</w:t>
            </w:r>
          </w:p>
        </w:tc>
      </w:tr>
      <w:tr w:rsidR="000200B2" w:rsidRPr="00EB5B1D"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Tetraetilo de plomo</w:t>
            </w:r>
          </w:p>
        </w:tc>
        <w:tc>
          <w:tcPr>
            <w:tcW w:w="882" w:type="pct"/>
            <w:shd w:val="clear" w:color="auto" w:fill="auto"/>
          </w:tcPr>
          <w:p w:rsidR="000200B2" w:rsidRPr="00EB5B1D" w:rsidRDefault="000200B2" w:rsidP="000220B2">
            <w:pPr>
              <w:snapToGrid w:val="0"/>
              <w:spacing w:before="40" w:after="40"/>
              <w:rPr>
                <w:sz w:val="20"/>
              </w:rPr>
            </w:pPr>
            <w:r w:rsidRPr="00EB5B1D">
              <w:rPr>
                <w:sz w:val="20"/>
              </w:rPr>
              <w:t>78-00-2</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2005</w:t>
            </w:r>
          </w:p>
        </w:tc>
      </w:tr>
      <w:tr w:rsidR="000200B2" w:rsidRPr="00EB5B1D"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Tetrametilo de plomo</w:t>
            </w:r>
          </w:p>
        </w:tc>
        <w:tc>
          <w:tcPr>
            <w:tcW w:w="882" w:type="pct"/>
            <w:shd w:val="clear" w:color="auto" w:fill="auto"/>
          </w:tcPr>
          <w:p w:rsidR="000200B2" w:rsidRPr="00EB5B1D" w:rsidRDefault="000200B2" w:rsidP="000220B2">
            <w:pPr>
              <w:snapToGrid w:val="0"/>
              <w:spacing w:before="40" w:after="40"/>
              <w:rPr>
                <w:sz w:val="20"/>
              </w:rPr>
            </w:pPr>
            <w:r w:rsidRPr="00EB5B1D">
              <w:rPr>
                <w:sz w:val="20"/>
              </w:rPr>
              <w:t>75-74-1</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rPr>
            </w:pPr>
            <w:r w:rsidRPr="00EB5B1D">
              <w:rPr>
                <w:sz w:val="20"/>
              </w:rPr>
              <w:t>1 de febrero de 2005</w:t>
            </w:r>
          </w:p>
        </w:tc>
      </w:tr>
      <w:tr w:rsidR="000200B2" w:rsidRPr="00985C05" w:rsidTr="00AA36A8">
        <w:trPr>
          <w:cantSplit/>
        </w:trPr>
        <w:tc>
          <w:tcPr>
            <w:tcW w:w="1908" w:type="pct"/>
            <w:shd w:val="clear" w:color="auto" w:fill="auto"/>
          </w:tcPr>
          <w:p w:rsidR="000200B2" w:rsidRPr="00EB5B1D" w:rsidRDefault="000200B2" w:rsidP="006F4865">
            <w:pPr>
              <w:pStyle w:val="H1PIC"/>
              <w:snapToGrid w:val="0"/>
              <w:spacing w:before="40" w:after="40"/>
              <w:rPr>
                <w:b w:val="0"/>
                <w:color w:val="auto"/>
                <w:sz w:val="20"/>
                <w:szCs w:val="20"/>
                <w:lang w:val="es-ES"/>
              </w:rPr>
            </w:pPr>
            <w:bookmarkStart w:id="224" w:name="_Toc484686661"/>
            <w:r w:rsidRPr="00EB5B1D">
              <w:rPr>
                <w:b w:val="0"/>
                <w:color w:val="auto"/>
                <w:sz w:val="20"/>
                <w:szCs w:val="20"/>
                <w:lang w:val="es-ES"/>
              </w:rPr>
              <w:t>Todos los compuestos del tributilo de estaño, a saber:</w:t>
            </w:r>
            <w:bookmarkEnd w:id="224"/>
          </w:p>
          <w:p w:rsidR="000200B2" w:rsidRPr="00EB5B1D" w:rsidRDefault="000200B2" w:rsidP="006F4865">
            <w:pPr>
              <w:pStyle w:val="H1PIC"/>
              <w:numPr>
                <w:ilvl w:val="0"/>
                <w:numId w:val="4"/>
              </w:numPr>
              <w:snapToGrid w:val="0"/>
              <w:spacing w:before="40" w:after="40"/>
              <w:ind w:left="274" w:hanging="274"/>
              <w:rPr>
                <w:color w:val="auto"/>
                <w:sz w:val="20"/>
                <w:szCs w:val="20"/>
                <w:lang w:val="es-ES"/>
              </w:rPr>
            </w:pPr>
            <w:bookmarkStart w:id="225" w:name="_Toc484686662"/>
            <w:r w:rsidRPr="00EB5B1D">
              <w:rPr>
                <w:b w:val="0"/>
                <w:color w:val="auto"/>
                <w:sz w:val="20"/>
                <w:szCs w:val="20"/>
                <w:lang w:val="es-ES"/>
              </w:rPr>
              <w:t>Óxido de tributilo de estaño</w:t>
            </w:r>
            <w:bookmarkEnd w:id="225"/>
          </w:p>
          <w:p w:rsidR="000200B2" w:rsidRPr="00EB5B1D" w:rsidRDefault="000200B2" w:rsidP="006F4865">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Fluoruro de tributilo </w:t>
            </w:r>
            <w:proofErr w:type="gramStart"/>
            <w:r w:rsidRPr="00EB5B1D">
              <w:rPr>
                <w:sz w:val="20"/>
                <w:lang w:val="fr-CH"/>
              </w:rPr>
              <w:t>de estaño</w:t>
            </w:r>
            <w:proofErr w:type="gramEnd"/>
          </w:p>
          <w:p w:rsidR="000200B2" w:rsidRPr="00EB5B1D" w:rsidRDefault="000200B2" w:rsidP="006F4865">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Metacrilato tributilo </w:t>
            </w:r>
            <w:proofErr w:type="gramStart"/>
            <w:r w:rsidRPr="00EB5B1D">
              <w:rPr>
                <w:sz w:val="20"/>
                <w:lang w:val="fr-CH"/>
              </w:rPr>
              <w:t>de estaño</w:t>
            </w:r>
            <w:proofErr w:type="gramEnd"/>
          </w:p>
          <w:p w:rsidR="000200B2" w:rsidRPr="00EB5B1D" w:rsidRDefault="000200B2" w:rsidP="006F4865">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Benzoato de tributilo </w:t>
            </w:r>
            <w:proofErr w:type="gramStart"/>
            <w:r w:rsidRPr="00EB5B1D">
              <w:rPr>
                <w:sz w:val="20"/>
                <w:lang w:val="fr-CH"/>
              </w:rPr>
              <w:t>de estaño</w:t>
            </w:r>
            <w:proofErr w:type="gramEnd"/>
          </w:p>
          <w:p w:rsidR="000200B2" w:rsidRPr="00EB5B1D" w:rsidRDefault="000200B2" w:rsidP="006F4865">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Cloruro de tributilo </w:t>
            </w:r>
            <w:proofErr w:type="gramStart"/>
            <w:r w:rsidRPr="00EB5B1D">
              <w:rPr>
                <w:sz w:val="20"/>
                <w:lang w:val="fr-CH"/>
              </w:rPr>
              <w:t>de estaño</w:t>
            </w:r>
            <w:proofErr w:type="gramEnd"/>
          </w:p>
          <w:p w:rsidR="000200B2" w:rsidRPr="00EB5B1D" w:rsidRDefault="000200B2" w:rsidP="006F4865">
            <w:pPr>
              <w:pStyle w:val="ListParagraph"/>
              <w:numPr>
                <w:ilvl w:val="0"/>
                <w:numId w:val="4"/>
              </w:numPr>
              <w:snapToGrid w:val="0"/>
              <w:spacing w:before="40" w:after="40"/>
              <w:ind w:left="274" w:hanging="274"/>
              <w:contextualSpacing w:val="0"/>
              <w:rPr>
                <w:sz w:val="20"/>
                <w:lang w:val="fr-CH"/>
              </w:rPr>
            </w:pPr>
            <w:r w:rsidRPr="00EB5B1D">
              <w:rPr>
                <w:sz w:val="20"/>
                <w:lang w:val="fr-CH"/>
              </w:rPr>
              <w:t xml:space="preserve">Linoleato de tributilo </w:t>
            </w:r>
            <w:proofErr w:type="gramStart"/>
            <w:r w:rsidRPr="00EB5B1D">
              <w:rPr>
                <w:sz w:val="20"/>
                <w:lang w:val="fr-CH"/>
              </w:rPr>
              <w:t>de estaño</w:t>
            </w:r>
            <w:proofErr w:type="gramEnd"/>
          </w:p>
          <w:p w:rsidR="000200B2" w:rsidRPr="00EB5B1D" w:rsidRDefault="000200B2" w:rsidP="000220B2">
            <w:pPr>
              <w:snapToGrid w:val="0"/>
              <w:spacing w:before="40" w:after="40"/>
              <w:rPr>
                <w:sz w:val="20"/>
                <w:lang w:val="fr-CH"/>
              </w:rPr>
            </w:pPr>
            <w:r w:rsidRPr="00EB5B1D">
              <w:rPr>
                <w:sz w:val="20"/>
                <w:lang w:val="es-ES"/>
              </w:rPr>
              <w:t>Naftenato de tributilo de estaño</w:t>
            </w:r>
          </w:p>
        </w:tc>
        <w:tc>
          <w:tcPr>
            <w:tcW w:w="882" w:type="pct"/>
            <w:shd w:val="clear" w:color="auto" w:fill="auto"/>
          </w:tcPr>
          <w:p w:rsidR="000200B2" w:rsidRPr="00EB5B1D" w:rsidRDefault="000200B2" w:rsidP="006F4865">
            <w:pPr>
              <w:snapToGrid w:val="0"/>
              <w:spacing w:before="40" w:after="40"/>
              <w:rPr>
                <w:sz w:val="20"/>
                <w:lang w:val="es-ES"/>
              </w:rPr>
            </w:pPr>
          </w:p>
          <w:p w:rsidR="000200B2" w:rsidRPr="00EB5B1D" w:rsidRDefault="000200B2" w:rsidP="006F4865">
            <w:pPr>
              <w:snapToGrid w:val="0"/>
              <w:spacing w:before="40" w:after="40"/>
              <w:rPr>
                <w:sz w:val="20"/>
                <w:lang w:val="es-ES"/>
              </w:rPr>
            </w:pPr>
          </w:p>
          <w:p w:rsidR="000200B2" w:rsidRPr="00EB5B1D" w:rsidRDefault="000200B2" w:rsidP="006F4865">
            <w:pPr>
              <w:snapToGrid w:val="0"/>
              <w:spacing w:before="120" w:after="40"/>
              <w:rPr>
                <w:sz w:val="20"/>
                <w:lang w:val="fr-FR"/>
              </w:rPr>
            </w:pPr>
            <w:r w:rsidRPr="00EB5B1D">
              <w:rPr>
                <w:sz w:val="20"/>
                <w:lang w:val="fr-FR"/>
              </w:rPr>
              <w:t>56-35-9</w:t>
            </w:r>
          </w:p>
          <w:p w:rsidR="000200B2" w:rsidRPr="00EB5B1D" w:rsidRDefault="000200B2" w:rsidP="006F4865">
            <w:pPr>
              <w:snapToGrid w:val="0"/>
              <w:spacing w:before="40" w:after="40"/>
              <w:rPr>
                <w:sz w:val="20"/>
                <w:lang w:val="fr-FR"/>
              </w:rPr>
            </w:pPr>
            <w:r w:rsidRPr="00EB5B1D">
              <w:rPr>
                <w:sz w:val="20"/>
                <w:lang w:val="fr-FR"/>
              </w:rPr>
              <w:t>1983-10-4</w:t>
            </w:r>
          </w:p>
          <w:p w:rsidR="000200B2" w:rsidRPr="00EB5B1D" w:rsidRDefault="000200B2" w:rsidP="006F4865">
            <w:pPr>
              <w:snapToGrid w:val="0"/>
              <w:spacing w:before="40" w:after="40"/>
              <w:rPr>
                <w:sz w:val="20"/>
                <w:lang w:val="fr-FR"/>
              </w:rPr>
            </w:pPr>
            <w:r w:rsidRPr="00EB5B1D">
              <w:rPr>
                <w:sz w:val="20"/>
                <w:lang w:val="fr-FR"/>
              </w:rPr>
              <w:t>2155-70-6</w:t>
            </w:r>
          </w:p>
          <w:p w:rsidR="000200B2" w:rsidRPr="00EB5B1D" w:rsidRDefault="000200B2" w:rsidP="006F4865">
            <w:pPr>
              <w:snapToGrid w:val="0"/>
              <w:spacing w:before="40" w:after="40"/>
              <w:rPr>
                <w:sz w:val="20"/>
                <w:lang w:val="fr-FR"/>
              </w:rPr>
            </w:pPr>
            <w:r w:rsidRPr="00EB5B1D">
              <w:rPr>
                <w:sz w:val="20"/>
                <w:lang w:val="fr-FR"/>
              </w:rPr>
              <w:t>4342-36-3</w:t>
            </w:r>
          </w:p>
          <w:p w:rsidR="000200B2" w:rsidRPr="00EB5B1D" w:rsidRDefault="000200B2" w:rsidP="006F4865">
            <w:pPr>
              <w:snapToGrid w:val="0"/>
              <w:spacing w:before="40" w:after="40"/>
              <w:rPr>
                <w:sz w:val="20"/>
                <w:lang w:val="fr-FR"/>
              </w:rPr>
            </w:pPr>
            <w:r w:rsidRPr="00EB5B1D">
              <w:rPr>
                <w:sz w:val="20"/>
                <w:lang w:val="fr-FR"/>
              </w:rPr>
              <w:t>1461-22-9</w:t>
            </w:r>
          </w:p>
          <w:p w:rsidR="000200B2" w:rsidRPr="00EB5B1D" w:rsidRDefault="000200B2" w:rsidP="006F4865">
            <w:pPr>
              <w:snapToGrid w:val="0"/>
              <w:spacing w:before="40" w:after="40"/>
              <w:rPr>
                <w:sz w:val="20"/>
                <w:lang w:val="fr-FR"/>
              </w:rPr>
            </w:pPr>
            <w:r w:rsidRPr="00EB5B1D">
              <w:rPr>
                <w:sz w:val="20"/>
                <w:lang w:val="fr-FR"/>
              </w:rPr>
              <w:t>24124-25-2</w:t>
            </w:r>
          </w:p>
          <w:p w:rsidR="000200B2" w:rsidRPr="00EB5B1D" w:rsidRDefault="000200B2" w:rsidP="000220B2">
            <w:pPr>
              <w:snapToGrid w:val="0"/>
              <w:spacing w:before="40" w:after="40"/>
              <w:rPr>
                <w:sz w:val="20"/>
              </w:rPr>
            </w:pPr>
            <w:r w:rsidRPr="00EB5B1D">
              <w:rPr>
                <w:sz w:val="20"/>
                <w:lang w:val="fr-FR"/>
              </w:rPr>
              <w:t>85409-17-2</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lang w:val="fr-CH"/>
              </w:rPr>
            </w:pPr>
            <w:r w:rsidRPr="00EB5B1D">
              <w:rPr>
                <w:rFonts w:eastAsia="SimSun"/>
                <w:sz w:val="20"/>
                <w:szCs w:val="20"/>
                <w:lang w:val="es-ES" w:eastAsia="zh-CN"/>
              </w:rPr>
              <w:t>Prevista para el 15 de septiembre de 2017</w:t>
            </w:r>
          </w:p>
        </w:tc>
      </w:tr>
      <w:tr w:rsidR="000200B2" w:rsidRPr="00985C05" w:rsidTr="00AA36A8">
        <w:trPr>
          <w:cantSplit/>
        </w:trPr>
        <w:tc>
          <w:tcPr>
            <w:tcW w:w="1908" w:type="pct"/>
            <w:shd w:val="clear" w:color="auto" w:fill="auto"/>
          </w:tcPr>
          <w:p w:rsidR="000200B2" w:rsidRPr="00EB5B1D" w:rsidRDefault="000200B2" w:rsidP="000220B2">
            <w:pPr>
              <w:snapToGrid w:val="0"/>
              <w:spacing w:before="40" w:after="40"/>
              <w:rPr>
                <w:sz w:val="20"/>
              </w:rPr>
            </w:pPr>
            <w:r w:rsidRPr="00EB5B1D">
              <w:rPr>
                <w:sz w:val="20"/>
              </w:rPr>
              <w:t>Fosfato de tris(2,3-dibromopropilo)</w:t>
            </w:r>
          </w:p>
        </w:tc>
        <w:tc>
          <w:tcPr>
            <w:tcW w:w="882" w:type="pct"/>
            <w:shd w:val="clear" w:color="auto" w:fill="auto"/>
          </w:tcPr>
          <w:p w:rsidR="000200B2" w:rsidRPr="00EB5B1D" w:rsidRDefault="000200B2" w:rsidP="000220B2">
            <w:pPr>
              <w:snapToGrid w:val="0"/>
              <w:spacing w:before="40" w:after="40"/>
              <w:rPr>
                <w:sz w:val="20"/>
              </w:rPr>
            </w:pPr>
            <w:r w:rsidRPr="00EB5B1D">
              <w:rPr>
                <w:sz w:val="20"/>
              </w:rPr>
              <w:t>126-72-7</w:t>
            </w:r>
          </w:p>
        </w:tc>
        <w:tc>
          <w:tcPr>
            <w:tcW w:w="705" w:type="pct"/>
            <w:shd w:val="clear" w:color="auto" w:fill="auto"/>
          </w:tcPr>
          <w:p w:rsidR="000200B2" w:rsidRPr="00EB5B1D" w:rsidRDefault="000200B2" w:rsidP="000220B2">
            <w:pPr>
              <w:snapToGrid w:val="0"/>
              <w:spacing w:before="40" w:after="40"/>
              <w:rPr>
                <w:sz w:val="20"/>
              </w:rPr>
            </w:pPr>
            <w:r w:rsidRPr="00EB5B1D">
              <w:rPr>
                <w:sz w:val="20"/>
              </w:rPr>
              <w:t>Industrial</w:t>
            </w:r>
          </w:p>
        </w:tc>
        <w:tc>
          <w:tcPr>
            <w:tcW w:w="1505" w:type="pct"/>
            <w:shd w:val="clear" w:color="auto" w:fill="auto"/>
          </w:tcPr>
          <w:p w:rsidR="000200B2" w:rsidRPr="00EB5B1D" w:rsidRDefault="000200B2" w:rsidP="000220B2">
            <w:pPr>
              <w:snapToGrid w:val="0"/>
              <w:spacing w:before="40" w:after="40"/>
              <w:rPr>
                <w:sz w:val="20"/>
                <w:lang w:val="fr-CH"/>
              </w:rPr>
            </w:pPr>
            <w:r w:rsidRPr="00EB5B1D">
              <w:rPr>
                <w:sz w:val="20"/>
                <w:lang w:val="fr-CH"/>
              </w:rPr>
              <w:t xml:space="preserve">Antes de </w:t>
            </w:r>
            <w:proofErr w:type="gramStart"/>
            <w:r w:rsidRPr="00EB5B1D">
              <w:rPr>
                <w:sz w:val="20"/>
                <w:lang w:val="fr-CH"/>
              </w:rPr>
              <w:t>la adopción</w:t>
            </w:r>
            <w:proofErr w:type="gramEnd"/>
            <w:r w:rsidRPr="00EB5B1D">
              <w:rPr>
                <w:sz w:val="20"/>
                <w:lang w:val="fr-CH"/>
              </w:rPr>
              <w:t xml:space="preserve"> del Convenio</w:t>
            </w:r>
          </w:p>
        </w:tc>
      </w:tr>
    </w:tbl>
    <w:p w:rsidR="00340E2B" w:rsidRPr="00B25F01" w:rsidRDefault="0015567E" w:rsidP="00703DBB">
      <w:pPr>
        <w:pStyle w:val="H1PIC"/>
        <w:tabs>
          <w:tab w:val="clear" w:pos="9240"/>
          <w:tab w:val="left" w:pos="900"/>
        </w:tabs>
        <w:spacing w:before="120"/>
        <w:outlineLvl w:val="9"/>
        <w:rPr>
          <w:b w:val="0"/>
          <w:lang w:val="fr-CH"/>
        </w:rPr>
      </w:pPr>
      <w:bookmarkStart w:id="226" w:name="_Toc405798985"/>
      <w:bookmarkStart w:id="227" w:name="_Toc405800754"/>
      <w:bookmarkStart w:id="228" w:name="_Toc405887617"/>
      <w:bookmarkStart w:id="229" w:name="_Toc421544492"/>
      <w:bookmarkStart w:id="230" w:name="_Toc158029018"/>
      <w:bookmarkStart w:id="231" w:name="_Toc168731351"/>
      <w:bookmarkStart w:id="232" w:name="_Toc184545133"/>
      <w:bookmarkStart w:id="233" w:name="_Toc184545468"/>
      <w:r w:rsidRPr="00B25F01">
        <w:rPr>
          <w:b w:val="0"/>
          <w:sz w:val="18"/>
          <w:szCs w:val="18"/>
          <w:lang w:val="fr-CH"/>
        </w:rPr>
        <w:t>*</w:t>
      </w:r>
      <w:r w:rsidR="00063D1B" w:rsidRPr="00B25F01">
        <w:rPr>
          <w:b w:val="0"/>
          <w:sz w:val="18"/>
          <w:szCs w:val="18"/>
          <w:lang w:val="fr-CH"/>
        </w:rPr>
        <w:t xml:space="preserve"> Sólo se indican los números CAS de los compuestos precursores. La lista de los demás números CAS pertinentes se puede consultar en el documento de orientación para la adopción de decisiones pretinente</w:t>
      </w:r>
      <w:r w:rsidR="00BC73C4" w:rsidRPr="00B25F01">
        <w:rPr>
          <w:b w:val="0"/>
          <w:sz w:val="18"/>
          <w:szCs w:val="18"/>
          <w:lang w:val="fr-CH"/>
        </w:rPr>
        <w:t>.</w:t>
      </w:r>
      <w:bookmarkStart w:id="234" w:name="_Toc187484349"/>
      <w:bookmarkStart w:id="235" w:name="_Toc199906476"/>
      <w:bookmarkStart w:id="236" w:name="_Toc201032664"/>
      <w:bookmarkStart w:id="237" w:name="_Toc215915391"/>
      <w:bookmarkStart w:id="238" w:name="_Toc232307885"/>
      <w:bookmarkStart w:id="239" w:name="_Toc201032705"/>
      <w:bookmarkStart w:id="240" w:name="_Toc215915433"/>
      <w:bookmarkEnd w:id="226"/>
      <w:bookmarkEnd w:id="227"/>
      <w:bookmarkEnd w:id="228"/>
      <w:bookmarkEnd w:id="229"/>
      <w:bookmarkEnd w:id="230"/>
      <w:bookmarkEnd w:id="231"/>
      <w:bookmarkEnd w:id="232"/>
      <w:bookmarkEnd w:id="233"/>
    </w:p>
    <w:p w:rsidR="008A1D9E" w:rsidRPr="00EB5B1D" w:rsidRDefault="008A1D9E">
      <w:pPr>
        <w:rPr>
          <w:b/>
          <w:snapToGrid w:val="0"/>
          <w:szCs w:val="22"/>
          <w:lang w:val="fr-CH"/>
        </w:rPr>
        <w:sectPr w:rsidR="008A1D9E" w:rsidRPr="00EB5B1D" w:rsidSect="008A1D9E">
          <w:headerReference w:type="even" r:id="rId28"/>
          <w:headerReference w:type="default" r:id="rId29"/>
          <w:footerReference w:type="even" r:id="rId30"/>
          <w:pgSz w:w="11907" w:h="16839" w:code="9"/>
          <w:pgMar w:top="1134" w:right="1134" w:bottom="1134" w:left="1134" w:header="709" w:footer="277" w:gutter="0"/>
          <w:cols w:space="709"/>
          <w:docGrid w:linePitch="360"/>
        </w:sectPr>
      </w:pPr>
      <w:bookmarkStart w:id="241" w:name="_Toc248296441"/>
      <w:bookmarkStart w:id="242" w:name="_Toc248307677"/>
      <w:bookmarkStart w:id="243" w:name="_Toc263866404"/>
      <w:bookmarkStart w:id="244" w:name="_Toc264391975"/>
      <w:bookmarkStart w:id="245" w:name="_Toc264393122"/>
      <w:bookmarkStart w:id="246" w:name="_Toc327357868"/>
      <w:bookmarkStart w:id="247" w:name="_Toc405887618"/>
      <w:bookmarkStart w:id="248" w:name="_Toc421544493"/>
    </w:p>
    <w:p w:rsidR="00C042B0" w:rsidRPr="00EB5B1D" w:rsidRDefault="00A728CE" w:rsidP="007B68CF">
      <w:pPr>
        <w:tabs>
          <w:tab w:val="left" w:pos="9240"/>
        </w:tabs>
        <w:jc w:val="center"/>
        <w:outlineLvl w:val="0"/>
        <w:rPr>
          <w:b/>
          <w:snapToGrid w:val="0"/>
          <w:sz w:val="24"/>
          <w:lang w:val="fr-CH"/>
        </w:rPr>
      </w:pPr>
      <w:bookmarkStart w:id="249" w:name="_Toc468869220"/>
      <w:bookmarkStart w:id="250" w:name="_Toc468870504"/>
      <w:bookmarkStart w:id="251" w:name="_Toc469002215"/>
      <w:bookmarkStart w:id="252" w:name="_Toc469005876"/>
      <w:bookmarkStart w:id="253" w:name="_Toc469052713"/>
      <w:bookmarkStart w:id="254" w:name="_Toc484686663"/>
      <w:r w:rsidRPr="00EB5B1D">
        <w:rPr>
          <w:b/>
          <w:snapToGrid w:val="0"/>
          <w:sz w:val="24"/>
          <w:lang w:val="fr-CH"/>
        </w:rPr>
        <w:t>APÉNDICE</w:t>
      </w:r>
      <w:r w:rsidR="001F46B4" w:rsidRPr="00EB5B1D">
        <w:rPr>
          <w:b/>
          <w:snapToGrid w:val="0"/>
          <w:sz w:val="24"/>
          <w:lang w:val="fr-CH"/>
        </w:rPr>
        <w:t xml:space="preserve"> IV</w:t>
      </w:r>
      <w:bookmarkEnd w:id="234"/>
      <w:bookmarkEnd w:id="235"/>
      <w:bookmarkEnd w:id="236"/>
      <w:bookmarkEnd w:id="237"/>
      <w:bookmarkEnd w:id="238"/>
      <w:bookmarkEnd w:id="241"/>
      <w:bookmarkEnd w:id="242"/>
      <w:bookmarkEnd w:id="243"/>
      <w:bookmarkEnd w:id="244"/>
      <w:bookmarkEnd w:id="245"/>
      <w:bookmarkEnd w:id="249"/>
      <w:bookmarkEnd w:id="250"/>
      <w:bookmarkEnd w:id="251"/>
      <w:bookmarkEnd w:id="252"/>
      <w:bookmarkEnd w:id="253"/>
      <w:bookmarkEnd w:id="254"/>
    </w:p>
    <w:p w:rsidR="00C042B0" w:rsidRPr="00EB5B1D" w:rsidRDefault="00C042B0" w:rsidP="007B68CF">
      <w:pPr>
        <w:tabs>
          <w:tab w:val="left" w:pos="9240"/>
        </w:tabs>
        <w:jc w:val="center"/>
        <w:outlineLvl w:val="0"/>
        <w:rPr>
          <w:b/>
          <w:snapToGrid w:val="0"/>
          <w:sz w:val="24"/>
          <w:lang w:val="fr-CH"/>
        </w:rPr>
      </w:pPr>
    </w:p>
    <w:p w:rsidR="007B68CF" w:rsidRPr="00EB5B1D" w:rsidRDefault="00B34F25" w:rsidP="007B68CF">
      <w:pPr>
        <w:tabs>
          <w:tab w:val="left" w:pos="9240"/>
        </w:tabs>
        <w:jc w:val="center"/>
        <w:outlineLvl w:val="0"/>
        <w:rPr>
          <w:sz w:val="24"/>
          <w:lang w:val="fr-CH"/>
        </w:rPr>
      </w:pPr>
      <w:bookmarkStart w:id="255" w:name="_Toc484686664"/>
      <w:bookmarkEnd w:id="246"/>
      <w:bookmarkEnd w:id="247"/>
      <w:bookmarkEnd w:id="248"/>
      <w:r w:rsidRPr="00EB5B1D">
        <w:rPr>
          <w:b/>
          <w:bCs/>
          <w:sz w:val="24"/>
          <w:lang w:val="fr-CH"/>
        </w:rPr>
        <w:t>LISTA DE TODAS LAS RESPUESTAS SOBRE LA IMPORTACIÓN RECIBIDAS DE LAS PARTES Y CASOS DE INCUMPLIMIENTO EN LA PRESENTACION DE RESPUESTA</w:t>
      </w:r>
      <w:r w:rsidR="00017F65" w:rsidRPr="00EB5B1D">
        <w:rPr>
          <w:b/>
          <w:bCs/>
          <w:sz w:val="24"/>
          <w:lang w:val="fr-CH"/>
        </w:rPr>
        <w:t>S</w:t>
      </w:r>
      <w:bookmarkEnd w:id="255"/>
    </w:p>
    <w:p w:rsidR="00C042B0" w:rsidRPr="00EB5B1D" w:rsidRDefault="00C042B0" w:rsidP="007B68CF">
      <w:pPr>
        <w:jc w:val="both"/>
        <w:rPr>
          <w:szCs w:val="22"/>
          <w:lang w:val="fr-CH"/>
        </w:rPr>
      </w:pPr>
      <w:bookmarkStart w:id="256" w:name="OLE_LINK15"/>
    </w:p>
    <w:p w:rsidR="001B55DC" w:rsidRPr="00EB5B1D" w:rsidRDefault="001B55DC" w:rsidP="001B55DC">
      <w:pPr>
        <w:autoSpaceDE w:val="0"/>
        <w:autoSpaceDN w:val="0"/>
        <w:adjustRightInd w:val="0"/>
        <w:jc w:val="both"/>
        <w:rPr>
          <w:szCs w:val="22"/>
          <w:lang w:val="fr-CH"/>
        </w:rPr>
      </w:pPr>
      <w:r w:rsidRPr="00EB5B1D">
        <w:rPr>
          <w:szCs w:val="22"/>
          <w:lang w:val="fr-CH"/>
        </w:rPr>
        <w:t xml:space="preserve">El listado de todas las respuestas sobre las importaciones recibidas de las Partes y los casos de incumplimiento de presentación de las respuestas están disponibles como base de datos en línea en la página web del Convenio: </w:t>
      </w:r>
      <w:hyperlink r:id="rId31" w:history="1">
        <w:r w:rsidR="000D7688" w:rsidRPr="00EB5B1D">
          <w:rPr>
            <w:rStyle w:val="Hyperlink"/>
            <w:color w:val="auto"/>
            <w:szCs w:val="22"/>
            <w:lang w:val="es-ES"/>
          </w:rPr>
          <w:t>www.pic.int/tabid/2011/Default.aspx</w:t>
        </w:r>
      </w:hyperlink>
      <w:r w:rsidR="000D7688" w:rsidRPr="00EB5B1D">
        <w:rPr>
          <w:szCs w:val="22"/>
          <w:lang w:val="fr-CH"/>
        </w:rPr>
        <w:t>.</w:t>
      </w:r>
    </w:p>
    <w:p w:rsidR="001B55DC" w:rsidRPr="00EB5B1D" w:rsidRDefault="001B55DC" w:rsidP="001B55DC">
      <w:pPr>
        <w:autoSpaceDE w:val="0"/>
        <w:autoSpaceDN w:val="0"/>
        <w:adjustRightInd w:val="0"/>
        <w:jc w:val="both"/>
        <w:rPr>
          <w:szCs w:val="22"/>
          <w:lang w:val="fr-CH"/>
        </w:rPr>
      </w:pPr>
    </w:p>
    <w:p w:rsidR="001B55DC" w:rsidRPr="00EB5B1D" w:rsidRDefault="001B55DC" w:rsidP="001B55DC">
      <w:pPr>
        <w:autoSpaceDE w:val="0"/>
        <w:autoSpaceDN w:val="0"/>
        <w:adjustRightInd w:val="0"/>
        <w:jc w:val="both"/>
        <w:rPr>
          <w:szCs w:val="22"/>
          <w:lang w:val="fr-CH"/>
        </w:rPr>
      </w:pPr>
      <w:r w:rsidRPr="00EB5B1D">
        <w:rPr>
          <w:szCs w:val="22"/>
          <w:lang w:val="fr-CH"/>
        </w:rPr>
        <w:t xml:space="preserve">La base de datos </w:t>
      </w:r>
      <w:r w:rsidR="003045C5" w:rsidRPr="00EB5B1D">
        <w:rPr>
          <w:szCs w:val="22"/>
          <w:lang w:val="es-ES_tradnl"/>
        </w:rPr>
        <w:t>en línea se presenta bajo</w:t>
      </w:r>
      <w:r w:rsidR="003045C5" w:rsidRPr="00EB5B1D">
        <w:rPr>
          <w:szCs w:val="22"/>
          <w:lang w:val="fr-CH"/>
        </w:rPr>
        <w:t xml:space="preserve"> </w:t>
      </w:r>
      <w:r w:rsidR="003045C5" w:rsidRPr="00EB5B1D">
        <w:rPr>
          <w:szCs w:val="22"/>
          <w:lang w:val="es-ES_tradnl"/>
        </w:rPr>
        <w:t>cuatro pestañas</w:t>
      </w:r>
      <w:r w:rsidRPr="00EB5B1D">
        <w:rPr>
          <w:szCs w:val="22"/>
          <w:lang w:val="fr-CH"/>
        </w:rPr>
        <w:t>:</w:t>
      </w:r>
    </w:p>
    <w:p w:rsidR="001B55DC" w:rsidRPr="00EB5B1D" w:rsidRDefault="00A91F14" w:rsidP="00494FD5">
      <w:pPr>
        <w:pStyle w:val="ListParagraph"/>
        <w:numPr>
          <w:ilvl w:val="0"/>
          <w:numId w:val="3"/>
        </w:numPr>
        <w:autoSpaceDE w:val="0"/>
        <w:autoSpaceDN w:val="0"/>
        <w:adjustRightInd w:val="0"/>
        <w:jc w:val="both"/>
        <w:rPr>
          <w:szCs w:val="22"/>
          <w:lang w:val="fr-CH"/>
        </w:rPr>
      </w:pPr>
      <w:r w:rsidRPr="00EB5B1D">
        <w:rPr>
          <w:szCs w:val="22"/>
          <w:lang w:val="fr-CH"/>
        </w:rPr>
        <w:t xml:space="preserve">Respuestas </w:t>
      </w:r>
      <w:proofErr w:type="gramStart"/>
      <w:r w:rsidRPr="00EB5B1D">
        <w:rPr>
          <w:szCs w:val="22"/>
          <w:lang w:val="fr-CH"/>
        </w:rPr>
        <w:t>de importación</w:t>
      </w:r>
      <w:proofErr w:type="gramEnd"/>
      <w:r w:rsidRPr="00EB5B1D">
        <w:rPr>
          <w:szCs w:val="22"/>
          <w:lang w:val="fr-CH"/>
        </w:rPr>
        <w:t xml:space="preserve"> recientemente emitidas</w:t>
      </w:r>
      <w:r w:rsidR="001B55DC" w:rsidRPr="00EB5B1D">
        <w:rPr>
          <w:szCs w:val="22"/>
          <w:lang w:val="fr-CH"/>
        </w:rPr>
        <w:t>;</w:t>
      </w:r>
    </w:p>
    <w:p w:rsidR="001B55DC" w:rsidRPr="00EB5B1D" w:rsidRDefault="00A91F14" w:rsidP="00494FD5">
      <w:pPr>
        <w:pStyle w:val="ListParagraph"/>
        <w:numPr>
          <w:ilvl w:val="0"/>
          <w:numId w:val="3"/>
        </w:numPr>
        <w:autoSpaceDE w:val="0"/>
        <w:autoSpaceDN w:val="0"/>
        <w:adjustRightInd w:val="0"/>
        <w:jc w:val="both"/>
        <w:rPr>
          <w:szCs w:val="22"/>
          <w:lang w:val="fr-CH"/>
        </w:rPr>
      </w:pPr>
      <w:r w:rsidRPr="00EB5B1D">
        <w:rPr>
          <w:szCs w:val="22"/>
          <w:lang w:val="fr-CH"/>
        </w:rPr>
        <w:t>Respuestas de importación por cada Parte</w:t>
      </w:r>
      <w:r w:rsidR="001B55DC" w:rsidRPr="00EB5B1D">
        <w:rPr>
          <w:szCs w:val="22"/>
          <w:lang w:val="fr-CH"/>
        </w:rPr>
        <w:t>;</w:t>
      </w:r>
    </w:p>
    <w:p w:rsidR="001B55DC" w:rsidRPr="00EB5B1D" w:rsidRDefault="00A91F14" w:rsidP="00494FD5">
      <w:pPr>
        <w:pStyle w:val="ListParagraph"/>
        <w:numPr>
          <w:ilvl w:val="0"/>
          <w:numId w:val="3"/>
        </w:numPr>
        <w:autoSpaceDE w:val="0"/>
        <w:autoSpaceDN w:val="0"/>
        <w:adjustRightInd w:val="0"/>
        <w:jc w:val="both"/>
        <w:rPr>
          <w:szCs w:val="22"/>
          <w:lang w:val="fr-CH"/>
        </w:rPr>
      </w:pPr>
      <w:r w:rsidRPr="00EB5B1D">
        <w:rPr>
          <w:szCs w:val="22"/>
          <w:lang w:val="fr-CH"/>
        </w:rPr>
        <w:t xml:space="preserve">Respuestas </w:t>
      </w:r>
      <w:proofErr w:type="gramStart"/>
      <w:r w:rsidRPr="00EB5B1D">
        <w:rPr>
          <w:szCs w:val="22"/>
          <w:lang w:val="fr-CH"/>
        </w:rPr>
        <w:t>de importación</w:t>
      </w:r>
      <w:proofErr w:type="gramEnd"/>
      <w:r w:rsidRPr="00EB5B1D">
        <w:rPr>
          <w:szCs w:val="22"/>
          <w:lang w:val="fr-CH"/>
        </w:rPr>
        <w:t xml:space="preserve"> por producto químico</w:t>
      </w:r>
      <w:r w:rsidR="001B55DC" w:rsidRPr="00EB5B1D">
        <w:rPr>
          <w:szCs w:val="22"/>
          <w:lang w:val="fr-CH"/>
        </w:rPr>
        <w:t>;</w:t>
      </w:r>
    </w:p>
    <w:p w:rsidR="001B55DC" w:rsidRPr="00EB5B1D" w:rsidRDefault="00A91F14" w:rsidP="00494FD5">
      <w:pPr>
        <w:pStyle w:val="ListParagraph"/>
        <w:numPr>
          <w:ilvl w:val="0"/>
          <w:numId w:val="3"/>
        </w:numPr>
        <w:autoSpaceDE w:val="0"/>
        <w:autoSpaceDN w:val="0"/>
        <w:adjustRightInd w:val="0"/>
        <w:jc w:val="both"/>
        <w:rPr>
          <w:szCs w:val="22"/>
          <w:lang w:val="fr-CH"/>
        </w:rPr>
      </w:pPr>
      <w:r w:rsidRPr="00EB5B1D">
        <w:rPr>
          <w:szCs w:val="22"/>
          <w:lang w:val="fr-CH"/>
        </w:rPr>
        <w:t xml:space="preserve">Casos </w:t>
      </w:r>
      <w:proofErr w:type="gramStart"/>
      <w:r w:rsidRPr="00EB5B1D">
        <w:rPr>
          <w:szCs w:val="22"/>
          <w:lang w:val="fr-CH"/>
        </w:rPr>
        <w:t>de incumplimiento</w:t>
      </w:r>
      <w:proofErr w:type="gramEnd"/>
      <w:r w:rsidRPr="00EB5B1D">
        <w:rPr>
          <w:szCs w:val="22"/>
          <w:lang w:val="fr-CH"/>
        </w:rPr>
        <w:t xml:space="preserve"> de las respuestas</w:t>
      </w:r>
      <w:r w:rsidR="001B55DC" w:rsidRPr="00EB5B1D">
        <w:rPr>
          <w:szCs w:val="22"/>
          <w:lang w:val="fr-CH"/>
        </w:rPr>
        <w:t>.</w:t>
      </w:r>
    </w:p>
    <w:p w:rsidR="001B55DC" w:rsidRPr="00EB5B1D" w:rsidRDefault="001B55DC" w:rsidP="001B55DC">
      <w:pPr>
        <w:autoSpaceDE w:val="0"/>
        <w:autoSpaceDN w:val="0"/>
        <w:adjustRightInd w:val="0"/>
        <w:jc w:val="both"/>
        <w:rPr>
          <w:szCs w:val="22"/>
          <w:lang w:val="fr-CH"/>
        </w:rPr>
      </w:pPr>
    </w:p>
    <w:p w:rsidR="001B55DC" w:rsidRPr="00EB5B1D" w:rsidRDefault="001B55DC" w:rsidP="001B55DC">
      <w:pPr>
        <w:autoSpaceDE w:val="0"/>
        <w:autoSpaceDN w:val="0"/>
        <w:adjustRightInd w:val="0"/>
        <w:jc w:val="both"/>
        <w:rPr>
          <w:szCs w:val="22"/>
          <w:lang w:val="fr-CH"/>
        </w:rPr>
      </w:pPr>
      <w:r w:rsidRPr="00EB5B1D">
        <w:rPr>
          <w:szCs w:val="22"/>
          <w:lang w:val="fr-CH"/>
        </w:rPr>
        <w:t xml:space="preserve">Las nuevas respuestas de importación recibidas desde la última circular CFP (entre el 1 de </w:t>
      </w:r>
      <w:r w:rsidR="00FA1104" w:rsidRPr="00EB5B1D">
        <w:rPr>
          <w:szCs w:val="22"/>
          <w:lang w:val="fr-CH"/>
        </w:rPr>
        <w:t xml:space="preserve">noviembre </w:t>
      </w:r>
      <w:r w:rsidRPr="00EB5B1D">
        <w:rPr>
          <w:szCs w:val="22"/>
          <w:lang w:val="fr-CH"/>
        </w:rPr>
        <w:t xml:space="preserve">de 2016 y el </w:t>
      </w:r>
      <w:r w:rsidR="00FA1104" w:rsidRPr="00EB5B1D">
        <w:rPr>
          <w:szCs w:val="22"/>
          <w:lang w:val="fr-CH"/>
        </w:rPr>
        <w:t>30 de abril de 2017</w:t>
      </w:r>
      <w:r w:rsidRPr="00EB5B1D">
        <w:rPr>
          <w:szCs w:val="22"/>
          <w:lang w:val="fr-CH"/>
        </w:rPr>
        <w:t xml:space="preserve">) se pueden consultar en </w:t>
      </w:r>
      <w:r w:rsidR="003045C5" w:rsidRPr="00EB5B1D">
        <w:rPr>
          <w:szCs w:val="22"/>
          <w:lang w:val="es-ES_tradnl"/>
        </w:rPr>
        <w:t>la primera pestaña</w:t>
      </w:r>
      <w:r w:rsidRPr="00EB5B1D">
        <w:rPr>
          <w:szCs w:val="22"/>
          <w:lang w:val="fr-CH"/>
        </w:rPr>
        <w:t xml:space="preserve"> </w:t>
      </w:r>
      <w:r w:rsidR="00407D2A" w:rsidRPr="00EB5B1D">
        <w:rPr>
          <w:szCs w:val="22"/>
          <w:lang w:val="fr-CH"/>
        </w:rPr>
        <w:t>“</w:t>
      </w:r>
      <w:r w:rsidRPr="00EB5B1D">
        <w:rPr>
          <w:szCs w:val="22"/>
          <w:lang w:val="fr-CH"/>
        </w:rPr>
        <w:t>Respuestas de importación recientemente emitidas</w:t>
      </w:r>
      <w:r w:rsidR="00407D2A" w:rsidRPr="00EB5B1D">
        <w:rPr>
          <w:szCs w:val="22"/>
          <w:lang w:val="fr-CH"/>
        </w:rPr>
        <w:t>”</w:t>
      </w:r>
      <w:r w:rsidRPr="00EB5B1D">
        <w:rPr>
          <w:szCs w:val="22"/>
          <w:lang w:val="fr-CH"/>
        </w:rPr>
        <w:t xml:space="preserve">. El </w:t>
      </w:r>
      <w:r w:rsidR="003045C5" w:rsidRPr="00EB5B1D">
        <w:rPr>
          <w:szCs w:val="22"/>
          <w:lang w:val="es-ES_tradnl"/>
        </w:rPr>
        <w:t>panorama general</w:t>
      </w:r>
      <w:r w:rsidR="003045C5" w:rsidRPr="00EB5B1D">
        <w:rPr>
          <w:szCs w:val="22"/>
          <w:lang w:val="fr-CH"/>
        </w:rPr>
        <w:t xml:space="preserve"> </w:t>
      </w:r>
      <w:r w:rsidRPr="00EB5B1D">
        <w:rPr>
          <w:szCs w:val="22"/>
          <w:lang w:val="fr-CH"/>
        </w:rPr>
        <w:t xml:space="preserve">de esas nuevas respuestas </w:t>
      </w:r>
      <w:proofErr w:type="gramStart"/>
      <w:r w:rsidRPr="00EB5B1D">
        <w:rPr>
          <w:szCs w:val="22"/>
          <w:lang w:val="fr-CH"/>
        </w:rPr>
        <w:t>de importación</w:t>
      </w:r>
      <w:proofErr w:type="gramEnd"/>
      <w:r w:rsidRPr="00EB5B1D">
        <w:rPr>
          <w:szCs w:val="22"/>
          <w:lang w:val="fr-CH"/>
        </w:rPr>
        <w:t xml:space="preserve"> está disponible en este apéndice.</w:t>
      </w:r>
    </w:p>
    <w:p w:rsidR="001B55DC" w:rsidRPr="00EB5B1D" w:rsidRDefault="001B55DC" w:rsidP="001B55DC">
      <w:pPr>
        <w:autoSpaceDE w:val="0"/>
        <w:autoSpaceDN w:val="0"/>
        <w:adjustRightInd w:val="0"/>
        <w:jc w:val="both"/>
        <w:rPr>
          <w:szCs w:val="22"/>
          <w:lang w:val="fr-CH"/>
        </w:rPr>
      </w:pPr>
    </w:p>
    <w:p w:rsidR="001B55DC" w:rsidRPr="00EB5B1D" w:rsidRDefault="003045C5" w:rsidP="001B55DC">
      <w:pPr>
        <w:autoSpaceDE w:val="0"/>
        <w:autoSpaceDN w:val="0"/>
        <w:adjustRightInd w:val="0"/>
        <w:jc w:val="both"/>
        <w:rPr>
          <w:szCs w:val="22"/>
          <w:lang w:val="fr-CH"/>
        </w:rPr>
      </w:pPr>
      <w:r w:rsidRPr="00EB5B1D">
        <w:rPr>
          <w:szCs w:val="22"/>
          <w:lang w:val="es-ES_tradnl"/>
        </w:rPr>
        <w:t>Todas las respuestas de importación pueden ser consultadas e</w:t>
      </w:r>
      <w:r w:rsidR="001B55DC" w:rsidRPr="00EB5B1D">
        <w:rPr>
          <w:szCs w:val="22"/>
          <w:lang w:val="fr-CH"/>
        </w:rPr>
        <w:t xml:space="preserve">n </w:t>
      </w:r>
      <w:r w:rsidRPr="00EB5B1D">
        <w:rPr>
          <w:szCs w:val="22"/>
          <w:lang w:val="fr-CH"/>
        </w:rPr>
        <w:t>la</w:t>
      </w:r>
      <w:r w:rsidR="001B55DC" w:rsidRPr="00EB5B1D">
        <w:rPr>
          <w:szCs w:val="22"/>
          <w:lang w:val="fr-CH"/>
        </w:rPr>
        <w:t xml:space="preserve"> segund</w:t>
      </w:r>
      <w:r w:rsidRPr="00EB5B1D">
        <w:rPr>
          <w:szCs w:val="22"/>
          <w:lang w:val="fr-CH"/>
        </w:rPr>
        <w:t>a</w:t>
      </w:r>
      <w:r w:rsidR="001B55DC" w:rsidRPr="00EB5B1D">
        <w:rPr>
          <w:szCs w:val="22"/>
          <w:lang w:val="fr-CH"/>
        </w:rPr>
        <w:t xml:space="preserve"> </w:t>
      </w:r>
      <w:r w:rsidRPr="00EB5B1D">
        <w:rPr>
          <w:szCs w:val="22"/>
          <w:lang w:val="es-ES_tradnl"/>
        </w:rPr>
        <w:t>pestaña</w:t>
      </w:r>
      <w:r w:rsidR="001B55DC" w:rsidRPr="00EB5B1D">
        <w:rPr>
          <w:szCs w:val="22"/>
          <w:lang w:val="fr-CH"/>
        </w:rPr>
        <w:t xml:space="preserve"> </w:t>
      </w:r>
      <w:r w:rsidR="00407D2A" w:rsidRPr="00EB5B1D">
        <w:rPr>
          <w:szCs w:val="22"/>
          <w:lang w:val="fr-CH"/>
        </w:rPr>
        <w:t>“</w:t>
      </w:r>
      <w:r w:rsidR="001B55DC" w:rsidRPr="00EB5B1D">
        <w:rPr>
          <w:szCs w:val="22"/>
          <w:lang w:val="fr-CH"/>
        </w:rPr>
        <w:t>Respuestas de importación por cada Parte</w:t>
      </w:r>
      <w:r w:rsidR="00407D2A" w:rsidRPr="00EB5B1D">
        <w:rPr>
          <w:szCs w:val="22"/>
          <w:lang w:val="fr-CH"/>
        </w:rPr>
        <w:t>”</w:t>
      </w:r>
      <w:r w:rsidR="001B55DC" w:rsidRPr="00EB5B1D">
        <w:rPr>
          <w:szCs w:val="22"/>
          <w:lang w:val="fr-CH"/>
        </w:rPr>
        <w:t xml:space="preserve"> o en </w:t>
      </w:r>
      <w:r w:rsidRPr="00EB5B1D">
        <w:rPr>
          <w:szCs w:val="22"/>
          <w:lang w:val="fr-CH"/>
        </w:rPr>
        <w:t>la</w:t>
      </w:r>
      <w:r w:rsidR="001B55DC" w:rsidRPr="00EB5B1D">
        <w:rPr>
          <w:szCs w:val="22"/>
          <w:lang w:val="fr-CH"/>
        </w:rPr>
        <w:t xml:space="preserve"> tercer</w:t>
      </w:r>
      <w:r w:rsidRPr="00EB5B1D">
        <w:rPr>
          <w:szCs w:val="22"/>
          <w:lang w:val="fr-CH"/>
        </w:rPr>
        <w:t xml:space="preserve">a </w:t>
      </w:r>
      <w:r w:rsidRPr="00EB5B1D">
        <w:rPr>
          <w:szCs w:val="22"/>
          <w:lang w:val="es-ES_tradnl"/>
        </w:rPr>
        <w:t>pestaña</w:t>
      </w:r>
      <w:r w:rsidR="001B55DC" w:rsidRPr="00EB5B1D">
        <w:rPr>
          <w:szCs w:val="22"/>
          <w:lang w:val="fr-CH"/>
        </w:rPr>
        <w:t xml:space="preserve"> </w:t>
      </w:r>
      <w:r w:rsidR="00407D2A" w:rsidRPr="00EB5B1D">
        <w:rPr>
          <w:szCs w:val="22"/>
          <w:lang w:val="fr-CH"/>
        </w:rPr>
        <w:t>“</w:t>
      </w:r>
      <w:r w:rsidR="001B55DC" w:rsidRPr="00EB5B1D">
        <w:rPr>
          <w:szCs w:val="22"/>
          <w:lang w:val="fr-CH"/>
        </w:rPr>
        <w:t>Respuestas de importación por producto químico</w:t>
      </w:r>
      <w:r w:rsidR="00407D2A" w:rsidRPr="00EB5B1D">
        <w:rPr>
          <w:szCs w:val="22"/>
          <w:lang w:val="fr-CH"/>
        </w:rPr>
        <w:t>”</w:t>
      </w:r>
      <w:r w:rsidR="001B55DC" w:rsidRPr="00EB5B1D">
        <w:rPr>
          <w:szCs w:val="22"/>
          <w:lang w:val="fr-CH"/>
        </w:rPr>
        <w:t>.</w:t>
      </w:r>
    </w:p>
    <w:p w:rsidR="001B55DC" w:rsidRPr="00EB5B1D" w:rsidRDefault="001B55DC" w:rsidP="001B55DC">
      <w:pPr>
        <w:autoSpaceDE w:val="0"/>
        <w:autoSpaceDN w:val="0"/>
        <w:adjustRightInd w:val="0"/>
        <w:jc w:val="both"/>
        <w:rPr>
          <w:szCs w:val="22"/>
          <w:lang w:val="fr-CH"/>
        </w:rPr>
      </w:pPr>
    </w:p>
    <w:p w:rsidR="00841110" w:rsidRPr="00EB5B1D" w:rsidRDefault="003045C5" w:rsidP="001B55DC">
      <w:pPr>
        <w:autoSpaceDE w:val="0"/>
        <w:autoSpaceDN w:val="0"/>
        <w:adjustRightInd w:val="0"/>
        <w:jc w:val="both"/>
        <w:rPr>
          <w:szCs w:val="22"/>
          <w:lang w:val="fr-CH"/>
        </w:rPr>
      </w:pPr>
      <w:r w:rsidRPr="00EB5B1D">
        <w:rPr>
          <w:szCs w:val="22"/>
          <w:lang w:val="fr-CH"/>
        </w:rPr>
        <w:t xml:space="preserve">En la cuarta </w:t>
      </w:r>
      <w:r w:rsidRPr="00EB5B1D">
        <w:rPr>
          <w:szCs w:val="22"/>
          <w:lang w:val="es-ES_tradnl"/>
        </w:rPr>
        <w:t>pestaña</w:t>
      </w:r>
      <w:r w:rsidR="001B55DC" w:rsidRPr="00EB5B1D">
        <w:rPr>
          <w:szCs w:val="22"/>
          <w:lang w:val="fr-CH"/>
        </w:rPr>
        <w:t xml:space="preserve">, </w:t>
      </w:r>
      <w:r w:rsidR="00407D2A" w:rsidRPr="00EB5B1D">
        <w:rPr>
          <w:szCs w:val="22"/>
          <w:lang w:val="fr-CH"/>
        </w:rPr>
        <w:t>“</w:t>
      </w:r>
      <w:r w:rsidR="001B55DC" w:rsidRPr="00EB5B1D">
        <w:rPr>
          <w:szCs w:val="22"/>
          <w:lang w:val="fr-CH"/>
        </w:rPr>
        <w:t>Casos de incumplimiento de las respuestas</w:t>
      </w:r>
      <w:r w:rsidR="00407D2A" w:rsidRPr="00EB5B1D">
        <w:rPr>
          <w:szCs w:val="22"/>
          <w:lang w:val="fr-CH"/>
        </w:rPr>
        <w:t>”</w:t>
      </w:r>
      <w:r w:rsidR="001B55DC" w:rsidRPr="00EB5B1D">
        <w:rPr>
          <w:szCs w:val="22"/>
          <w:lang w:val="fr-CH"/>
        </w:rPr>
        <w:t xml:space="preserve">, se puede consultar la lista de las Partes que no han presentado una respuesta respecto a la futura importación de un producto químico en el plazo de 9 meses a partir de la fecha de envío del </w:t>
      </w:r>
      <w:r w:rsidR="00E21FF0" w:rsidRPr="00EB5B1D">
        <w:rPr>
          <w:szCs w:val="22"/>
          <w:lang w:val="fr-CH"/>
        </w:rPr>
        <w:t>d</w:t>
      </w:r>
      <w:r w:rsidR="001B55DC" w:rsidRPr="00EB5B1D">
        <w:rPr>
          <w:szCs w:val="22"/>
          <w:lang w:val="fr-CH"/>
        </w:rPr>
        <w:t xml:space="preserve">ocumento de </w:t>
      </w:r>
      <w:r w:rsidR="00E21FF0" w:rsidRPr="00EB5B1D">
        <w:rPr>
          <w:szCs w:val="22"/>
          <w:lang w:val="fr-CH"/>
        </w:rPr>
        <w:t>o</w:t>
      </w:r>
      <w:r w:rsidR="001B55DC" w:rsidRPr="00EB5B1D">
        <w:rPr>
          <w:szCs w:val="22"/>
          <w:lang w:val="fr-CH"/>
        </w:rPr>
        <w:t xml:space="preserve">rientación para la </w:t>
      </w:r>
      <w:r w:rsidR="00E21FF0" w:rsidRPr="00EB5B1D">
        <w:rPr>
          <w:szCs w:val="22"/>
          <w:lang w:val="fr-CH"/>
        </w:rPr>
        <w:t>a</w:t>
      </w:r>
      <w:r w:rsidR="001B55DC" w:rsidRPr="00EB5B1D">
        <w:rPr>
          <w:szCs w:val="22"/>
          <w:lang w:val="fr-CH"/>
        </w:rPr>
        <w:t xml:space="preserve">dopción de </w:t>
      </w:r>
      <w:r w:rsidR="00E21FF0" w:rsidRPr="00EB5B1D">
        <w:rPr>
          <w:szCs w:val="22"/>
          <w:lang w:val="fr-CH"/>
        </w:rPr>
        <w:t>d</w:t>
      </w:r>
      <w:r w:rsidR="001B55DC" w:rsidRPr="00EB5B1D">
        <w:rPr>
          <w:szCs w:val="22"/>
          <w:lang w:val="fr-CH"/>
        </w:rPr>
        <w:t xml:space="preserve">ecisiones. También </w:t>
      </w:r>
      <w:r w:rsidRPr="00EB5B1D">
        <w:rPr>
          <w:szCs w:val="22"/>
          <w:lang w:val="fr-CH"/>
        </w:rPr>
        <w:t xml:space="preserve">se </w:t>
      </w:r>
      <w:r w:rsidR="001B55DC" w:rsidRPr="00EB5B1D">
        <w:rPr>
          <w:szCs w:val="22"/>
          <w:lang w:val="fr-CH"/>
        </w:rPr>
        <w:t>incluye la fecha en que la Secretaría informó, por vez primera, a todas las Partes, por medio de la publicación en la Circular CFP, de los casos de incumplimiento de presentación de una respuesta.</w:t>
      </w:r>
    </w:p>
    <w:p w:rsidR="00841110" w:rsidRPr="00EB5B1D" w:rsidRDefault="00841110" w:rsidP="007B68CF">
      <w:pPr>
        <w:autoSpaceDE w:val="0"/>
        <w:autoSpaceDN w:val="0"/>
        <w:adjustRightInd w:val="0"/>
        <w:jc w:val="both"/>
        <w:rPr>
          <w:szCs w:val="22"/>
          <w:lang w:val="fr-CH"/>
        </w:rPr>
      </w:pPr>
    </w:p>
    <w:p w:rsidR="0048365F" w:rsidRPr="00EB5B1D" w:rsidRDefault="0048365F">
      <w:pPr>
        <w:rPr>
          <w:szCs w:val="22"/>
          <w:lang w:val="fr-CH"/>
        </w:rPr>
      </w:pPr>
      <w:r w:rsidRPr="00EB5B1D">
        <w:rPr>
          <w:szCs w:val="22"/>
          <w:lang w:val="fr-CH"/>
        </w:rPr>
        <w:br w:type="page"/>
      </w:r>
    </w:p>
    <w:p w:rsidR="007B68CF" w:rsidRPr="00EB5B1D" w:rsidRDefault="00195E47" w:rsidP="00841110">
      <w:pPr>
        <w:jc w:val="center"/>
        <w:outlineLvl w:val="1"/>
        <w:rPr>
          <w:b/>
          <w:sz w:val="24"/>
          <w:lang w:val="fr-CH" w:eastAsia="en-US"/>
        </w:rPr>
      </w:pPr>
      <w:bookmarkStart w:id="257" w:name="_Toc469002217"/>
      <w:bookmarkStart w:id="258" w:name="_Toc469005878"/>
      <w:bookmarkStart w:id="259" w:name="_Toc469052715"/>
      <w:bookmarkStart w:id="260" w:name="_Toc484686665"/>
      <w:bookmarkEnd w:id="256"/>
      <w:r w:rsidRPr="00EB5B1D">
        <w:rPr>
          <w:b/>
          <w:sz w:val="24"/>
          <w:lang w:val="fr-CH" w:eastAsia="en-US"/>
        </w:rPr>
        <w:t>PANORAMA GENERAL DE LAS RESPUESTAS DE PAÍSES IMPORTADORES RECIBIDAS DESDE LA ÚLTIMA CIRCULAR CFP</w:t>
      </w:r>
      <w:bookmarkEnd w:id="257"/>
      <w:bookmarkEnd w:id="258"/>
      <w:bookmarkEnd w:id="259"/>
      <w:bookmarkEnd w:id="260"/>
    </w:p>
    <w:p w:rsidR="00B652B8" w:rsidRPr="00EB5B1D" w:rsidRDefault="00B652B8" w:rsidP="00B652B8">
      <w:pPr>
        <w:rPr>
          <w:lang w:val="fr-CH"/>
        </w:rPr>
      </w:pPr>
    </w:p>
    <w:p w:rsidR="00B652B8" w:rsidRPr="00EB5B1D" w:rsidRDefault="00B652B8" w:rsidP="00B652B8">
      <w:pPr>
        <w:rPr>
          <w:lang w:val="fr-CH"/>
        </w:rPr>
      </w:pPr>
    </w:p>
    <w:p w:rsidR="00B652B8" w:rsidRPr="00EB5B1D" w:rsidRDefault="00B652B8" w:rsidP="00B652B8">
      <w:pPr>
        <w:rPr>
          <w:lang w:val="fr-CH"/>
        </w:rPr>
        <w:sectPr w:rsidR="00B652B8" w:rsidRPr="00EB5B1D" w:rsidSect="008A1D9E">
          <w:headerReference w:type="default" r:id="rId32"/>
          <w:pgSz w:w="11907" w:h="16839" w:code="9"/>
          <w:pgMar w:top="1134" w:right="1134" w:bottom="1134" w:left="1134" w:header="709" w:footer="277" w:gutter="0"/>
          <w:cols w:space="709"/>
          <w:docGrid w:linePitch="360"/>
        </w:sectPr>
      </w:pPr>
    </w:p>
    <w:tbl>
      <w:tblPr>
        <w:tblW w:w="4126" w:type="dxa"/>
        <w:tblInd w:w="93" w:type="dxa"/>
        <w:tblLook w:val="04A0" w:firstRow="1" w:lastRow="0" w:firstColumn="1" w:lastColumn="0" w:noHBand="0" w:noVBand="1"/>
      </w:tblPr>
      <w:tblGrid>
        <w:gridCol w:w="3975"/>
        <w:gridCol w:w="151"/>
      </w:tblGrid>
      <w:tr w:rsidR="00195E47" w:rsidRPr="00EB5B1D" w:rsidTr="005228C1">
        <w:trPr>
          <w:gridAfter w:val="1"/>
          <w:wAfter w:w="151" w:type="dxa"/>
          <w:trHeight w:val="300"/>
        </w:trPr>
        <w:tc>
          <w:tcPr>
            <w:tcW w:w="3975" w:type="dxa"/>
            <w:tcBorders>
              <w:top w:val="nil"/>
              <w:left w:val="nil"/>
              <w:bottom w:val="nil"/>
              <w:right w:val="nil"/>
            </w:tcBorders>
            <w:shd w:val="clear" w:color="auto" w:fill="auto"/>
            <w:vAlign w:val="bottom"/>
            <w:hideMark/>
          </w:tcPr>
          <w:p w:rsidR="00195E47" w:rsidRPr="00EB5B1D" w:rsidRDefault="00195E47" w:rsidP="00221B40">
            <w:pPr>
              <w:snapToGrid w:val="0"/>
              <w:spacing w:after="120"/>
              <w:rPr>
                <w:b/>
                <w:bCs/>
                <w:sz w:val="28"/>
                <w:szCs w:val="28"/>
                <w:lang w:val="es-ES_tradnl" w:eastAsia="en-US"/>
              </w:rPr>
            </w:pPr>
            <w:r w:rsidRPr="00EB5B1D">
              <w:rPr>
                <w:b/>
                <w:bCs/>
                <w:sz w:val="28"/>
                <w:szCs w:val="28"/>
                <w:lang w:val="es-ES_tradnl" w:eastAsia="en-US"/>
              </w:rPr>
              <w:t>Plaguicidas</w:t>
            </w:r>
          </w:p>
        </w:tc>
      </w:tr>
      <w:tr w:rsidR="00FA1104" w:rsidRPr="00985C05" w:rsidTr="00195E47">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es-ES_tradnl" w:eastAsia="fr-CH"/>
              </w:rPr>
            </w:pPr>
            <w:r w:rsidRPr="00EB5B1D">
              <w:rPr>
                <w:b/>
                <w:bCs/>
                <w:szCs w:val="22"/>
                <w:lang w:val="es-ES_tradnl" w:eastAsia="fr-CH"/>
              </w:rPr>
              <w:t>2,4,5-T y sus sales y ésteres</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195E47" w:rsidP="004632E4">
            <w:pPr>
              <w:snapToGrid w:val="0"/>
              <w:rPr>
                <w:szCs w:val="22"/>
                <w:lang w:val="fr-CH" w:eastAsia="fr-CH"/>
              </w:rPr>
            </w:pPr>
            <w:r w:rsidRPr="00EB5B1D">
              <w:rPr>
                <w:szCs w:val="22"/>
                <w:lang w:val="fr-CH" w:eastAsia="fr-CH"/>
              </w:rPr>
              <w:t>Armenia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fr-CH" w:eastAsia="fr-CH"/>
              </w:rPr>
            </w:pPr>
            <w:r w:rsidRPr="00EB5B1D">
              <w:rPr>
                <w:b/>
                <w:bCs/>
                <w:szCs w:val="22"/>
                <w:lang w:val="fr-CH" w:eastAsia="fr-CH"/>
              </w:rPr>
              <w:t>Alaclor</w:t>
            </w:r>
          </w:p>
        </w:tc>
      </w:tr>
      <w:tr w:rsidR="00FA1104" w:rsidRPr="00EB5B1D" w:rsidTr="005468BC">
        <w:tblPrEx>
          <w:tblCellMar>
            <w:left w:w="70" w:type="dxa"/>
            <w:right w:w="70" w:type="dxa"/>
          </w:tblCellMar>
        </w:tblPrEx>
        <w:trPr>
          <w:trHeight w:val="300"/>
        </w:trPr>
        <w:tc>
          <w:tcPr>
            <w:tcW w:w="4126" w:type="dxa"/>
            <w:gridSpan w:val="2"/>
            <w:tcBorders>
              <w:top w:val="nil"/>
              <w:left w:val="nil"/>
              <w:bottom w:val="nil"/>
              <w:right w:val="nil"/>
            </w:tcBorders>
            <w:shd w:val="clear" w:color="auto" w:fill="auto"/>
            <w:hideMark/>
          </w:tcPr>
          <w:p w:rsidR="00FA1104" w:rsidRPr="00EB5B1D" w:rsidRDefault="00FA1104" w:rsidP="004632E4">
            <w:pPr>
              <w:snapToGrid w:val="0"/>
              <w:rPr>
                <w:lang w:val="fr-CH" w:eastAsia="fr-CH"/>
              </w:rPr>
            </w:pPr>
            <w:r w:rsidRPr="00EB5B1D">
              <w:rPr>
                <w:szCs w:val="22"/>
                <w:lang w:val="fr-CH" w:eastAsia="fr-CH"/>
              </w:rPr>
              <w:t>Armenia</w:t>
            </w:r>
          </w:p>
        </w:tc>
      </w:tr>
      <w:tr w:rsidR="00FA1104" w:rsidRPr="00EB5B1D" w:rsidTr="005468BC">
        <w:tblPrEx>
          <w:tblCellMar>
            <w:left w:w="70" w:type="dxa"/>
            <w:right w:w="70" w:type="dxa"/>
          </w:tblCellMar>
        </w:tblPrEx>
        <w:trPr>
          <w:trHeight w:val="300"/>
        </w:trPr>
        <w:tc>
          <w:tcPr>
            <w:tcW w:w="4126" w:type="dxa"/>
            <w:gridSpan w:val="2"/>
            <w:tcBorders>
              <w:top w:val="nil"/>
              <w:left w:val="nil"/>
              <w:bottom w:val="nil"/>
              <w:right w:val="nil"/>
            </w:tcBorders>
            <w:shd w:val="clear" w:color="auto" w:fill="auto"/>
            <w:hideMark/>
          </w:tcPr>
          <w:p w:rsidR="00FA1104" w:rsidRPr="00EB5B1D" w:rsidRDefault="00FA1104" w:rsidP="004632E4">
            <w:pPr>
              <w:snapToGrid w:val="0"/>
            </w:pPr>
            <w:r w:rsidRPr="00EB5B1D">
              <w:rPr>
                <w:szCs w:val="22"/>
                <w:lang w:val="fr-CH" w:eastAsia="fr-CH"/>
              </w:rPr>
              <w:t>Guinea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fr-CH" w:eastAsia="fr-CH"/>
              </w:rPr>
            </w:pPr>
            <w:r w:rsidRPr="00EB5B1D">
              <w:rPr>
                <w:b/>
                <w:bCs/>
                <w:szCs w:val="22"/>
                <w:lang w:val="fr-CH" w:eastAsia="fr-CH"/>
              </w:rPr>
              <w:t>Aldicarb</w:t>
            </w:r>
          </w:p>
        </w:tc>
      </w:tr>
      <w:tr w:rsidR="00FA1104" w:rsidRPr="00EB5B1D" w:rsidTr="005468BC">
        <w:tblPrEx>
          <w:tblCellMar>
            <w:left w:w="70" w:type="dxa"/>
            <w:right w:w="70" w:type="dxa"/>
          </w:tblCellMar>
        </w:tblPrEx>
        <w:trPr>
          <w:trHeight w:val="300"/>
        </w:trPr>
        <w:tc>
          <w:tcPr>
            <w:tcW w:w="4126" w:type="dxa"/>
            <w:gridSpan w:val="2"/>
            <w:tcBorders>
              <w:top w:val="nil"/>
              <w:left w:val="nil"/>
              <w:bottom w:val="nil"/>
              <w:right w:val="nil"/>
            </w:tcBorders>
            <w:shd w:val="clear" w:color="auto" w:fill="auto"/>
            <w:hideMark/>
          </w:tcPr>
          <w:p w:rsidR="00FA1104" w:rsidRPr="00EB5B1D" w:rsidRDefault="00FA1104" w:rsidP="004632E4">
            <w:pPr>
              <w:snapToGrid w:val="0"/>
              <w:rPr>
                <w:lang w:val="fr-CH" w:eastAsia="fr-CH"/>
              </w:rPr>
            </w:pPr>
            <w:r w:rsidRPr="00EB5B1D">
              <w:rPr>
                <w:szCs w:val="22"/>
                <w:lang w:val="fr-CH" w:eastAsia="fr-CH"/>
              </w:rPr>
              <w:t>Armenia</w:t>
            </w:r>
          </w:p>
        </w:tc>
      </w:tr>
      <w:tr w:rsidR="00FA1104" w:rsidRPr="00EB5B1D" w:rsidTr="005468BC">
        <w:tblPrEx>
          <w:tblCellMar>
            <w:left w:w="70" w:type="dxa"/>
            <w:right w:w="70" w:type="dxa"/>
          </w:tblCellMar>
        </w:tblPrEx>
        <w:trPr>
          <w:trHeight w:val="300"/>
        </w:trPr>
        <w:tc>
          <w:tcPr>
            <w:tcW w:w="4126" w:type="dxa"/>
            <w:gridSpan w:val="2"/>
            <w:tcBorders>
              <w:top w:val="nil"/>
              <w:left w:val="nil"/>
              <w:bottom w:val="nil"/>
              <w:right w:val="nil"/>
            </w:tcBorders>
            <w:shd w:val="clear" w:color="auto" w:fill="auto"/>
            <w:hideMark/>
          </w:tcPr>
          <w:p w:rsidR="00FA1104" w:rsidRPr="00EB5B1D" w:rsidRDefault="00FA1104" w:rsidP="004632E4">
            <w:pPr>
              <w:snapToGrid w:val="0"/>
            </w:pPr>
            <w:r w:rsidRPr="00EB5B1D">
              <w:rPr>
                <w:szCs w:val="22"/>
                <w:lang w:val="fr-CH" w:eastAsia="fr-CH"/>
              </w:rPr>
              <w:t>Guinea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hideMark/>
          </w:tcPr>
          <w:p w:rsidR="00195E47" w:rsidRPr="00EB5B1D" w:rsidRDefault="00195E47" w:rsidP="004632E4">
            <w:pPr>
              <w:snapToGrid w:val="0"/>
              <w:rPr>
                <w:b/>
                <w:bCs/>
                <w:szCs w:val="22"/>
                <w:lang w:val="fr-CH" w:eastAsia="fr-CH"/>
              </w:rPr>
            </w:pPr>
            <w:r w:rsidRPr="00EB5B1D">
              <w:rPr>
                <w:b/>
                <w:bCs/>
                <w:szCs w:val="22"/>
                <w:lang w:val="fr-CH" w:eastAsia="fr-CH"/>
              </w:rPr>
              <w:t>Azinfos-metilo</w:t>
            </w:r>
          </w:p>
        </w:tc>
      </w:tr>
      <w:tr w:rsidR="00FA1104" w:rsidRPr="00EB5B1D" w:rsidTr="005468BC">
        <w:tblPrEx>
          <w:tblCellMar>
            <w:left w:w="70" w:type="dxa"/>
            <w:right w:w="70" w:type="dxa"/>
          </w:tblCellMar>
        </w:tblPrEx>
        <w:trPr>
          <w:trHeight w:val="300"/>
        </w:trPr>
        <w:tc>
          <w:tcPr>
            <w:tcW w:w="4126" w:type="dxa"/>
            <w:gridSpan w:val="2"/>
            <w:tcBorders>
              <w:top w:val="nil"/>
              <w:left w:val="nil"/>
              <w:bottom w:val="nil"/>
              <w:right w:val="nil"/>
            </w:tcBorders>
            <w:shd w:val="clear" w:color="auto" w:fill="auto"/>
            <w:hideMark/>
          </w:tcPr>
          <w:p w:rsidR="00FA1104" w:rsidRPr="00EB5B1D" w:rsidRDefault="00FA1104" w:rsidP="004632E4">
            <w:pPr>
              <w:snapToGrid w:val="0"/>
              <w:rPr>
                <w:lang w:eastAsia="fr-CH"/>
              </w:rPr>
            </w:pPr>
            <w:r w:rsidRPr="00EB5B1D">
              <w:rPr>
                <w:szCs w:val="22"/>
                <w:lang w:eastAsia="fr-CH"/>
              </w:rPr>
              <w:t>Armenia</w:t>
            </w:r>
          </w:p>
        </w:tc>
      </w:tr>
      <w:tr w:rsidR="00FA1104" w:rsidRPr="00EB5B1D" w:rsidTr="005468BC">
        <w:tblPrEx>
          <w:tblCellMar>
            <w:left w:w="70" w:type="dxa"/>
            <w:right w:w="70" w:type="dxa"/>
          </w:tblCellMar>
        </w:tblPrEx>
        <w:trPr>
          <w:trHeight w:val="300"/>
        </w:trPr>
        <w:tc>
          <w:tcPr>
            <w:tcW w:w="4126" w:type="dxa"/>
            <w:gridSpan w:val="2"/>
            <w:tcBorders>
              <w:top w:val="nil"/>
              <w:left w:val="nil"/>
              <w:bottom w:val="nil"/>
              <w:right w:val="nil"/>
            </w:tcBorders>
            <w:shd w:val="clear" w:color="auto" w:fill="auto"/>
            <w:hideMark/>
          </w:tcPr>
          <w:p w:rsidR="00FA1104" w:rsidRPr="00EB5B1D" w:rsidRDefault="00FA1104" w:rsidP="004632E4">
            <w:pPr>
              <w:snapToGrid w:val="0"/>
              <w:rPr>
                <w:lang w:eastAsia="fr-CH"/>
              </w:rPr>
            </w:pPr>
            <w:r w:rsidRPr="00EB5B1D">
              <w:rPr>
                <w:szCs w:val="22"/>
                <w:lang w:eastAsia="fr-CH"/>
              </w:rPr>
              <w:t>Guinea</w:t>
            </w:r>
          </w:p>
        </w:tc>
      </w:tr>
      <w:tr w:rsidR="00FA1104" w:rsidRPr="00EB5B1D" w:rsidTr="005468BC">
        <w:tblPrEx>
          <w:tblCellMar>
            <w:left w:w="70" w:type="dxa"/>
            <w:right w:w="70" w:type="dxa"/>
          </w:tblCellMar>
        </w:tblPrEx>
        <w:trPr>
          <w:trHeight w:val="300"/>
        </w:trPr>
        <w:tc>
          <w:tcPr>
            <w:tcW w:w="4126" w:type="dxa"/>
            <w:gridSpan w:val="2"/>
            <w:tcBorders>
              <w:top w:val="nil"/>
              <w:left w:val="nil"/>
              <w:bottom w:val="nil"/>
              <w:right w:val="nil"/>
            </w:tcBorders>
            <w:shd w:val="clear" w:color="auto" w:fill="auto"/>
            <w:hideMark/>
          </w:tcPr>
          <w:p w:rsidR="00FA1104" w:rsidRPr="00EB5B1D" w:rsidRDefault="00FA1104" w:rsidP="004632E4">
            <w:pPr>
              <w:snapToGrid w:val="0"/>
              <w:rPr>
                <w:lang w:val="en-GB" w:eastAsia="fr-CH"/>
              </w:rPr>
            </w:pPr>
            <w:r w:rsidRPr="00EB5B1D">
              <w:rPr>
                <w:szCs w:val="22"/>
                <w:lang w:val="en-GB" w:eastAsia="fr-CH"/>
              </w:rPr>
              <w:t>El Salvador</w:t>
            </w:r>
          </w:p>
        </w:tc>
      </w:tr>
      <w:tr w:rsidR="00FA1104" w:rsidRPr="00985C05" w:rsidTr="00195E47">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es-ES_tradnl" w:eastAsia="fr-CH"/>
              </w:rPr>
            </w:pPr>
            <w:r w:rsidRPr="00EB5B1D">
              <w:rPr>
                <w:b/>
                <w:bCs/>
                <w:szCs w:val="22"/>
                <w:lang w:val="es-ES_tradnl" w:eastAsia="fr-CH"/>
              </w:rPr>
              <w:t>Dinoseb y sus sales y esteres</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195E47" w:rsidP="004632E4">
            <w:pPr>
              <w:snapToGrid w:val="0"/>
              <w:rPr>
                <w:szCs w:val="22"/>
                <w:lang w:val="fr-CH" w:eastAsia="fr-CH"/>
              </w:rPr>
            </w:pPr>
            <w:r w:rsidRPr="00EB5B1D">
              <w:rPr>
                <w:szCs w:val="22"/>
                <w:lang w:val="fr-CH" w:eastAsia="fr-CH"/>
              </w:rPr>
              <w:t>Armenia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hideMark/>
          </w:tcPr>
          <w:p w:rsidR="00195E47" w:rsidRPr="00EB5B1D" w:rsidRDefault="000874EA" w:rsidP="004632E4">
            <w:pPr>
              <w:snapToGrid w:val="0"/>
              <w:rPr>
                <w:b/>
                <w:bCs/>
                <w:szCs w:val="22"/>
                <w:lang w:val="fr-CH" w:eastAsia="fr-CH"/>
              </w:rPr>
            </w:pPr>
            <w:r w:rsidRPr="00EB5B1D">
              <w:rPr>
                <w:b/>
                <w:bCs/>
                <w:szCs w:val="22"/>
                <w:lang w:val="fr-CH" w:eastAsia="fr-CH"/>
              </w:rPr>
              <w:t>D</w:t>
            </w:r>
            <w:r w:rsidR="00195E47" w:rsidRPr="00EB5B1D">
              <w:rPr>
                <w:b/>
                <w:bCs/>
                <w:szCs w:val="22"/>
                <w:lang w:val="fr-CH" w:eastAsia="fr-CH"/>
              </w:rPr>
              <w:t xml:space="preserve">ibromuro </w:t>
            </w:r>
            <w:proofErr w:type="gramStart"/>
            <w:r w:rsidR="00195E47" w:rsidRPr="00EB5B1D">
              <w:rPr>
                <w:b/>
                <w:bCs/>
                <w:szCs w:val="22"/>
                <w:lang w:val="fr-CH" w:eastAsia="fr-CH"/>
              </w:rPr>
              <w:t>de etileno</w:t>
            </w:r>
            <w:proofErr w:type="gramEnd"/>
            <w:r w:rsidRPr="00EB5B1D">
              <w:rPr>
                <w:b/>
                <w:bCs/>
                <w:szCs w:val="22"/>
                <w:lang w:val="fr-CH" w:eastAsia="fr-CH"/>
              </w:rPr>
              <w:t xml:space="preserve"> (EDB</w:t>
            </w:r>
            <w:r w:rsidR="00195E47" w:rsidRPr="00EB5B1D">
              <w:rPr>
                <w:b/>
                <w:bCs/>
                <w:szCs w:val="22"/>
                <w:lang w:val="fr-CH" w:eastAsia="fr-CH"/>
              </w:rPr>
              <w:t>)</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FA1104" w:rsidP="004632E4">
            <w:pPr>
              <w:snapToGrid w:val="0"/>
              <w:rPr>
                <w:szCs w:val="22"/>
                <w:lang w:val="fr-CH" w:eastAsia="fr-CH"/>
              </w:rPr>
            </w:pPr>
            <w:r w:rsidRPr="00EB5B1D">
              <w:rPr>
                <w:szCs w:val="22"/>
                <w:lang w:val="fr-CH" w:eastAsia="fr-CH"/>
              </w:rPr>
              <w:t>Gabón</w:t>
            </w:r>
          </w:p>
        </w:tc>
      </w:tr>
      <w:tr w:rsidR="000874EA" w:rsidRPr="00EB5B1D" w:rsidTr="000874EA">
        <w:tblPrEx>
          <w:tblCellMar>
            <w:left w:w="70" w:type="dxa"/>
            <w:right w:w="70" w:type="dxa"/>
          </w:tblCellMar>
        </w:tblPrEx>
        <w:trPr>
          <w:trHeight w:val="300"/>
        </w:trPr>
        <w:tc>
          <w:tcPr>
            <w:tcW w:w="4126" w:type="dxa"/>
            <w:gridSpan w:val="2"/>
            <w:tcBorders>
              <w:top w:val="nil"/>
              <w:left w:val="nil"/>
              <w:right w:val="nil"/>
            </w:tcBorders>
            <w:shd w:val="clear" w:color="000000" w:fill="C0C0C0"/>
            <w:vAlign w:val="bottom"/>
          </w:tcPr>
          <w:p w:rsidR="000874EA" w:rsidRPr="00EB5B1D" w:rsidRDefault="000874EA" w:rsidP="004632E4">
            <w:pPr>
              <w:snapToGrid w:val="0"/>
              <w:rPr>
                <w:b/>
                <w:bCs/>
                <w:szCs w:val="22"/>
                <w:lang w:val="fr-CH" w:eastAsia="fr-CH"/>
              </w:rPr>
            </w:pPr>
            <w:r w:rsidRPr="00EB5B1D">
              <w:rPr>
                <w:b/>
                <w:bCs/>
                <w:szCs w:val="22"/>
                <w:lang w:val="fr-CH" w:eastAsia="fr-CH"/>
              </w:rPr>
              <w:t>DDT</w:t>
            </w:r>
          </w:p>
        </w:tc>
      </w:tr>
      <w:tr w:rsidR="000874EA" w:rsidRPr="00EB5B1D" w:rsidTr="000874EA">
        <w:tblPrEx>
          <w:tblCellMar>
            <w:left w:w="70" w:type="dxa"/>
            <w:right w:w="70" w:type="dxa"/>
          </w:tblCellMar>
        </w:tblPrEx>
        <w:trPr>
          <w:trHeight w:val="300"/>
        </w:trPr>
        <w:tc>
          <w:tcPr>
            <w:tcW w:w="4126" w:type="dxa"/>
            <w:gridSpan w:val="2"/>
            <w:tcBorders>
              <w:top w:val="nil"/>
              <w:left w:val="nil"/>
              <w:bottom w:val="nil"/>
              <w:right w:val="nil"/>
            </w:tcBorders>
            <w:shd w:val="clear" w:color="000000" w:fill="FFFFFF" w:themeFill="background1"/>
            <w:vAlign w:val="bottom"/>
          </w:tcPr>
          <w:p w:rsidR="000874EA" w:rsidRPr="00EB5B1D" w:rsidRDefault="000D7688" w:rsidP="004632E4">
            <w:pPr>
              <w:snapToGrid w:val="0"/>
              <w:rPr>
                <w:bCs/>
                <w:szCs w:val="22"/>
                <w:lang w:val="fr-CH" w:eastAsia="fr-CH"/>
              </w:rPr>
            </w:pPr>
            <w:r w:rsidRPr="00EB5B1D">
              <w:rPr>
                <w:bCs/>
                <w:szCs w:val="22"/>
                <w:lang w:val="fr-CH" w:eastAsia="fr-CH"/>
              </w:rPr>
              <w:t>Unión</w:t>
            </w:r>
            <w:r w:rsidR="000874EA" w:rsidRPr="00EB5B1D">
              <w:rPr>
                <w:bCs/>
                <w:szCs w:val="22"/>
                <w:lang w:val="fr-CH" w:eastAsia="fr-CH"/>
              </w:rPr>
              <w:t xml:space="preserve"> Europea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fr-CH" w:eastAsia="fr-CH"/>
              </w:rPr>
            </w:pPr>
            <w:r w:rsidRPr="00EB5B1D">
              <w:rPr>
                <w:b/>
                <w:bCs/>
                <w:szCs w:val="22"/>
                <w:lang w:val="fr-CH" w:eastAsia="fr-CH"/>
              </w:rPr>
              <w:t>Endosulfán</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FA1104" w:rsidP="004632E4">
            <w:pPr>
              <w:snapToGrid w:val="0"/>
              <w:rPr>
                <w:szCs w:val="22"/>
                <w:lang w:val="fr-CH" w:eastAsia="fr-CH"/>
              </w:rPr>
            </w:pPr>
            <w:r w:rsidRPr="00EB5B1D">
              <w:rPr>
                <w:szCs w:val="22"/>
                <w:lang w:eastAsia="fr-CH"/>
              </w:rPr>
              <w:t>Guinea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fr-CH" w:eastAsia="fr-CH"/>
              </w:rPr>
            </w:pPr>
            <w:r w:rsidRPr="00EB5B1D">
              <w:rPr>
                <w:b/>
                <w:bCs/>
                <w:szCs w:val="22"/>
                <w:lang w:val="fr-CH" w:eastAsia="fr-CH"/>
              </w:rPr>
              <w:t xml:space="preserve">Oxido </w:t>
            </w:r>
            <w:proofErr w:type="gramStart"/>
            <w:r w:rsidRPr="00EB5B1D">
              <w:rPr>
                <w:b/>
                <w:bCs/>
                <w:szCs w:val="22"/>
                <w:lang w:val="fr-CH" w:eastAsia="fr-CH"/>
              </w:rPr>
              <w:t>de etileno</w:t>
            </w:r>
            <w:proofErr w:type="gramEnd"/>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0D7688" w:rsidP="004632E4">
            <w:pPr>
              <w:snapToGrid w:val="0"/>
              <w:rPr>
                <w:szCs w:val="22"/>
                <w:lang w:val="fr-CH" w:eastAsia="fr-CH"/>
              </w:rPr>
            </w:pPr>
            <w:r w:rsidRPr="00EB5B1D">
              <w:rPr>
                <w:szCs w:val="22"/>
                <w:lang w:eastAsia="fr-CH"/>
              </w:rPr>
              <w:t>Unión</w:t>
            </w:r>
            <w:r w:rsidR="00FA1104" w:rsidRPr="00EB5B1D">
              <w:rPr>
                <w:szCs w:val="22"/>
                <w:lang w:eastAsia="fr-CH"/>
              </w:rPr>
              <w:t xml:space="preserve"> Europea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fr-CH" w:eastAsia="fr-CH"/>
              </w:rPr>
            </w:pPr>
            <w:r w:rsidRPr="00EB5B1D">
              <w:rPr>
                <w:b/>
                <w:bCs/>
                <w:szCs w:val="22"/>
                <w:lang w:val="fr-CH" w:eastAsia="fr-CH"/>
              </w:rPr>
              <w:t>Heptacloro</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FA1104" w:rsidP="004632E4">
            <w:pPr>
              <w:snapToGrid w:val="0"/>
              <w:rPr>
                <w:szCs w:val="22"/>
                <w:lang w:val="fr-CH" w:eastAsia="fr-CH"/>
              </w:rPr>
            </w:pPr>
            <w:r w:rsidRPr="00EB5B1D">
              <w:rPr>
                <w:szCs w:val="22"/>
                <w:lang w:val="fr-CH" w:eastAsia="fr-CH"/>
              </w:rPr>
              <w:t>Gabón</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hideMark/>
          </w:tcPr>
          <w:p w:rsidR="00195E47" w:rsidRPr="00EB5B1D" w:rsidRDefault="00195E47" w:rsidP="004632E4">
            <w:pPr>
              <w:snapToGrid w:val="0"/>
              <w:rPr>
                <w:b/>
                <w:bCs/>
                <w:szCs w:val="22"/>
                <w:lang w:val="fr-CH" w:eastAsia="fr-CH"/>
              </w:rPr>
            </w:pPr>
            <w:r w:rsidRPr="00EB5B1D">
              <w:rPr>
                <w:b/>
                <w:bCs/>
                <w:szCs w:val="22"/>
                <w:lang w:val="fr-CH" w:eastAsia="fr-CH"/>
              </w:rPr>
              <w:t>Metamidofos</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195E47" w:rsidP="004632E4">
            <w:pPr>
              <w:snapToGrid w:val="0"/>
              <w:rPr>
                <w:szCs w:val="22"/>
                <w:lang w:val="fr-CH" w:eastAsia="fr-CH"/>
              </w:rPr>
            </w:pPr>
            <w:r w:rsidRPr="00EB5B1D">
              <w:rPr>
                <w:szCs w:val="22"/>
                <w:lang w:val="fr-CH" w:eastAsia="fr-CH"/>
              </w:rPr>
              <w:t>Armenia</w:t>
            </w:r>
          </w:p>
        </w:tc>
      </w:tr>
      <w:tr w:rsidR="00FA1104" w:rsidRPr="00EB5B1D" w:rsidTr="006C680E">
        <w:tblPrEx>
          <w:tblCellMar>
            <w:left w:w="70" w:type="dxa"/>
            <w:right w:w="70" w:type="dxa"/>
          </w:tblCellMar>
        </w:tblPrEx>
        <w:trPr>
          <w:trHeight w:val="171"/>
        </w:trPr>
        <w:tc>
          <w:tcPr>
            <w:tcW w:w="4126" w:type="dxa"/>
            <w:gridSpan w:val="2"/>
            <w:tcBorders>
              <w:top w:val="nil"/>
              <w:left w:val="nil"/>
              <w:bottom w:val="nil"/>
              <w:right w:val="nil"/>
            </w:tcBorders>
            <w:shd w:val="clear" w:color="auto" w:fill="auto"/>
            <w:vAlign w:val="bottom"/>
            <w:hideMark/>
          </w:tcPr>
          <w:p w:rsidR="00195E47" w:rsidRPr="00EB5B1D" w:rsidRDefault="000874EA" w:rsidP="004632E4">
            <w:pPr>
              <w:snapToGrid w:val="0"/>
              <w:rPr>
                <w:szCs w:val="22"/>
                <w:lang w:eastAsia="fr-CH"/>
              </w:rPr>
            </w:pPr>
            <w:r w:rsidRPr="00EB5B1D">
              <w:rPr>
                <w:lang w:eastAsia="fr-CH"/>
              </w:rPr>
              <w:t>Guinea</w:t>
            </w:r>
          </w:p>
        </w:tc>
      </w:tr>
      <w:tr w:rsidR="008A0CBB"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8A0CBB" w:rsidRPr="00EB5B1D" w:rsidRDefault="000874EA" w:rsidP="004632E4">
            <w:pPr>
              <w:snapToGrid w:val="0"/>
              <w:rPr>
                <w:lang w:eastAsia="fr-CH"/>
              </w:rPr>
            </w:pPr>
            <w:r w:rsidRPr="00EB5B1D">
              <w:rPr>
                <w:szCs w:val="22"/>
                <w:lang w:eastAsia="fr-CH"/>
              </w:rPr>
              <w:t>Guinea-Bissau</w:t>
            </w:r>
          </w:p>
        </w:tc>
      </w:tr>
      <w:tr w:rsidR="008A0CBB"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8A0CBB" w:rsidRPr="00EB5B1D" w:rsidRDefault="006C680E" w:rsidP="004632E4">
            <w:pPr>
              <w:snapToGrid w:val="0"/>
              <w:rPr>
                <w:lang w:eastAsia="fr-CH"/>
              </w:rPr>
            </w:pPr>
            <w:r w:rsidRPr="00EB5B1D">
              <w:rPr>
                <w:lang w:eastAsia="fr-CH"/>
              </w:rPr>
              <w:t>Malaysia</w:t>
            </w:r>
          </w:p>
        </w:tc>
      </w:tr>
      <w:tr w:rsidR="006C680E"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6C680E" w:rsidRPr="00EB5B1D" w:rsidRDefault="000D7688" w:rsidP="004632E4">
            <w:pPr>
              <w:snapToGrid w:val="0"/>
              <w:rPr>
                <w:lang w:val="en-GB" w:eastAsia="fr-CH"/>
              </w:rPr>
            </w:pPr>
            <w:r w:rsidRPr="00EB5B1D">
              <w:rPr>
                <w:lang w:val="en-GB" w:eastAsia="fr-CH"/>
              </w:rPr>
              <w:t>Unión</w:t>
            </w:r>
            <w:r w:rsidR="006C680E" w:rsidRPr="00EB5B1D">
              <w:rPr>
                <w:lang w:val="en-GB" w:eastAsia="fr-CH"/>
              </w:rPr>
              <w:t xml:space="preserve"> Europea</w:t>
            </w:r>
          </w:p>
        </w:tc>
      </w:tr>
      <w:tr w:rsidR="006C680E" w:rsidRPr="00985C05"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6C680E" w:rsidRPr="00EB5B1D" w:rsidRDefault="006C680E" w:rsidP="002E141A">
            <w:pPr>
              <w:snapToGrid w:val="0"/>
              <w:rPr>
                <w:szCs w:val="22"/>
                <w:lang w:val="fr-CH" w:eastAsia="fr-CH"/>
              </w:rPr>
            </w:pPr>
            <w:proofErr w:type="gramStart"/>
            <w:r w:rsidRPr="00EB5B1D">
              <w:rPr>
                <w:lang w:val="fr-CH" w:eastAsia="fr-CH"/>
              </w:rPr>
              <w:t xml:space="preserve">La </w:t>
            </w:r>
            <w:r w:rsidR="002E141A" w:rsidRPr="00EB5B1D">
              <w:rPr>
                <w:lang w:val="fr-CH" w:eastAsia="fr-CH"/>
              </w:rPr>
              <w:t>E</w:t>
            </w:r>
            <w:r w:rsidRPr="00EB5B1D">
              <w:rPr>
                <w:lang w:val="fr-CH" w:eastAsia="fr-CH"/>
              </w:rPr>
              <w:t>x</w:t>
            </w:r>
            <w:proofErr w:type="gramEnd"/>
            <w:r w:rsidRPr="00EB5B1D">
              <w:rPr>
                <w:lang w:val="fr-CH" w:eastAsia="fr-CH"/>
              </w:rPr>
              <w:t xml:space="preserve"> República Yugoslava de Macedonia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hideMark/>
          </w:tcPr>
          <w:p w:rsidR="00195E47" w:rsidRPr="00EB5B1D" w:rsidRDefault="00195E47" w:rsidP="004632E4">
            <w:pPr>
              <w:snapToGrid w:val="0"/>
              <w:rPr>
                <w:b/>
                <w:bCs/>
                <w:szCs w:val="22"/>
                <w:lang w:val="fr-CH" w:eastAsia="fr-CH"/>
              </w:rPr>
            </w:pPr>
            <w:r w:rsidRPr="00EB5B1D">
              <w:rPr>
                <w:b/>
                <w:bCs/>
                <w:szCs w:val="22"/>
                <w:lang w:val="fr-CH" w:eastAsia="fr-CH"/>
              </w:rPr>
              <w:t xml:space="preserve">Monocrotofos </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8A0CBB" w:rsidP="004632E4">
            <w:pPr>
              <w:snapToGrid w:val="0"/>
              <w:rPr>
                <w:szCs w:val="22"/>
                <w:lang w:val="fr-CH" w:eastAsia="fr-CH"/>
              </w:rPr>
            </w:pPr>
            <w:r w:rsidRPr="00EB5B1D">
              <w:rPr>
                <w:szCs w:val="22"/>
                <w:lang w:val="fr-CH" w:eastAsia="fr-CH"/>
              </w:rPr>
              <w:t>Armenia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fr-CH" w:eastAsia="fr-CH"/>
              </w:rPr>
            </w:pPr>
            <w:r w:rsidRPr="00EB5B1D">
              <w:rPr>
                <w:b/>
                <w:bCs/>
                <w:szCs w:val="22"/>
                <w:lang w:val="fr-CH" w:eastAsia="fr-CH"/>
              </w:rPr>
              <w:t>Paratión</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6C680E" w:rsidP="004632E4">
            <w:pPr>
              <w:snapToGrid w:val="0"/>
              <w:rPr>
                <w:szCs w:val="22"/>
                <w:lang w:val="fr-CH" w:eastAsia="fr-CH"/>
              </w:rPr>
            </w:pPr>
            <w:r w:rsidRPr="00EB5B1D">
              <w:rPr>
                <w:szCs w:val="22"/>
                <w:lang w:val="fr-CH" w:eastAsia="fr-CH"/>
              </w:rPr>
              <w:t>Armenia</w:t>
            </w:r>
          </w:p>
        </w:tc>
      </w:tr>
      <w:tr w:rsidR="00FA1104" w:rsidRPr="00985C05" w:rsidTr="00195E47">
        <w:tblPrEx>
          <w:tblCellMar>
            <w:left w:w="70" w:type="dxa"/>
            <w:right w:w="70" w:type="dxa"/>
          </w:tblCellMar>
        </w:tblPrEx>
        <w:trPr>
          <w:trHeight w:val="324"/>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es-ES_tradnl" w:eastAsia="fr-CH"/>
              </w:rPr>
            </w:pPr>
            <w:r w:rsidRPr="00EB5B1D">
              <w:rPr>
                <w:b/>
                <w:bCs/>
                <w:szCs w:val="22"/>
                <w:lang w:val="es-ES_tradnl" w:eastAsia="fr-CH"/>
              </w:rPr>
              <w:t xml:space="preserve">Pentaclorofenol y sus sales y ésteres </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195E47" w:rsidP="004632E4">
            <w:pPr>
              <w:snapToGrid w:val="0"/>
              <w:rPr>
                <w:szCs w:val="22"/>
                <w:lang w:val="fr-CH" w:eastAsia="fr-CH"/>
              </w:rPr>
            </w:pPr>
            <w:r w:rsidRPr="00EB5B1D">
              <w:rPr>
                <w:szCs w:val="22"/>
                <w:lang w:val="fr-CH" w:eastAsia="fr-CH"/>
              </w:rPr>
              <w:t>Armenia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4632E4">
            <w:pPr>
              <w:snapToGrid w:val="0"/>
              <w:rPr>
                <w:b/>
                <w:bCs/>
                <w:szCs w:val="22"/>
                <w:lang w:val="fr-CH" w:eastAsia="fr-CH"/>
              </w:rPr>
            </w:pPr>
            <w:r w:rsidRPr="00EB5B1D">
              <w:rPr>
                <w:b/>
                <w:bCs/>
                <w:szCs w:val="22"/>
                <w:lang w:val="fr-CH" w:eastAsia="fr-CH"/>
              </w:rPr>
              <w:t xml:space="preserve">Compuestos de Tributilestaño </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6C680E" w:rsidP="004632E4">
            <w:pPr>
              <w:snapToGrid w:val="0"/>
              <w:rPr>
                <w:szCs w:val="22"/>
                <w:lang w:val="fr-CH" w:eastAsia="fr-CH"/>
              </w:rPr>
            </w:pPr>
            <w:r w:rsidRPr="00EB5B1D">
              <w:rPr>
                <w:szCs w:val="22"/>
                <w:lang w:val="fr-CH" w:eastAsia="fr-CH"/>
              </w:rPr>
              <w:t>Armenia</w:t>
            </w:r>
          </w:p>
        </w:tc>
      </w:tr>
      <w:tr w:rsidR="00FA1104"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6C680E" w:rsidP="004632E4">
            <w:pPr>
              <w:snapToGrid w:val="0"/>
              <w:rPr>
                <w:szCs w:val="22"/>
                <w:lang w:val="fr-CH" w:eastAsia="fr-CH"/>
              </w:rPr>
            </w:pPr>
            <w:r w:rsidRPr="00EB5B1D">
              <w:rPr>
                <w:lang w:eastAsia="fr-CH"/>
              </w:rPr>
              <w:t>Guinea</w:t>
            </w:r>
          </w:p>
        </w:tc>
      </w:tr>
    </w:tbl>
    <w:p w:rsidR="00195E47" w:rsidRPr="00EB5B1D" w:rsidRDefault="00195E47" w:rsidP="00195E47">
      <w:pPr>
        <w:ind w:left="90"/>
        <w:rPr>
          <w:b/>
          <w:sz w:val="28"/>
          <w:szCs w:val="28"/>
          <w:lang w:val="es-ES_tradnl"/>
        </w:rPr>
      </w:pPr>
    </w:p>
    <w:tbl>
      <w:tblPr>
        <w:tblW w:w="4126" w:type="dxa"/>
        <w:tblInd w:w="93" w:type="dxa"/>
        <w:tblLook w:val="04A0" w:firstRow="1" w:lastRow="0" w:firstColumn="1" w:lastColumn="0" w:noHBand="0" w:noVBand="1"/>
      </w:tblPr>
      <w:tblGrid>
        <w:gridCol w:w="3975"/>
        <w:gridCol w:w="151"/>
      </w:tblGrid>
      <w:tr w:rsidR="00195E47" w:rsidRPr="00EB5B1D" w:rsidTr="005228C1">
        <w:trPr>
          <w:gridAfter w:val="1"/>
          <w:wAfter w:w="151" w:type="dxa"/>
          <w:trHeight w:val="300"/>
        </w:trPr>
        <w:tc>
          <w:tcPr>
            <w:tcW w:w="3975" w:type="dxa"/>
            <w:tcBorders>
              <w:top w:val="nil"/>
              <w:left w:val="nil"/>
              <w:bottom w:val="nil"/>
              <w:right w:val="nil"/>
            </w:tcBorders>
            <w:shd w:val="clear" w:color="auto" w:fill="auto"/>
            <w:vAlign w:val="bottom"/>
            <w:hideMark/>
          </w:tcPr>
          <w:p w:rsidR="00195E47" w:rsidRPr="00EB5B1D" w:rsidRDefault="00195E47" w:rsidP="00221B40">
            <w:pPr>
              <w:keepNext/>
              <w:spacing w:after="120"/>
              <w:rPr>
                <w:b/>
                <w:bCs/>
                <w:sz w:val="28"/>
                <w:szCs w:val="28"/>
                <w:lang w:val="es-ES_tradnl" w:eastAsia="en-US"/>
              </w:rPr>
            </w:pPr>
            <w:r w:rsidRPr="00EB5B1D">
              <w:rPr>
                <w:b/>
                <w:bCs/>
                <w:sz w:val="28"/>
                <w:szCs w:val="28"/>
                <w:lang w:val="es-ES_tradnl" w:eastAsia="en-US"/>
              </w:rPr>
              <w:t>Formulaciones plaguicidas extremadamente peligrosas</w:t>
            </w:r>
          </w:p>
        </w:tc>
      </w:tr>
      <w:tr w:rsidR="006C680E" w:rsidRPr="00EB5B1D" w:rsidTr="006C680E">
        <w:tblPrEx>
          <w:tblCellMar>
            <w:left w:w="70" w:type="dxa"/>
            <w:right w:w="70" w:type="dxa"/>
          </w:tblCellMar>
        </w:tblPrEx>
        <w:trPr>
          <w:trHeight w:val="567"/>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es-ES_tradnl" w:eastAsia="fr-CH"/>
              </w:rPr>
            </w:pPr>
            <w:r w:rsidRPr="00EB5B1D">
              <w:rPr>
                <w:b/>
                <w:bCs/>
                <w:szCs w:val="22"/>
                <w:lang w:val="es-ES_tradnl" w:eastAsia="fr-CH"/>
              </w:rPr>
              <w:t>Formulaciones de polvo seco que contienen una combinación de benomilo en una cantidad igual o superior al 7%, carbofurano en una cantidad igual o superior al 10% y tiram en una cantidad igual o superior al 15%</w:t>
            </w:r>
          </w:p>
        </w:tc>
      </w:tr>
      <w:tr w:rsidR="006C680E"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6C680E" w:rsidP="005228C1">
            <w:pPr>
              <w:rPr>
                <w:szCs w:val="22"/>
                <w:lang w:val="fr-CH" w:eastAsia="fr-CH"/>
              </w:rPr>
            </w:pPr>
            <w:r w:rsidRPr="00EB5B1D">
              <w:rPr>
                <w:szCs w:val="22"/>
                <w:lang w:val="fr-CH" w:eastAsia="fr-CH"/>
              </w:rPr>
              <w:t>Guinea</w:t>
            </w:r>
          </w:p>
        </w:tc>
      </w:tr>
      <w:tr w:rsidR="006C680E" w:rsidRPr="00985C05" w:rsidTr="006C680E">
        <w:tblPrEx>
          <w:tblCellMar>
            <w:left w:w="70" w:type="dxa"/>
            <w:right w:w="70" w:type="dxa"/>
          </w:tblCellMar>
        </w:tblPrEx>
        <w:trPr>
          <w:trHeight w:val="882"/>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es-ES_tradnl" w:eastAsia="fr-CH"/>
              </w:rPr>
            </w:pPr>
            <w:r w:rsidRPr="00EB5B1D">
              <w:rPr>
                <w:b/>
                <w:bCs/>
                <w:szCs w:val="22"/>
                <w:lang w:val="es-ES_tradnl" w:eastAsia="fr-CH"/>
              </w:rPr>
              <w:t>Metilparatión (Concentrados emulsificables (CE) con 19,5% o más de ingrediente activo y polvos que contengan 1,5% o más de ingrediente activo)</w:t>
            </w:r>
          </w:p>
        </w:tc>
      </w:tr>
      <w:tr w:rsidR="006C680E"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195E47" w:rsidP="005228C1">
            <w:pPr>
              <w:rPr>
                <w:szCs w:val="22"/>
                <w:lang w:val="fr-CH" w:eastAsia="fr-CH"/>
              </w:rPr>
            </w:pPr>
            <w:r w:rsidRPr="00EB5B1D">
              <w:rPr>
                <w:szCs w:val="22"/>
                <w:lang w:val="fr-CH" w:eastAsia="fr-CH"/>
              </w:rPr>
              <w:t>Armenia</w:t>
            </w:r>
          </w:p>
        </w:tc>
      </w:tr>
      <w:tr w:rsidR="006C680E" w:rsidRPr="00EB5B1D" w:rsidTr="00195E47">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6C680E" w:rsidRPr="00EB5B1D" w:rsidRDefault="006C680E" w:rsidP="005228C1">
            <w:pPr>
              <w:rPr>
                <w:szCs w:val="22"/>
                <w:lang w:val="fr-CH" w:eastAsia="fr-CH"/>
              </w:rPr>
            </w:pPr>
            <w:r w:rsidRPr="00EB5B1D">
              <w:rPr>
                <w:szCs w:val="22"/>
                <w:lang w:val="fr-CH" w:eastAsia="fr-CH"/>
              </w:rPr>
              <w:t>Guinea</w:t>
            </w:r>
          </w:p>
        </w:tc>
      </w:tr>
    </w:tbl>
    <w:p w:rsidR="00195E47" w:rsidRPr="00EB5B1D" w:rsidRDefault="00195E47" w:rsidP="00195E47">
      <w:pPr>
        <w:ind w:left="90"/>
        <w:rPr>
          <w:b/>
          <w:sz w:val="28"/>
          <w:szCs w:val="28"/>
          <w:lang w:val="es-ES_tradnl"/>
        </w:rPr>
      </w:pPr>
    </w:p>
    <w:tbl>
      <w:tblPr>
        <w:tblW w:w="4126" w:type="dxa"/>
        <w:tblInd w:w="93" w:type="dxa"/>
        <w:tblLook w:val="04A0" w:firstRow="1" w:lastRow="0" w:firstColumn="1" w:lastColumn="0" w:noHBand="0" w:noVBand="1"/>
      </w:tblPr>
      <w:tblGrid>
        <w:gridCol w:w="3975"/>
        <w:gridCol w:w="151"/>
      </w:tblGrid>
      <w:tr w:rsidR="006C680E" w:rsidRPr="00985C05" w:rsidTr="005228C1">
        <w:trPr>
          <w:gridAfter w:val="1"/>
          <w:wAfter w:w="151" w:type="dxa"/>
          <w:trHeight w:val="300"/>
        </w:trPr>
        <w:tc>
          <w:tcPr>
            <w:tcW w:w="3975" w:type="dxa"/>
            <w:tcBorders>
              <w:top w:val="nil"/>
              <w:left w:val="nil"/>
              <w:bottom w:val="nil"/>
              <w:right w:val="nil"/>
            </w:tcBorders>
            <w:shd w:val="clear" w:color="auto" w:fill="auto"/>
            <w:vAlign w:val="bottom"/>
            <w:hideMark/>
          </w:tcPr>
          <w:p w:rsidR="00195E47" w:rsidRPr="00EB5B1D" w:rsidRDefault="00195E47" w:rsidP="00221B40">
            <w:pPr>
              <w:keepNext/>
              <w:spacing w:after="120"/>
              <w:rPr>
                <w:b/>
                <w:bCs/>
                <w:sz w:val="28"/>
                <w:szCs w:val="28"/>
                <w:lang w:val="es-ES_tradnl" w:eastAsia="en-US"/>
              </w:rPr>
            </w:pPr>
            <w:r w:rsidRPr="00EB5B1D">
              <w:rPr>
                <w:b/>
                <w:bCs/>
                <w:sz w:val="28"/>
                <w:szCs w:val="28"/>
                <w:lang w:val="es-ES_tradnl" w:eastAsia="en-US"/>
              </w:rPr>
              <w:t>Productos químicos de uso industrial</w:t>
            </w:r>
          </w:p>
        </w:tc>
      </w:tr>
      <w:tr w:rsidR="00195E47"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fr-CH" w:eastAsia="fr-CH"/>
              </w:rPr>
            </w:pPr>
            <w:r w:rsidRPr="00EB5B1D">
              <w:rPr>
                <w:b/>
                <w:bCs/>
                <w:szCs w:val="22"/>
                <w:lang w:val="fr-CH" w:eastAsia="fr-CH"/>
              </w:rPr>
              <w:t>Actinolita amianto</w:t>
            </w:r>
          </w:p>
        </w:tc>
      </w:tr>
      <w:tr w:rsidR="00195E47"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195E47" w:rsidRPr="00EB5B1D" w:rsidRDefault="000D7688" w:rsidP="005228C1">
            <w:pPr>
              <w:rPr>
                <w:szCs w:val="22"/>
                <w:lang w:val="fr-CH" w:eastAsia="fr-CH"/>
              </w:rPr>
            </w:pPr>
            <w:r w:rsidRPr="00EB5B1D">
              <w:rPr>
                <w:szCs w:val="22"/>
                <w:lang w:val="fr-CH" w:eastAsia="fr-CH"/>
              </w:rPr>
              <w:t>Armenia</w:t>
            </w:r>
          </w:p>
        </w:tc>
      </w:tr>
      <w:tr w:rsidR="000D7688" w:rsidRPr="00EB5B1D" w:rsidTr="006F4865">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0D7688" w:rsidRPr="00EB5B1D" w:rsidRDefault="000D7688" w:rsidP="006F4865">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0D7688" w:rsidRPr="00EB5B1D" w:rsidRDefault="000D7688" w:rsidP="005228C1">
            <w:pPr>
              <w:rPr>
                <w:szCs w:val="22"/>
                <w:lang w:val="fr-CH" w:eastAsia="fr-CH"/>
              </w:rPr>
            </w:pPr>
            <w:r w:rsidRPr="00EB5B1D">
              <w:rPr>
                <w:lang w:val="es-ES_tradnl"/>
              </w:rPr>
              <w:t>República del Congo</w:t>
            </w:r>
          </w:p>
        </w:tc>
      </w:tr>
      <w:tr w:rsidR="00195E47"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fr-CH" w:eastAsia="fr-CH"/>
              </w:rPr>
            </w:pPr>
            <w:r w:rsidRPr="00EB5B1D">
              <w:rPr>
                <w:b/>
                <w:bCs/>
                <w:szCs w:val="22"/>
                <w:lang w:val="fr-CH" w:eastAsia="fr-CH"/>
              </w:rPr>
              <w:t>Amosita amianto</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Armenia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Bosnia y Herzegovina</w:t>
            </w:r>
          </w:p>
        </w:tc>
      </w:tr>
      <w:tr w:rsidR="00195E47"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fr-CH" w:eastAsia="fr-CH"/>
              </w:rPr>
            </w:pPr>
            <w:r w:rsidRPr="00EB5B1D">
              <w:rPr>
                <w:b/>
                <w:bCs/>
                <w:szCs w:val="22"/>
                <w:lang w:val="fr-CH" w:eastAsia="fr-CH"/>
              </w:rPr>
              <w:t>Antofilita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Armenia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0D7688" w:rsidRPr="00EB5B1D" w:rsidRDefault="000D7688" w:rsidP="005228C1">
            <w:pPr>
              <w:rPr>
                <w:szCs w:val="22"/>
                <w:lang w:val="fr-CH" w:eastAsia="fr-CH"/>
              </w:rPr>
            </w:pPr>
            <w:r w:rsidRPr="00EB5B1D">
              <w:rPr>
                <w:lang w:val="es-ES_tradnl"/>
              </w:rPr>
              <w:t>República del Congo</w:t>
            </w:r>
          </w:p>
        </w:tc>
      </w:tr>
      <w:tr w:rsidR="00195E47"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fr-CH" w:eastAsia="fr-CH"/>
              </w:rPr>
            </w:pPr>
            <w:r w:rsidRPr="00EB5B1D">
              <w:rPr>
                <w:b/>
                <w:bCs/>
                <w:szCs w:val="22"/>
                <w:lang w:val="fr-CH" w:eastAsia="fr-CH"/>
              </w:rPr>
              <w:t>Crocidolita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Armenia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0D7688" w:rsidRPr="00EB5B1D" w:rsidRDefault="000D7688" w:rsidP="005228C1">
            <w:pPr>
              <w:rPr>
                <w:szCs w:val="22"/>
                <w:lang w:val="fr-CH" w:eastAsia="fr-CH"/>
              </w:rPr>
            </w:pPr>
            <w:r w:rsidRPr="00EB5B1D">
              <w:rPr>
                <w:lang w:val="es-ES_tradnl"/>
              </w:rPr>
              <w:t>República del Congo</w:t>
            </w:r>
          </w:p>
        </w:tc>
      </w:tr>
      <w:tr w:rsidR="00195E47"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fr-CH" w:eastAsia="fr-CH"/>
              </w:rPr>
            </w:pPr>
            <w:r w:rsidRPr="00EB5B1D">
              <w:rPr>
                <w:b/>
                <w:bCs/>
                <w:szCs w:val="22"/>
                <w:lang w:val="fr-CH" w:eastAsia="fr-CH"/>
              </w:rPr>
              <w:t>Tremolita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Armenia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0D7688" w:rsidRPr="00EB5B1D" w:rsidRDefault="000D7688" w:rsidP="005228C1">
            <w:pPr>
              <w:rPr>
                <w:szCs w:val="22"/>
                <w:lang w:val="fr-CH" w:eastAsia="fr-CH"/>
              </w:rPr>
            </w:pPr>
            <w:r w:rsidRPr="00EB5B1D">
              <w:rPr>
                <w:lang w:val="es-ES_tradnl"/>
              </w:rPr>
              <w:t>República del Congo</w:t>
            </w:r>
          </w:p>
        </w:tc>
      </w:tr>
      <w:tr w:rsidR="00195E47" w:rsidRPr="00985C05" w:rsidTr="000D7688">
        <w:tblPrEx>
          <w:tblCellMar>
            <w:left w:w="70" w:type="dxa"/>
            <w:right w:w="70" w:type="dxa"/>
          </w:tblCellMar>
        </w:tblPrEx>
        <w:trPr>
          <w:trHeight w:val="1044"/>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es-ES_tradnl" w:eastAsia="fr-CH"/>
              </w:rPr>
            </w:pPr>
            <w:r w:rsidRPr="00EB5B1D">
              <w:rPr>
                <w:b/>
                <w:bCs/>
                <w:szCs w:val="22"/>
                <w:lang w:val="es-ES_tradnl" w:eastAsia="fr-CH"/>
              </w:rPr>
              <w:t>Éter de octabromodifenilo de calidad comercial (entre otras: Éter de hexabromodifenilo y Éter de heptabromodifenilo)</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es-ES" w:eastAsia="fr-CH"/>
              </w:rPr>
              <w:t>El Salvador</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es-ES" w:eastAsia="fr-CH"/>
              </w:rPr>
              <w:t>Guyana</w:t>
            </w:r>
          </w:p>
        </w:tc>
      </w:tr>
      <w:tr w:rsidR="004632E4" w:rsidRPr="00985C05" w:rsidTr="004632E4">
        <w:tblPrEx>
          <w:tblCellMar>
            <w:left w:w="70" w:type="dxa"/>
            <w:right w:w="70" w:type="dxa"/>
          </w:tblCellMar>
        </w:tblPrEx>
        <w:trPr>
          <w:trHeight w:val="918"/>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es-ES_tradnl" w:eastAsia="fr-CH"/>
              </w:rPr>
            </w:pPr>
            <w:r w:rsidRPr="00EB5B1D">
              <w:rPr>
                <w:b/>
                <w:bCs/>
                <w:szCs w:val="22"/>
                <w:lang w:val="es-ES_tradnl" w:eastAsia="fr-CH"/>
              </w:rPr>
              <w:t xml:space="preserve">Éter de pentabromodifenilo de calidad comercial (entre otras: Éter de tetrabromodifenilo y Éter de pentabromodifenilo) </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es-ES" w:eastAsia="fr-CH"/>
              </w:rPr>
              <w:t>El Salvador</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es-ES" w:eastAsia="fr-CH"/>
              </w:rPr>
              <w:t>Guyana</w:t>
            </w:r>
          </w:p>
        </w:tc>
      </w:tr>
      <w:tr w:rsidR="004632E4" w:rsidRPr="00EB5B1D" w:rsidTr="004632E4">
        <w:tblPrEx>
          <w:tblCellMar>
            <w:left w:w="70" w:type="dxa"/>
            <w:right w:w="70" w:type="dxa"/>
          </w:tblCellMar>
        </w:tblPrEx>
        <w:trPr>
          <w:trHeight w:val="1053"/>
        </w:trPr>
        <w:tc>
          <w:tcPr>
            <w:tcW w:w="4126" w:type="dxa"/>
            <w:gridSpan w:val="2"/>
            <w:tcBorders>
              <w:top w:val="nil"/>
              <w:left w:val="nil"/>
              <w:bottom w:val="nil"/>
              <w:right w:val="nil"/>
            </w:tcBorders>
            <w:shd w:val="clear" w:color="000000" w:fill="C0C0C0"/>
            <w:vAlign w:val="bottom"/>
            <w:hideMark/>
          </w:tcPr>
          <w:p w:rsidR="00195E47" w:rsidRPr="00EB5B1D" w:rsidRDefault="00195E47" w:rsidP="005228C1">
            <w:pPr>
              <w:rPr>
                <w:b/>
                <w:bCs/>
                <w:szCs w:val="22"/>
                <w:lang w:val="es-ES_tradnl" w:eastAsia="fr-CH"/>
              </w:rPr>
            </w:pPr>
            <w:r w:rsidRPr="00EB5B1D">
              <w:rPr>
                <w:b/>
                <w:bCs/>
                <w:szCs w:val="22"/>
                <w:lang w:val="es-ES_tradnl" w:eastAsia="fr-CH"/>
              </w:rPr>
              <w:t>Ácido perfluorooctano sulfónico, sulfonatos de perfluorooctano, sulfonamidas de perfluorooctano y perfluorooctanos sulfonilos</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es-ES" w:eastAsia="fr-CH"/>
              </w:rPr>
              <w:t>El Salvador</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0D7688" w:rsidRPr="00EB5B1D" w:rsidRDefault="000D7688" w:rsidP="005228C1">
            <w:pPr>
              <w:rPr>
                <w:szCs w:val="22"/>
                <w:lang w:val="es-ES" w:eastAsia="fr-CH"/>
              </w:rPr>
            </w:pPr>
            <w:r w:rsidRPr="00EB5B1D">
              <w:rPr>
                <w:szCs w:val="22"/>
                <w:lang w:val="es-ES" w:eastAsia="fr-CH"/>
              </w:rPr>
              <w:t>Guyana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0D7688" w:rsidRPr="00EB5B1D" w:rsidRDefault="000D7688" w:rsidP="005228C1">
            <w:pPr>
              <w:rPr>
                <w:szCs w:val="22"/>
                <w:lang w:val="es-ES" w:eastAsia="fr-CH"/>
              </w:rPr>
            </w:pPr>
            <w:r w:rsidRPr="00EB5B1D">
              <w:rPr>
                <w:szCs w:val="22"/>
                <w:lang w:val="es-ES" w:eastAsia="fr-CH"/>
              </w:rPr>
              <w:t>Saint Kitts y Nevis</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0D7688" w:rsidRPr="00EB5B1D" w:rsidRDefault="000D7688" w:rsidP="005228C1">
            <w:pPr>
              <w:rPr>
                <w:b/>
                <w:bCs/>
                <w:szCs w:val="22"/>
                <w:lang w:val="fr-CH" w:eastAsia="fr-CH"/>
              </w:rPr>
            </w:pPr>
            <w:r w:rsidRPr="00EB5B1D">
              <w:rPr>
                <w:b/>
                <w:bCs/>
                <w:szCs w:val="22"/>
                <w:lang w:val="fr-CH" w:eastAsia="fr-CH"/>
              </w:rPr>
              <w:t>Bifenilos polibromados (PBB)</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0D7688" w:rsidRPr="00EB5B1D" w:rsidRDefault="000D7688" w:rsidP="005228C1">
            <w:pPr>
              <w:rPr>
                <w:b/>
                <w:bCs/>
                <w:szCs w:val="22"/>
                <w:lang w:val="fr-CH" w:eastAsia="fr-CH"/>
              </w:rPr>
            </w:pPr>
            <w:r w:rsidRPr="00EB5B1D">
              <w:rPr>
                <w:b/>
                <w:bCs/>
                <w:szCs w:val="22"/>
                <w:lang w:val="fr-CH" w:eastAsia="fr-CH"/>
              </w:rPr>
              <w:t>Bifenilos policlorados (PCB)</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5228C1">
            <w:pPr>
              <w:rPr>
                <w:szCs w:val="22"/>
                <w:lang w:val="fr-CH" w:eastAsia="fr-CH"/>
              </w:rPr>
            </w:pPr>
            <w:r w:rsidRPr="00EB5B1D">
              <w:rPr>
                <w:szCs w:val="22"/>
                <w:lang w:val="fr-CH" w:eastAsia="fr-CH"/>
              </w:rPr>
              <w:t>Bosnia y Herzegovina</w:t>
            </w:r>
          </w:p>
        </w:tc>
      </w:tr>
      <w:tr w:rsidR="002E141A"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2E141A" w:rsidRPr="00EB5B1D" w:rsidRDefault="002E141A" w:rsidP="005228C1">
            <w:pPr>
              <w:rPr>
                <w:szCs w:val="22"/>
                <w:lang w:val="fr-CH" w:eastAsia="fr-CH"/>
              </w:rPr>
            </w:pPr>
            <w:r w:rsidRPr="00EB5B1D">
              <w:rPr>
                <w:szCs w:val="22"/>
                <w:lang w:val="fr-CH" w:eastAsia="fr-CH"/>
              </w:rPr>
              <w:t>Sud</w:t>
            </w:r>
            <w:r w:rsidRPr="00EB5B1D">
              <w:rPr>
                <w:szCs w:val="22"/>
                <w:lang w:val="es-ES" w:eastAsia="fr-CH"/>
              </w:rPr>
              <w:t>áfrica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0D7688" w:rsidRPr="00EB5B1D" w:rsidRDefault="000D7688" w:rsidP="00062236">
            <w:pPr>
              <w:rPr>
                <w:b/>
                <w:bCs/>
                <w:szCs w:val="22"/>
                <w:lang w:val="fr-CH" w:eastAsia="fr-CH"/>
              </w:rPr>
            </w:pPr>
            <w:r w:rsidRPr="00EB5B1D">
              <w:rPr>
                <w:b/>
                <w:bCs/>
                <w:szCs w:val="22"/>
                <w:lang w:val="fr-CH" w:eastAsia="fr-CH"/>
              </w:rPr>
              <w:t>Trifenilos policlorados (PCT)</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062236">
            <w:pPr>
              <w:rPr>
                <w:szCs w:val="22"/>
                <w:lang w:val="fr-CH" w:eastAsia="fr-CH"/>
              </w:rPr>
            </w:pPr>
            <w:r w:rsidRPr="00EB5B1D">
              <w:rPr>
                <w:szCs w:val="22"/>
                <w:lang w:val="fr-CH" w:eastAsia="fr-CH"/>
              </w:rPr>
              <w:t>Bosnia y Herzegovina</w:t>
            </w:r>
          </w:p>
        </w:tc>
      </w:tr>
      <w:tr w:rsidR="002E141A"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rsidR="002E141A" w:rsidRPr="00EB5B1D" w:rsidRDefault="002E141A" w:rsidP="00062236">
            <w:pPr>
              <w:rPr>
                <w:szCs w:val="22"/>
                <w:lang w:val="fr-CH" w:eastAsia="fr-CH"/>
              </w:rPr>
            </w:pPr>
            <w:r w:rsidRPr="00EB5B1D">
              <w:rPr>
                <w:lang w:val="es-ES_tradnl"/>
              </w:rPr>
              <w:t>República del Congo</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0D7688" w:rsidRPr="00EB5B1D" w:rsidRDefault="000D7688" w:rsidP="00062236">
            <w:pPr>
              <w:rPr>
                <w:b/>
                <w:bCs/>
                <w:szCs w:val="22"/>
                <w:lang w:val="fr-CH" w:eastAsia="fr-CH"/>
              </w:rPr>
            </w:pPr>
            <w:r w:rsidRPr="00EB5B1D">
              <w:rPr>
                <w:b/>
                <w:bCs/>
                <w:szCs w:val="22"/>
                <w:lang w:val="fr-CH" w:eastAsia="fr-CH"/>
              </w:rPr>
              <w:t>Tetraetilo de plomo</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062236">
            <w:pPr>
              <w:rPr>
                <w:szCs w:val="22"/>
                <w:lang w:val="fr-CH" w:eastAsia="fr-CH"/>
              </w:rPr>
            </w:pPr>
            <w:r w:rsidRPr="00EB5B1D">
              <w:rPr>
                <w:szCs w:val="22"/>
                <w:lang w:val="fr-CH" w:eastAsia="fr-CH"/>
              </w:rPr>
              <w:t>Armenia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062236">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0D7688" w:rsidRPr="00EB5B1D" w:rsidRDefault="000D7688" w:rsidP="00062236">
            <w:pPr>
              <w:rPr>
                <w:b/>
                <w:bCs/>
                <w:szCs w:val="22"/>
                <w:lang w:val="fr-CH" w:eastAsia="fr-CH"/>
              </w:rPr>
            </w:pPr>
            <w:r w:rsidRPr="00EB5B1D">
              <w:rPr>
                <w:b/>
                <w:bCs/>
                <w:szCs w:val="22"/>
                <w:lang w:val="fr-CH" w:eastAsia="fr-CH"/>
              </w:rPr>
              <w:t>Tetrametilo de plomo</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062236">
            <w:pPr>
              <w:rPr>
                <w:szCs w:val="22"/>
                <w:lang w:val="fr-CH" w:eastAsia="fr-CH"/>
              </w:rPr>
            </w:pPr>
            <w:r w:rsidRPr="00EB5B1D">
              <w:rPr>
                <w:szCs w:val="22"/>
                <w:lang w:val="fr-CH" w:eastAsia="fr-CH"/>
              </w:rPr>
              <w:t>Armenia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062236">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pPr>
              <w:rPr>
                <w:szCs w:val="22"/>
                <w:lang w:val="fr-CH" w:eastAsia="fr-CH"/>
              </w:rPr>
            </w:pPr>
            <w:r w:rsidRPr="00EB5B1D">
              <w:rPr>
                <w:lang w:val="es-ES_tradnl"/>
              </w:rPr>
              <w:t>República del Congo</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rsidR="000D7688" w:rsidRPr="00EB5B1D" w:rsidRDefault="000D7688" w:rsidP="00062236">
            <w:pPr>
              <w:rPr>
                <w:b/>
                <w:bCs/>
                <w:szCs w:val="22"/>
                <w:lang w:val="fr-CH" w:eastAsia="fr-CH"/>
              </w:rPr>
            </w:pPr>
            <w:r w:rsidRPr="00EB5B1D">
              <w:rPr>
                <w:b/>
                <w:bCs/>
                <w:szCs w:val="22"/>
                <w:lang w:val="fr-CH" w:eastAsia="fr-CH"/>
              </w:rPr>
              <w:t xml:space="preserve">Fosfato de </w:t>
            </w:r>
            <w:proofErr w:type="gramStart"/>
            <w:r w:rsidRPr="00EB5B1D">
              <w:rPr>
                <w:b/>
                <w:bCs/>
                <w:szCs w:val="22"/>
                <w:lang w:val="fr-CH" w:eastAsia="fr-CH"/>
              </w:rPr>
              <w:t>tris(</w:t>
            </w:r>
            <w:proofErr w:type="gramEnd"/>
            <w:r w:rsidRPr="00EB5B1D">
              <w:rPr>
                <w:b/>
                <w:bCs/>
                <w:szCs w:val="22"/>
                <w:lang w:val="fr-CH" w:eastAsia="fr-CH"/>
              </w:rPr>
              <w:t>2,3-dibromopropilo)</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062236">
            <w:pPr>
              <w:rPr>
                <w:szCs w:val="22"/>
                <w:lang w:val="fr-CH" w:eastAsia="fr-CH"/>
              </w:rPr>
            </w:pPr>
            <w:r w:rsidRPr="00EB5B1D">
              <w:rPr>
                <w:szCs w:val="22"/>
                <w:lang w:val="fr-CH" w:eastAsia="fr-CH"/>
              </w:rPr>
              <w:t>Bosnia y Herzegovina</w:t>
            </w:r>
          </w:p>
        </w:tc>
      </w:tr>
      <w:tr w:rsidR="000D7688" w:rsidRPr="00EB5B1D" w:rsidTr="000D7688">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hideMark/>
          </w:tcPr>
          <w:p w:rsidR="000D7688" w:rsidRPr="00EB5B1D" w:rsidRDefault="000D7688" w:rsidP="00062236">
            <w:pPr>
              <w:rPr>
                <w:szCs w:val="22"/>
                <w:lang w:val="fr-CH" w:eastAsia="fr-CH"/>
              </w:rPr>
            </w:pPr>
            <w:r w:rsidRPr="00EB5B1D">
              <w:rPr>
                <w:lang w:val="es-ES_tradnl"/>
              </w:rPr>
              <w:t>República del Congo</w:t>
            </w:r>
          </w:p>
        </w:tc>
      </w:tr>
    </w:tbl>
    <w:p w:rsidR="00243D1D" w:rsidRPr="00EB5B1D" w:rsidRDefault="00243D1D" w:rsidP="00243D1D">
      <w:pPr>
        <w:rPr>
          <w:b/>
          <w:bCs/>
          <w:szCs w:val="22"/>
          <w:lang w:val="en-GB" w:eastAsia="fr-CH"/>
        </w:rPr>
      </w:pPr>
    </w:p>
    <w:p w:rsidR="00B652B8" w:rsidRPr="00EB5B1D" w:rsidRDefault="00B652B8" w:rsidP="00B652B8">
      <w:pPr>
        <w:rPr>
          <w:rFonts w:ascii="Arial" w:hAnsi="Arial" w:cs="Arial"/>
          <w:b/>
          <w:bCs/>
          <w:lang w:val="en-GB" w:eastAsia="fr-CH"/>
        </w:rPr>
        <w:sectPr w:rsidR="00B652B8" w:rsidRPr="00EB5B1D" w:rsidSect="008A1D9E">
          <w:type w:val="continuous"/>
          <w:pgSz w:w="11907" w:h="16839" w:code="9"/>
          <w:pgMar w:top="1134" w:right="1134" w:bottom="1134" w:left="1134" w:header="709" w:footer="277" w:gutter="0"/>
          <w:cols w:num="2" w:space="709" w:equalWidth="0">
            <w:col w:w="4459" w:space="720"/>
            <w:col w:w="4459"/>
          </w:cols>
          <w:docGrid w:linePitch="360"/>
        </w:sectPr>
      </w:pPr>
    </w:p>
    <w:p w:rsidR="00243D1D" w:rsidRPr="00565A49" w:rsidRDefault="00B866B3" w:rsidP="007B68CF">
      <w:pPr>
        <w:jc w:val="center"/>
        <w:outlineLvl w:val="0"/>
        <w:rPr>
          <w:b/>
          <w:sz w:val="24"/>
          <w:lang w:val="fr-CH"/>
        </w:rPr>
      </w:pPr>
      <w:bookmarkStart w:id="261" w:name="_Toc232307926"/>
      <w:bookmarkStart w:id="262" w:name="_Toc231189262"/>
      <w:bookmarkStart w:id="263" w:name="_Toc248296483"/>
      <w:bookmarkStart w:id="264" w:name="_Toc248307719"/>
      <w:bookmarkStart w:id="265" w:name="_Toc264393163"/>
      <w:bookmarkStart w:id="266" w:name="_Toc468869223"/>
      <w:bookmarkStart w:id="267" w:name="_Toc468870507"/>
      <w:bookmarkStart w:id="268" w:name="_Toc469002218"/>
      <w:bookmarkStart w:id="269" w:name="_Toc469005879"/>
      <w:bookmarkStart w:id="270" w:name="_Toc469052716"/>
      <w:bookmarkStart w:id="271" w:name="_Toc484686666"/>
      <w:bookmarkStart w:id="272" w:name="_Toc327357913"/>
      <w:bookmarkStart w:id="273" w:name="_Toc405887667"/>
      <w:bookmarkStart w:id="274" w:name="_Toc421544543"/>
      <w:r w:rsidRPr="00565A49">
        <w:rPr>
          <w:b/>
          <w:sz w:val="24"/>
          <w:lang w:val="fr-CH"/>
        </w:rPr>
        <w:t>APÉNDICE</w:t>
      </w:r>
      <w:r w:rsidR="00BC73C4" w:rsidRPr="00565A49">
        <w:rPr>
          <w:b/>
          <w:sz w:val="24"/>
          <w:lang w:val="fr-CH"/>
        </w:rPr>
        <w:t xml:space="preserve"> V</w:t>
      </w:r>
      <w:bookmarkEnd w:id="261"/>
      <w:bookmarkEnd w:id="262"/>
      <w:bookmarkEnd w:id="263"/>
      <w:bookmarkEnd w:id="264"/>
      <w:bookmarkEnd w:id="265"/>
      <w:bookmarkEnd w:id="266"/>
      <w:bookmarkEnd w:id="267"/>
      <w:bookmarkEnd w:id="268"/>
      <w:bookmarkEnd w:id="269"/>
      <w:bookmarkEnd w:id="270"/>
      <w:bookmarkEnd w:id="271"/>
    </w:p>
    <w:p w:rsidR="00243D1D" w:rsidRPr="00565A49" w:rsidRDefault="00243D1D" w:rsidP="007B68CF">
      <w:pPr>
        <w:jc w:val="center"/>
        <w:outlineLvl w:val="0"/>
        <w:rPr>
          <w:b/>
          <w:sz w:val="24"/>
          <w:lang w:val="fr-CH"/>
        </w:rPr>
      </w:pPr>
    </w:p>
    <w:p w:rsidR="007B68CF" w:rsidRPr="00EB5B1D" w:rsidRDefault="00B866B3" w:rsidP="007B68CF">
      <w:pPr>
        <w:jc w:val="center"/>
        <w:outlineLvl w:val="0"/>
        <w:rPr>
          <w:b/>
          <w:bCs/>
          <w:sz w:val="24"/>
          <w:lang w:val="fr-CH" w:eastAsia="en-US"/>
        </w:rPr>
      </w:pPr>
      <w:bookmarkStart w:id="275" w:name="_Toc484686667"/>
      <w:bookmarkEnd w:id="272"/>
      <w:bookmarkEnd w:id="273"/>
      <w:bookmarkEnd w:id="274"/>
      <w:r w:rsidRPr="00EB5B1D">
        <w:rPr>
          <w:b/>
          <w:bCs/>
          <w:sz w:val="24"/>
          <w:lang w:val="fr-CH" w:eastAsia="en-US"/>
        </w:rPr>
        <w:t>NOTIFICACIONES DE MEDIDA REGLAMENTARIA FIRME</w:t>
      </w:r>
      <w:r w:rsidR="00AD0280" w:rsidRPr="00EB5B1D">
        <w:rPr>
          <w:b/>
          <w:bCs/>
          <w:sz w:val="24"/>
          <w:lang w:val="fr-CH" w:eastAsia="en-US"/>
        </w:rPr>
        <w:t xml:space="preserve"> </w:t>
      </w:r>
      <w:r w:rsidR="00AD0280" w:rsidRPr="00EB5B1D">
        <w:rPr>
          <w:lang w:val="es-ES_tradnl"/>
        </w:rPr>
        <w:br/>
      </w:r>
      <w:r w:rsidRPr="00EB5B1D">
        <w:rPr>
          <w:b/>
          <w:bCs/>
          <w:sz w:val="24"/>
          <w:lang w:val="fr-CH" w:eastAsia="en-US"/>
        </w:rPr>
        <w:t>PARA PRODUCTOS QUÍMICOS QUE NO ESTÁN INCLUIDOS EN EL ANEXO III</w:t>
      </w:r>
      <w:bookmarkEnd w:id="275"/>
    </w:p>
    <w:p w:rsidR="007B68CF" w:rsidRPr="00EB5B1D" w:rsidRDefault="007B68CF" w:rsidP="007B68CF">
      <w:pPr>
        <w:autoSpaceDE w:val="0"/>
        <w:autoSpaceDN w:val="0"/>
        <w:adjustRightInd w:val="0"/>
        <w:rPr>
          <w:bCs/>
          <w:szCs w:val="22"/>
          <w:lang w:val="fr-CH" w:eastAsia="en-US"/>
        </w:rPr>
      </w:pPr>
    </w:p>
    <w:p w:rsidR="00BD4E06" w:rsidRPr="00EB5B1D" w:rsidRDefault="00BD4E06" w:rsidP="00BD4E06">
      <w:pPr>
        <w:rPr>
          <w:szCs w:val="22"/>
          <w:lang w:val="fr-CH"/>
        </w:rPr>
      </w:pPr>
      <w:r w:rsidRPr="00EB5B1D">
        <w:rPr>
          <w:szCs w:val="22"/>
          <w:lang w:val="fr-CH"/>
        </w:rPr>
        <w:t>Este apéndice está compuesto de dos partes:</w:t>
      </w:r>
    </w:p>
    <w:p w:rsidR="00BD4E06" w:rsidRPr="00EB5B1D" w:rsidRDefault="00BD4E06" w:rsidP="00BD4E06">
      <w:pPr>
        <w:rPr>
          <w:szCs w:val="22"/>
          <w:lang w:val="fr-CH"/>
        </w:rPr>
      </w:pPr>
    </w:p>
    <w:p w:rsidR="00BD4E06" w:rsidRPr="00EB5B1D" w:rsidRDefault="00BD4E06" w:rsidP="00BD4E06">
      <w:pPr>
        <w:tabs>
          <w:tab w:val="left" w:pos="900"/>
        </w:tabs>
        <w:autoSpaceDE w:val="0"/>
        <w:autoSpaceDN w:val="0"/>
        <w:adjustRightInd w:val="0"/>
        <w:ind w:left="900" w:hanging="900"/>
        <w:rPr>
          <w:b/>
          <w:bCs/>
          <w:szCs w:val="22"/>
          <w:lang w:val="fr-CH" w:eastAsia="en-US"/>
        </w:rPr>
      </w:pPr>
      <w:r w:rsidRPr="00EB5B1D">
        <w:rPr>
          <w:b/>
          <w:bCs/>
          <w:szCs w:val="22"/>
          <w:lang w:val="fr-CH" w:eastAsia="en-US"/>
        </w:rPr>
        <w:t>Parte A:</w:t>
      </w:r>
      <w:r w:rsidRPr="00EB5B1D">
        <w:rPr>
          <w:b/>
          <w:bCs/>
          <w:szCs w:val="22"/>
          <w:lang w:val="fr-CH" w:eastAsia="en-US"/>
        </w:rPr>
        <w:tab/>
      </w:r>
      <w:r w:rsidR="00565A49">
        <w:rPr>
          <w:b/>
          <w:bCs/>
          <w:szCs w:val="22"/>
          <w:lang w:val="fr-CH" w:eastAsia="en-US"/>
        </w:rPr>
        <w:t>N</w:t>
      </w:r>
      <w:r w:rsidR="00AD0280" w:rsidRPr="00EB5B1D">
        <w:rPr>
          <w:b/>
          <w:bCs/>
          <w:szCs w:val="22"/>
          <w:lang w:val="fr-CH" w:eastAsia="en-US"/>
        </w:rPr>
        <w:t>otificaciones de medida reglamentaria firme</w:t>
      </w:r>
      <w:r w:rsidRPr="00EB5B1D">
        <w:rPr>
          <w:b/>
          <w:bCs/>
          <w:szCs w:val="22"/>
          <w:lang w:val="fr-CH" w:eastAsia="en-US"/>
        </w:rPr>
        <w:t xml:space="preserve"> para productos químicos </w:t>
      </w:r>
      <w:r w:rsidR="001B0518" w:rsidRPr="00EB5B1D">
        <w:rPr>
          <w:b/>
          <w:bCs/>
          <w:szCs w:val="22"/>
          <w:lang w:val="fr-CH" w:eastAsia="en-US"/>
        </w:rPr>
        <w:t xml:space="preserve">que </w:t>
      </w:r>
      <w:r w:rsidR="00024374" w:rsidRPr="00EB5B1D">
        <w:rPr>
          <w:b/>
          <w:bCs/>
          <w:szCs w:val="22"/>
          <w:lang w:val="fr-CH" w:eastAsia="en-US"/>
        </w:rPr>
        <w:t xml:space="preserve">no están incluidos </w:t>
      </w:r>
      <w:r w:rsidRPr="00EB5B1D">
        <w:rPr>
          <w:b/>
          <w:bCs/>
          <w:szCs w:val="22"/>
          <w:lang w:val="fr-CH" w:eastAsia="en-US"/>
        </w:rPr>
        <w:t xml:space="preserve">en el </w:t>
      </w:r>
      <w:r w:rsidR="00AC76AE" w:rsidRPr="00EB5B1D">
        <w:rPr>
          <w:b/>
          <w:bCs/>
          <w:szCs w:val="22"/>
          <w:lang w:val="fr-CH" w:eastAsia="en-US"/>
        </w:rPr>
        <w:t>a</w:t>
      </w:r>
      <w:r w:rsidRPr="00EB5B1D">
        <w:rPr>
          <w:b/>
          <w:bCs/>
          <w:szCs w:val="22"/>
          <w:lang w:val="fr-CH" w:eastAsia="en-US"/>
        </w:rPr>
        <w:t xml:space="preserve">nexo </w:t>
      </w:r>
      <w:smartTag w:uri="urn:schemas-microsoft-com:office:smarttags" w:element="stockticker">
        <w:r w:rsidRPr="00EB5B1D">
          <w:rPr>
            <w:b/>
            <w:bCs/>
            <w:szCs w:val="22"/>
            <w:lang w:val="fr-CH" w:eastAsia="en-US"/>
          </w:rPr>
          <w:t>III</w:t>
        </w:r>
      </w:smartTag>
      <w:r w:rsidRPr="00EB5B1D">
        <w:rPr>
          <w:b/>
          <w:bCs/>
          <w:szCs w:val="22"/>
          <w:lang w:val="fr-CH" w:eastAsia="en-US"/>
        </w:rPr>
        <w:t xml:space="preserve"> que </w:t>
      </w:r>
      <w:r w:rsidR="001B0518" w:rsidRPr="00EB5B1D">
        <w:rPr>
          <w:b/>
          <w:bCs/>
          <w:szCs w:val="22"/>
          <w:lang w:val="fr-CH" w:eastAsia="en-US"/>
        </w:rPr>
        <w:t>se ha verificado</w:t>
      </w:r>
      <w:r w:rsidR="005D0363" w:rsidRPr="00EB5B1D">
        <w:rPr>
          <w:b/>
          <w:bCs/>
          <w:szCs w:val="22"/>
          <w:lang w:val="fr-CH" w:eastAsia="en-US"/>
        </w:rPr>
        <w:t xml:space="preserve"> que contienen</w:t>
      </w:r>
      <w:r w:rsidR="001B0518" w:rsidRPr="00EB5B1D">
        <w:rPr>
          <w:b/>
          <w:bCs/>
          <w:szCs w:val="22"/>
          <w:lang w:val="fr-CH" w:eastAsia="en-US"/>
        </w:rPr>
        <w:t xml:space="preserve"> toda</w:t>
      </w:r>
      <w:r w:rsidR="005D0363" w:rsidRPr="00EB5B1D">
        <w:rPr>
          <w:b/>
          <w:bCs/>
          <w:szCs w:val="22"/>
          <w:lang w:val="fr-CH" w:eastAsia="en-US"/>
        </w:rPr>
        <w:t xml:space="preserve"> la información estipulada en el anexo I del Convenio</w:t>
      </w:r>
    </w:p>
    <w:p w:rsidR="00BD4E06" w:rsidRPr="00EB5B1D" w:rsidRDefault="00BD4E06" w:rsidP="00BD4E06">
      <w:pPr>
        <w:jc w:val="both"/>
        <w:rPr>
          <w:b/>
          <w:szCs w:val="22"/>
          <w:lang w:val="fr-CH"/>
        </w:rPr>
      </w:pPr>
    </w:p>
    <w:p w:rsidR="00BD4E06" w:rsidRPr="00EB5B1D" w:rsidRDefault="00BD4E06" w:rsidP="00BD4E06">
      <w:pPr>
        <w:jc w:val="both"/>
        <w:rPr>
          <w:szCs w:val="22"/>
          <w:lang w:val="fr-CH" w:eastAsia="en-US"/>
        </w:rPr>
      </w:pPr>
      <w:r w:rsidRPr="00EB5B1D">
        <w:rPr>
          <w:szCs w:val="22"/>
          <w:lang w:val="fr-CH" w:eastAsia="en-US"/>
        </w:rPr>
        <w:t xml:space="preserve">El cuadro resumen enumera </w:t>
      </w:r>
      <w:r w:rsidR="009470A9" w:rsidRPr="00EB5B1D">
        <w:rPr>
          <w:szCs w:val="22"/>
          <w:lang w:val="fr-CH" w:eastAsia="en-US"/>
        </w:rPr>
        <w:t xml:space="preserve">todas las </w:t>
      </w:r>
      <w:r w:rsidRPr="00EB5B1D">
        <w:rPr>
          <w:szCs w:val="22"/>
          <w:lang w:val="fr-CH" w:eastAsia="en-US"/>
        </w:rPr>
        <w:t>notificación</w:t>
      </w:r>
      <w:r w:rsidR="009470A9" w:rsidRPr="00EB5B1D">
        <w:rPr>
          <w:szCs w:val="22"/>
          <w:lang w:val="fr-CH" w:eastAsia="en-US"/>
        </w:rPr>
        <w:t>es</w:t>
      </w:r>
      <w:r w:rsidRPr="00EB5B1D">
        <w:rPr>
          <w:szCs w:val="22"/>
          <w:lang w:val="fr-CH" w:eastAsia="en-US"/>
        </w:rPr>
        <w:t xml:space="preserve"> recibida</w:t>
      </w:r>
      <w:r w:rsidR="009470A9" w:rsidRPr="00EB5B1D">
        <w:rPr>
          <w:szCs w:val="22"/>
          <w:lang w:val="fr-CH" w:eastAsia="en-US"/>
        </w:rPr>
        <w:t>s</w:t>
      </w:r>
      <w:r w:rsidRPr="00EB5B1D">
        <w:rPr>
          <w:szCs w:val="22"/>
          <w:lang w:val="fr-CH" w:eastAsia="en-US"/>
        </w:rPr>
        <w:t xml:space="preserve"> durante el procedimiento de CFP provisional y el actual procedimiento de CFP (de septiembre de 1998 al </w:t>
      </w:r>
      <w:r w:rsidR="006C680E" w:rsidRPr="00EB5B1D">
        <w:rPr>
          <w:szCs w:val="22"/>
          <w:lang w:val="fr-CH" w:eastAsia="en-GB"/>
        </w:rPr>
        <w:t>30 de abril de 2017</w:t>
      </w:r>
      <w:r w:rsidRPr="00EB5B1D">
        <w:rPr>
          <w:szCs w:val="22"/>
          <w:lang w:val="fr-CH" w:eastAsia="en-US"/>
        </w:rPr>
        <w:t xml:space="preserve">) y que </w:t>
      </w:r>
      <w:r w:rsidR="001B0518" w:rsidRPr="00EB5B1D">
        <w:rPr>
          <w:szCs w:val="22"/>
          <w:lang w:val="fr-CH" w:eastAsia="en-US"/>
        </w:rPr>
        <w:t xml:space="preserve">se ha </w:t>
      </w:r>
      <w:r w:rsidR="009470A9" w:rsidRPr="00EB5B1D">
        <w:rPr>
          <w:szCs w:val="22"/>
          <w:lang w:val="fr-CH" w:eastAsia="en-US"/>
        </w:rPr>
        <w:t>verificad</w:t>
      </w:r>
      <w:r w:rsidR="001B0518" w:rsidRPr="00EB5B1D">
        <w:rPr>
          <w:szCs w:val="22"/>
          <w:lang w:val="fr-CH" w:eastAsia="en-US"/>
        </w:rPr>
        <w:t>o</w:t>
      </w:r>
      <w:r w:rsidR="00E65FDB" w:rsidRPr="00EB5B1D">
        <w:rPr>
          <w:szCs w:val="22"/>
          <w:lang w:val="fr-CH" w:eastAsia="en-US"/>
        </w:rPr>
        <w:t xml:space="preserve"> que contienen </w:t>
      </w:r>
      <w:r w:rsidR="001B0518" w:rsidRPr="00EB5B1D">
        <w:rPr>
          <w:szCs w:val="22"/>
          <w:lang w:val="fr-CH" w:eastAsia="en-US"/>
        </w:rPr>
        <w:t xml:space="preserve">toda </w:t>
      </w:r>
      <w:r w:rsidR="00E65FDB" w:rsidRPr="00EB5B1D">
        <w:rPr>
          <w:szCs w:val="22"/>
          <w:lang w:val="fr-CH" w:eastAsia="en-US"/>
        </w:rPr>
        <w:t>la información estipulada en el anexo I del Convenio</w:t>
      </w:r>
      <w:r w:rsidRPr="00EB5B1D">
        <w:rPr>
          <w:szCs w:val="22"/>
          <w:lang w:val="fr-CH" w:eastAsia="en-US"/>
        </w:rPr>
        <w:t xml:space="preserve">. En el sitio Web del Convenio de </w:t>
      </w:r>
      <w:r w:rsidR="007D514A" w:rsidRPr="00EB5B1D">
        <w:rPr>
          <w:szCs w:val="22"/>
          <w:lang w:val="fr-CH" w:eastAsia="en-US"/>
        </w:rPr>
        <w:t>Rotterdam</w:t>
      </w:r>
      <w:r w:rsidRPr="00EB5B1D">
        <w:rPr>
          <w:szCs w:val="22"/>
          <w:lang w:val="fr-CH" w:eastAsia="en-US"/>
        </w:rPr>
        <w:t xml:space="preserve"> (</w:t>
      </w:r>
      <w:hyperlink r:id="rId33" w:history="1">
        <w:r w:rsidR="004475F0" w:rsidRPr="00EB5B1D">
          <w:rPr>
            <w:rStyle w:val="Hyperlink"/>
            <w:color w:val="auto"/>
            <w:szCs w:val="22"/>
            <w:lang w:val="fr-CH" w:eastAsia="en-US"/>
          </w:rPr>
          <w:t>www.pic.int</w:t>
        </w:r>
      </w:hyperlink>
      <w:r w:rsidRPr="00EB5B1D">
        <w:rPr>
          <w:szCs w:val="22"/>
          <w:lang w:val="fr-CH" w:eastAsia="en-US"/>
        </w:rPr>
        <w:t>) se encuentra disponible toda la información respecto a todas las Circulares CFP.</w:t>
      </w:r>
    </w:p>
    <w:p w:rsidR="00BD4E06" w:rsidRPr="00EB5B1D" w:rsidRDefault="00BD4E06" w:rsidP="00BD4E06">
      <w:pPr>
        <w:jc w:val="both"/>
        <w:rPr>
          <w:szCs w:val="22"/>
          <w:lang w:val="fr-CH" w:eastAsia="en-US"/>
        </w:rPr>
      </w:pPr>
    </w:p>
    <w:p w:rsidR="00BD4E06" w:rsidRPr="00EB5B1D" w:rsidRDefault="00BD4E06" w:rsidP="00BD4E06">
      <w:pPr>
        <w:tabs>
          <w:tab w:val="left" w:pos="900"/>
        </w:tabs>
        <w:ind w:left="900" w:hanging="900"/>
        <w:rPr>
          <w:b/>
          <w:snapToGrid w:val="0"/>
          <w:szCs w:val="22"/>
          <w:lang w:val="fr-CH"/>
        </w:rPr>
      </w:pPr>
      <w:r w:rsidRPr="00EB5B1D">
        <w:rPr>
          <w:b/>
          <w:szCs w:val="22"/>
          <w:lang w:val="es-AR"/>
        </w:rPr>
        <w:t>Parte B:</w:t>
      </w:r>
      <w:r w:rsidRPr="00EB5B1D">
        <w:rPr>
          <w:b/>
          <w:szCs w:val="22"/>
          <w:lang w:val="es-AR"/>
        </w:rPr>
        <w:tab/>
      </w:r>
      <w:r w:rsidR="00565A49">
        <w:rPr>
          <w:b/>
          <w:szCs w:val="22"/>
          <w:lang w:val="es-AR"/>
        </w:rPr>
        <w:t>N</w:t>
      </w:r>
      <w:r w:rsidRPr="00EB5B1D">
        <w:rPr>
          <w:b/>
          <w:bCs/>
          <w:szCs w:val="22"/>
          <w:lang w:val="es-AR" w:eastAsia="en-US"/>
        </w:rPr>
        <w:t xml:space="preserve">otificaciones de </w:t>
      </w:r>
      <w:r w:rsidR="00FF4EDB" w:rsidRPr="00EB5B1D">
        <w:rPr>
          <w:b/>
          <w:bCs/>
          <w:szCs w:val="22"/>
          <w:lang w:val="es-AR" w:eastAsia="en-US"/>
        </w:rPr>
        <w:t>medida reglamentaria firme</w:t>
      </w:r>
      <w:r w:rsidRPr="00EB5B1D">
        <w:rPr>
          <w:b/>
          <w:bCs/>
          <w:szCs w:val="22"/>
          <w:lang w:val="es-AR" w:eastAsia="en-US"/>
        </w:rPr>
        <w:t xml:space="preserve"> para productos químicos </w:t>
      </w:r>
      <w:r w:rsidR="001B0518" w:rsidRPr="00EB5B1D">
        <w:rPr>
          <w:b/>
          <w:bCs/>
          <w:szCs w:val="22"/>
          <w:lang w:val="es-AR" w:eastAsia="en-US"/>
        </w:rPr>
        <w:t xml:space="preserve">que </w:t>
      </w:r>
      <w:r w:rsidR="000B65A8" w:rsidRPr="00EB5B1D">
        <w:rPr>
          <w:b/>
          <w:bCs/>
          <w:szCs w:val="22"/>
          <w:lang w:val="es-AR" w:eastAsia="en-US"/>
        </w:rPr>
        <w:t xml:space="preserve">no están incluidos en el anexo </w:t>
      </w:r>
      <w:smartTag w:uri="urn:schemas-microsoft-com:office:smarttags" w:element="stockticker">
        <w:r w:rsidR="000B65A8" w:rsidRPr="00EB5B1D">
          <w:rPr>
            <w:b/>
            <w:bCs/>
            <w:szCs w:val="22"/>
            <w:lang w:val="es-AR" w:eastAsia="en-US"/>
          </w:rPr>
          <w:t>III</w:t>
        </w:r>
      </w:smartTag>
      <w:r w:rsidR="006A2D12" w:rsidRPr="00EB5B1D">
        <w:rPr>
          <w:b/>
          <w:bCs/>
          <w:szCs w:val="22"/>
          <w:lang w:val="es-AR" w:eastAsia="en-US"/>
        </w:rPr>
        <w:t xml:space="preserve"> que </w:t>
      </w:r>
      <w:r w:rsidR="001B0518" w:rsidRPr="00EB5B1D">
        <w:rPr>
          <w:b/>
          <w:bCs/>
          <w:szCs w:val="22"/>
          <w:lang w:val="es-AR" w:eastAsia="en-US"/>
        </w:rPr>
        <w:t xml:space="preserve">se ha </w:t>
      </w:r>
      <w:r w:rsidR="009470A9" w:rsidRPr="00EB5B1D">
        <w:rPr>
          <w:b/>
          <w:bCs/>
          <w:szCs w:val="22"/>
          <w:lang w:val="es-AR" w:eastAsia="en-US"/>
        </w:rPr>
        <w:t>verificad</w:t>
      </w:r>
      <w:r w:rsidR="001B0518" w:rsidRPr="00EB5B1D">
        <w:rPr>
          <w:b/>
          <w:bCs/>
          <w:szCs w:val="22"/>
          <w:lang w:val="es-AR" w:eastAsia="en-US"/>
        </w:rPr>
        <w:t>o</w:t>
      </w:r>
      <w:r w:rsidRPr="00EB5B1D">
        <w:rPr>
          <w:b/>
          <w:snapToGrid w:val="0"/>
          <w:szCs w:val="22"/>
          <w:lang w:val="es-AR"/>
        </w:rPr>
        <w:t xml:space="preserve"> </w:t>
      </w:r>
      <w:r w:rsidR="006A2D12" w:rsidRPr="00EB5B1D">
        <w:rPr>
          <w:b/>
          <w:snapToGrid w:val="0"/>
          <w:szCs w:val="22"/>
          <w:lang w:val="es-AR"/>
        </w:rPr>
        <w:t xml:space="preserve">que no contienen </w:t>
      </w:r>
      <w:r w:rsidR="001B0518" w:rsidRPr="00EB5B1D">
        <w:rPr>
          <w:b/>
          <w:snapToGrid w:val="0"/>
          <w:szCs w:val="22"/>
          <w:lang w:val="es-AR"/>
        </w:rPr>
        <w:t xml:space="preserve">toda </w:t>
      </w:r>
      <w:r w:rsidR="006A2D12" w:rsidRPr="00EB5B1D">
        <w:rPr>
          <w:b/>
          <w:snapToGrid w:val="0"/>
          <w:szCs w:val="22"/>
          <w:lang w:val="es-AR"/>
        </w:rPr>
        <w:t>la información estipulada en el anexo I del Convenio</w:t>
      </w:r>
    </w:p>
    <w:p w:rsidR="00BD4E06" w:rsidRPr="00EB5B1D" w:rsidRDefault="00BD4E06" w:rsidP="00BD4E06">
      <w:pPr>
        <w:rPr>
          <w:szCs w:val="22"/>
          <w:lang w:val="fr-CH" w:eastAsia="en-US"/>
        </w:rPr>
      </w:pPr>
    </w:p>
    <w:p w:rsidR="00BD4E06" w:rsidRPr="00EB5B1D" w:rsidRDefault="00BD4E06" w:rsidP="00BD4E06">
      <w:pPr>
        <w:jc w:val="both"/>
        <w:rPr>
          <w:szCs w:val="22"/>
          <w:u w:val="single"/>
          <w:lang w:val="fr-CH"/>
        </w:rPr>
      </w:pPr>
      <w:r w:rsidRPr="00EB5B1D">
        <w:rPr>
          <w:szCs w:val="22"/>
          <w:lang w:val="fr-CH" w:eastAsia="en-US"/>
        </w:rPr>
        <w:t xml:space="preserve">El </w:t>
      </w:r>
      <w:r w:rsidR="00AF01E6" w:rsidRPr="00EB5B1D">
        <w:rPr>
          <w:szCs w:val="22"/>
          <w:lang w:val="fr-CH" w:eastAsia="en-US"/>
        </w:rPr>
        <w:t>c</w:t>
      </w:r>
      <w:r w:rsidRPr="00EB5B1D">
        <w:rPr>
          <w:szCs w:val="22"/>
          <w:lang w:val="fr-CH" w:eastAsia="en-US"/>
        </w:rPr>
        <w:t xml:space="preserve">uadro resumen enumera </w:t>
      </w:r>
      <w:r w:rsidR="007422FD" w:rsidRPr="00EB5B1D">
        <w:rPr>
          <w:szCs w:val="22"/>
          <w:lang w:val="fr-CH" w:eastAsia="en-US"/>
        </w:rPr>
        <w:t xml:space="preserve">todas </w:t>
      </w:r>
      <w:r w:rsidR="009470A9" w:rsidRPr="00EB5B1D">
        <w:rPr>
          <w:szCs w:val="22"/>
          <w:lang w:val="fr-CH" w:eastAsia="en-US"/>
        </w:rPr>
        <w:t xml:space="preserve">las </w:t>
      </w:r>
      <w:r w:rsidRPr="00EB5B1D">
        <w:rPr>
          <w:szCs w:val="22"/>
          <w:lang w:val="fr-CH"/>
        </w:rPr>
        <w:t>notificación</w:t>
      </w:r>
      <w:r w:rsidR="009470A9" w:rsidRPr="00EB5B1D">
        <w:rPr>
          <w:szCs w:val="22"/>
          <w:lang w:val="fr-CH"/>
        </w:rPr>
        <w:t>es</w:t>
      </w:r>
      <w:r w:rsidRPr="00EB5B1D">
        <w:rPr>
          <w:szCs w:val="22"/>
          <w:lang w:val="fr-CH"/>
        </w:rPr>
        <w:t xml:space="preserve"> recibida</w:t>
      </w:r>
      <w:r w:rsidR="009470A9" w:rsidRPr="00EB5B1D">
        <w:rPr>
          <w:szCs w:val="22"/>
          <w:lang w:val="fr-CH"/>
        </w:rPr>
        <w:t>s</w:t>
      </w:r>
      <w:r w:rsidRPr="00EB5B1D">
        <w:rPr>
          <w:szCs w:val="22"/>
          <w:lang w:val="fr-CH"/>
        </w:rPr>
        <w:t xml:space="preserve"> durante el procedimiento de CFP provisional </w:t>
      </w:r>
      <w:r w:rsidRPr="00EB5B1D">
        <w:rPr>
          <w:szCs w:val="22"/>
          <w:lang w:val="fr-CH" w:eastAsia="en-US"/>
        </w:rPr>
        <w:t xml:space="preserve">y el actual procedimiento de CFP (de septiembre de 1998 al </w:t>
      </w:r>
      <w:r w:rsidR="006C680E" w:rsidRPr="00EB5B1D">
        <w:rPr>
          <w:szCs w:val="22"/>
          <w:lang w:val="fr-CH" w:eastAsia="en-GB"/>
        </w:rPr>
        <w:t>30 de abril de 2017</w:t>
      </w:r>
      <w:r w:rsidRPr="00EB5B1D">
        <w:rPr>
          <w:szCs w:val="22"/>
          <w:lang w:val="fr-CH" w:eastAsia="en-US"/>
        </w:rPr>
        <w:t xml:space="preserve">) y </w:t>
      </w:r>
      <w:r w:rsidR="00611186" w:rsidRPr="00EB5B1D">
        <w:rPr>
          <w:szCs w:val="22"/>
          <w:lang w:val="fr-CH" w:eastAsia="en-US"/>
        </w:rPr>
        <w:t xml:space="preserve">que </w:t>
      </w:r>
      <w:r w:rsidR="001B0518" w:rsidRPr="00EB5B1D">
        <w:rPr>
          <w:szCs w:val="22"/>
          <w:lang w:val="fr-CH" w:eastAsia="en-US"/>
        </w:rPr>
        <w:t xml:space="preserve">se ha </w:t>
      </w:r>
      <w:r w:rsidR="009470A9" w:rsidRPr="00EB5B1D">
        <w:rPr>
          <w:szCs w:val="22"/>
          <w:lang w:val="fr-CH" w:eastAsia="en-US"/>
        </w:rPr>
        <w:t>verificad</w:t>
      </w:r>
      <w:r w:rsidR="001B0518" w:rsidRPr="00EB5B1D">
        <w:rPr>
          <w:szCs w:val="22"/>
          <w:lang w:val="fr-CH" w:eastAsia="en-US"/>
        </w:rPr>
        <w:t>o</w:t>
      </w:r>
      <w:r w:rsidR="006A2D12" w:rsidRPr="00EB5B1D">
        <w:rPr>
          <w:szCs w:val="22"/>
          <w:lang w:val="fr-CH" w:eastAsia="en-US"/>
        </w:rPr>
        <w:t xml:space="preserve"> que no contienen</w:t>
      </w:r>
      <w:r w:rsidR="001B0518" w:rsidRPr="00EB5B1D">
        <w:rPr>
          <w:szCs w:val="22"/>
          <w:lang w:val="fr-CH" w:eastAsia="en-US"/>
        </w:rPr>
        <w:t xml:space="preserve"> toda</w:t>
      </w:r>
      <w:r w:rsidR="006A2D12" w:rsidRPr="00EB5B1D">
        <w:rPr>
          <w:szCs w:val="22"/>
          <w:lang w:val="fr-CH" w:eastAsia="en-US"/>
        </w:rPr>
        <w:t xml:space="preserve"> la información estipulada en el anexo I del Convenio</w:t>
      </w:r>
      <w:r w:rsidR="000B65A8" w:rsidRPr="00EB5B1D">
        <w:rPr>
          <w:szCs w:val="22"/>
          <w:lang w:val="fr-CH" w:eastAsia="en-US"/>
        </w:rPr>
        <w:t>.</w:t>
      </w:r>
    </w:p>
    <w:p w:rsidR="007B68CF" w:rsidRPr="00EB5B1D" w:rsidRDefault="007B68CF" w:rsidP="007B68CF">
      <w:pPr>
        <w:jc w:val="both"/>
        <w:rPr>
          <w:szCs w:val="22"/>
          <w:lang w:val="fr-CH"/>
        </w:rPr>
      </w:pPr>
    </w:p>
    <w:p w:rsidR="008A1D9E" w:rsidRPr="00EB5B1D" w:rsidRDefault="008A1D9E" w:rsidP="00AC1AAC">
      <w:pPr>
        <w:autoSpaceDE w:val="0"/>
        <w:autoSpaceDN w:val="0"/>
        <w:adjustRightInd w:val="0"/>
        <w:jc w:val="center"/>
        <w:rPr>
          <w:b/>
          <w:bCs/>
          <w:szCs w:val="22"/>
          <w:lang w:val="fr-CH" w:eastAsia="en-US"/>
        </w:rPr>
        <w:sectPr w:rsidR="008A1D9E" w:rsidRPr="00EB5B1D" w:rsidSect="008A1D9E">
          <w:headerReference w:type="even" r:id="rId34"/>
          <w:headerReference w:type="default" r:id="rId35"/>
          <w:type w:val="oddPage"/>
          <w:pgSz w:w="11907" w:h="16839" w:code="9"/>
          <w:pgMar w:top="1134" w:right="1134" w:bottom="1134" w:left="1134" w:header="709" w:footer="284" w:gutter="0"/>
          <w:cols w:space="708"/>
          <w:docGrid w:linePitch="360"/>
        </w:sectPr>
      </w:pPr>
    </w:p>
    <w:bookmarkEnd w:id="239"/>
    <w:bookmarkEnd w:id="240"/>
    <w:p w:rsidR="009252ED" w:rsidRPr="00EB5B1D" w:rsidRDefault="005228C1" w:rsidP="005228C1">
      <w:pPr>
        <w:autoSpaceDE w:val="0"/>
        <w:autoSpaceDN w:val="0"/>
        <w:adjustRightInd w:val="0"/>
        <w:jc w:val="center"/>
        <w:rPr>
          <w:b/>
          <w:bCs/>
          <w:szCs w:val="22"/>
          <w:lang w:val="fr-CH" w:eastAsia="en-US"/>
        </w:rPr>
      </w:pPr>
      <w:r w:rsidRPr="00EB5B1D">
        <w:rPr>
          <w:b/>
          <w:bCs/>
          <w:szCs w:val="22"/>
          <w:lang w:val="fr-CH" w:eastAsia="en-US"/>
        </w:rPr>
        <w:t>Notificaciones de medida reglamentaria firme</w:t>
      </w:r>
      <w:r w:rsidR="000965A1" w:rsidRPr="00EB5B1D">
        <w:rPr>
          <w:b/>
          <w:bCs/>
          <w:szCs w:val="22"/>
          <w:lang w:val="fr-CH" w:eastAsia="en-US"/>
        </w:rPr>
        <w:t xml:space="preserve"> </w:t>
      </w:r>
      <w:r w:rsidR="000965A1" w:rsidRPr="00EB5B1D">
        <w:rPr>
          <w:lang w:val="es-ES_tradnl"/>
        </w:rPr>
        <w:br/>
      </w:r>
      <w:r w:rsidRPr="00EB5B1D">
        <w:rPr>
          <w:b/>
          <w:bCs/>
          <w:szCs w:val="22"/>
          <w:lang w:val="fr-CH" w:eastAsia="en-US"/>
        </w:rPr>
        <w:t>para productos químicos que no están incluidos en el anexo III</w:t>
      </w:r>
    </w:p>
    <w:p w:rsidR="009252ED" w:rsidRPr="00EB5B1D" w:rsidRDefault="009252ED" w:rsidP="009252ED">
      <w:pPr>
        <w:jc w:val="both"/>
        <w:rPr>
          <w:szCs w:val="22"/>
          <w:u w:val="single"/>
          <w:lang w:val="fr-CH"/>
        </w:rPr>
      </w:pPr>
    </w:p>
    <w:p w:rsidR="009252ED" w:rsidRPr="00EB5B1D" w:rsidRDefault="009252ED" w:rsidP="009252ED">
      <w:pPr>
        <w:autoSpaceDE w:val="0"/>
        <w:autoSpaceDN w:val="0"/>
        <w:adjustRightInd w:val="0"/>
        <w:jc w:val="center"/>
        <w:outlineLvl w:val="1"/>
        <w:rPr>
          <w:b/>
          <w:bCs/>
          <w:sz w:val="24"/>
          <w:u w:val="single"/>
          <w:lang w:val="fr-CH" w:eastAsia="en-US"/>
        </w:rPr>
      </w:pPr>
      <w:bookmarkStart w:id="276" w:name="_Toc468869225"/>
      <w:bookmarkStart w:id="277" w:name="_Toc468870509"/>
      <w:bookmarkStart w:id="278" w:name="_Toc469002220"/>
      <w:bookmarkStart w:id="279" w:name="_Toc469005881"/>
      <w:bookmarkStart w:id="280" w:name="_Toc469052718"/>
      <w:bookmarkStart w:id="281" w:name="_Toc484686668"/>
      <w:r w:rsidRPr="00EB5B1D">
        <w:rPr>
          <w:b/>
          <w:bCs/>
          <w:sz w:val="24"/>
          <w:u w:val="single"/>
          <w:lang w:val="fr-CH" w:eastAsia="en-US"/>
        </w:rPr>
        <w:t>PART</w:t>
      </w:r>
      <w:r w:rsidR="000965A1" w:rsidRPr="00EB5B1D">
        <w:rPr>
          <w:b/>
          <w:bCs/>
          <w:sz w:val="24"/>
          <w:u w:val="single"/>
          <w:lang w:val="fr-CH" w:eastAsia="en-US"/>
        </w:rPr>
        <w:t>E</w:t>
      </w:r>
      <w:r w:rsidRPr="00EB5B1D">
        <w:rPr>
          <w:b/>
          <w:bCs/>
          <w:sz w:val="24"/>
          <w:u w:val="single"/>
          <w:lang w:val="fr-CH" w:eastAsia="en-US"/>
        </w:rPr>
        <w:t xml:space="preserve"> A</w:t>
      </w:r>
      <w:bookmarkEnd w:id="276"/>
      <w:bookmarkEnd w:id="277"/>
      <w:bookmarkEnd w:id="278"/>
      <w:bookmarkEnd w:id="279"/>
      <w:bookmarkEnd w:id="280"/>
      <w:bookmarkEnd w:id="281"/>
    </w:p>
    <w:p w:rsidR="009252ED" w:rsidRPr="00EB5B1D" w:rsidRDefault="009252ED" w:rsidP="009252ED">
      <w:pPr>
        <w:autoSpaceDE w:val="0"/>
        <w:autoSpaceDN w:val="0"/>
        <w:adjustRightInd w:val="0"/>
        <w:jc w:val="center"/>
        <w:rPr>
          <w:b/>
          <w:bCs/>
          <w:sz w:val="24"/>
          <w:lang w:val="fr-CH" w:eastAsia="en-US"/>
        </w:rPr>
      </w:pPr>
    </w:p>
    <w:p w:rsidR="009252ED" w:rsidRPr="00EB5B1D" w:rsidRDefault="00AA595A" w:rsidP="009252ED">
      <w:pPr>
        <w:autoSpaceDE w:val="0"/>
        <w:autoSpaceDN w:val="0"/>
        <w:adjustRightInd w:val="0"/>
        <w:jc w:val="center"/>
        <w:rPr>
          <w:b/>
          <w:bCs/>
          <w:sz w:val="24"/>
          <w:lang w:val="fr-CH" w:eastAsia="en-US"/>
        </w:rPr>
      </w:pPr>
      <w:r>
        <w:rPr>
          <w:b/>
          <w:bCs/>
          <w:sz w:val="24"/>
          <w:lang w:val="fr-CH" w:eastAsia="en-US"/>
        </w:rPr>
        <w:t>N</w:t>
      </w:r>
      <w:r w:rsidR="007422FD" w:rsidRPr="00EB5B1D">
        <w:rPr>
          <w:b/>
          <w:bCs/>
          <w:sz w:val="24"/>
          <w:lang w:val="fr-CH" w:eastAsia="en-US"/>
        </w:rPr>
        <w:t>OTIFICACIONES DE MEDIDA REGLAMENTARIA FIRME PARA PRODUCTOS QUÍMICOS QUE NO ESTÁN INCLUIDOS EN EL ANEXO III QUE SE HA VERIFICADO QUE CONTIENEN TODA LA INFORMACIÓN ESTIPULADA EN EL ANEXO I DEL CONVENIO</w:t>
      </w:r>
    </w:p>
    <w:p w:rsidR="009252ED" w:rsidRPr="00EB5B1D" w:rsidRDefault="009252ED" w:rsidP="009252ED">
      <w:pPr>
        <w:jc w:val="both"/>
        <w:rPr>
          <w:szCs w:val="22"/>
          <w:lang w:val="fr-CH"/>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1278"/>
        <w:gridCol w:w="1274"/>
        <w:gridCol w:w="1276"/>
        <w:gridCol w:w="1562"/>
        <w:gridCol w:w="1034"/>
      </w:tblGrid>
      <w:tr w:rsidR="0095520B" w:rsidRPr="00EB5B1D" w:rsidTr="00F41BBC">
        <w:trPr>
          <w:cantSplit/>
          <w:tblHeader/>
          <w:jc w:val="center"/>
        </w:trPr>
        <w:tc>
          <w:tcPr>
            <w:tcW w:w="3590" w:type="dxa"/>
            <w:tcBorders>
              <w:top w:val="single" w:sz="4" w:space="0" w:color="auto"/>
              <w:left w:val="single" w:sz="4" w:space="0" w:color="auto"/>
              <w:bottom w:val="single" w:sz="4" w:space="0" w:color="auto"/>
              <w:right w:val="single" w:sz="4" w:space="0" w:color="auto"/>
            </w:tcBorders>
            <w:vAlign w:val="center"/>
          </w:tcPr>
          <w:p w:rsidR="00F41BBC" w:rsidRPr="00EB5B1D" w:rsidRDefault="00F41BBC" w:rsidP="0069600C">
            <w:pPr>
              <w:spacing w:before="40" w:after="40"/>
              <w:jc w:val="center"/>
              <w:rPr>
                <w:b/>
                <w:bCs/>
                <w:sz w:val="20"/>
                <w:szCs w:val="18"/>
                <w:lang w:val="es-ES_tradnl"/>
              </w:rPr>
            </w:pPr>
            <w:r w:rsidRPr="00EB5B1D">
              <w:rPr>
                <w:b/>
                <w:bCs/>
                <w:sz w:val="20"/>
                <w:szCs w:val="18"/>
                <w:lang w:val="es-ES_tradnl"/>
              </w:rPr>
              <w:t>Producto químico</w:t>
            </w:r>
          </w:p>
        </w:tc>
        <w:tc>
          <w:tcPr>
            <w:tcW w:w="1278" w:type="dxa"/>
            <w:tcBorders>
              <w:top w:val="single" w:sz="4" w:space="0" w:color="auto"/>
              <w:left w:val="single" w:sz="4" w:space="0" w:color="auto"/>
              <w:bottom w:val="single" w:sz="4" w:space="0" w:color="auto"/>
              <w:right w:val="single" w:sz="4" w:space="0" w:color="auto"/>
            </w:tcBorders>
            <w:noWrap/>
            <w:vAlign w:val="center"/>
          </w:tcPr>
          <w:p w:rsidR="00F41BBC" w:rsidRPr="00EB5B1D" w:rsidRDefault="00F41BBC" w:rsidP="0069600C">
            <w:pPr>
              <w:spacing w:before="40" w:after="40"/>
              <w:jc w:val="center"/>
              <w:rPr>
                <w:b/>
                <w:bCs/>
                <w:sz w:val="20"/>
                <w:szCs w:val="18"/>
                <w:lang w:val="es-ES_tradnl"/>
              </w:rPr>
            </w:pPr>
            <w:r w:rsidRPr="00EB5B1D">
              <w:rPr>
                <w:b/>
                <w:bCs/>
                <w:sz w:val="20"/>
                <w:szCs w:val="18"/>
                <w:lang w:val="es-ES_tradnl"/>
              </w:rPr>
              <w:t>Número CAS</w:t>
            </w:r>
          </w:p>
        </w:tc>
        <w:tc>
          <w:tcPr>
            <w:tcW w:w="1274" w:type="dxa"/>
            <w:tcBorders>
              <w:top w:val="single" w:sz="4" w:space="0" w:color="auto"/>
              <w:left w:val="single" w:sz="4" w:space="0" w:color="auto"/>
              <w:bottom w:val="single" w:sz="4" w:space="0" w:color="auto"/>
              <w:right w:val="single" w:sz="4" w:space="0" w:color="auto"/>
            </w:tcBorders>
            <w:vAlign w:val="center"/>
          </w:tcPr>
          <w:p w:rsidR="00F41BBC" w:rsidRPr="00EB5B1D" w:rsidRDefault="00F41BBC" w:rsidP="0069600C">
            <w:pPr>
              <w:spacing w:before="40" w:after="40"/>
              <w:jc w:val="center"/>
              <w:rPr>
                <w:b/>
                <w:bCs/>
                <w:sz w:val="20"/>
                <w:szCs w:val="18"/>
                <w:lang w:val="es-ES_tradnl"/>
              </w:rPr>
            </w:pPr>
            <w:r w:rsidRPr="00EB5B1D">
              <w:rPr>
                <w:b/>
                <w:bCs/>
                <w:sz w:val="20"/>
                <w:szCs w:val="18"/>
                <w:lang w:val="es-ES_tradnl"/>
              </w:rPr>
              <w:t>Categoría</w:t>
            </w:r>
          </w:p>
        </w:tc>
        <w:tc>
          <w:tcPr>
            <w:tcW w:w="1276" w:type="dxa"/>
            <w:tcBorders>
              <w:top w:val="single" w:sz="4" w:space="0" w:color="auto"/>
              <w:left w:val="single" w:sz="4" w:space="0" w:color="auto"/>
              <w:bottom w:val="single" w:sz="4" w:space="0" w:color="auto"/>
              <w:right w:val="single" w:sz="4" w:space="0" w:color="auto"/>
            </w:tcBorders>
            <w:noWrap/>
            <w:vAlign w:val="center"/>
          </w:tcPr>
          <w:p w:rsidR="00F41BBC" w:rsidRPr="00EB5B1D" w:rsidRDefault="00F41BBC" w:rsidP="0069600C">
            <w:pPr>
              <w:spacing w:before="40" w:after="40"/>
              <w:jc w:val="center"/>
              <w:rPr>
                <w:b/>
                <w:bCs/>
                <w:sz w:val="20"/>
                <w:szCs w:val="18"/>
                <w:lang w:val="es-ES_tradnl"/>
              </w:rPr>
            </w:pPr>
            <w:r w:rsidRPr="00EB5B1D">
              <w:rPr>
                <w:b/>
                <w:bCs/>
                <w:sz w:val="20"/>
                <w:szCs w:val="18"/>
                <w:lang w:val="es-ES_tradnl"/>
              </w:rPr>
              <w:t>País</w:t>
            </w:r>
          </w:p>
        </w:tc>
        <w:tc>
          <w:tcPr>
            <w:tcW w:w="1562" w:type="dxa"/>
            <w:tcBorders>
              <w:top w:val="single" w:sz="4" w:space="0" w:color="auto"/>
              <w:left w:val="single" w:sz="4" w:space="0" w:color="auto"/>
              <w:bottom w:val="single" w:sz="4" w:space="0" w:color="auto"/>
              <w:right w:val="single" w:sz="4" w:space="0" w:color="auto"/>
            </w:tcBorders>
            <w:vAlign w:val="center"/>
          </w:tcPr>
          <w:p w:rsidR="00F41BBC" w:rsidRPr="00EB5B1D" w:rsidRDefault="00F41BBC" w:rsidP="0069600C">
            <w:pPr>
              <w:spacing w:before="40" w:after="40"/>
              <w:jc w:val="center"/>
              <w:rPr>
                <w:b/>
                <w:bCs/>
                <w:sz w:val="20"/>
                <w:szCs w:val="18"/>
                <w:lang w:val="es-ES_tradnl"/>
              </w:rPr>
            </w:pPr>
            <w:r w:rsidRPr="00EB5B1D">
              <w:rPr>
                <w:b/>
                <w:bCs/>
                <w:sz w:val="20"/>
                <w:szCs w:val="18"/>
                <w:lang w:val="es-ES_tradnl"/>
              </w:rPr>
              <w:t>Región</w:t>
            </w:r>
          </w:p>
        </w:tc>
        <w:tc>
          <w:tcPr>
            <w:tcW w:w="1034" w:type="dxa"/>
            <w:tcBorders>
              <w:top w:val="single" w:sz="4" w:space="0" w:color="auto"/>
              <w:left w:val="single" w:sz="4" w:space="0" w:color="auto"/>
              <w:bottom w:val="single" w:sz="4" w:space="0" w:color="auto"/>
              <w:right w:val="single" w:sz="4" w:space="0" w:color="auto"/>
            </w:tcBorders>
            <w:noWrap/>
            <w:vAlign w:val="center"/>
          </w:tcPr>
          <w:p w:rsidR="00F41BBC" w:rsidRPr="00EB5B1D" w:rsidRDefault="00F41BBC" w:rsidP="0069600C">
            <w:pPr>
              <w:spacing w:before="40" w:after="40"/>
              <w:jc w:val="center"/>
              <w:rPr>
                <w:b/>
                <w:bCs/>
                <w:sz w:val="20"/>
                <w:szCs w:val="18"/>
                <w:lang w:val="es-ES_tradnl"/>
              </w:rPr>
            </w:pPr>
            <w:r w:rsidRPr="00EB5B1D">
              <w:rPr>
                <w:b/>
                <w:bCs/>
                <w:sz w:val="20"/>
                <w:szCs w:val="18"/>
                <w:lang w:val="es-ES_tradnl"/>
              </w:rPr>
              <w:t>Circular CPF</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1,1,1,2-T</w:t>
            </w:r>
            <w:r w:rsidR="00F41BBC" w:rsidRPr="00EB5B1D">
              <w:rPr>
                <w:sz w:val="18"/>
                <w:szCs w:val="18"/>
                <w:lang w:val="es-ES_tradnl"/>
              </w:rPr>
              <w:t>etracloroetano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630-20-6</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1,1,1-T</w:t>
            </w:r>
            <w:r w:rsidR="00F41BBC" w:rsidRPr="00EB5B1D">
              <w:rPr>
                <w:sz w:val="18"/>
                <w:szCs w:val="18"/>
                <w:lang w:val="es-ES_tradnl"/>
              </w:rPr>
              <w:t>ricloroetano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71-55-6</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1,1,2,2-T</w:t>
            </w:r>
            <w:r w:rsidR="00F41BBC" w:rsidRPr="00EB5B1D">
              <w:rPr>
                <w:sz w:val="18"/>
                <w:szCs w:val="18"/>
                <w:lang w:val="es-ES_tradnl"/>
              </w:rPr>
              <w:t>etracloroetano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79-34-5</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1,1,2-T</w:t>
            </w:r>
            <w:r w:rsidR="00F41BBC" w:rsidRPr="00EB5B1D">
              <w:rPr>
                <w:sz w:val="18"/>
                <w:szCs w:val="18"/>
                <w:lang w:val="es-ES_tradnl"/>
              </w:rPr>
              <w:t xml:space="preserve">ricloroetano </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79-00-5</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1,1-D</w:t>
            </w:r>
            <w:r w:rsidR="00F41BBC" w:rsidRPr="00EB5B1D">
              <w:rPr>
                <w:sz w:val="18"/>
                <w:szCs w:val="18"/>
                <w:lang w:val="es-ES_tradnl"/>
              </w:rPr>
              <w:t>icloroetileno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75-35-4</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1,3-Dicloropropeno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542-75-6</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1,6-D</w:t>
            </w:r>
            <w:r w:rsidR="00F41BBC" w:rsidRPr="00EB5B1D">
              <w:rPr>
                <w:sz w:val="18"/>
                <w:szCs w:val="18"/>
                <w:lang w:val="es-ES_tradnl"/>
              </w:rPr>
              <w:t>iisocianatohexano, homopolímero, productos de reacción con alfa-fluoro-omega-2-hidroxietil-poli (difluorometileno), alcoholes C16-20-ramificados y 1-octadecanol</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N.D.</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2,4,5-TP (Silvex; Fenoprop)</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93-72-1</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2,4,6-T</w:t>
            </w:r>
            <w:r w:rsidR="00F41BBC" w:rsidRPr="00EB5B1D">
              <w:rPr>
                <w:sz w:val="18"/>
                <w:szCs w:val="18"/>
                <w:lang w:val="es-ES_tradnl"/>
              </w:rPr>
              <w:t>ri-terc-butilfenol</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732-26-3</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2,4-D</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94-75-7</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2-M</w:t>
            </w:r>
            <w:r w:rsidR="00F41BBC" w:rsidRPr="00EB5B1D">
              <w:rPr>
                <w:sz w:val="18"/>
                <w:szCs w:val="18"/>
                <w:lang w:val="es-ES_tradnl"/>
              </w:rPr>
              <w:t>etil-2-propeonato de hexadecilo, polímeros con metacrilato de 2-hidroxietilo, acrilato de gamma-omega-perfluoroalquilo en C10-16 y metacrilato de estearilo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203743-03-7</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2-M</w:t>
            </w:r>
            <w:r w:rsidR="00F41BBC" w:rsidRPr="00EB5B1D">
              <w:rPr>
                <w:sz w:val="18"/>
                <w:szCs w:val="18"/>
                <w:lang w:val="es-ES_tradnl"/>
              </w:rPr>
              <w:t>ethoxyethanol</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109-86-4</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2-N</w:t>
            </w:r>
            <w:r w:rsidR="00F41BBC" w:rsidRPr="00EB5B1D">
              <w:rPr>
                <w:sz w:val="18"/>
                <w:szCs w:val="18"/>
                <w:lang w:val="es-ES_tradnl"/>
              </w:rPr>
              <w:t>aftilamina</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91-59-8</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2-N</w:t>
            </w:r>
            <w:r w:rsidR="00F41BBC" w:rsidRPr="00EB5B1D">
              <w:rPr>
                <w:sz w:val="18"/>
                <w:szCs w:val="18"/>
                <w:lang w:val="es-ES_tradnl"/>
              </w:rPr>
              <w:t>aftilamina</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91-59-8</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2-Naftilamina</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91-59-8</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2-Naftilamina</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91-59-8</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2-N</w:t>
            </w:r>
            <w:r w:rsidR="00F41BBC" w:rsidRPr="00EB5B1D">
              <w:rPr>
                <w:sz w:val="18"/>
                <w:szCs w:val="18"/>
                <w:lang w:val="es-ES_tradnl"/>
              </w:rPr>
              <w:t>itrobenzaldehído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552-89-6</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2-P</w:t>
            </w:r>
            <w:r w:rsidR="00F41BBC" w:rsidRPr="00EB5B1D">
              <w:rPr>
                <w:sz w:val="18"/>
                <w:szCs w:val="18"/>
                <w:lang w:val="es-ES_tradnl"/>
              </w:rPr>
              <w:t xml:space="preserve">ropen-1-ol, productos de reacción con pentafluoroyodoetano y tetrafluoroetileno telomerizados, deshidroyodados, productos de reacción con </w:t>
            </w:r>
            <w:r w:rsidR="00F41BBC" w:rsidRPr="00EB5B1D">
              <w:rPr>
                <w:bCs/>
                <w:sz w:val="18"/>
                <w:szCs w:val="18"/>
                <w:lang w:val="es-ES_tradnl"/>
              </w:rPr>
              <w:t>epiclorhidrina y trietilenotetramina.</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464178-90-3</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F41BBC" w:rsidP="00D00382">
            <w:pPr>
              <w:spacing w:before="40" w:after="40"/>
              <w:rPr>
                <w:sz w:val="18"/>
                <w:szCs w:val="18"/>
                <w:lang w:val="es-ES_tradnl"/>
              </w:rPr>
            </w:pPr>
            <w:r w:rsidRPr="00EB5B1D">
              <w:rPr>
                <w:sz w:val="18"/>
                <w:szCs w:val="18"/>
                <w:lang w:val="es-ES_tradnl"/>
              </w:rPr>
              <w:t>4-</w:t>
            </w:r>
            <w:r w:rsidR="00D00382" w:rsidRPr="00EB5B1D">
              <w:rPr>
                <w:sz w:val="18"/>
                <w:szCs w:val="18"/>
                <w:lang w:val="es-ES_tradnl"/>
              </w:rPr>
              <w:t>N</w:t>
            </w:r>
            <w:r w:rsidRPr="00EB5B1D">
              <w:rPr>
                <w:sz w:val="18"/>
                <w:szCs w:val="18"/>
                <w:lang w:val="es-ES_tradnl"/>
              </w:rPr>
              <w:t>itrobifenilo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92-93-3</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4-Nitrobifenilo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92-93-3</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D00382" w:rsidP="0069600C">
            <w:pPr>
              <w:spacing w:before="40" w:after="40"/>
              <w:rPr>
                <w:sz w:val="18"/>
                <w:szCs w:val="18"/>
                <w:lang w:val="es-ES_tradnl"/>
              </w:rPr>
            </w:pPr>
            <w:r w:rsidRPr="00EB5B1D">
              <w:rPr>
                <w:sz w:val="18"/>
                <w:szCs w:val="18"/>
                <w:lang w:val="es-ES_tradnl"/>
              </w:rPr>
              <w:t>4-Nitrobifenilo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92-93-3</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Acefato</w:t>
            </w:r>
          </w:p>
        </w:tc>
        <w:tc>
          <w:tcPr>
            <w:tcW w:w="1278"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30560-19-1</w:t>
            </w:r>
          </w:p>
        </w:tc>
        <w:tc>
          <w:tcPr>
            <w:tcW w:w="1274"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F41BBC" w:rsidRPr="00EB5B1D" w:rsidRDefault="00F41BBC"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F41BBC" w:rsidRPr="00EB5B1D" w:rsidRDefault="00F41BBC"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F41BBC" w:rsidRPr="00EB5B1D" w:rsidRDefault="0069600C" w:rsidP="0069600C">
            <w:pPr>
              <w:spacing w:before="40" w:after="40"/>
              <w:rPr>
                <w:sz w:val="18"/>
                <w:szCs w:val="18"/>
                <w:lang w:val="es-ES_tradnl"/>
              </w:rPr>
            </w:pPr>
            <w:r w:rsidRPr="00EB5B1D">
              <w:rPr>
                <w:sz w:val="18"/>
                <w:szCs w:val="18"/>
                <w:lang w:val="es-ES_tradnl"/>
              </w:rPr>
              <w:t>X</w:t>
            </w:r>
            <w:r w:rsidR="00F41BBC" w:rsidRPr="00EB5B1D">
              <w:rPr>
                <w:sz w:val="18"/>
                <w:szCs w:val="18"/>
                <w:lang w:val="es-ES_tradnl"/>
              </w:rPr>
              <w:t>VIII</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Burkina Faso</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Cabo Verde</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Chad</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Gambia</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Guinea-Bissau</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Mali</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Maurtitania</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Niger</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Senegal</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Togo</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s-ES_tradnl"/>
              </w:rPr>
              <w:t>Acetoclor</w:t>
            </w:r>
          </w:p>
        </w:tc>
        <w:tc>
          <w:tcPr>
            <w:tcW w:w="1278"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34256-82-1</w:t>
            </w:r>
          </w:p>
        </w:tc>
        <w:tc>
          <w:tcPr>
            <w:tcW w:w="1274"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vAlign w:val="center"/>
          </w:tcPr>
          <w:p w:rsidR="000874EA" w:rsidRPr="00EB5B1D" w:rsidRDefault="000874EA" w:rsidP="00CA0C42">
            <w:pPr>
              <w:spacing w:before="40" w:after="40"/>
              <w:rPr>
                <w:sz w:val="18"/>
                <w:szCs w:val="18"/>
                <w:lang w:val="es-ES_tradnl"/>
              </w:rPr>
            </w:pPr>
            <w:r w:rsidRPr="00EB5B1D">
              <w:rPr>
                <w:sz w:val="18"/>
                <w:szCs w:val="18"/>
                <w:lang w:val="en-GB"/>
              </w:rPr>
              <w:t>Europe</w:t>
            </w:r>
          </w:p>
        </w:tc>
        <w:tc>
          <w:tcPr>
            <w:tcW w:w="1034" w:type="dxa"/>
            <w:tcBorders>
              <w:top w:val="single" w:sz="4" w:space="0" w:color="auto"/>
              <w:left w:val="single" w:sz="4" w:space="0" w:color="auto"/>
              <w:bottom w:val="single" w:sz="4" w:space="0" w:color="auto"/>
              <w:right w:val="single" w:sz="4" w:space="0" w:color="auto"/>
            </w:tcBorders>
            <w:noWrap/>
            <w:vAlign w:val="center"/>
          </w:tcPr>
          <w:p w:rsidR="000874EA" w:rsidRPr="00EB5B1D" w:rsidRDefault="000874EA" w:rsidP="00CA0C42">
            <w:pPr>
              <w:spacing w:before="40" w:after="40"/>
              <w:rPr>
                <w:sz w:val="18"/>
                <w:szCs w:val="18"/>
                <w:lang w:val="es-ES_tradnl"/>
              </w:rPr>
            </w:pPr>
            <w:r w:rsidRPr="00EB5B1D">
              <w:rPr>
                <w:sz w:val="18"/>
                <w:szCs w:val="18"/>
                <w:lang w:val="en-GB"/>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Aceite de antraceno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90640-80-5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Aceite de creosota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61789-28-4</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Aceite de creosota, fracción de acenafteno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90640-84-9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Acetato de talio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563-68-8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 xml:space="preserve">Ácido 2-propenoico, 2-metil, 2-metilpropilo éster, polímero con 2-propenoato de butilo y furano-2,5-diona, ésteres de gamma omega-perfluoroalquilo en C8-14, iniciado con bencenocarboperoxoato de </w:t>
            </w:r>
            <w:r w:rsidRPr="00EB5B1D">
              <w:rPr>
                <w:i/>
                <w:sz w:val="18"/>
                <w:szCs w:val="18"/>
                <w:lang w:val="es-ES_tradnl"/>
              </w:rPr>
              <w:t>tert</w:t>
            </w:r>
            <w:r w:rsidRPr="00EB5B1D">
              <w:rPr>
                <w:sz w:val="18"/>
                <w:szCs w:val="18"/>
                <w:lang w:val="es-ES_tradnl"/>
              </w:rPr>
              <w:t>-butilo.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459415-06-6</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Ácido fluoroacético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144-49-0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Ácidos de alquitrán, hulla, crudos</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65996-85-2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Ácido perfluorooctanoico (PFOA), sus sales y ésteres</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335-67-1,</w:t>
            </w:r>
          </w:p>
          <w:p w:rsidR="000874EA" w:rsidRPr="00EB5B1D" w:rsidRDefault="000874EA" w:rsidP="0069600C">
            <w:pPr>
              <w:spacing w:before="40" w:after="40"/>
              <w:rPr>
                <w:sz w:val="18"/>
                <w:szCs w:val="18"/>
                <w:lang w:val="es-ES_tradnl"/>
              </w:rPr>
            </w:pPr>
            <w:r w:rsidRPr="00EB5B1D">
              <w:rPr>
                <w:sz w:val="18"/>
                <w:szCs w:val="18"/>
                <w:lang w:val="es-ES_tradnl"/>
              </w:rPr>
              <w:t>3825-26-1,</w:t>
            </w:r>
          </w:p>
          <w:p w:rsidR="000874EA" w:rsidRPr="00EB5B1D" w:rsidRDefault="000874EA" w:rsidP="0069600C">
            <w:pPr>
              <w:spacing w:before="40" w:after="40"/>
              <w:rPr>
                <w:sz w:val="18"/>
                <w:szCs w:val="18"/>
                <w:lang w:val="es-ES_tradnl"/>
              </w:rPr>
            </w:pPr>
            <w:r w:rsidRPr="00EB5B1D">
              <w:rPr>
                <w:sz w:val="18"/>
                <w:szCs w:val="18"/>
                <w:lang w:val="es-ES_tradnl"/>
              </w:rPr>
              <w:t>335-95-5,</w:t>
            </w:r>
          </w:p>
          <w:p w:rsidR="000874EA" w:rsidRPr="00EB5B1D" w:rsidRDefault="000874EA" w:rsidP="0069600C">
            <w:pPr>
              <w:spacing w:before="40" w:after="40"/>
              <w:rPr>
                <w:sz w:val="18"/>
                <w:szCs w:val="18"/>
                <w:lang w:val="es-ES_tradnl"/>
              </w:rPr>
            </w:pPr>
            <w:r w:rsidRPr="00EB5B1D">
              <w:rPr>
                <w:sz w:val="18"/>
                <w:szCs w:val="18"/>
                <w:lang w:val="es-ES_tradnl"/>
              </w:rPr>
              <w:t>2395-00-8,</w:t>
            </w:r>
          </w:p>
          <w:p w:rsidR="000874EA" w:rsidRPr="00EB5B1D" w:rsidRDefault="000874EA" w:rsidP="0069600C">
            <w:pPr>
              <w:spacing w:before="40" w:after="40"/>
              <w:rPr>
                <w:sz w:val="18"/>
                <w:szCs w:val="18"/>
                <w:lang w:val="es-ES_tradnl"/>
              </w:rPr>
            </w:pPr>
            <w:r w:rsidRPr="00EB5B1D">
              <w:rPr>
                <w:sz w:val="18"/>
                <w:szCs w:val="18"/>
                <w:lang w:val="es-ES_tradnl"/>
              </w:rPr>
              <w:t>335-93-3,</w:t>
            </w:r>
          </w:p>
          <w:p w:rsidR="000874EA" w:rsidRPr="00EB5B1D" w:rsidRDefault="000874EA" w:rsidP="0069600C">
            <w:pPr>
              <w:spacing w:before="40" w:after="40"/>
              <w:rPr>
                <w:sz w:val="18"/>
                <w:szCs w:val="18"/>
                <w:lang w:val="es-ES_tradnl"/>
              </w:rPr>
            </w:pPr>
            <w:r w:rsidRPr="00EB5B1D">
              <w:rPr>
                <w:sz w:val="18"/>
                <w:szCs w:val="18"/>
                <w:lang w:val="es-ES_tradnl"/>
              </w:rPr>
              <w:t>335-66-0,</w:t>
            </w:r>
          </w:p>
          <w:p w:rsidR="000874EA" w:rsidRPr="00EB5B1D" w:rsidRDefault="000874EA" w:rsidP="0069600C">
            <w:pPr>
              <w:spacing w:before="40" w:after="40"/>
              <w:rPr>
                <w:sz w:val="18"/>
                <w:szCs w:val="18"/>
                <w:lang w:val="es-ES_tradnl"/>
              </w:rPr>
            </w:pPr>
            <w:r w:rsidRPr="00EB5B1D">
              <w:rPr>
                <w:sz w:val="18"/>
                <w:szCs w:val="18"/>
                <w:lang w:val="es-ES_tradnl"/>
              </w:rPr>
              <w:t>376-27-2,</w:t>
            </w:r>
          </w:p>
          <w:p w:rsidR="000874EA" w:rsidRPr="00EB5B1D" w:rsidRDefault="000874EA" w:rsidP="0069600C">
            <w:pPr>
              <w:spacing w:before="40" w:after="40"/>
              <w:rPr>
                <w:sz w:val="18"/>
                <w:szCs w:val="18"/>
                <w:lang w:val="es-ES_tradnl"/>
              </w:rPr>
            </w:pPr>
            <w:r w:rsidRPr="00EB5B1D">
              <w:rPr>
                <w:sz w:val="18"/>
                <w:szCs w:val="18"/>
                <w:lang w:val="es-ES_tradnl"/>
              </w:rPr>
              <w:t>3108-24-5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Alcohol alilico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107-18-6</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Aminopyralid</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150114-71-9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Amitraz</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33089-61-1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Irán (República Islámica del)</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Amitraz</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33089-61-1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República Arabe Siria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Amitraz</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33089-61-1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Amitrole</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61-82-5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Aramite</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140-57-8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Arsenato de calcio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7778-44-1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Arseniato de plomo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7784-40-9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Arseniato de plomo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7784-40-9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Perú</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Arsenito de sodio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7784-46-5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Atrazina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1912-24-9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Atrazina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1912-24-9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Atrazina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1912-24-9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Atrazina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1912-24-9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Atrazina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1912-24-9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Atrazina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1912-24-9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Atrazina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1912-24-9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Atrazina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1912-24-9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Azinfos etil</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2642-71-9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Benceno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71-43-2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Bencidina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92-87-5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Bencidina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92-87-5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Bencidina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92-87-5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Bencidina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92-87-5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Bencidina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92-87-5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Bencidina y sus sales</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92-87-5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India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Bencidina y sus sales</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92-87-5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Bencidina y sus sales</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92-87-5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 xml:space="preserve">Industrial </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Bencidina y sus sales</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92-87-5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Benfuracarb</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82560-54-1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Bentazona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25057-89-0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Beta-Hexaclorociclohexano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CA0C42">
            <w:pPr>
              <w:spacing w:before="40" w:after="40"/>
              <w:rPr>
                <w:sz w:val="18"/>
                <w:szCs w:val="18"/>
                <w:lang w:val="es-ES_tradnl"/>
              </w:rPr>
            </w:pPr>
            <w:r w:rsidRPr="00EB5B1D">
              <w:rPr>
                <w:sz w:val="18"/>
                <w:szCs w:val="18"/>
                <w:lang w:val="es-ES_tradnl"/>
              </w:rPr>
              <w:t>319-85-7</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CA0C42">
            <w:pPr>
              <w:spacing w:before="40" w:after="40"/>
              <w:rPr>
                <w:sz w:val="18"/>
                <w:szCs w:val="18"/>
                <w:lang w:val="es-ES_tradnl"/>
              </w:rPr>
            </w:pPr>
            <w:r w:rsidRPr="00EB5B1D">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CA0C42">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CA0C42">
            <w:pPr>
              <w:spacing w:before="40" w:after="40"/>
              <w:rPr>
                <w:sz w:val="18"/>
                <w:szCs w:val="18"/>
                <w:lang w:val="es-ES_tradnl"/>
              </w:rPr>
            </w:pPr>
            <w:r w:rsidRPr="00EB5B1D">
              <w:rPr>
                <w:sz w:val="18"/>
                <w:szCs w:val="18"/>
                <w:lang w:val="es-ES_tradnl"/>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Beta-Hexaclorociclohexano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319-85-7</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Beta-Hexaclorociclohexano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319-85-7</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Beta-Hexaclorociclohexano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319-85-7</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Bifenil-4-ilamina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92-67-1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Bifenil-4-ilamina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92-67-1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Bifenil-4-ilamina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92-67-1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Bifenil-4-ilamina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92-67-1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Bifentrina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82657-04-3</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Bis(2-cloroetil) éter</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111-44-4</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Bis(cloromethil)éter</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542-88-1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Bis(cloromethil)éter</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542-88-1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Bis(cloromethil)éter</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542-88-1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Bitertanol</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55179-31-2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BNST (dianilina, productos de reacción con estireno y 2,4,4-trimetilpenteno)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68921-45-9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 xml:space="preserve">Bromoacetato de etilo    </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105-36-2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Bromoacetato de metilo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96-32-2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Bromobencilbromotolueno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99688-47-8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Bromobencilbromotolueno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99688-47-8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Bromoclorodifluorometano (Halon 1211)</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353-59-3</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Bromoclorometano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74-97-5</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Bromuconazole</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116255-48-2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Butralina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33629-47-9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Cadmio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7440-43-9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Cadusafós</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95465-99-9</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Carbaryl</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63-25-2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Carbaryl</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63-25-2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República Arabe Siria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Carbaryl</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63-25-2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Carbofurano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1563-66-2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Carbofurano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1563-66-2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Carbofurano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1563-66-2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Carbofurano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1563-66-2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Carbofurano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1563-66-2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Carbofurano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1563-66-2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Carbofurano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1563-66-2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Carbofurano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1563-66-2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Carbofurano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1563-66-2</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Carbonato de plomo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598-63-0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Carbonato de plomo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598-63-0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Carbosulfán</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55285-14-8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Burkina Faso</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Carbosulfán</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55285-14-8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Carbosulfán</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55285-14-8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Carbosulfán</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55285-14-8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Carbosulfán</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55285-14-8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Carbosulfán</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55285-14-8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Carbosulfán</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55285-14-8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Carbosulfán</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55285-14-8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Carbosulfán</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55285-14-8</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Celevano</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4234-79-1</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 xml:space="preserve">Cloratos (incluidos pero sin limitarse a cloratos de Na, Mg, K) </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7775-09-9,</w:t>
            </w:r>
          </w:p>
          <w:p w:rsidR="000874EA" w:rsidRPr="00EB5B1D" w:rsidRDefault="000874EA" w:rsidP="0069600C">
            <w:pPr>
              <w:spacing w:before="40" w:after="40"/>
              <w:rPr>
                <w:sz w:val="18"/>
                <w:szCs w:val="18"/>
                <w:lang w:val="es-ES_tradnl"/>
              </w:rPr>
            </w:pPr>
            <w:r w:rsidRPr="00EB5B1D">
              <w:rPr>
                <w:sz w:val="18"/>
                <w:szCs w:val="18"/>
                <w:lang w:val="es-ES_tradnl"/>
              </w:rPr>
              <w:t>10326-21-3,</w:t>
            </w:r>
          </w:p>
          <w:p w:rsidR="000874EA" w:rsidRPr="00EB5B1D" w:rsidRDefault="000874EA" w:rsidP="0069600C">
            <w:pPr>
              <w:spacing w:before="40" w:after="40"/>
              <w:rPr>
                <w:sz w:val="18"/>
                <w:szCs w:val="18"/>
                <w:lang w:val="es-ES_tradnl"/>
              </w:rPr>
            </w:pPr>
            <w:r w:rsidRPr="00EB5B1D">
              <w:rPr>
                <w:sz w:val="18"/>
                <w:szCs w:val="18"/>
                <w:lang w:val="es-ES_tradnl"/>
              </w:rPr>
              <w:t>3811-04-9</w:t>
            </w:r>
          </w:p>
          <w:p w:rsidR="000874EA" w:rsidRPr="00EB5B1D" w:rsidRDefault="000874EA" w:rsidP="0069600C">
            <w:pPr>
              <w:spacing w:before="40" w:after="40"/>
              <w:rPr>
                <w:sz w:val="18"/>
                <w:szCs w:val="18"/>
                <w:lang w:val="es-ES_tradnl"/>
              </w:rPr>
            </w:pPr>
            <w:r w:rsidRPr="00EB5B1D">
              <w:rPr>
                <w:sz w:val="18"/>
                <w:szCs w:val="18"/>
                <w:lang w:val="es-ES_tradnl"/>
              </w:rPr>
              <w:t>y otros</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Clordecona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143-50-0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Clordecona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143-50-0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Clordecona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143-50-0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Clordecona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143-50-0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Peru</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Clordecona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143-50-0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Clordecona</w:t>
            </w:r>
          </w:p>
        </w:tc>
        <w:tc>
          <w:tcPr>
            <w:tcW w:w="1278"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143-50-0</w:t>
            </w:r>
          </w:p>
        </w:tc>
        <w:tc>
          <w:tcPr>
            <w:tcW w:w="1274"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0874EA" w:rsidRPr="00EB5B1D" w:rsidRDefault="000874EA"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0874EA" w:rsidRPr="00EB5B1D" w:rsidRDefault="000874EA"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Clorfenapir</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122453-73-0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Clorfenvinfos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470-90-6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Cloroetileno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75-01-4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Clorofluorocarbono (totalmente halogenado)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95520B">
            <w:pPr>
              <w:spacing w:before="40" w:after="40"/>
              <w:rPr>
                <w:sz w:val="18"/>
                <w:szCs w:val="18"/>
                <w:lang w:val="es-ES_tradnl"/>
              </w:rPr>
            </w:pPr>
            <w:r w:rsidRPr="00EB5B1D">
              <w:rPr>
                <w:sz w:val="18"/>
                <w:szCs w:val="18"/>
                <w:lang w:val="es-ES_tradnl"/>
              </w:rPr>
              <w:t>75-69-4,</w:t>
            </w:r>
          </w:p>
          <w:p w:rsidR="0095520B" w:rsidRPr="00EB5B1D" w:rsidRDefault="0095520B" w:rsidP="0095520B">
            <w:pPr>
              <w:spacing w:before="40" w:after="40"/>
              <w:rPr>
                <w:sz w:val="18"/>
                <w:szCs w:val="18"/>
                <w:lang w:val="es-ES_tradnl"/>
              </w:rPr>
            </w:pPr>
            <w:r w:rsidRPr="00EB5B1D">
              <w:rPr>
                <w:sz w:val="18"/>
                <w:szCs w:val="18"/>
                <w:lang w:val="es-ES_tradnl"/>
              </w:rPr>
              <w:t>75-71-8,</w:t>
            </w:r>
          </w:p>
          <w:p w:rsidR="0095520B" w:rsidRPr="00EB5B1D" w:rsidRDefault="0095520B" w:rsidP="0095520B">
            <w:pPr>
              <w:spacing w:before="40" w:after="40"/>
              <w:rPr>
                <w:sz w:val="18"/>
                <w:szCs w:val="18"/>
                <w:lang w:val="es-ES_tradnl"/>
              </w:rPr>
            </w:pPr>
            <w:r w:rsidRPr="00EB5B1D">
              <w:rPr>
                <w:sz w:val="18"/>
                <w:szCs w:val="18"/>
                <w:lang w:val="es-ES_tradnl"/>
              </w:rPr>
              <w:t>76-13-1,</w:t>
            </w:r>
          </w:p>
          <w:p w:rsidR="0095520B" w:rsidRPr="00EB5B1D" w:rsidRDefault="0095520B" w:rsidP="0095520B">
            <w:pPr>
              <w:spacing w:before="40" w:after="40"/>
              <w:rPr>
                <w:sz w:val="18"/>
                <w:szCs w:val="18"/>
                <w:lang w:val="es-ES_tradnl"/>
              </w:rPr>
            </w:pPr>
            <w:r w:rsidRPr="00EB5B1D">
              <w:rPr>
                <w:sz w:val="18"/>
                <w:szCs w:val="18"/>
                <w:lang w:val="es-ES_tradnl"/>
              </w:rPr>
              <w:t>76-14-2,</w:t>
            </w:r>
          </w:p>
          <w:p w:rsidR="0095520B" w:rsidRPr="00EB5B1D" w:rsidRDefault="0095520B" w:rsidP="0069600C">
            <w:pPr>
              <w:spacing w:before="40" w:after="40"/>
              <w:rPr>
                <w:sz w:val="18"/>
                <w:szCs w:val="18"/>
                <w:lang w:val="es-ES_tradnl"/>
              </w:rPr>
            </w:pPr>
            <w:r w:rsidRPr="00EB5B1D">
              <w:rPr>
                <w:sz w:val="18"/>
                <w:szCs w:val="18"/>
                <w:lang w:val="es-ES_tradnl"/>
              </w:rPr>
              <w:t>76-15-3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 xml:space="preserve">Cloroformo </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67-66-3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Cloronitrofeno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1836-77-7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Clorsulfuron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64902-72-3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95520B">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95520B">
            <w:pPr>
              <w:spacing w:before="40" w:after="40"/>
              <w:rPr>
                <w:sz w:val="18"/>
                <w:szCs w:val="18"/>
                <w:lang w:val="es-ES_tradnl"/>
              </w:rPr>
            </w:pPr>
            <w:r w:rsidRPr="00EB5B1D">
              <w:rPr>
                <w:sz w:val="18"/>
                <w:szCs w:val="18"/>
                <w:lang w:val="es-ES_tradnl"/>
              </w:rPr>
              <w:t>Clortal dimetil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95520B">
            <w:pPr>
              <w:spacing w:before="40" w:after="40"/>
              <w:rPr>
                <w:sz w:val="18"/>
                <w:szCs w:val="18"/>
                <w:lang w:val="es-ES_tradnl"/>
              </w:rPr>
            </w:pPr>
            <w:r w:rsidRPr="00EB5B1D">
              <w:rPr>
                <w:sz w:val="18"/>
                <w:szCs w:val="18"/>
                <w:lang w:val="es-ES_tradnl"/>
              </w:rPr>
              <w:t>1861-32-1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95520B">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95520B">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95520B">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95520B">
            <w:pPr>
              <w:spacing w:before="40" w:after="40"/>
              <w:rPr>
                <w:sz w:val="18"/>
                <w:szCs w:val="18"/>
                <w:lang w:val="es-ES_tradnl"/>
              </w:rPr>
            </w:pPr>
            <w:r w:rsidRPr="00EB5B1D">
              <w:rPr>
                <w:sz w:val="18"/>
                <w:szCs w:val="18"/>
                <w:lang w:val="es-ES_tradnl"/>
              </w:rPr>
              <w:t>XXXVII</w:t>
            </w:r>
          </w:p>
        </w:tc>
      </w:tr>
      <w:tr w:rsidR="0095520B" w:rsidRPr="00EB5B1D" w:rsidTr="0095520B">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95520B">
            <w:pPr>
              <w:spacing w:before="40" w:after="40"/>
              <w:rPr>
                <w:sz w:val="18"/>
                <w:szCs w:val="18"/>
                <w:lang w:val="es-ES_tradnl"/>
              </w:rPr>
            </w:pPr>
            <w:r w:rsidRPr="00EB5B1D">
              <w:rPr>
                <w:sz w:val="18"/>
                <w:szCs w:val="18"/>
                <w:lang w:val="es-ES_tradnl"/>
              </w:rPr>
              <w:t>Clortiofos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95520B">
            <w:pPr>
              <w:spacing w:before="40" w:after="40"/>
              <w:rPr>
                <w:sz w:val="18"/>
                <w:szCs w:val="18"/>
                <w:lang w:val="es-ES_tradnl"/>
              </w:rPr>
            </w:pPr>
            <w:r w:rsidRPr="00EB5B1D">
              <w:rPr>
                <w:sz w:val="18"/>
                <w:szCs w:val="18"/>
                <w:lang w:val="es-ES_tradnl"/>
              </w:rPr>
              <w:t>60238-56-4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95520B">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95520B">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95520B">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95520B">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Cloruro de tributiltetradecil fosfonio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81741-28-8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Clozolinato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84332-86-5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Compound de arsénico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7440-38-2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Creosota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8001-58-9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Creosota, madera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8021-39-4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Crysotila (amianto crysotilo)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12001-29-5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Australia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Pacífico Sudoccidental</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Crysotila (amianto crysotilo)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12001-29-5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Bulgaria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Crysotila (amianto crysotilo)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12001-29-5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Chile</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Crysotila (amianto crysotilo)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12001-29-5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Crysotila (amianto crysotilo)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12001-29-5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Crysotila (amianto crysotilo)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12001-29-5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Crysotila (amianto crysotilo)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12001-29-5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Sudáfrica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Crysotila (amianto crysotilo)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12001-29-5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Crysotila (amianto crysotilo)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12001-29-5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Cycloheximide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66-81-9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Cyhexatin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13121-70-5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Brasil</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Cyhexatin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13121-70-5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Cyhexatin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13121-70-5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Dibromocloropropano (DBCP)</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96-12-8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Dibromocloropropano (DBCP)</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96-12-8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Colombia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Dibromocloropropano (DBCP)</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96-12-8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DDD</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72-54-8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Decabromodifeniléter (decaBDE)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1163-19-5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Demefion-</w:t>
            </w:r>
            <w:r w:rsidRPr="00EB5B1D">
              <w:rPr>
                <w:i/>
                <w:sz w:val="18"/>
                <w:szCs w:val="18"/>
                <w:lang w:val="es-ES_tradnl"/>
              </w:rPr>
              <w:t>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682-80-4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Demetón-</w:t>
            </w:r>
            <w:r w:rsidRPr="00EB5B1D" w:rsidDel="003B3DF7">
              <w:rPr>
                <w:sz w:val="18"/>
                <w:szCs w:val="18"/>
                <w:lang w:val="es-ES_tradnl"/>
              </w:rPr>
              <w:t xml:space="preserve"> </w:t>
            </w:r>
            <w:r w:rsidRPr="00EB5B1D">
              <w:rPr>
                <w:sz w:val="18"/>
                <w:szCs w:val="18"/>
                <w:lang w:val="es-ES_tradnl"/>
              </w:rPr>
              <w:t>metilo (mezcla de isómeros demetón-</w:t>
            </w:r>
            <w:r w:rsidRPr="00EB5B1D">
              <w:rPr>
                <w:i/>
                <w:sz w:val="18"/>
                <w:szCs w:val="18"/>
                <w:lang w:val="es-ES_tradnl"/>
              </w:rPr>
              <w:t>O</w:t>
            </w:r>
            <w:r w:rsidRPr="00EB5B1D">
              <w:rPr>
                <w:sz w:val="18"/>
                <w:szCs w:val="18"/>
                <w:lang w:val="es-ES_tradnl"/>
              </w:rPr>
              <w:t>-metilo y demetón-</w:t>
            </w:r>
            <w:r w:rsidRPr="00EB5B1D">
              <w:rPr>
                <w:i/>
                <w:sz w:val="18"/>
                <w:szCs w:val="18"/>
                <w:lang w:val="es-ES_tradnl"/>
              </w:rPr>
              <w:t>S</w:t>
            </w:r>
            <w:r w:rsidRPr="00EB5B1D">
              <w:rPr>
                <w:sz w:val="18"/>
                <w:szCs w:val="18"/>
                <w:lang w:val="es-ES_tradnl"/>
              </w:rPr>
              <w:t>-metilo)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8022-00-2,</w:t>
            </w:r>
          </w:p>
          <w:p w:rsidR="0095520B" w:rsidRPr="00EB5B1D" w:rsidRDefault="0095520B" w:rsidP="0069600C">
            <w:pPr>
              <w:spacing w:before="40" w:after="40"/>
              <w:rPr>
                <w:sz w:val="18"/>
                <w:szCs w:val="18"/>
                <w:lang w:val="es-ES_tradnl"/>
              </w:rPr>
            </w:pPr>
            <w:r w:rsidRPr="00EB5B1D">
              <w:rPr>
                <w:sz w:val="18"/>
                <w:szCs w:val="18"/>
                <w:lang w:val="es-ES_tradnl"/>
              </w:rPr>
              <w:t>867-27-6,</w:t>
            </w:r>
          </w:p>
          <w:p w:rsidR="0095520B" w:rsidRPr="00EB5B1D" w:rsidRDefault="0095520B" w:rsidP="0069600C">
            <w:pPr>
              <w:spacing w:before="40" w:after="40"/>
              <w:rPr>
                <w:sz w:val="18"/>
                <w:szCs w:val="18"/>
                <w:lang w:val="es-ES_tradnl"/>
              </w:rPr>
            </w:pPr>
            <w:r w:rsidRPr="00EB5B1D">
              <w:rPr>
                <w:sz w:val="18"/>
                <w:szCs w:val="18"/>
                <w:lang w:val="es-ES_tradnl"/>
              </w:rPr>
              <w:t>919-86-8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Destilados (alquitrán de hulla), aceites de naftaleno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84650-04-4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destilados (alquitrán de hulla), superiores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65996-91-0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Diazinón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333-41-5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Dibromotetrafluoroetano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124-73-2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Dichlorobenzyltoluene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81161-70-8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Diclobenilo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1194-65-6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Diclobenilo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1194-65-6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Dicloran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99-30-9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Dicloro[(diclorofenil)metil]metilbenceno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76253-60-6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Dicloro[(diclorofenil)metil]metilbenceno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76253-60-6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Diclorofeno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97-23-4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Dicloruro de dimercurio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10112-91-1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Diclorvos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62-73-7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Dicofol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115-32-2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Dicofol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115-32-2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Dicofol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115-32-2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Dicofol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115-32-2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Dicofol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115-32-2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Dicofol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115-32-2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Dicofol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115-32-2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Dicrotofos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141-66-2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Difenoconazole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119446-68-3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Dimefox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115-26-4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Dimefox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115-26-4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Dimetenamida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87674-68-8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Diniconazole-M</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83657-18-5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Dinoterb</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1420-07-1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Dinoterb</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1420-07-1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Dinoterb</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1420-07-1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Difenilamina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122-39-4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Disulfoton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298-04-4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n-GB"/>
              </w:rPr>
              <w:t>Endosulf</w:t>
            </w:r>
            <w:r w:rsidRPr="00EB5B1D">
              <w:rPr>
                <w:sz w:val="18"/>
                <w:szCs w:val="18"/>
                <w:lang w:val="es-ES_tradnl"/>
              </w:rPr>
              <w:t>á</w:t>
            </w:r>
            <w:r w:rsidRPr="00EB5B1D">
              <w:rPr>
                <w:sz w:val="18"/>
                <w:szCs w:val="18"/>
                <w:lang w:val="en-GB"/>
              </w:rPr>
              <w:t>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n-GB"/>
              </w:rPr>
            </w:pPr>
            <w:r w:rsidRPr="00EB5B1D">
              <w:rPr>
                <w:sz w:val="18"/>
                <w:szCs w:val="18"/>
                <w:lang w:val="en-GB"/>
              </w:rPr>
              <w:t>115-29-7**,</w:t>
            </w:r>
          </w:p>
          <w:p w:rsidR="0095520B" w:rsidRPr="00EB5B1D" w:rsidRDefault="0095520B" w:rsidP="0069600C">
            <w:pPr>
              <w:spacing w:before="40" w:after="40"/>
              <w:rPr>
                <w:sz w:val="18"/>
                <w:szCs w:val="18"/>
                <w:lang w:val="en-GB"/>
              </w:rPr>
            </w:pPr>
            <w:r w:rsidRPr="00EB5B1D">
              <w:rPr>
                <w:sz w:val="18"/>
                <w:szCs w:val="18"/>
                <w:lang w:val="en-GB"/>
              </w:rPr>
              <w:t>959-98-8,</w:t>
            </w:r>
          </w:p>
          <w:p w:rsidR="0095520B" w:rsidRPr="00EB5B1D" w:rsidRDefault="0095520B" w:rsidP="0069600C">
            <w:pPr>
              <w:spacing w:before="40" w:after="40"/>
              <w:rPr>
                <w:sz w:val="18"/>
                <w:szCs w:val="18"/>
                <w:lang w:val="es-ES_tradnl"/>
              </w:rPr>
            </w:pPr>
            <w:r w:rsidRPr="00EB5B1D">
              <w:rPr>
                <w:sz w:val="18"/>
                <w:szCs w:val="18"/>
                <w:lang w:val="en-GB"/>
              </w:rPr>
              <w:t>33213-65-9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n-GB"/>
              </w:rPr>
              <w:t xml:space="preserve">Plaguicida* &amp; Industrial </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n-GB"/>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n-GB"/>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n-GB"/>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Bulgaria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Guyana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Perú</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Endrina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72-20-8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Uruguay</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Epoxiconazole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106325-08-0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EPTC</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759-94-4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Escradano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152-16-9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Escradano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152-16-9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Etermetílico de clormetilo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107-30-2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Etilhexilenglicol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94-96-2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Etoxilatos de nonilfenol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n-GB"/>
              </w:rPr>
            </w:pPr>
            <w:r w:rsidRPr="00EB5B1D">
              <w:rPr>
                <w:sz w:val="18"/>
                <w:szCs w:val="18"/>
                <w:lang w:val="en-GB"/>
              </w:rPr>
              <w:t>127087-87-0,</w:t>
            </w:r>
          </w:p>
          <w:p w:rsidR="0095520B" w:rsidRPr="00EB5B1D" w:rsidRDefault="0095520B" w:rsidP="0069600C">
            <w:pPr>
              <w:spacing w:before="40" w:after="40"/>
              <w:rPr>
                <w:sz w:val="18"/>
                <w:szCs w:val="18"/>
                <w:lang w:val="en-GB"/>
              </w:rPr>
            </w:pPr>
            <w:r w:rsidRPr="00EB5B1D">
              <w:rPr>
                <w:sz w:val="18"/>
                <w:szCs w:val="18"/>
                <w:lang w:val="en-GB"/>
              </w:rPr>
              <w:t>26027-38-3,</w:t>
            </w:r>
          </w:p>
          <w:p w:rsidR="0095520B" w:rsidRPr="00EB5B1D" w:rsidRDefault="0095520B" w:rsidP="0069600C">
            <w:pPr>
              <w:spacing w:before="40" w:after="40"/>
              <w:rPr>
                <w:sz w:val="18"/>
                <w:szCs w:val="18"/>
                <w:lang w:val="en-GB"/>
              </w:rPr>
            </w:pPr>
            <w:r w:rsidRPr="00EB5B1D">
              <w:rPr>
                <w:sz w:val="18"/>
                <w:szCs w:val="18"/>
                <w:lang w:val="en-GB"/>
              </w:rPr>
              <w:t>37205-87-1,</w:t>
            </w:r>
          </w:p>
          <w:p w:rsidR="0095520B" w:rsidRPr="00EB5B1D" w:rsidRDefault="0095520B" w:rsidP="0069600C">
            <w:pPr>
              <w:spacing w:before="40" w:after="40"/>
              <w:rPr>
                <w:sz w:val="18"/>
                <w:szCs w:val="18"/>
                <w:lang w:val="en-GB"/>
              </w:rPr>
            </w:pPr>
            <w:r w:rsidRPr="00EB5B1D">
              <w:rPr>
                <w:sz w:val="18"/>
                <w:szCs w:val="18"/>
                <w:lang w:val="en-GB"/>
              </w:rPr>
              <w:t>68412-54-4,</w:t>
            </w:r>
          </w:p>
          <w:p w:rsidR="0095520B" w:rsidRPr="00EB5B1D" w:rsidRDefault="0095520B" w:rsidP="0069600C">
            <w:pPr>
              <w:spacing w:before="40" w:after="40"/>
              <w:rPr>
                <w:sz w:val="18"/>
                <w:szCs w:val="18"/>
                <w:lang w:val="es-ES_tradnl"/>
              </w:rPr>
            </w:pPr>
            <w:r w:rsidRPr="00EB5B1D">
              <w:rPr>
                <w:sz w:val="18"/>
                <w:szCs w:val="18"/>
                <w:lang w:val="es-ES_tradnl"/>
              </w:rPr>
              <w:t>9016-45-9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Fenarimol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60168-88-9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Fenitrotión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122-14-5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 xml:space="preserve">Fenol, 2-(2H-benzotriazol-2-il)-4,6-bis (1,1 dimetilo y etilo)- </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3846-71-7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Fensulfotion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115-90-2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Fenthion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55-38-9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Fentin hidroxido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76-87-9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 xml:space="preserve">Fentoato </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2597-03-7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Malasia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Fipronil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120068-37-3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Fipronil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120068-37-3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Fipronil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120068-37-3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Fipronil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120068-37-3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Fipronil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120068-37-3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Fipronil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120068-37-3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Fipronil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120068-37-3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Fluazifop-P-butil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79241-46-6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Fluazinam</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79622-59-6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Flufenoxuron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101463-69-8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Fluopicolido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239110-15-7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Fluoroacetato de sodio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62-74-8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Cuba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Flurprimidol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56425-91-3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Folpet</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133-07-3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Malasia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Fonofos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944-22-9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EC1BC0"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EC1BC0" w:rsidRPr="00EB5B1D" w:rsidRDefault="00EC1BC0" w:rsidP="00EC1BC0">
            <w:pPr>
              <w:spacing w:before="40" w:after="40"/>
              <w:rPr>
                <w:sz w:val="18"/>
                <w:szCs w:val="18"/>
              </w:rPr>
            </w:pPr>
            <w:r w:rsidRPr="00EB5B1D">
              <w:rPr>
                <w:sz w:val="18"/>
                <w:szCs w:val="18"/>
              </w:rPr>
              <w:t>Forato</w:t>
            </w:r>
          </w:p>
        </w:tc>
        <w:tc>
          <w:tcPr>
            <w:tcW w:w="1278" w:type="dxa"/>
            <w:tcBorders>
              <w:top w:val="single" w:sz="4" w:space="0" w:color="auto"/>
              <w:left w:val="single" w:sz="4" w:space="0" w:color="auto"/>
              <w:bottom w:val="single" w:sz="4" w:space="0" w:color="auto"/>
              <w:right w:val="single" w:sz="4" w:space="0" w:color="auto"/>
            </w:tcBorders>
            <w:noWrap/>
          </w:tcPr>
          <w:p w:rsidR="00EC1BC0" w:rsidRPr="00EB5B1D" w:rsidRDefault="00EC1BC0" w:rsidP="00EC1BC0">
            <w:pPr>
              <w:spacing w:before="40" w:after="40"/>
              <w:rPr>
                <w:sz w:val="18"/>
                <w:szCs w:val="18"/>
              </w:rPr>
            </w:pPr>
            <w:r w:rsidRPr="00EB5B1D">
              <w:rPr>
                <w:sz w:val="18"/>
                <w:szCs w:val="18"/>
              </w:rPr>
              <w:t>298-02-2</w:t>
            </w:r>
          </w:p>
        </w:tc>
        <w:tc>
          <w:tcPr>
            <w:tcW w:w="1274" w:type="dxa"/>
            <w:tcBorders>
              <w:top w:val="single" w:sz="4" w:space="0" w:color="auto"/>
              <w:left w:val="single" w:sz="4" w:space="0" w:color="auto"/>
              <w:bottom w:val="single" w:sz="4" w:space="0" w:color="auto"/>
              <w:right w:val="single" w:sz="4" w:space="0" w:color="auto"/>
            </w:tcBorders>
          </w:tcPr>
          <w:p w:rsidR="00EC1BC0" w:rsidRPr="00EB5B1D" w:rsidRDefault="00EC1BC0" w:rsidP="00EC1BC0">
            <w:pPr>
              <w:spacing w:before="40" w:after="40"/>
              <w:rPr>
                <w:sz w:val="18"/>
                <w:szCs w:val="18"/>
              </w:rPr>
            </w:pPr>
            <w:r w:rsidRPr="00EB5B1D">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rsidR="00EC1BC0" w:rsidRPr="00EB5B1D" w:rsidRDefault="00EC1BC0" w:rsidP="00EC1BC0">
            <w:pPr>
              <w:spacing w:before="40" w:after="40"/>
              <w:rPr>
                <w:sz w:val="18"/>
                <w:szCs w:val="18"/>
              </w:rPr>
            </w:pPr>
            <w:r w:rsidRPr="00EB5B1D">
              <w:rPr>
                <w:sz w:val="18"/>
                <w:szCs w:val="18"/>
              </w:rPr>
              <w:t>Brasil</w:t>
            </w:r>
          </w:p>
        </w:tc>
        <w:tc>
          <w:tcPr>
            <w:tcW w:w="1562" w:type="dxa"/>
            <w:tcBorders>
              <w:top w:val="single" w:sz="4" w:space="0" w:color="auto"/>
              <w:left w:val="single" w:sz="4" w:space="0" w:color="auto"/>
              <w:bottom w:val="single" w:sz="4" w:space="0" w:color="auto"/>
              <w:right w:val="single" w:sz="4" w:space="0" w:color="auto"/>
            </w:tcBorders>
          </w:tcPr>
          <w:p w:rsidR="00EC1BC0" w:rsidRPr="00EB5B1D" w:rsidRDefault="00EC1BC0" w:rsidP="00EC1BC0">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EC1BC0" w:rsidRPr="00EB5B1D" w:rsidRDefault="00EC1BC0" w:rsidP="00EC1BC0">
            <w:pPr>
              <w:spacing w:before="40" w:after="40"/>
              <w:rPr>
                <w:sz w:val="18"/>
                <w:szCs w:val="18"/>
              </w:rPr>
            </w:pPr>
            <w:r w:rsidRPr="00EB5B1D">
              <w:rPr>
                <w:sz w:val="18"/>
                <w:szCs w:val="18"/>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Forato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Forato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Fosalone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2310-17-0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Fosfamidon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13171-21-6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Brasil</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Fosfamidon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13171-21-6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Côte d´Ivoire</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Fosfamidon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13171-21-6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Fosfamidon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13171-21-6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Panamá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Fosfamidon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13171-21-6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Fosfuro de aluminio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20859-73-8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Furfural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98-01-1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0874EA">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0874EA">
            <w:pPr>
              <w:spacing w:before="40" w:after="40"/>
              <w:rPr>
                <w:sz w:val="18"/>
                <w:szCs w:val="18"/>
              </w:rPr>
            </w:pPr>
            <w:r w:rsidRPr="00EB5B1D">
              <w:rPr>
                <w:sz w:val="18"/>
                <w:szCs w:val="18"/>
              </w:rPr>
              <w:t>Hexabromociclododecano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0874EA">
            <w:pPr>
              <w:spacing w:before="40" w:after="40"/>
              <w:rPr>
                <w:sz w:val="18"/>
                <w:szCs w:val="18"/>
              </w:rPr>
            </w:pPr>
            <w:r w:rsidRPr="00EB5B1D">
              <w:rPr>
                <w:sz w:val="18"/>
                <w:szCs w:val="18"/>
              </w:rPr>
              <w:t>25637-99-4,</w:t>
            </w:r>
          </w:p>
          <w:p w:rsidR="0095520B" w:rsidRPr="00EB5B1D" w:rsidRDefault="0095520B" w:rsidP="000874EA">
            <w:pPr>
              <w:spacing w:before="40" w:after="40"/>
              <w:rPr>
                <w:sz w:val="18"/>
                <w:szCs w:val="18"/>
              </w:rPr>
            </w:pPr>
            <w:r w:rsidRPr="00EB5B1D">
              <w:rPr>
                <w:sz w:val="18"/>
                <w:szCs w:val="18"/>
              </w:rPr>
              <w:t>3194-55-6,</w:t>
            </w:r>
          </w:p>
          <w:p w:rsidR="0095520B" w:rsidRPr="00EB5B1D" w:rsidRDefault="0095520B" w:rsidP="000874EA">
            <w:pPr>
              <w:spacing w:before="40" w:after="40"/>
              <w:rPr>
                <w:sz w:val="18"/>
                <w:szCs w:val="18"/>
              </w:rPr>
            </w:pPr>
            <w:r w:rsidRPr="00EB5B1D">
              <w:rPr>
                <w:sz w:val="18"/>
                <w:szCs w:val="18"/>
              </w:rPr>
              <w:t>134237-50-6,</w:t>
            </w:r>
          </w:p>
          <w:p w:rsidR="0095520B" w:rsidRPr="00EB5B1D" w:rsidRDefault="0095520B" w:rsidP="000874EA">
            <w:pPr>
              <w:spacing w:before="40" w:after="40"/>
              <w:rPr>
                <w:sz w:val="18"/>
                <w:szCs w:val="18"/>
              </w:rPr>
            </w:pPr>
            <w:r w:rsidRPr="00EB5B1D">
              <w:rPr>
                <w:sz w:val="18"/>
                <w:szCs w:val="18"/>
              </w:rPr>
              <w:t>134237-51-7,</w:t>
            </w:r>
          </w:p>
          <w:p w:rsidR="0095520B" w:rsidRPr="00EB5B1D" w:rsidRDefault="0095520B" w:rsidP="000874EA">
            <w:pPr>
              <w:spacing w:before="40" w:after="40"/>
              <w:rPr>
                <w:sz w:val="18"/>
                <w:szCs w:val="18"/>
              </w:rPr>
            </w:pPr>
            <w:r w:rsidRPr="00EB5B1D">
              <w:rPr>
                <w:sz w:val="18"/>
                <w:szCs w:val="18"/>
              </w:rPr>
              <w:t>134237-52-8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0874EA">
            <w:pPr>
              <w:spacing w:before="40" w:after="40"/>
              <w:rPr>
                <w:sz w:val="18"/>
                <w:szCs w:val="18"/>
              </w:rPr>
            </w:pPr>
            <w:r w:rsidRPr="00EB5B1D">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0874EA">
            <w:pPr>
              <w:spacing w:before="40" w:after="40"/>
              <w:rPr>
                <w:sz w:val="18"/>
                <w:szCs w:val="18"/>
              </w:rPr>
            </w:pPr>
            <w:r w:rsidRPr="00EB5B1D">
              <w:rPr>
                <w:sz w:val="18"/>
                <w:szCs w:val="18"/>
              </w:rPr>
              <w:t>China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0874EA">
            <w:pPr>
              <w:spacing w:before="40" w:after="40"/>
              <w:rPr>
                <w:sz w:val="18"/>
                <w:szCs w:val="18"/>
              </w:rPr>
            </w:pPr>
            <w:r w:rsidRPr="00EB5B1D">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0874EA">
            <w:pPr>
              <w:spacing w:before="40" w:after="40"/>
              <w:rPr>
                <w:sz w:val="18"/>
                <w:szCs w:val="18"/>
              </w:rPr>
            </w:pPr>
            <w:r w:rsidRPr="00EB5B1D">
              <w:rPr>
                <w:sz w:val="18"/>
                <w:szCs w:val="18"/>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Hexabromociclododecano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25637-99-4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 xml:space="preserve">Industrial </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Hexabromociclododecano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rPr>
            </w:pPr>
            <w:r w:rsidRPr="00EB5B1D">
              <w:rPr>
                <w:sz w:val="18"/>
                <w:szCs w:val="18"/>
              </w:rPr>
              <w:t>25637-99-4,</w:t>
            </w:r>
          </w:p>
          <w:p w:rsidR="0095520B" w:rsidRPr="00EB5B1D" w:rsidRDefault="0095520B" w:rsidP="0069600C">
            <w:pPr>
              <w:spacing w:before="40" w:after="40"/>
              <w:rPr>
                <w:sz w:val="18"/>
                <w:szCs w:val="18"/>
              </w:rPr>
            </w:pPr>
            <w:r w:rsidRPr="00EB5B1D">
              <w:rPr>
                <w:sz w:val="18"/>
                <w:szCs w:val="18"/>
              </w:rPr>
              <w:t>3194-55-6,</w:t>
            </w:r>
          </w:p>
          <w:p w:rsidR="0095520B" w:rsidRPr="00EB5B1D" w:rsidRDefault="0095520B" w:rsidP="0069600C">
            <w:pPr>
              <w:spacing w:before="40" w:after="40"/>
              <w:rPr>
                <w:sz w:val="18"/>
                <w:szCs w:val="18"/>
              </w:rPr>
            </w:pPr>
            <w:r w:rsidRPr="00EB5B1D">
              <w:rPr>
                <w:sz w:val="18"/>
                <w:szCs w:val="18"/>
              </w:rPr>
              <w:t>134237-50-6,</w:t>
            </w:r>
          </w:p>
          <w:p w:rsidR="0095520B" w:rsidRPr="00EB5B1D" w:rsidRDefault="0095520B" w:rsidP="0069600C">
            <w:pPr>
              <w:spacing w:before="40" w:after="40"/>
              <w:rPr>
                <w:sz w:val="18"/>
                <w:szCs w:val="18"/>
              </w:rPr>
            </w:pPr>
            <w:r w:rsidRPr="00EB5B1D">
              <w:rPr>
                <w:sz w:val="18"/>
                <w:szCs w:val="18"/>
              </w:rPr>
              <w:t>134237-51-7,</w:t>
            </w:r>
          </w:p>
          <w:p w:rsidR="0095520B" w:rsidRPr="00EB5B1D" w:rsidRDefault="0095520B" w:rsidP="0069600C">
            <w:pPr>
              <w:spacing w:before="40" w:after="40"/>
              <w:rPr>
                <w:sz w:val="18"/>
                <w:szCs w:val="18"/>
                <w:lang w:val="es-ES_tradnl"/>
              </w:rPr>
            </w:pPr>
            <w:r w:rsidRPr="00EB5B1D">
              <w:rPr>
                <w:sz w:val="18"/>
                <w:szCs w:val="18"/>
              </w:rPr>
              <w:t>134237-52-8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118-74-1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118-74-1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118-74-1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118-74-1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Panamá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Hexaclorociclohexano, isómero alfa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319-84-6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Hexaclorociclohexano, isómero alfa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319-84-6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Hexaclorociclohexano, isómero alfa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319-84-6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Hexaclorobutadieno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87-68-3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Hexaclorobutadieno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87-68-3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 xml:space="preserve">Hexacloroetano </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67-72-1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Burkina Faso</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Cabo Verde</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Chad</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Gambia</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Guinea-Bissau</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Mali</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Maurtitania</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XLV</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Niger</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Senegal</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p>
        </w:tc>
      </w:tr>
      <w:tr w:rsidR="0095520B" w:rsidRPr="00EB5B1D" w:rsidTr="00CA0C42">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Hexazinona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51235-04-2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vAlign w:val="center"/>
          </w:tcPr>
          <w:p w:rsidR="0095520B" w:rsidRPr="00EB5B1D" w:rsidRDefault="0095520B" w:rsidP="0069600C">
            <w:pPr>
              <w:spacing w:before="40" w:after="40"/>
              <w:rPr>
                <w:sz w:val="18"/>
                <w:szCs w:val="18"/>
                <w:lang w:val="es-ES_tradnl"/>
              </w:rPr>
            </w:pPr>
            <w:r w:rsidRPr="00EB5B1D">
              <w:rPr>
                <w:sz w:val="18"/>
                <w:szCs w:val="18"/>
                <w:lang w:val="en-GB"/>
              </w:rPr>
              <w:t>Togo</w:t>
            </w:r>
          </w:p>
        </w:tc>
        <w:tc>
          <w:tcPr>
            <w:tcW w:w="1562" w:type="dxa"/>
            <w:tcBorders>
              <w:top w:val="single" w:sz="4" w:space="0" w:color="auto"/>
              <w:left w:val="single" w:sz="4" w:space="0" w:color="auto"/>
              <w:bottom w:val="single" w:sz="4" w:space="0" w:color="auto"/>
              <w:right w:val="single" w:sz="4" w:space="0" w:color="auto"/>
            </w:tcBorders>
            <w:vAlign w:val="center"/>
          </w:tcPr>
          <w:p w:rsidR="0095520B" w:rsidRPr="00EB5B1D" w:rsidRDefault="0095520B" w:rsidP="0069600C">
            <w:pPr>
              <w:spacing w:before="40" w:after="40"/>
              <w:rPr>
                <w:sz w:val="18"/>
                <w:szCs w:val="18"/>
                <w:lang w:val="es-ES_tradnl"/>
              </w:rPr>
            </w:pPr>
            <w:r w:rsidRPr="00EB5B1D">
              <w:rPr>
                <w:sz w:val="18"/>
                <w:szCs w:val="18"/>
                <w:lang w:val="en-GB"/>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Hidrato de cloral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302-17-0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Hidrazide maleico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123-33-1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Hidrogenoborato de dibutilestaño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75113-37-0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Hidrogenosulfuro de amonio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12124-99-1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Hidroxicarbonato de plomo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1319-46-6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 xml:space="preserve">Industrial </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Imazalil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35554-44-0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Imazapyr</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81334-34-1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Isodrin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465-73-6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Isopyrazam</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881685-58-1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Linuron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330-55-2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Malatión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121-75-5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Arabe Siria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MCPA-tioetil (fenotiol)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25319-90-8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MCPB</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94-81-5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Mecoprop</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7085-19-0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Mefosfolan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950-10-7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Mepiquat 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24307-26-4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Mercurio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7439-97-6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Suecia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Metazol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20354-26-1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Australia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Pacífico Sudoccidental</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bromuro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74-83-9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Malawi</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bromuro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74-83-9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bromuro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74-83-9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bromuro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74-83-9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Brasil</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Bulgaria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Côte d´Ivoire</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El Salvador</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Guyana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Kirguistán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Nigeria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Panamá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Paraguay</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Dominicana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Metil paratión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298-00-0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Uruguay</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Mevinphos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26718-65-0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Mevinphos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26718-65-0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MGK Repellent 11</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126-15-8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Bulgaria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Colombia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Cuba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Guyana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Mirex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2385-85-5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Uruguay</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Monometil, diclorofenyl metano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122808-61-1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N,N'-Ditolil-p-fenilenodiamina; N,N'-Dixilil-p-fenilenodiamina; N-Tolil-N'-xilil-p-fenilenodiamina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27417-40-9,</w:t>
            </w:r>
          </w:p>
          <w:p w:rsidR="0095520B" w:rsidRPr="00EB5B1D" w:rsidRDefault="0095520B" w:rsidP="0069600C">
            <w:pPr>
              <w:spacing w:before="40" w:after="40"/>
              <w:rPr>
                <w:sz w:val="18"/>
                <w:szCs w:val="18"/>
                <w:lang w:val="es-ES_tradnl"/>
              </w:rPr>
            </w:pPr>
            <w:r w:rsidRPr="00EB5B1D">
              <w:rPr>
                <w:sz w:val="18"/>
                <w:szCs w:val="18"/>
                <w:lang w:val="es-ES_tradnl"/>
              </w:rPr>
              <w:t>28726-30-9,</w:t>
            </w:r>
          </w:p>
          <w:p w:rsidR="0095520B" w:rsidRPr="00EB5B1D" w:rsidRDefault="0095520B" w:rsidP="0069600C">
            <w:pPr>
              <w:spacing w:before="40" w:after="40"/>
              <w:rPr>
                <w:sz w:val="18"/>
                <w:szCs w:val="18"/>
                <w:lang w:val="es-ES_tradnl"/>
              </w:rPr>
            </w:pPr>
            <w:r w:rsidRPr="00EB5B1D">
              <w:rPr>
                <w:sz w:val="18"/>
                <w:szCs w:val="18"/>
                <w:lang w:val="es-ES_tradnl"/>
              </w:rPr>
              <w:t>70290-05-0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Naftalenos policlorados (PCN)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70776-03-3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Naftalenos policlorados (PCN)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rPr>
            </w:pPr>
            <w:r w:rsidRPr="00EB5B1D">
              <w:rPr>
                <w:sz w:val="18"/>
                <w:szCs w:val="18"/>
              </w:rPr>
              <w:t>28699-88-9,</w:t>
            </w:r>
          </w:p>
          <w:p w:rsidR="0095520B" w:rsidRPr="00EB5B1D" w:rsidRDefault="0095520B" w:rsidP="0069600C">
            <w:pPr>
              <w:spacing w:before="40" w:after="40"/>
              <w:rPr>
                <w:sz w:val="18"/>
                <w:szCs w:val="18"/>
              </w:rPr>
            </w:pPr>
            <w:r w:rsidRPr="00EB5B1D">
              <w:rPr>
                <w:sz w:val="18"/>
                <w:szCs w:val="18"/>
              </w:rPr>
              <w:t>1321-65-9,</w:t>
            </w:r>
          </w:p>
          <w:p w:rsidR="0095520B" w:rsidRPr="00EB5B1D" w:rsidRDefault="0095520B" w:rsidP="0069600C">
            <w:pPr>
              <w:spacing w:before="40" w:after="40"/>
              <w:rPr>
                <w:sz w:val="18"/>
                <w:szCs w:val="18"/>
              </w:rPr>
            </w:pPr>
            <w:r w:rsidRPr="00EB5B1D">
              <w:rPr>
                <w:sz w:val="18"/>
                <w:szCs w:val="18"/>
              </w:rPr>
              <w:t>1335-88-2,</w:t>
            </w:r>
          </w:p>
          <w:p w:rsidR="0095520B" w:rsidRPr="00EB5B1D" w:rsidRDefault="0095520B" w:rsidP="0069600C">
            <w:pPr>
              <w:spacing w:before="40" w:after="40"/>
              <w:rPr>
                <w:sz w:val="18"/>
                <w:szCs w:val="18"/>
              </w:rPr>
            </w:pPr>
            <w:r w:rsidRPr="00EB5B1D">
              <w:rPr>
                <w:sz w:val="18"/>
                <w:szCs w:val="18"/>
              </w:rPr>
              <w:t>1321-64-8,</w:t>
            </w:r>
          </w:p>
          <w:p w:rsidR="0095520B" w:rsidRPr="00EB5B1D" w:rsidRDefault="0095520B" w:rsidP="0069600C">
            <w:pPr>
              <w:spacing w:before="40" w:after="40"/>
              <w:rPr>
                <w:sz w:val="18"/>
                <w:szCs w:val="18"/>
              </w:rPr>
            </w:pPr>
            <w:r w:rsidRPr="00EB5B1D">
              <w:rPr>
                <w:sz w:val="18"/>
                <w:szCs w:val="18"/>
              </w:rPr>
              <w:t>1335-87-1,</w:t>
            </w:r>
          </w:p>
          <w:p w:rsidR="0095520B" w:rsidRPr="00EB5B1D" w:rsidRDefault="0095520B" w:rsidP="0069600C">
            <w:pPr>
              <w:spacing w:before="40" w:after="40"/>
              <w:rPr>
                <w:sz w:val="18"/>
                <w:szCs w:val="18"/>
              </w:rPr>
            </w:pPr>
            <w:r w:rsidRPr="00EB5B1D">
              <w:rPr>
                <w:sz w:val="18"/>
                <w:szCs w:val="18"/>
              </w:rPr>
              <w:t>32241-08-0,</w:t>
            </w:r>
          </w:p>
          <w:p w:rsidR="0095520B" w:rsidRPr="00EB5B1D" w:rsidRDefault="0095520B" w:rsidP="0069600C">
            <w:pPr>
              <w:spacing w:before="40" w:after="40"/>
              <w:rPr>
                <w:sz w:val="18"/>
                <w:szCs w:val="18"/>
                <w:lang w:val="es-ES_tradnl"/>
              </w:rPr>
            </w:pPr>
            <w:r w:rsidRPr="00EB5B1D">
              <w:rPr>
                <w:sz w:val="18"/>
                <w:szCs w:val="18"/>
              </w:rPr>
              <w:t>2234-13-1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Naled</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300-76-5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Níquel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7440-02-0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Nitrato de talio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10102-45-1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Nitrofeno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1836-75-5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Nitrofeno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1836-75-5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Nitrofeno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94097-88-8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Nitrofeno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94097-88-8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N-Nitrosodimetilamina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62-75-9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Nonilfenol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n-GB"/>
              </w:rPr>
            </w:pPr>
            <w:r w:rsidRPr="00EB5B1D">
              <w:rPr>
                <w:sz w:val="18"/>
                <w:szCs w:val="18"/>
                <w:lang w:val="en-GB"/>
              </w:rPr>
              <w:t>11066-49-2,</w:t>
            </w:r>
          </w:p>
          <w:p w:rsidR="0095520B" w:rsidRPr="00EB5B1D" w:rsidRDefault="0095520B" w:rsidP="0069600C">
            <w:pPr>
              <w:spacing w:before="40" w:after="40"/>
              <w:rPr>
                <w:sz w:val="18"/>
                <w:szCs w:val="18"/>
                <w:lang w:val="en-GB"/>
              </w:rPr>
            </w:pPr>
            <w:r w:rsidRPr="00EB5B1D">
              <w:rPr>
                <w:sz w:val="18"/>
                <w:szCs w:val="18"/>
                <w:lang w:val="es-ES_tradnl"/>
              </w:rPr>
              <w:t>25154-52-3</w:t>
            </w:r>
            <w:r w:rsidRPr="00EB5B1D">
              <w:rPr>
                <w:sz w:val="18"/>
                <w:szCs w:val="18"/>
                <w:lang w:val="en-GB"/>
              </w:rPr>
              <w:t>,</w:t>
            </w:r>
          </w:p>
          <w:p w:rsidR="0095520B" w:rsidRPr="00EB5B1D" w:rsidRDefault="0095520B" w:rsidP="0069600C">
            <w:pPr>
              <w:spacing w:before="40" w:after="40"/>
              <w:rPr>
                <w:sz w:val="18"/>
                <w:szCs w:val="18"/>
                <w:lang w:val="en-GB"/>
              </w:rPr>
            </w:pPr>
            <w:r w:rsidRPr="00EB5B1D">
              <w:rPr>
                <w:sz w:val="18"/>
                <w:szCs w:val="18"/>
                <w:lang w:val="en-GB"/>
              </w:rPr>
              <w:t>84852-15-3,</w:t>
            </w:r>
          </w:p>
          <w:p w:rsidR="0095520B" w:rsidRPr="00EB5B1D" w:rsidRDefault="0095520B" w:rsidP="0069600C">
            <w:pPr>
              <w:spacing w:before="40" w:after="40"/>
              <w:rPr>
                <w:sz w:val="18"/>
                <w:szCs w:val="18"/>
                <w:lang w:val="es-ES_tradnl"/>
              </w:rPr>
            </w:pPr>
            <w:r w:rsidRPr="00EB5B1D">
              <w:rPr>
                <w:sz w:val="18"/>
                <w:szCs w:val="18"/>
                <w:lang w:val="en-GB"/>
              </w:rPr>
              <w:t>90481-04-2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Nonilfenoles y etoxilatos de nonilfenol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n-GB"/>
              </w:rPr>
            </w:pPr>
            <w:r w:rsidRPr="00EB5B1D">
              <w:rPr>
                <w:sz w:val="18"/>
                <w:szCs w:val="18"/>
                <w:lang w:val="en-GB"/>
              </w:rPr>
              <w:t>104-40-5,</w:t>
            </w:r>
          </w:p>
          <w:p w:rsidR="0095520B" w:rsidRPr="00EB5B1D" w:rsidRDefault="0095520B" w:rsidP="0069600C">
            <w:pPr>
              <w:spacing w:before="40" w:after="40"/>
              <w:rPr>
                <w:sz w:val="18"/>
                <w:szCs w:val="18"/>
                <w:lang w:val="en-GB"/>
              </w:rPr>
            </w:pPr>
            <w:r w:rsidRPr="00EB5B1D">
              <w:rPr>
                <w:sz w:val="18"/>
                <w:szCs w:val="18"/>
                <w:lang w:val="en-GB"/>
              </w:rPr>
              <w:t>11066-49-2,</w:t>
            </w:r>
          </w:p>
          <w:p w:rsidR="0095520B" w:rsidRPr="00EB5B1D" w:rsidRDefault="0095520B" w:rsidP="0069600C">
            <w:pPr>
              <w:spacing w:before="40" w:after="40"/>
              <w:rPr>
                <w:sz w:val="18"/>
                <w:szCs w:val="18"/>
                <w:lang w:val="en-GB"/>
              </w:rPr>
            </w:pPr>
            <w:r w:rsidRPr="00EB5B1D">
              <w:rPr>
                <w:sz w:val="18"/>
                <w:szCs w:val="18"/>
                <w:lang w:val="en-GB"/>
              </w:rPr>
              <w:t>25154-52-3,</w:t>
            </w:r>
          </w:p>
          <w:p w:rsidR="0095520B" w:rsidRPr="00EB5B1D" w:rsidRDefault="0095520B" w:rsidP="0069600C">
            <w:pPr>
              <w:spacing w:before="40" w:after="40"/>
              <w:rPr>
                <w:sz w:val="18"/>
                <w:szCs w:val="18"/>
                <w:lang w:val="en-GB"/>
              </w:rPr>
            </w:pPr>
            <w:r w:rsidRPr="00EB5B1D">
              <w:rPr>
                <w:sz w:val="18"/>
                <w:szCs w:val="18"/>
                <w:lang w:val="en-GB"/>
              </w:rPr>
              <w:t>84852-15-3,</w:t>
            </w:r>
          </w:p>
          <w:p w:rsidR="0095520B" w:rsidRPr="00EB5B1D" w:rsidRDefault="0095520B" w:rsidP="0069600C">
            <w:pPr>
              <w:spacing w:before="40" w:after="40"/>
              <w:rPr>
                <w:sz w:val="18"/>
                <w:szCs w:val="18"/>
                <w:lang w:val="en-GB"/>
              </w:rPr>
            </w:pPr>
            <w:r w:rsidRPr="00EB5B1D">
              <w:rPr>
                <w:sz w:val="18"/>
                <w:szCs w:val="18"/>
                <w:lang w:val="en-GB"/>
              </w:rPr>
              <w:t>90481-04-2,</w:t>
            </w:r>
          </w:p>
          <w:p w:rsidR="0095520B" w:rsidRPr="00EB5B1D" w:rsidRDefault="0095520B" w:rsidP="0069600C">
            <w:pPr>
              <w:spacing w:before="40" w:after="40"/>
              <w:rPr>
                <w:sz w:val="18"/>
                <w:szCs w:val="18"/>
                <w:lang w:val="en-GB"/>
              </w:rPr>
            </w:pPr>
            <w:r w:rsidRPr="00EB5B1D">
              <w:rPr>
                <w:sz w:val="18"/>
                <w:szCs w:val="18"/>
                <w:lang w:val="en-GB"/>
              </w:rPr>
              <w:t>127087-87-0,</w:t>
            </w:r>
          </w:p>
          <w:p w:rsidR="0095520B" w:rsidRPr="00EB5B1D" w:rsidRDefault="0095520B" w:rsidP="0069600C">
            <w:pPr>
              <w:spacing w:before="40" w:after="40"/>
              <w:rPr>
                <w:sz w:val="18"/>
                <w:szCs w:val="18"/>
                <w:lang w:val="en-GB"/>
              </w:rPr>
            </w:pPr>
            <w:r w:rsidRPr="00EB5B1D">
              <w:rPr>
                <w:sz w:val="18"/>
                <w:szCs w:val="18"/>
                <w:lang w:val="en-GB"/>
              </w:rPr>
              <w:t>26027-38-3,</w:t>
            </w:r>
          </w:p>
          <w:p w:rsidR="0095520B" w:rsidRPr="00EB5B1D" w:rsidRDefault="0095520B" w:rsidP="0069600C">
            <w:pPr>
              <w:spacing w:before="40" w:after="40"/>
              <w:rPr>
                <w:sz w:val="18"/>
                <w:szCs w:val="18"/>
                <w:lang w:val="en-GB"/>
              </w:rPr>
            </w:pPr>
            <w:r w:rsidRPr="00EB5B1D">
              <w:rPr>
                <w:sz w:val="18"/>
                <w:szCs w:val="18"/>
                <w:lang w:val="en-GB"/>
              </w:rPr>
              <w:t>37205-87-1,</w:t>
            </w:r>
          </w:p>
          <w:p w:rsidR="0095520B" w:rsidRPr="00EB5B1D" w:rsidRDefault="0095520B" w:rsidP="0069600C">
            <w:pPr>
              <w:spacing w:before="40" w:after="40"/>
              <w:rPr>
                <w:sz w:val="18"/>
                <w:szCs w:val="18"/>
                <w:lang w:val="en-GB"/>
              </w:rPr>
            </w:pPr>
            <w:r w:rsidRPr="00EB5B1D">
              <w:rPr>
                <w:sz w:val="18"/>
                <w:szCs w:val="18"/>
                <w:lang w:val="en-GB"/>
              </w:rPr>
              <w:t>68412-54-4,</w:t>
            </w:r>
          </w:p>
          <w:p w:rsidR="0095520B" w:rsidRPr="00EB5B1D" w:rsidRDefault="0095520B" w:rsidP="0069600C">
            <w:pPr>
              <w:spacing w:before="40" w:after="40"/>
              <w:rPr>
                <w:sz w:val="18"/>
                <w:szCs w:val="18"/>
                <w:lang w:val="es-ES_tradnl"/>
              </w:rPr>
            </w:pPr>
            <w:r w:rsidRPr="00EB5B1D">
              <w:rPr>
                <w:sz w:val="18"/>
                <w:szCs w:val="18"/>
                <w:lang w:val="en-GB"/>
              </w:rPr>
              <w:t>9016-45-9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Octanoato de bromoxinilo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1689-99-2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Octilfenoles y etoxilatos de octilfenol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140-66-9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Oxidemetón-metilo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301-12-2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fr-CH"/>
              </w:rPr>
            </w:pPr>
            <w:r w:rsidRPr="00EB5B1D">
              <w:rPr>
                <w:sz w:val="18"/>
                <w:szCs w:val="18"/>
                <w:lang w:val="fr-CH"/>
              </w:rPr>
              <w:t>Óxido de tri(aziridin-1-il)fosfina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545-55-1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fr-CH"/>
              </w:rPr>
            </w:pPr>
            <w:r w:rsidRPr="00EB5B1D">
              <w:rPr>
                <w:sz w:val="18"/>
                <w:szCs w:val="18"/>
                <w:lang w:val="fr-CH"/>
              </w:rPr>
              <w:t>Óxido de tri(aziridin-1-il)fosfina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545-55-1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Oxido de Tributilestaño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56-35-9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Parafinas cloradas de cadena corta [Alcanos clorados de fórmula molecular CnHxCl(2n+2-x) en la cual 10 ≤ n ≤ 13]</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1002-69-3,</w:t>
            </w:r>
          </w:p>
          <w:p w:rsidR="0095520B" w:rsidRPr="00EB5B1D" w:rsidRDefault="0095520B" w:rsidP="0069600C">
            <w:pPr>
              <w:spacing w:before="40" w:after="40"/>
              <w:rPr>
                <w:sz w:val="18"/>
                <w:szCs w:val="18"/>
                <w:lang w:val="es-ES_tradnl"/>
              </w:rPr>
            </w:pPr>
            <w:r w:rsidRPr="00EB5B1D">
              <w:rPr>
                <w:sz w:val="18"/>
                <w:szCs w:val="18"/>
                <w:lang w:val="es-ES_tradnl"/>
              </w:rPr>
              <w:t>104948-36-9,</w:t>
            </w:r>
          </w:p>
          <w:p w:rsidR="0095520B" w:rsidRPr="00EB5B1D" w:rsidRDefault="0095520B" w:rsidP="0069600C">
            <w:pPr>
              <w:spacing w:before="40" w:after="40"/>
              <w:rPr>
                <w:sz w:val="18"/>
                <w:szCs w:val="18"/>
                <w:lang w:val="es-ES_tradnl"/>
              </w:rPr>
            </w:pPr>
            <w:r w:rsidRPr="00EB5B1D">
              <w:rPr>
                <w:sz w:val="18"/>
                <w:szCs w:val="18"/>
                <w:lang w:val="es-ES_tradnl"/>
              </w:rPr>
              <w:t>108171-26-2,</w:t>
            </w:r>
          </w:p>
          <w:p w:rsidR="0095520B" w:rsidRPr="00EB5B1D" w:rsidRDefault="0095520B" w:rsidP="0069600C">
            <w:pPr>
              <w:spacing w:before="40" w:after="40"/>
              <w:rPr>
                <w:sz w:val="18"/>
                <w:szCs w:val="18"/>
                <w:lang w:val="es-ES_tradnl"/>
              </w:rPr>
            </w:pPr>
            <w:r w:rsidRPr="00EB5B1D">
              <w:rPr>
                <w:sz w:val="18"/>
                <w:szCs w:val="18"/>
                <w:lang w:val="es-ES_tradnl"/>
              </w:rPr>
              <w:t>112-52-7,</w:t>
            </w:r>
          </w:p>
          <w:p w:rsidR="0095520B" w:rsidRPr="00EB5B1D" w:rsidRDefault="0095520B" w:rsidP="0069600C">
            <w:pPr>
              <w:spacing w:before="40" w:after="40"/>
              <w:rPr>
                <w:sz w:val="18"/>
                <w:szCs w:val="18"/>
                <w:lang w:val="es-ES_tradnl"/>
              </w:rPr>
            </w:pPr>
            <w:r w:rsidRPr="00EB5B1D">
              <w:rPr>
                <w:sz w:val="18"/>
                <w:szCs w:val="18"/>
                <w:lang w:val="es-ES_tradnl"/>
              </w:rPr>
              <w:t>2162-98-3,</w:t>
            </w:r>
          </w:p>
          <w:p w:rsidR="0095520B" w:rsidRPr="00EB5B1D" w:rsidRDefault="0095520B" w:rsidP="0069600C">
            <w:pPr>
              <w:spacing w:before="40" w:after="40"/>
              <w:rPr>
                <w:sz w:val="18"/>
                <w:szCs w:val="18"/>
                <w:lang w:val="es-ES_tradnl"/>
              </w:rPr>
            </w:pPr>
            <w:r w:rsidRPr="00EB5B1D">
              <w:rPr>
                <w:sz w:val="18"/>
                <w:szCs w:val="18"/>
                <w:lang w:val="es-ES_tradnl"/>
              </w:rPr>
              <w:t>3922-28-9,</w:t>
            </w:r>
          </w:p>
          <w:p w:rsidR="0095520B" w:rsidRPr="00EB5B1D" w:rsidRDefault="0095520B" w:rsidP="0069600C">
            <w:pPr>
              <w:spacing w:before="40" w:after="40"/>
              <w:rPr>
                <w:sz w:val="18"/>
                <w:szCs w:val="18"/>
                <w:lang w:val="es-ES_tradnl"/>
              </w:rPr>
            </w:pPr>
            <w:r w:rsidRPr="00EB5B1D">
              <w:rPr>
                <w:sz w:val="18"/>
                <w:szCs w:val="18"/>
                <w:lang w:val="es-ES_tradnl"/>
              </w:rPr>
              <w:t>51990-12- 6,</w:t>
            </w:r>
          </w:p>
          <w:p w:rsidR="0095520B" w:rsidRPr="00EB5B1D" w:rsidRDefault="0095520B" w:rsidP="0069600C">
            <w:pPr>
              <w:spacing w:before="40" w:after="40"/>
              <w:rPr>
                <w:sz w:val="18"/>
                <w:szCs w:val="18"/>
                <w:lang w:val="es-ES_tradnl"/>
              </w:rPr>
            </w:pPr>
            <w:r w:rsidRPr="00EB5B1D">
              <w:rPr>
                <w:sz w:val="18"/>
                <w:szCs w:val="18"/>
                <w:lang w:val="es-ES_tradnl"/>
              </w:rPr>
              <w:t>61788-76-9,</w:t>
            </w:r>
          </w:p>
          <w:p w:rsidR="0095520B" w:rsidRPr="00EB5B1D" w:rsidRDefault="0095520B" w:rsidP="0069600C">
            <w:pPr>
              <w:spacing w:before="40" w:after="40"/>
              <w:rPr>
                <w:sz w:val="18"/>
                <w:szCs w:val="18"/>
                <w:lang w:val="es-ES_tradnl"/>
              </w:rPr>
            </w:pPr>
            <w:r w:rsidRPr="00EB5B1D">
              <w:rPr>
                <w:sz w:val="18"/>
                <w:szCs w:val="18"/>
                <w:lang w:val="es-ES_tradnl"/>
              </w:rPr>
              <w:t>63449-39-8,</w:t>
            </w:r>
          </w:p>
          <w:p w:rsidR="0095520B" w:rsidRPr="00EB5B1D" w:rsidRDefault="0095520B" w:rsidP="0069600C">
            <w:pPr>
              <w:spacing w:before="40" w:after="40"/>
              <w:rPr>
                <w:sz w:val="18"/>
                <w:szCs w:val="18"/>
                <w:lang w:val="es-ES_tradnl"/>
              </w:rPr>
            </w:pPr>
            <w:r w:rsidRPr="00EB5B1D">
              <w:rPr>
                <w:sz w:val="18"/>
                <w:szCs w:val="18"/>
                <w:lang w:val="es-ES_tradnl"/>
              </w:rPr>
              <w:t>68188-19-2,</w:t>
            </w:r>
          </w:p>
          <w:p w:rsidR="0095520B" w:rsidRPr="00EB5B1D" w:rsidRDefault="0095520B" w:rsidP="0069600C">
            <w:pPr>
              <w:spacing w:before="40" w:after="40"/>
              <w:rPr>
                <w:sz w:val="18"/>
                <w:szCs w:val="18"/>
                <w:lang w:val="es-ES_tradnl"/>
              </w:rPr>
            </w:pPr>
            <w:r w:rsidRPr="00EB5B1D">
              <w:rPr>
                <w:sz w:val="18"/>
                <w:szCs w:val="18"/>
                <w:lang w:val="es-ES_tradnl"/>
              </w:rPr>
              <w:t>68476-48-2,</w:t>
            </w:r>
          </w:p>
          <w:p w:rsidR="0095520B" w:rsidRPr="00EB5B1D" w:rsidRDefault="0095520B" w:rsidP="0069600C">
            <w:pPr>
              <w:spacing w:before="40" w:after="40"/>
              <w:rPr>
                <w:sz w:val="18"/>
                <w:szCs w:val="18"/>
                <w:lang w:val="es-ES_tradnl"/>
              </w:rPr>
            </w:pPr>
            <w:r w:rsidRPr="00EB5B1D">
              <w:rPr>
                <w:sz w:val="18"/>
                <w:szCs w:val="18"/>
                <w:lang w:val="es-ES_tradnl"/>
              </w:rPr>
              <w:t>68606-33-7,</w:t>
            </w:r>
          </w:p>
          <w:p w:rsidR="0095520B" w:rsidRPr="00EB5B1D" w:rsidRDefault="0095520B" w:rsidP="0069600C">
            <w:pPr>
              <w:spacing w:before="40" w:after="40"/>
              <w:rPr>
                <w:sz w:val="18"/>
                <w:szCs w:val="18"/>
                <w:lang w:val="es-ES_tradnl"/>
              </w:rPr>
            </w:pPr>
            <w:r w:rsidRPr="00EB5B1D">
              <w:rPr>
                <w:sz w:val="18"/>
                <w:szCs w:val="18"/>
                <w:lang w:val="es-ES_tradnl"/>
              </w:rPr>
              <w:t>68911-63-7,</w:t>
            </w:r>
          </w:p>
          <w:p w:rsidR="0095520B" w:rsidRPr="00EB5B1D" w:rsidRDefault="0095520B" w:rsidP="0069600C">
            <w:pPr>
              <w:spacing w:before="40" w:after="40"/>
              <w:rPr>
                <w:sz w:val="18"/>
                <w:szCs w:val="18"/>
                <w:lang w:val="es-ES_tradnl"/>
              </w:rPr>
            </w:pPr>
            <w:r w:rsidRPr="00EB5B1D">
              <w:rPr>
                <w:sz w:val="18"/>
                <w:szCs w:val="18"/>
                <w:lang w:val="es-ES_tradnl"/>
              </w:rPr>
              <w:t>68920-70-7,</w:t>
            </w:r>
          </w:p>
          <w:p w:rsidR="0095520B" w:rsidRPr="00EB5B1D" w:rsidRDefault="0095520B" w:rsidP="0069600C">
            <w:pPr>
              <w:spacing w:before="40" w:after="40"/>
              <w:rPr>
                <w:sz w:val="18"/>
                <w:szCs w:val="18"/>
                <w:lang w:val="es-ES_tradnl"/>
              </w:rPr>
            </w:pPr>
            <w:r w:rsidRPr="00EB5B1D">
              <w:rPr>
                <w:sz w:val="18"/>
                <w:szCs w:val="18"/>
                <w:lang w:val="es-ES_tradnl"/>
              </w:rPr>
              <w:t>68938- 42-1,</w:t>
            </w:r>
          </w:p>
          <w:p w:rsidR="0095520B" w:rsidRPr="00EB5B1D" w:rsidRDefault="0095520B" w:rsidP="0069600C">
            <w:pPr>
              <w:spacing w:before="40" w:after="40"/>
              <w:rPr>
                <w:sz w:val="18"/>
                <w:szCs w:val="18"/>
                <w:lang w:val="es-ES_tradnl"/>
              </w:rPr>
            </w:pPr>
            <w:r w:rsidRPr="00EB5B1D">
              <w:rPr>
                <w:sz w:val="18"/>
                <w:szCs w:val="18"/>
                <w:lang w:val="es-ES_tradnl"/>
              </w:rPr>
              <w:t>68955-41-9,</w:t>
            </w:r>
          </w:p>
          <w:p w:rsidR="0095520B" w:rsidRPr="00EB5B1D" w:rsidRDefault="0095520B" w:rsidP="0069600C">
            <w:pPr>
              <w:spacing w:before="40" w:after="40"/>
              <w:rPr>
                <w:sz w:val="18"/>
                <w:szCs w:val="18"/>
                <w:lang w:val="es-ES_tradnl"/>
              </w:rPr>
            </w:pPr>
            <w:r w:rsidRPr="00EB5B1D">
              <w:rPr>
                <w:sz w:val="18"/>
                <w:szCs w:val="18"/>
                <w:lang w:val="es-ES_tradnl"/>
              </w:rPr>
              <w:t>68990-22-7,</w:t>
            </w:r>
          </w:p>
          <w:p w:rsidR="0095520B" w:rsidRPr="00EB5B1D" w:rsidRDefault="0095520B" w:rsidP="0069600C">
            <w:pPr>
              <w:spacing w:before="40" w:after="40"/>
              <w:rPr>
                <w:sz w:val="18"/>
                <w:szCs w:val="18"/>
                <w:lang w:val="es-ES_tradnl"/>
              </w:rPr>
            </w:pPr>
            <w:r w:rsidRPr="00EB5B1D">
              <w:rPr>
                <w:sz w:val="18"/>
                <w:szCs w:val="18"/>
                <w:lang w:val="es-ES_tradnl"/>
              </w:rPr>
              <w:t>71011-12-6,</w:t>
            </w:r>
          </w:p>
          <w:p w:rsidR="0095520B" w:rsidRPr="00EB5B1D" w:rsidRDefault="0095520B" w:rsidP="0069600C">
            <w:pPr>
              <w:spacing w:before="40" w:after="40"/>
              <w:rPr>
                <w:sz w:val="18"/>
                <w:szCs w:val="18"/>
                <w:lang w:val="es-ES_tradnl"/>
              </w:rPr>
            </w:pPr>
            <w:r w:rsidRPr="00EB5B1D">
              <w:rPr>
                <w:sz w:val="18"/>
                <w:szCs w:val="18"/>
                <w:lang w:val="es-ES_tradnl"/>
              </w:rPr>
              <w:t>72854-22-9,</w:t>
            </w:r>
          </w:p>
          <w:p w:rsidR="0095520B" w:rsidRPr="00EB5B1D" w:rsidRDefault="0095520B" w:rsidP="0069600C">
            <w:pPr>
              <w:spacing w:before="40" w:after="40"/>
              <w:rPr>
                <w:sz w:val="18"/>
                <w:szCs w:val="18"/>
                <w:lang w:val="es-ES_tradnl"/>
              </w:rPr>
            </w:pPr>
            <w:r w:rsidRPr="00EB5B1D">
              <w:rPr>
                <w:sz w:val="18"/>
                <w:szCs w:val="18"/>
                <w:lang w:val="es-ES_tradnl"/>
              </w:rPr>
              <w:t>73138-78-0,</w:t>
            </w:r>
          </w:p>
          <w:p w:rsidR="0095520B" w:rsidRPr="00EB5B1D" w:rsidRDefault="0095520B" w:rsidP="0069600C">
            <w:pPr>
              <w:spacing w:before="40" w:after="40"/>
              <w:rPr>
                <w:sz w:val="18"/>
                <w:szCs w:val="18"/>
                <w:lang w:val="es-ES_tradnl"/>
              </w:rPr>
            </w:pPr>
            <w:r w:rsidRPr="00EB5B1D">
              <w:rPr>
                <w:sz w:val="18"/>
                <w:szCs w:val="18"/>
                <w:lang w:val="es-ES_tradnl"/>
              </w:rPr>
              <w:t>84082-38-2,</w:t>
            </w:r>
          </w:p>
          <w:p w:rsidR="0095520B" w:rsidRPr="00EB5B1D" w:rsidRDefault="0095520B" w:rsidP="0069600C">
            <w:pPr>
              <w:spacing w:before="40" w:after="40"/>
              <w:rPr>
                <w:sz w:val="18"/>
                <w:szCs w:val="18"/>
                <w:lang w:val="es-ES_tradnl"/>
              </w:rPr>
            </w:pPr>
            <w:r w:rsidRPr="00EB5B1D">
              <w:rPr>
                <w:sz w:val="18"/>
                <w:szCs w:val="18"/>
                <w:lang w:val="es-ES_tradnl"/>
              </w:rPr>
              <w:t>84776-06-7,</w:t>
            </w:r>
          </w:p>
          <w:p w:rsidR="0095520B" w:rsidRPr="00EB5B1D" w:rsidRDefault="0095520B" w:rsidP="0069600C">
            <w:pPr>
              <w:spacing w:before="40" w:after="40"/>
              <w:rPr>
                <w:sz w:val="18"/>
                <w:szCs w:val="18"/>
                <w:lang w:val="es-ES_tradnl"/>
              </w:rPr>
            </w:pPr>
            <w:r w:rsidRPr="00EB5B1D">
              <w:rPr>
                <w:sz w:val="18"/>
                <w:szCs w:val="18"/>
                <w:lang w:val="es-ES_tradnl"/>
              </w:rPr>
              <w:t>85422-92-0,</w:t>
            </w:r>
          </w:p>
          <w:p w:rsidR="0095520B" w:rsidRPr="00EB5B1D" w:rsidRDefault="0095520B" w:rsidP="0069600C">
            <w:pPr>
              <w:spacing w:before="40" w:after="40"/>
              <w:rPr>
                <w:sz w:val="18"/>
                <w:szCs w:val="18"/>
                <w:lang w:val="es-ES_tradnl"/>
              </w:rPr>
            </w:pPr>
            <w:r w:rsidRPr="00EB5B1D">
              <w:rPr>
                <w:sz w:val="18"/>
                <w:szCs w:val="18"/>
                <w:lang w:val="es-ES_tradnl"/>
              </w:rPr>
              <w:t>85535-84-8,</w:t>
            </w:r>
          </w:p>
          <w:p w:rsidR="0095520B" w:rsidRPr="00EB5B1D" w:rsidRDefault="0095520B" w:rsidP="0069600C">
            <w:pPr>
              <w:spacing w:before="40" w:after="40"/>
              <w:rPr>
                <w:sz w:val="18"/>
                <w:szCs w:val="18"/>
                <w:lang w:val="es-ES_tradnl"/>
              </w:rPr>
            </w:pPr>
            <w:r w:rsidRPr="00EB5B1D">
              <w:rPr>
                <w:sz w:val="18"/>
                <w:szCs w:val="18"/>
                <w:lang w:val="es-ES_tradnl"/>
              </w:rPr>
              <w:t>85536-22-7,</w:t>
            </w:r>
          </w:p>
          <w:p w:rsidR="0095520B" w:rsidRPr="00EB5B1D" w:rsidRDefault="0095520B" w:rsidP="0069600C">
            <w:pPr>
              <w:spacing w:before="40" w:after="40"/>
              <w:rPr>
                <w:sz w:val="18"/>
                <w:szCs w:val="18"/>
                <w:lang w:val="es-ES_tradnl"/>
              </w:rPr>
            </w:pPr>
            <w:r w:rsidRPr="00EB5B1D">
              <w:rPr>
                <w:sz w:val="18"/>
                <w:szCs w:val="18"/>
                <w:lang w:val="es-ES_tradnl"/>
              </w:rPr>
              <w:t>85681-73-8,</w:t>
            </w:r>
          </w:p>
          <w:p w:rsidR="0095520B" w:rsidRPr="00EB5B1D" w:rsidRDefault="0095520B" w:rsidP="0069600C">
            <w:pPr>
              <w:spacing w:before="40" w:after="40"/>
              <w:rPr>
                <w:sz w:val="18"/>
                <w:szCs w:val="18"/>
                <w:lang w:val="es-ES_tradnl"/>
              </w:rPr>
            </w:pPr>
            <w:r w:rsidRPr="00EB5B1D">
              <w:rPr>
                <w:sz w:val="18"/>
                <w:szCs w:val="18"/>
                <w:lang w:val="es-ES_tradnl"/>
              </w:rPr>
              <w:t>97553-43-0,</w:t>
            </w:r>
          </w:p>
          <w:p w:rsidR="0095520B" w:rsidRPr="00EB5B1D" w:rsidRDefault="0095520B" w:rsidP="0069600C">
            <w:pPr>
              <w:spacing w:before="40" w:after="40"/>
              <w:rPr>
                <w:sz w:val="18"/>
                <w:szCs w:val="18"/>
                <w:lang w:val="es-ES_tradnl"/>
              </w:rPr>
            </w:pPr>
            <w:r w:rsidRPr="00EB5B1D">
              <w:rPr>
                <w:sz w:val="18"/>
                <w:szCs w:val="18"/>
                <w:lang w:val="es-ES_tradnl"/>
              </w:rPr>
              <w:t>97659-46-6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0874EA">
            <w:pPr>
              <w:spacing w:before="40" w:after="40"/>
              <w:rPr>
                <w:sz w:val="18"/>
                <w:szCs w:val="18"/>
                <w:lang w:val="es-ES_tradnl"/>
              </w:rPr>
            </w:pPr>
            <w:r w:rsidRPr="00EB5B1D">
              <w:rPr>
                <w:sz w:val="18"/>
                <w:szCs w:val="18"/>
                <w:lang w:val="es-ES_tradnl"/>
              </w:rPr>
              <w:t xml:space="preserve">Parafinas cloradas de cadena corta </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85535-84-8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4685-14-7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Sri Lanka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4685-14-7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Suecia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4685-14-7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1910-42-5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Burkina Faso</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1910-42-5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1910-42-5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1910-42-5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Malí</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1910-42-5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1910-42-5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1910-42-5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1910-42-5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Suecia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dicloruro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1910-42-5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Uruguay</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Paraquat dimethyl,bis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2074-50-2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Suecia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Pendimethalin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40487-42-1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Pentaclorobenceno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608-93-5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Pentaclorobenceno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608-93-5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Pentaclorobenceno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608-93-5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Pentaclorobenceno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608-93-5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Pentacloroetano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76-01-7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Del="009917FA" w:rsidRDefault="0095520B" w:rsidP="0069600C">
            <w:pPr>
              <w:spacing w:before="40" w:after="40"/>
              <w:rPr>
                <w:sz w:val="18"/>
                <w:szCs w:val="18"/>
                <w:lang w:val="es-ES_tradnl"/>
              </w:rPr>
            </w:pPr>
            <w:r w:rsidRPr="00EB5B1D">
              <w:rPr>
                <w:sz w:val="18"/>
                <w:szCs w:val="18"/>
                <w:lang w:val="fr-CH"/>
              </w:rPr>
              <w:t>Pentaclorofenol y sus sales y ésteres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rPr>
            </w:pPr>
            <w:r w:rsidRPr="00EB5B1D">
              <w:rPr>
                <w:sz w:val="18"/>
                <w:szCs w:val="18"/>
              </w:rPr>
              <w:t>87-86-5**,</w:t>
            </w:r>
          </w:p>
          <w:p w:rsidR="0095520B" w:rsidRPr="00EB5B1D" w:rsidRDefault="0095520B" w:rsidP="0069600C">
            <w:pPr>
              <w:spacing w:before="40" w:after="40"/>
              <w:rPr>
                <w:sz w:val="18"/>
                <w:szCs w:val="18"/>
              </w:rPr>
            </w:pPr>
            <w:r w:rsidRPr="00EB5B1D">
              <w:rPr>
                <w:sz w:val="18"/>
                <w:szCs w:val="18"/>
              </w:rPr>
              <w:t>131-52-2,</w:t>
            </w:r>
          </w:p>
          <w:p w:rsidR="0095520B" w:rsidRPr="00EB5B1D" w:rsidRDefault="0095520B" w:rsidP="0069600C">
            <w:pPr>
              <w:spacing w:before="40" w:after="40"/>
              <w:rPr>
                <w:sz w:val="18"/>
                <w:szCs w:val="18"/>
              </w:rPr>
            </w:pPr>
            <w:r w:rsidRPr="00EB5B1D">
              <w:rPr>
                <w:sz w:val="18"/>
                <w:szCs w:val="18"/>
              </w:rPr>
              <w:t>27735-64-4,</w:t>
            </w:r>
          </w:p>
          <w:p w:rsidR="0095520B" w:rsidRPr="00EB5B1D" w:rsidRDefault="0095520B" w:rsidP="0069600C">
            <w:pPr>
              <w:spacing w:before="40" w:after="40"/>
              <w:rPr>
                <w:sz w:val="18"/>
                <w:szCs w:val="18"/>
                <w:lang w:val="es-ES_tradnl"/>
              </w:rPr>
            </w:pPr>
            <w:r w:rsidRPr="00EB5B1D">
              <w:rPr>
                <w:sz w:val="18"/>
                <w:szCs w:val="18"/>
              </w:rPr>
              <w:t>3772-94-9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Pentaoxido de diarsénico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1303-28-2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Permetrina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52645-53-1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Arabe Siria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Pirazofos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13457-18-6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Polychloroterpenes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8001-50-1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Procimidona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32809-16-8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Profenofos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41198-08-7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Malasia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Propaclor</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1918-16-7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Propaclor</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1918-16-7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Propanil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709-98-8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bCs/>
                <w:sz w:val="18"/>
                <w:szCs w:val="18"/>
                <w:lang w:val="es-ES_tradnl"/>
              </w:rPr>
              <w:t>XXXIX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Propargite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2312-35-8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bCs/>
                <w:sz w:val="18"/>
                <w:szCs w:val="18"/>
                <w:lang w:val="es-ES_tradnl"/>
              </w:rPr>
              <w:t>XXXIX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Propisocloro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86763-47-5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Propoxicarbazona de sodio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145026-81-9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Propilbromoacetato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35223-80-4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Prosoato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2275-18-5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Protiofos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34643-46-4</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Malasia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Pymetrozine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123312-89-0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Pyrinuron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53558-25-1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Quinalfos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13593-03-8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Malasia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Quintoceno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82-68-8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Rumania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Quintoceno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82-68-8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Quintoceno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82-68-8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Residuos del extracto (hulla), alcalino de alquitrán de hulla a baja temperatura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122384-78-5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Simazine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122-34-9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Simazine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122-34-9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Sulfato de ditalio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7446-18-6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Sulfato de ditalio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7446-18-6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Sulfato de plomo (II)</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7446-14-2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Sulfato de plomo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15739-80-7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Sulfosulfuron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141776-32-1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Sulfotep</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3689-24-5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0874EA">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0874EA">
            <w:pPr>
              <w:spacing w:before="40" w:after="40"/>
              <w:rPr>
                <w:sz w:val="18"/>
                <w:szCs w:val="18"/>
                <w:lang w:val="es-ES_tradnl"/>
              </w:rPr>
            </w:pPr>
            <w:r w:rsidRPr="00EB5B1D">
              <w:rPr>
                <w:sz w:val="18"/>
                <w:szCs w:val="18"/>
                <w:lang w:val="es-ES_tradnl"/>
              </w:rPr>
              <w:t>Sulfonato de perfluorooctano (PFOS),</w:t>
            </w:r>
            <w:r w:rsidRPr="00EB5B1D">
              <w:rPr>
                <w:szCs w:val="22"/>
                <w:lang w:val="fr-CH"/>
              </w:rPr>
              <w:t xml:space="preserve"> sus sales</w:t>
            </w:r>
            <w:r w:rsidRPr="00EB5B1D">
              <w:rPr>
                <w:sz w:val="18"/>
                <w:szCs w:val="18"/>
                <w:lang w:val="es-ES_tradnl"/>
              </w:rPr>
              <w:t xml:space="preserve"> y fluoruro de perfluorooctano sulfonilo (PFOSF) </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0874EA">
            <w:pPr>
              <w:spacing w:before="40" w:after="40"/>
              <w:rPr>
                <w:sz w:val="18"/>
                <w:szCs w:val="18"/>
                <w:lang w:val="es-ES_tradnl"/>
              </w:rPr>
            </w:pPr>
            <w:r w:rsidRPr="00EB5B1D">
              <w:rPr>
                <w:sz w:val="18"/>
                <w:szCs w:val="18"/>
                <w:lang w:val="es-ES_tradnl"/>
              </w:rPr>
              <w:t>2795-39-3;</w:t>
            </w:r>
          </w:p>
          <w:p w:rsidR="0095520B" w:rsidRPr="00EB5B1D" w:rsidRDefault="0095520B" w:rsidP="000874EA">
            <w:pPr>
              <w:spacing w:before="40" w:after="40"/>
              <w:rPr>
                <w:sz w:val="18"/>
                <w:szCs w:val="18"/>
                <w:lang w:val="es-ES_tradnl"/>
              </w:rPr>
            </w:pPr>
            <w:r w:rsidRPr="00EB5B1D">
              <w:rPr>
                <w:sz w:val="18"/>
                <w:szCs w:val="18"/>
                <w:lang w:val="es-ES_tradnl"/>
              </w:rPr>
              <w:t>70225-14-8;</w:t>
            </w:r>
          </w:p>
          <w:p w:rsidR="0095520B" w:rsidRPr="00EB5B1D" w:rsidRDefault="0095520B" w:rsidP="000874EA">
            <w:pPr>
              <w:spacing w:before="40" w:after="40"/>
              <w:rPr>
                <w:sz w:val="18"/>
                <w:szCs w:val="18"/>
                <w:lang w:val="es-ES_tradnl"/>
              </w:rPr>
            </w:pPr>
            <w:r w:rsidRPr="00EB5B1D">
              <w:rPr>
                <w:sz w:val="18"/>
                <w:szCs w:val="18"/>
                <w:lang w:val="es-ES_tradnl"/>
              </w:rPr>
              <w:t>29081-56-9;</w:t>
            </w:r>
          </w:p>
          <w:p w:rsidR="0095520B" w:rsidRPr="00EB5B1D" w:rsidRDefault="0095520B" w:rsidP="000874EA">
            <w:pPr>
              <w:spacing w:before="40" w:after="40"/>
              <w:rPr>
                <w:sz w:val="18"/>
                <w:szCs w:val="18"/>
                <w:lang w:val="es-ES_tradnl"/>
              </w:rPr>
            </w:pPr>
            <w:r w:rsidRPr="00EB5B1D">
              <w:rPr>
                <w:sz w:val="18"/>
                <w:szCs w:val="18"/>
                <w:lang w:val="es-ES_tradnl"/>
              </w:rPr>
              <w:t>29457-72-5;</w:t>
            </w:r>
          </w:p>
          <w:p w:rsidR="0095520B" w:rsidRPr="00EB5B1D" w:rsidRDefault="0095520B" w:rsidP="000874EA">
            <w:pPr>
              <w:spacing w:before="40" w:after="40"/>
              <w:rPr>
                <w:sz w:val="18"/>
                <w:szCs w:val="18"/>
                <w:lang w:val="es-ES_tradnl"/>
              </w:rPr>
            </w:pPr>
            <w:r w:rsidRPr="00EB5B1D">
              <w:rPr>
                <w:sz w:val="18"/>
                <w:szCs w:val="18"/>
                <w:lang w:val="es-ES_tradnl"/>
              </w:rPr>
              <w:t>307-35-7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0874EA">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0874EA">
            <w:pPr>
              <w:spacing w:before="40" w:after="40"/>
              <w:rPr>
                <w:sz w:val="18"/>
                <w:szCs w:val="18"/>
                <w:lang w:val="es-ES_tradnl"/>
              </w:rPr>
            </w:pPr>
            <w:r w:rsidRPr="00EB5B1D">
              <w:rPr>
                <w:sz w:val="18"/>
                <w:szCs w:val="18"/>
                <w:lang w:val="es-ES_tradnl"/>
              </w:rPr>
              <w:t>China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0874EA">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0874EA">
            <w:pPr>
              <w:spacing w:before="40" w:after="40"/>
              <w:rPr>
                <w:sz w:val="18"/>
                <w:szCs w:val="18"/>
                <w:lang w:val="es-ES_tradnl"/>
              </w:rPr>
            </w:pPr>
            <w:r w:rsidRPr="00EB5B1D">
              <w:rPr>
                <w:sz w:val="18"/>
                <w:szCs w:val="18"/>
                <w:lang w:val="es-ES_tradnl"/>
              </w:rPr>
              <w:t>XLV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Sulfuro de amonio ((NH4)2(Sx))</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9080-17-5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Tecnaceno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117-18-0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Pirofosfato de tetraetilo</w:t>
            </w:r>
            <w:r w:rsidR="00705D90" w:rsidRPr="00EB5B1D">
              <w:rPr>
                <w:sz w:val="18"/>
                <w:szCs w:val="18"/>
                <w:lang w:val="es-ES_tradnl"/>
              </w:rPr>
              <w:t xml:space="preserve"> (TEPP</w:t>
            </w:r>
            <w:r w:rsidRPr="00EB5B1D">
              <w:rPr>
                <w:sz w:val="18"/>
                <w:szCs w:val="18"/>
                <w:lang w:val="es-ES_tradnl"/>
              </w:rPr>
              <w:t>)</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107-49-3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Japón</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Terbufos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13071-79-9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12408-10-5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634-66-2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634-90-2</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Tetraclorobenceno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95-94-3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Tetracloruro de carbono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56-23-5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Tetracloruro de carbono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56-23-5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Tetracloruro de carbono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56-23-5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Letonia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Tetracloruro de carbono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56-23-5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Tetracloruro de carbono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56-23-5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 &amp; 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Suiza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Tetracloruro de carbono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56-23-5</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Thiodicarb</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59669-26-0</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XXVII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Tiabendazol</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148-79-8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Triazofos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24017-47-8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Cabo Verde</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Triazofos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24017-47-8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Chad</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Triazofos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24017-47-8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Gambia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Triazofos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24017-47-8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Malasia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Triazofos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24017-47-8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Mauritania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Triazofos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24017-47-8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Níger</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Triazofos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24017-47-8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Senegal</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Triazofos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24017-47-8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Tribufos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78-48-8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Australia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Pacífico Sudoccidental</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Tributilestaño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1461-22-9,</w:t>
            </w:r>
          </w:p>
          <w:p w:rsidR="0095520B" w:rsidRPr="00EB5B1D" w:rsidRDefault="0095520B" w:rsidP="0069600C">
            <w:pPr>
              <w:spacing w:before="40" w:after="40"/>
              <w:rPr>
                <w:sz w:val="18"/>
                <w:szCs w:val="18"/>
                <w:lang w:val="es-ES_tradnl"/>
              </w:rPr>
            </w:pPr>
            <w:r w:rsidRPr="00EB5B1D">
              <w:rPr>
                <w:sz w:val="18"/>
                <w:szCs w:val="18"/>
                <w:lang w:val="es-ES_tradnl"/>
              </w:rPr>
              <w:t>1983-10-4,</w:t>
            </w:r>
          </w:p>
          <w:p w:rsidR="0095520B" w:rsidRPr="00EB5B1D" w:rsidRDefault="0095520B" w:rsidP="0069600C">
            <w:pPr>
              <w:spacing w:before="40" w:after="40"/>
              <w:rPr>
                <w:sz w:val="18"/>
                <w:szCs w:val="18"/>
                <w:lang w:val="es-ES_tradnl"/>
              </w:rPr>
            </w:pPr>
            <w:r w:rsidRPr="00EB5B1D">
              <w:rPr>
                <w:sz w:val="18"/>
                <w:szCs w:val="18"/>
                <w:lang w:val="es-ES_tradnl"/>
              </w:rPr>
              <w:t>2155-70-6,</w:t>
            </w:r>
          </w:p>
          <w:p w:rsidR="0095520B" w:rsidRPr="00EB5B1D" w:rsidRDefault="0095520B" w:rsidP="0069600C">
            <w:pPr>
              <w:spacing w:before="40" w:after="40"/>
              <w:rPr>
                <w:sz w:val="18"/>
                <w:szCs w:val="18"/>
                <w:lang w:val="es-ES_tradnl"/>
              </w:rPr>
            </w:pPr>
            <w:r w:rsidRPr="00EB5B1D">
              <w:rPr>
                <w:sz w:val="18"/>
                <w:szCs w:val="18"/>
                <w:lang w:val="es-ES_tradnl"/>
              </w:rPr>
              <w:t>4027-18-3,</w:t>
            </w:r>
          </w:p>
          <w:p w:rsidR="0095520B" w:rsidRPr="00EB5B1D" w:rsidRDefault="0095520B" w:rsidP="0069600C">
            <w:pPr>
              <w:spacing w:before="40" w:after="40"/>
              <w:rPr>
                <w:sz w:val="18"/>
                <w:szCs w:val="18"/>
                <w:lang w:val="es-ES_tradnl"/>
              </w:rPr>
            </w:pPr>
            <w:r w:rsidRPr="00EB5B1D">
              <w:rPr>
                <w:sz w:val="18"/>
                <w:szCs w:val="18"/>
                <w:lang w:val="es-ES_tradnl"/>
              </w:rPr>
              <w:t>4342-30-7,</w:t>
            </w:r>
          </w:p>
          <w:p w:rsidR="0095520B" w:rsidRPr="00EB5B1D" w:rsidRDefault="0095520B" w:rsidP="0069600C">
            <w:pPr>
              <w:spacing w:before="40" w:after="40"/>
              <w:rPr>
                <w:sz w:val="18"/>
                <w:szCs w:val="18"/>
                <w:lang w:val="es-ES_tradnl"/>
              </w:rPr>
            </w:pPr>
            <w:r w:rsidRPr="00EB5B1D">
              <w:rPr>
                <w:sz w:val="18"/>
                <w:szCs w:val="18"/>
                <w:lang w:val="es-ES_tradnl"/>
              </w:rPr>
              <w:t>56-35-9,</w:t>
            </w:r>
          </w:p>
          <w:p w:rsidR="0095520B" w:rsidRPr="00EB5B1D" w:rsidRDefault="0095520B" w:rsidP="0069600C">
            <w:pPr>
              <w:spacing w:before="40" w:after="40"/>
              <w:rPr>
                <w:sz w:val="18"/>
                <w:szCs w:val="18"/>
                <w:lang w:val="es-ES_tradnl"/>
              </w:rPr>
            </w:pPr>
            <w:r w:rsidRPr="00EB5B1D">
              <w:rPr>
                <w:sz w:val="18"/>
                <w:szCs w:val="18"/>
                <w:lang w:val="es-ES_tradnl"/>
              </w:rPr>
              <w:t>67701-37-5,</w:t>
            </w:r>
          </w:p>
          <w:p w:rsidR="0095520B" w:rsidRPr="00EB5B1D" w:rsidRDefault="0095520B" w:rsidP="0069600C">
            <w:pPr>
              <w:spacing w:before="40" w:after="40"/>
              <w:rPr>
                <w:sz w:val="18"/>
                <w:szCs w:val="18"/>
                <w:lang w:val="es-ES_tradnl"/>
              </w:rPr>
            </w:pPr>
            <w:r w:rsidRPr="00EB5B1D">
              <w:rPr>
                <w:sz w:val="18"/>
                <w:szCs w:val="18"/>
                <w:lang w:val="es-ES_tradnl"/>
              </w:rPr>
              <w:t>688-73-3</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Tributilestaño, compuestos de</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56-35-9</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República de Corea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Triclorfón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52-68-6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Brasil</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Triclorfón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52-68-6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Togo</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Africa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XLII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Triclorfón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52-68-6</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Tricloroacetato de sodio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650-51-1</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Países Bajos</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Trifluorobromometano</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75-63-8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Industrial</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Canadá</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del Norte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Trifluralina</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1582-09-8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Unión Europea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XXXVI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Verde de Paris</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12002-03-8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Tailandia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Asia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XIV</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Vinclozolin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50471-44-8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Jordania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Cercano Oriente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XVIII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Vinclozolin</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50471-44-8</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Noruega</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Europa</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XIII</w:t>
            </w:r>
          </w:p>
        </w:tc>
      </w:tr>
      <w:tr w:rsidR="0095520B" w:rsidRPr="00EB5B1D" w:rsidTr="00F41BBC">
        <w:trPr>
          <w:cantSplit/>
          <w:jc w:val="center"/>
        </w:trPr>
        <w:tc>
          <w:tcPr>
            <w:tcW w:w="3590"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Zineb</w:t>
            </w:r>
          </w:p>
        </w:tc>
        <w:tc>
          <w:tcPr>
            <w:tcW w:w="1278"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12122-67-7</w:t>
            </w:r>
          </w:p>
        </w:tc>
        <w:tc>
          <w:tcPr>
            <w:tcW w:w="1274"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Plaguicida</w:t>
            </w:r>
          </w:p>
        </w:tc>
        <w:tc>
          <w:tcPr>
            <w:tcW w:w="1276"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Ecuador</w:t>
            </w:r>
          </w:p>
        </w:tc>
        <w:tc>
          <w:tcPr>
            <w:tcW w:w="1562" w:type="dxa"/>
            <w:tcBorders>
              <w:top w:val="single" w:sz="4" w:space="0" w:color="auto"/>
              <w:left w:val="single" w:sz="4" w:space="0" w:color="auto"/>
              <w:bottom w:val="single" w:sz="4" w:space="0" w:color="auto"/>
              <w:right w:val="single" w:sz="4" w:space="0" w:color="auto"/>
            </w:tcBorders>
          </w:tcPr>
          <w:p w:rsidR="0095520B" w:rsidRPr="00EB5B1D" w:rsidRDefault="0095520B" w:rsidP="0069600C">
            <w:pPr>
              <w:spacing w:before="40" w:after="40"/>
              <w:rPr>
                <w:sz w:val="18"/>
                <w:szCs w:val="18"/>
                <w:lang w:val="es-ES_tradnl"/>
              </w:rPr>
            </w:pPr>
            <w:r w:rsidRPr="00EB5B1D">
              <w:rPr>
                <w:sz w:val="18"/>
                <w:szCs w:val="18"/>
                <w:lang w:val="es-ES_tradnl"/>
              </w:rPr>
              <w:t>América Latina y el Caribe</w:t>
            </w:r>
          </w:p>
        </w:tc>
        <w:tc>
          <w:tcPr>
            <w:tcW w:w="1034" w:type="dxa"/>
            <w:tcBorders>
              <w:top w:val="single" w:sz="4" w:space="0" w:color="auto"/>
              <w:left w:val="single" w:sz="4" w:space="0" w:color="auto"/>
              <w:bottom w:val="single" w:sz="4" w:space="0" w:color="auto"/>
              <w:right w:val="single" w:sz="4" w:space="0" w:color="auto"/>
            </w:tcBorders>
            <w:noWrap/>
          </w:tcPr>
          <w:p w:rsidR="0095520B" w:rsidRPr="00EB5B1D" w:rsidRDefault="0095520B" w:rsidP="0069600C">
            <w:pPr>
              <w:spacing w:before="40" w:after="40"/>
              <w:rPr>
                <w:sz w:val="18"/>
                <w:szCs w:val="18"/>
                <w:lang w:val="es-ES_tradnl"/>
              </w:rPr>
            </w:pPr>
            <w:r w:rsidRPr="00EB5B1D">
              <w:rPr>
                <w:sz w:val="18"/>
                <w:szCs w:val="18"/>
                <w:lang w:val="es-ES_tradnl"/>
              </w:rPr>
              <w:t>XX</w:t>
            </w:r>
          </w:p>
        </w:tc>
      </w:tr>
    </w:tbl>
    <w:p w:rsidR="00F41BBC" w:rsidRPr="00EB5B1D" w:rsidRDefault="00F41BBC" w:rsidP="00F41BBC">
      <w:pPr>
        <w:spacing w:before="120"/>
        <w:rPr>
          <w:sz w:val="18"/>
          <w:lang w:val="es-ES_tradnl"/>
        </w:rPr>
      </w:pPr>
      <w:r w:rsidRPr="00EB5B1D">
        <w:rPr>
          <w:sz w:val="18"/>
          <w:lang w:val="es-ES_tradnl"/>
        </w:rPr>
        <w:t>* El producto químico está incluido en el anexo III dentro de esta categoría.</w:t>
      </w:r>
    </w:p>
    <w:p w:rsidR="00F41BBC" w:rsidRPr="00EB5B1D" w:rsidRDefault="00F41BBC" w:rsidP="00F41BBC">
      <w:pPr>
        <w:rPr>
          <w:sz w:val="18"/>
          <w:szCs w:val="18"/>
          <w:lang w:val="es-ES_tradnl"/>
        </w:rPr>
      </w:pPr>
      <w:r w:rsidRPr="00EB5B1D">
        <w:rPr>
          <w:sz w:val="18"/>
          <w:lang w:val="es-ES_tradnl"/>
        </w:rPr>
        <w:t>** El producto químico está incluido en el anexo III</w:t>
      </w:r>
      <w:r w:rsidRPr="00EB5B1D">
        <w:rPr>
          <w:sz w:val="18"/>
          <w:szCs w:val="18"/>
          <w:lang w:val="es-ES_tradnl"/>
        </w:rPr>
        <w:t xml:space="preserve"> con este número CAS.</w:t>
      </w:r>
    </w:p>
    <w:p w:rsidR="00AC1AAC" w:rsidRPr="00EB5B1D" w:rsidRDefault="00AC1AAC" w:rsidP="007B68CF">
      <w:pPr>
        <w:autoSpaceDE w:val="0"/>
        <w:autoSpaceDN w:val="0"/>
        <w:adjustRightInd w:val="0"/>
        <w:jc w:val="center"/>
        <w:rPr>
          <w:b/>
          <w:bCs/>
          <w:szCs w:val="22"/>
          <w:lang w:eastAsia="en-US"/>
        </w:rPr>
      </w:pPr>
    </w:p>
    <w:p w:rsidR="00C542A8" w:rsidRPr="00EB5B1D" w:rsidRDefault="00C542A8">
      <w:pPr>
        <w:rPr>
          <w:b/>
          <w:bCs/>
          <w:szCs w:val="22"/>
          <w:lang w:val="en-GB" w:eastAsia="en-US"/>
        </w:rPr>
        <w:sectPr w:rsidR="00C542A8" w:rsidRPr="00EB5B1D" w:rsidSect="008A1D9E">
          <w:headerReference w:type="default" r:id="rId36"/>
          <w:pgSz w:w="11907" w:h="16839" w:code="9"/>
          <w:pgMar w:top="1134" w:right="1134" w:bottom="1134" w:left="1134" w:header="709" w:footer="284" w:gutter="0"/>
          <w:cols w:space="708"/>
          <w:docGrid w:linePitch="360"/>
        </w:sectPr>
      </w:pPr>
    </w:p>
    <w:p w:rsidR="00AC1AAC" w:rsidRPr="00EB5B1D" w:rsidRDefault="006D09CE" w:rsidP="00AC1AAC">
      <w:pPr>
        <w:jc w:val="center"/>
        <w:rPr>
          <w:b/>
          <w:bCs/>
          <w:szCs w:val="22"/>
          <w:lang w:val="fr-CH" w:eastAsia="en-US"/>
        </w:rPr>
      </w:pPr>
      <w:bookmarkStart w:id="282" w:name="_Toc232307927"/>
      <w:bookmarkStart w:id="283" w:name="_Toc248296484"/>
      <w:bookmarkStart w:id="284" w:name="_Toc248307720"/>
      <w:bookmarkStart w:id="285" w:name="_Toc263866447"/>
      <w:bookmarkStart w:id="286" w:name="_Toc264393164"/>
      <w:r w:rsidRPr="00EB5B1D">
        <w:rPr>
          <w:b/>
          <w:bCs/>
          <w:szCs w:val="22"/>
          <w:lang w:val="fr-CH" w:eastAsia="en-US"/>
        </w:rPr>
        <w:t xml:space="preserve">Notificaciones de medida reglamentaria firme </w:t>
      </w:r>
      <w:r w:rsidRPr="00EB5B1D">
        <w:rPr>
          <w:lang w:val="es-ES_tradnl"/>
        </w:rPr>
        <w:br/>
      </w:r>
      <w:r w:rsidRPr="00EB5B1D">
        <w:rPr>
          <w:b/>
          <w:bCs/>
          <w:szCs w:val="22"/>
          <w:lang w:val="fr-CH" w:eastAsia="en-US"/>
        </w:rPr>
        <w:t>para productos quimicos que no están incluidos en el anexo III</w:t>
      </w:r>
    </w:p>
    <w:p w:rsidR="006D09CE" w:rsidRPr="00EB5B1D" w:rsidRDefault="006D09CE" w:rsidP="00AC1AAC">
      <w:pPr>
        <w:jc w:val="center"/>
        <w:rPr>
          <w:b/>
          <w:szCs w:val="22"/>
          <w:lang w:val="fr-CH"/>
        </w:rPr>
      </w:pPr>
    </w:p>
    <w:p w:rsidR="00AC1AAC" w:rsidRPr="00EB5B1D" w:rsidRDefault="00AC1AAC" w:rsidP="00AC1AAC">
      <w:pPr>
        <w:jc w:val="center"/>
        <w:outlineLvl w:val="1"/>
        <w:rPr>
          <w:b/>
          <w:sz w:val="24"/>
          <w:u w:val="single"/>
          <w:lang w:val="fr-CH"/>
        </w:rPr>
      </w:pPr>
      <w:bookmarkStart w:id="287" w:name="_Toc468869226"/>
      <w:bookmarkStart w:id="288" w:name="_Toc468870510"/>
      <w:bookmarkStart w:id="289" w:name="_Toc469002221"/>
      <w:bookmarkStart w:id="290" w:name="_Toc469005882"/>
      <w:bookmarkStart w:id="291" w:name="_Toc469052719"/>
      <w:bookmarkStart w:id="292" w:name="_Toc484686669"/>
      <w:r w:rsidRPr="00EB5B1D">
        <w:rPr>
          <w:b/>
          <w:sz w:val="24"/>
          <w:u w:val="single"/>
          <w:lang w:val="fr-CH"/>
        </w:rPr>
        <w:t>PART</w:t>
      </w:r>
      <w:r w:rsidR="006D09CE" w:rsidRPr="00EB5B1D">
        <w:rPr>
          <w:b/>
          <w:sz w:val="24"/>
          <w:u w:val="single"/>
          <w:lang w:val="fr-CH"/>
        </w:rPr>
        <w:t>E</w:t>
      </w:r>
      <w:r w:rsidRPr="00EB5B1D">
        <w:rPr>
          <w:b/>
          <w:sz w:val="24"/>
          <w:u w:val="single"/>
          <w:lang w:val="fr-CH"/>
        </w:rPr>
        <w:t xml:space="preserve"> B</w:t>
      </w:r>
      <w:bookmarkEnd w:id="287"/>
      <w:bookmarkEnd w:id="288"/>
      <w:bookmarkEnd w:id="289"/>
      <w:bookmarkEnd w:id="290"/>
      <w:bookmarkEnd w:id="291"/>
      <w:bookmarkEnd w:id="292"/>
    </w:p>
    <w:p w:rsidR="00AC1AAC" w:rsidRPr="00EB5B1D" w:rsidRDefault="00AC1AAC" w:rsidP="00AC1AAC">
      <w:pPr>
        <w:jc w:val="center"/>
        <w:rPr>
          <w:b/>
          <w:sz w:val="24"/>
          <w:lang w:val="fr-CH"/>
        </w:rPr>
      </w:pPr>
    </w:p>
    <w:p w:rsidR="00AC1AAC" w:rsidRPr="00EB5B1D" w:rsidRDefault="00ED5ED1" w:rsidP="00AC1AAC">
      <w:pPr>
        <w:jc w:val="center"/>
        <w:rPr>
          <w:b/>
          <w:snapToGrid w:val="0"/>
          <w:sz w:val="24"/>
          <w:lang w:val="fr-CH"/>
        </w:rPr>
      </w:pPr>
      <w:r>
        <w:rPr>
          <w:b/>
          <w:snapToGrid w:val="0"/>
          <w:sz w:val="24"/>
          <w:lang w:val="fr-CH"/>
        </w:rPr>
        <w:t>N</w:t>
      </w:r>
      <w:r w:rsidR="00F77EFC" w:rsidRPr="00EB5B1D">
        <w:rPr>
          <w:b/>
          <w:snapToGrid w:val="0"/>
          <w:sz w:val="24"/>
          <w:lang w:val="fr-CH"/>
        </w:rPr>
        <w:t>OTIFICACIONES DE MEDIDA REGLAMENTARIA FIRME PARA PRODUCTOS QUÍMICOS QUE NO ESTÁN INCLUIDOS EN EL ANEXO III QUE SE HA VERIFICADO QUE NO CONTIENEN TODA LA INFORMACIÓN ESTIPULADA EN EL ANEXO I DEL CONVENIO</w:t>
      </w:r>
    </w:p>
    <w:p w:rsidR="002F251D" w:rsidRPr="00EB5B1D" w:rsidRDefault="002F251D" w:rsidP="00AC1AAC">
      <w:pPr>
        <w:jc w:val="both"/>
        <w:rPr>
          <w:szCs w:val="22"/>
          <w:lang w:val="fr-CH"/>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84"/>
        <w:gridCol w:w="1260"/>
        <w:gridCol w:w="1530"/>
        <w:gridCol w:w="1530"/>
        <w:gridCol w:w="1616"/>
      </w:tblGrid>
      <w:tr w:rsidR="002F76E4" w:rsidRPr="00EB5B1D" w:rsidTr="00C36A3E">
        <w:trPr>
          <w:cantSplit/>
          <w:tblHeader/>
          <w:jc w:val="center"/>
        </w:trPr>
        <w:tc>
          <w:tcPr>
            <w:tcW w:w="2350" w:type="dxa"/>
            <w:tcBorders>
              <w:top w:val="single" w:sz="4" w:space="0" w:color="auto"/>
              <w:left w:val="single" w:sz="4" w:space="0" w:color="auto"/>
              <w:bottom w:val="single" w:sz="4" w:space="0" w:color="auto"/>
              <w:right w:val="single" w:sz="4" w:space="0" w:color="auto"/>
            </w:tcBorders>
            <w:vAlign w:val="center"/>
          </w:tcPr>
          <w:p w:rsidR="002F76E4" w:rsidRPr="00EB5B1D" w:rsidRDefault="002F76E4" w:rsidP="00C36A3E">
            <w:pPr>
              <w:spacing w:before="40" w:after="40"/>
              <w:jc w:val="center"/>
              <w:rPr>
                <w:b/>
                <w:bCs/>
                <w:sz w:val="20"/>
                <w:szCs w:val="20"/>
              </w:rPr>
            </w:pPr>
            <w:r w:rsidRPr="00EB5B1D">
              <w:rPr>
                <w:b/>
                <w:bCs/>
                <w:sz w:val="20"/>
                <w:szCs w:val="20"/>
              </w:rPr>
              <w:t>Producto químico</w:t>
            </w:r>
          </w:p>
        </w:tc>
        <w:tc>
          <w:tcPr>
            <w:tcW w:w="1784" w:type="dxa"/>
            <w:tcBorders>
              <w:top w:val="single" w:sz="4" w:space="0" w:color="auto"/>
              <w:left w:val="single" w:sz="4" w:space="0" w:color="auto"/>
              <w:bottom w:val="single" w:sz="4" w:space="0" w:color="auto"/>
              <w:right w:val="single" w:sz="4" w:space="0" w:color="auto"/>
            </w:tcBorders>
            <w:noWrap/>
            <w:vAlign w:val="center"/>
          </w:tcPr>
          <w:p w:rsidR="002F76E4" w:rsidRPr="00EB5B1D" w:rsidRDefault="002F76E4" w:rsidP="00C36A3E">
            <w:pPr>
              <w:spacing w:before="40" w:after="40"/>
              <w:jc w:val="center"/>
              <w:rPr>
                <w:b/>
                <w:bCs/>
                <w:sz w:val="20"/>
                <w:szCs w:val="20"/>
              </w:rPr>
            </w:pPr>
            <w:r w:rsidRPr="00EB5B1D">
              <w:rPr>
                <w:b/>
                <w:bCs/>
                <w:sz w:val="20"/>
                <w:szCs w:val="20"/>
              </w:rPr>
              <w:t>Número CAS</w:t>
            </w:r>
          </w:p>
        </w:tc>
        <w:tc>
          <w:tcPr>
            <w:tcW w:w="1260" w:type="dxa"/>
            <w:tcBorders>
              <w:top w:val="single" w:sz="4" w:space="0" w:color="auto"/>
              <w:left w:val="single" w:sz="4" w:space="0" w:color="auto"/>
              <w:bottom w:val="single" w:sz="4" w:space="0" w:color="auto"/>
              <w:right w:val="single" w:sz="4" w:space="0" w:color="auto"/>
            </w:tcBorders>
            <w:vAlign w:val="center"/>
          </w:tcPr>
          <w:p w:rsidR="002F76E4" w:rsidRPr="00EB5B1D" w:rsidRDefault="002F76E4" w:rsidP="00C36A3E">
            <w:pPr>
              <w:spacing w:before="40" w:after="40"/>
              <w:jc w:val="center"/>
              <w:rPr>
                <w:b/>
                <w:bCs/>
                <w:sz w:val="20"/>
                <w:szCs w:val="20"/>
              </w:rPr>
            </w:pPr>
            <w:r w:rsidRPr="00EB5B1D">
              <w:rPr>
                <w:b/>
                <w:bCs/>
                <w:sz w:val="20"/>
                <w:szCs w:val="20"/>
              </w:rPr>
              <w:t>Categoría</w:t>
            </w:r>
          </w:p>
        </w:tc>
        <w:tc>
          <w:tcPr>
            <w:tcW w:w="1530" w:type="dxa"/>
            <w:tcBorders>
              <w:top w:val="single" w:sz="4" w:space="0" w:color="auto"/>
              <w:left w:val="single" w:sz="4" w:space="0" w:color="auto"/>
              <w:bottom w:val="single" w:sz="4" w:space="0" w:color="auto"/>
              <w:right w:val="single" w:sz="4" w:space="0" w:color="auto"/>
            </w:tcBorders>
            <w:noWrap/>
            <w:vAlign w:val="center"/>
          </w:tcPr>
          <w:p w:rsidR="002F76E4" w:rsidRPr="00EB5B1D" w:rsidRDefault="002F76E4" w:rsidP="00C36A3E">
            <w:pPr>
              <w:spacing w:before="40" w:after="40"/>
              <w:jc w:val="center"/>
              <w:rPr>
                <w:b/>
                <w:bCs/>
                <w:sz w:val="20"/>
                <w:szCs w:val="20"/>
              </w:rPr>
            </w:pPr>
            <w:r w:rsidRPr="00EB5B1D">
              <w:rPr>
                <w:b/>
                <w:bCs/>
                <w:sz w:val="20"/>
                <w:szCs w:val="20"/>
              </w:rPr>
              <w:t>País</w:t>
            </w:r>
          </w:p>
        </w:tc>
        <w:tc>
          <w:tcPr>
            <w:tcW w:w="1530" w:type="dxa"/>
            <w:tcBorders>
              <w:top w:val="single" w:sz="4" w:space="0" w:color="auto"/>
              <w:left w:val="single" w:sz="4" w:space="0" w:color="auto"/>
              <w:bottom w:val="single" w:sz="4" w:space="0" w:color="auto"/>
              <w:right w:val="single" w:sz="4" w:space="0" w:color="auto"/>
            </w:tcBorders>
            <w:vAlign w:val="center"/>
          </w:tcPr>
          <w:p w:rsidR="002F76E4" w:rsidRPr="00EB5B1D" w:rsidRDefault="002F76E4" w:rsidP="00C36A3E">
            <w:pPr>
              <w:spacing w:before="40" w:after="40"/>
              <w:jc w:val="center"/>
              <w:rPr>
                <w:b/>
                <w:bCs/>
                <w:sz w:val="20"/>
                <w:szCs w:val="20"/>
              </w:rPr>
            </w:pPr>
            <w:r w:rsidRPr="00EB5B1D">
              <w:rPr>
                <w:b/>
                <w:bCs/>
                <w:sz w:val="20"/>
                <w:szCs w:val="20"/>
              </w:rPr>
              <w:t>Región</w:t>
            </w:r>
          </w:p>
        </w:tc>
        <w:tc>
          <w:tcPr>
            <w:tcW w:w="1616" w:type="dxa"/>
            <w:tcBorders>
              <w:top w:val="single" w:sz="4" w:space="0" w:color="auto"/>
              <w:left w:val="single" w:sz="4" w:space="0" w:color="auto"/>
              <w:bottom w:val="single" w:sz="4" w:space="0" w:color="auto"/>
              <w:right w:val="single" w:sz="4" w:space="0" w:color="auto"/>
            </w:tcBorders>
            <w:noWrap/>
            <w:vAlign w:val="center"/>
          </w:tcPr>
          <w:p w:rsidR="002F76E4" w:rsidRPr="00EB5B1D" w:rsidRDefault="002F76E4" w:rsidP="00C36A3E">
            <w:pPr>
              <w:spacing w:before="40" w:after="40"/>
              <w:jc w:val="center"/>
              <w:rPr>
                <w:b/>
                <w:bCs/>
                <w:sz w:val="20"/>
                <w:szCs w:val="20"/>
              </w:rPr>
            </w:pPr>
            <w:r w:rsidRPr="00EB5B1D">
              <w:rPr>
                <w:b/>
                <w:bCs/>
                <w:sz w:val="20"/>
                <w:szCs w:val="20"/>
              </w:rPr>
              <w:t>Circular CPF</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1,2-dicloropropano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78-87-5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1,4-diclorobenceno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106-46-7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Israel</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1-Bromo-2-cloroetano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107-04-0</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2-(2,4,5-trichlorephenoxy)ethyl 2,2dichloropropanoate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136-25-4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2,4,5-TP (Silvex; Fenoprop)</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93-72-1</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Acefato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30560-19-1</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Ácido dimetilarsínico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75-60-5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Israel</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Acroleína</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107-02-8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Acrylonitrile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107-13-1</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Amitraz</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33089-61-1</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Amitrole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61-82-5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Amitrole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61-82-5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Arsenato de cobre básico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16102-92-4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Arseniato de plomo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7784-40-9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Arseniato de plomo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7784-40-9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en-GB"/>
              </w:rPr>
              <w:t>Togo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lang w:val="en-GB"/>
              </w:rPr>
              <w:t>Africa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en-GB"/>
              </w:rPr>
              <w:t>XLII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Atrazina</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1912-24-9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Azinfos etil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2642-71-9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Bendiocarb</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22781-23-3</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Benomyl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17804-35-2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Benomyl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17804-35-2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Bifentrina</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82657-04-3</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Bromadiolone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28772-56-7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Bromadiolone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28772-56-7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Bromofos-ethyl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4824-78-6</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Bromofos-ethyl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4824-78-6</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Cadmio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7440-43-9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Cadusafós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95465-99-9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Captano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133-06-2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Captano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133-06-2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Carbaryl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63-25-2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El Salvador</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Carbaryl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63-25-2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Carbofurano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1563-66-2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Carbofurano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1563-66-2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Jordania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Carbofurano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1563-66-2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Chlormephos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24934-91-6</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Chlormephos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24934-91-6</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Chloropicrin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76-06-2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Chloropicrin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76-06-2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Chlorthiophos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60238-56-4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Cianofos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2636-26-2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Cianuro de calcio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592-01-8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Cianuro de hidrógeno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74-90-8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Cloranil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118-75-2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Cloranil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118-75-2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Clordecona</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143-50-0</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Clordecona</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143-50-0</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Clorotalonil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1897-45-6</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Clorpyrifos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2921-88-2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Cloruro etilmercurio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107-27-7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Armenia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Crysotila (amianto crysotilo)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12001-29-5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Industrial</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El Salvador</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Cyanazine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21725-46-2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Cycloheximide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66-81-9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Cyhexatin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13121-70-5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Daminozide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1596-84-5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DBCP</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96-12-8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DBCP</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96-12-8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DDD</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72-54-8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Demeton-</w:t>
            </w:r>
            <w:r w:rsidRPr="00EB5B1D">
              <w:rPr>
                <w:i/>
                <w:sz w:val="18"/>
                <w:szCs w:val="18"/>
              </w:rPr>
              <w:t>S</w:t>
            </w:r>
            <w:r w:rsidRPr="00EB5B1D">
              <w:rPr>
                <w:sz w:val="18"/>
                <w:szCs w:val="18"/>
              </w:rPr>
              <w:t>-methyl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919-86-8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Demeton-</w:t>
            </w:r>
            <w:r w:rsidRPr="00EB5B1D">
              <w:rPr>
                <w:i/>
                <w:sz w:val="18"/>
                <w:szCs w:val="18"/>
              </w:rPr>
              <w:t>S</w:t>
            </w:r>
            <w:r w:rsidRPr="00EB5B1D">
              <w:rPr>
                <w:sz w:val="18"/>
                <w:szCs w:val="18"/>
              </w:rPr>
              <w:t>-methyl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919-86-8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Dialifos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10311-84-9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Diclofop-methyl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51338-27-3</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Diclorvos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62-73-7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Dicofol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115-32-2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Dicofol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115-32-2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Dicrotophos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141-66-2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Dicrotophos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141-66-2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Diflubenzuron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35367-38-5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Dimefox</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115-26-4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Dimefox</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115-26-4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Dimethoate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60-51-5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Dimetilarsinato de sodio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124-65-2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Israel</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Dinitramine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29091-05-2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Dinitramine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29091-05-2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Disulfoton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298-04-4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Disulfoton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298-04-4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Nepal</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XLII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EPN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2104-64-5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Erbon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136-25-4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Erbon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136-25-4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Escradano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152-16-9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Escradano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152-16-9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Etefon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16672-87-0</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Ethylan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72-56-0</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Etoprofos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13194-48-4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Etoprofos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13194-48-4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Fenamifos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22224-92-6</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Fenamifos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22224-92-6</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Fensulfotion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115-90-2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Fenthion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55-38-9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Fipronil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120068-37-3</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Flucythrinate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70124-77-5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Fluorine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7782-41-4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Fluoroacetato de sodio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62-74-8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Fluoroacetato de sodio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62-74-8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Folpet</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133-07-3</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Fonofos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944-22-9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Fonofos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944-22-9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Forato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298-02-2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Formotion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2540-82-1</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lang w:val="it-IT"/>
              </w:rPr>
              <w:t>Fosfonico diamida, p-(5-amino-3-fenil-1H-1,2,4-triazol-1-il)-N,N,N',N'-tetrametil-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1031-47-6</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Fostietán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21548-32-3</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Fostietán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21548-32-3</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Granosan M</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2235-25-8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Armenia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Hexaethyl tetra phosphate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757-58-4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Leptophos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21609-90-5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Linuron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330-55-2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Mancozeb</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8018-01-7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Mefosfolan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950-10-7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Mefosfolan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950-10-7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Metham sodium</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137-42-8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Methidathion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950-37-8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Methiocarb</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2032-65-7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Methomyl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16752-77-5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Metil paratión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298-00-0</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Camerún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Africa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 xml:space="preserve">Metoxiclor </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72-43-5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 xml:space="preserve">Metoxiclor </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72-43-5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Mevinfos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7786-34-7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Mevinfos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7786-34-7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El Salvador</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Pr>
          <w:p w:rsidR="002F76E4" w:rsidRPr="00EB5B1D" w:rsidRDefault="002F76E4" w:rsidP="00C36A3E">
            <w:pPr>
              <w:spacing w:before="40" w:after="40"/>
              <w:rPr>
                <w:sz w:val="18"/>
                <w:szCs w:val="18"/>
              </w:rPr>
            </w:pPr>
            <w:r w:rsidRPr="00EB5B1D">
              <w:rPr>
                <w:snapToGrid w:val="0"/>
                <w:sz w:val="18"/>
                <w:szCs w:val="18"/>
                <w:lang w:val="es-ES_tradnl"/>
              </w:rPr>
              <w:t>Mirex</w:t>
            </w:r>
          </w:p>
        </w:tc>
        <w:tc>
          <w:tcPr>
            <w:tcW w:w="1784" w:type="dxa"/>
            <w:noWrap/>
          </w:tcPr>
          <w:p w:rsidR="002F76E4" w:rsidRPr="00EB5B1D" w:rsidRDefault="002F76E4" w:rsidP="00C36A3E">
            <w:pPr>
              <w:spacing w:before="40" w:after="40"/>
              <w:rPr>
                <w:sz w:val="18"/>
                <w:szCs w:val="18"/>
              </w:rPr>
            </w:pPr>
            <w:r w:rsidRPr="00EB5B1D">
              <w:rPr>
                <w:snapToGrid w:val="0"/>
                <w:sz w:val="18"/>
                <w:szCs w:val="18"/>
                <w:lang w:val="es-ES_tradnl"/>
              </w:rPr>
              <w:t>2385-85-5</w:t>
            </w:r>
          </w:p>
        </w:tc>
        <w:tc>
          <w:tcPr>
            <w:tcW w:w="1260" w:type="dxa"/>
          </w:tcPr>
          <w:p w:rsidR="002F76E4" w:rsidRPr="00EB5B1D" w:rsidRDefault="002F76E4" w:rsidP="00C36A3E">
            <w:pPr>
              <w:spacing w:before="40" w:after="40"/>
              <w:rPr>
                <w:sz w:val="18"/>
                <w:szCs w:val="18"/>
              </w:rPr>
            </w:pPr>
            <w:r w:rsidRPr="00EB5B1D">
              <w:rPr>
                <w:sz w:val="18"/>
                <w:szCs w:val="18"/>
                <w:lang w:val="es-ES_tradnl"/>
              </w:rPr>
              <w:t>Plaguicidas</w:t>
            </w:r>
          </w:p>
        </w:tc>
        <w:tc>
          <w:tcPr>
            <w:tcW w:w="1530" w:type="dxa"/>
            <w:noWrap/>
          </w:tcPr>
          <w:p w:rsidR="002F76E4" w:rsidRPr="00EB5B1D" w:rsidRDefault="002F76E4" w:rsidP="00C36A3E">
            <w:pPr>
              <w:spacing w:before="40" w:after="40"/>
              <w:rPr>
                <w:sz w:val="18"/>
                <w:szCs w:val="18"/>
              </w:rPr>
            </w:pPr>
            <w:r w:rsidRPr="00EB5B1D">
              <w:rPr>
                <w:sz w:val="18"/>
                <w:szCs w:val="18"/>
                <w:lang w:val="es-ES_tradnl"/>
              </w:rPr>
              <w:t>Nepal</w:t>
            </w:r>
          </w:p>
        </w:tc>
        <w:tc>
          <w:tcPr>
            <w:tcW w:w="1530" w:type="dxa"/>
          </w:tcPr>
          <w:p w:rsidR="002F76E4" w:rsidRPr="00EB5B1D" w:rsidRDefault="002F76E4" w:rsidP="00C36A3E">
            <w:pPr>
              <w:spacing w:before="40" w:after="40"/>
              <w:rPr>
                <w:sz w:val="18"/>
                <w:szCs w:val="18"/>
              </w:rPr>
            </w:pPr>
            <w:r w:rsidRPr="00EB5B1D">
              <w:rPr>
                <w:sz w:val="18"/>
                <w:szCs w:val="18"/>
                <w:lang w:val="es-ES_tradnl"/>
              </w:rPr>
              <w:t>Asia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XLII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Perú</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XXVI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Monurón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150-68-5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Nicotine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54-11-5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Nitrofeno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1836-75-5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Oxidemetón-metilo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301-12-2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Oxidemetón-metilo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301-12-2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Paraquat</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4685-14-7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C36A3E" w:rsidP="00C36A3E">
            <w:pPr>
              <w:spacing w:before="40" w:after="40"/>
              <w:rPr>
                <w:sz w:val="18"/>
                <w:szCs w:val="18"/>
              </w:rPr>
            </w:pPr>
            <w:r w:rsidRPr="00EB5B1D">
              <w:rPr>
                <w:sz w:val="18"/>
                <w:szCs w:val="18"/>
              </w:rPr>
              <w:t>P</w:t>
            </w:r>
            <w:r w:rsidR="002F76E4" w:rsidRPr="00EB5B1D">
              <w:rPr>
                <w:sz w:val="18"/>
                <w:szCs w:val="18"/>
              </w:rPr>
              <w:t>araquat dichloride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1910-42-5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Phenylmercury acetate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62-38-4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lang w:val="fr-CH"/>
              </w:rPr>
            </w:pPr>
            <w:r w:rsidRPr="00EB5B1D">
              <w:rPr>
                <w:sz w:val="18"/>
                <w:szCs w:val="18"/>
                <w:lang w:val="fr-CH"/>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lang w:val="fr-CH"/>
              </w:rPr>
              <w:t>X</w:t>
            </w:r>
            <w:r w:rsidRPr="00EB5B1D">
              <w:rPr>
                <w:sz w:val="18"/>
                <w:szCs w:val="18"/>
              </w:rPr>
              <w:t>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Phosfolan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947-02-4</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Polychloroterpenes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8001-50-1</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Propargite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2312-35-8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Propoxur</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114-26-1</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Prosoato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2275-18-5</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Quintoceno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82-68-8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Quintoceno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82-68-8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Japón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Quintoceno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82-68-8</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Safrol</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94-59-7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Simazine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122-34-9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Simazine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122-34-9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Sodium cyanide</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143-33-9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Sulfato de ditalio</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7446-18-6</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Tefluthrin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79538-32-2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TEPP</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107-49-3</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Terbufos</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13071-79-9</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Tetradifon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116-29-0</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Thionazin</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297-97-2</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XXVII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Zineb</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12122-67-7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XXXVIII</w:t>
            </w:r>
          </w:p>
        </w:tc>
      </w:tr>
      <w:tr w:rsidR="002F76E4" w:rsidRPr="00EB5B1D" w:rsidTr="00C36A3E">
        <w:trPr>
          <w:cantSplit/>
          <w:jc w:val="center"/>
        </w:trPr>
        <w:tc>
          <w:tcPr>
            <w:tcW w:w="235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Zineb</w:t>
            </w:r>
          </w:p>
        </w:tc>
        <w:tc>
          <w:tcPr>
            <w:tcW w:w="1784"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12122-67-7</w:t>
            </w:r>
          </w:p>
        </w:tc>
        <w:tc>
          <w:tcPr>
            <w:tcW w:w="126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rsidR="002F76E4" w:rsidRPr="00EB5B1D" w:rsidRDefault="002F76E4" w:rsidP="00C36A3E">
            <w:pPr>
              <w:spacing w:before="40" w:after="40"/>
              <w:rPr>
                <w:sz w:val="18"/>
                <w:szCs w:val="18"/>
              </w:rPr>
            </w:pPr>
            <w:r w:rsidRPr="00EB5B1D">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rsidR="002F76E4" w:rsidRPr="00EB5B1D" w:rsidRDefault="002F76E4" w:rsidP="00C36A3E">
            <w:pPr>
              <w:spacing w:before="40" w:after="40"/>
              <w:rPr>
                <w:sz w:val="18"/>
                <w:szCs w:val="18"/>
              </w:rPr>
            </w:pPr>
            <w:r w:rsidRPr="00EB5B1D">
              <w:rPr>
                <w:sz w:val="18"/>
                <w:szCs w:val="18"/>
              </w:rPr>
              <w:t>XXXIX</w:t>
            </w:r>
          </w:p>
        </w:tc>
      </w:tr>
    </w:tbl>
    <w:p w:rsidR="00C542A8" w:rsidRPr="00EB5B1D" w:rsidRDefault="00C542A8">
      <w:pPr>
        <w:rPr>
          <w:rFonts w:ascii="Arial" w:hAnsi="Arial" w:cs="Arial"/>
          <w:b/>
          <w:szCs w:val="22"/>
          <w:lang w:val="fr-CH"/>
        </w:rPr>
        <w:sectPr w:rsidR="00C542A8" w:rsidRPr="00EB5B1D" w:rsidSect="008A1D9E">
          <w:headerReference w:type="default" r:id="rId37"/>
          <w:pgSz w:w="11907" w:h="16839" w:code="9"/>
          <w:pgMar w:top="1134" w:right="1134" w:bottom="1134" w:left="1134" w:header="709" w:footer="284" w:gutter="0"/>
          <w:cols w:space="708"/>
          <w:docGrid w:linePitch="360"/>
        </w:sectPr>
      </w:pPr>
    </w:p>
    <w:p w:rsidR="007B68CF" w:rsidRPr="00EB5B1D" w:rsidRDefault="00936231" w:rsidP="00602DC1">
      <w:pPr>
        <w:jc w:val="center"/>
        <w:outlineLvl w:val="0"/>
        <w:rPr>
          <w:b/>
          <w:snapToGrid w:val="0"/>
          <w:sz w:val="24"/>
          <w:lang w:val="fr-CH"/>
        </w:rPr>
      </w:pPr>
      <w:bookmarkStart w:id="293" w:name="_Toc484686670"/>
      <w:r w:rsidRPr="00EB5B1D">
        <w:rPr>
          <w:b/>
          <w:sz w:val="24"/>
          <w:lang w:val="fr-CH"/>
        </w:rPr>
        <w:t xml:space="preserve">APÉNDICE </w:t>
      </w:r>
      <w:r w:rsidR="00BC73C4" w:rsidRPr="00EB5B1D">
        <w:rPr>
          <w:b/>
          <w:sz w:val="24"/>
          <w:lang w:val="fr-CH"/>
        </w:rPr>
        <w:t>VI</w:t>
      </w:r>
      <w:r w:rsidR="00602DC1" w:rsidRPr="00EB5B1D">
        <w:rPr>
          <w:b/>
          <w:sz w:val="24"/>
          <w:lang w:val="fr-CH"/>
        </w:rPr>
        <w:br/>
      </w:r>
      <w:r w:rsidR="00602DC1" w:rsidRPr="00EB5B1D">
        <w:rPr>
          <w:b/>
          <w:sz w:val="24"/>
          <w:lang w:val="fr-CH"/>
        </w:rPr>
        <w:br/>
      </w:r>
      <w:bookmarkStart w:id="294" w:name="_Toc405887668"/>
      <w:bookmarkStart w:id="295" w:name="_Toc421544546"/>
      <w:bookmarkEnd w:id="282"/>
      <w:bookmarkEnd w:id="283"/>
      <w:bookmarkEnd w:id="284"/>
      <w:bookmarkEnd w:id="285"/>
      <w:bookmarkEnd w:id="286"/>
      <w:r w:rsidRPr="00EB5B1D">
        <w:rPr>
          <w:b/>
          <w:snapToGrid w:val="0"/>
          <w:sz w:val="24"/>
          <w:lang w:val="fr-CH"/>
        </w:rPr>
        <w:t>INTERCAMBIO DE INFORMACIÓN SOBRE PRODUCTOS QUÍMICOS RECOMENDADOS POR EL COMITÉ DE EXAMEN DE PRODUCTOS QUÍMICOS  PARA SU INCLUSIÓN EN EL ANEXO III, PARA LOS QUE LA CONFERENCIA DE LAS PARTES NO HA TOMADO TODAVÍA UNA DECISIÓN FINAL</w:t>
      </w:r>
      <w:bookmarkEnd w:id="293"/>
    </w:p>
    <w:p w:rsidR="007B68CF" w:rsidRPr="00EB5B1D" w:rsidRDefault="007B68CF" w:rsidP="007B68CF">
      <w:pPr>
        <w:rPr>
          <w:szCs w:val="22"/>
          <w:lang w:val="fr-CH"/>
        </w:rPr>
      </w:pPr>
    </w:p>
    <w:bookmarkEnd w:id="294"/>
    <w:bookmarkEnd w:id="295"/>
    <w:p w:rsidR="00936231" w:rsidRPr="00EB5B1D" w:rsidRDefault="005E00B8" w:rsidP="00936231">
      <w:pPr>
        <w:jc w:val="both"/>
        <w:rPr>
          <w:szCs w:val="22"/>
          <w:lang w:val="fr-CH"/>
        </w:rPr>
      </w:pPr>
      <w:r w:rsidRPr="00EB5B1D">
        <w:rPr>
          <w:szCs w:val="22"/>
          <w:lang w:val="fr-CH"/>
        </w:rPr>
        <w:t xml:space="preserve">De conformidad con las decisiones RC-3/3, RC-4/4, RC-6/8, RC-8/6 y RC-8/7 de la Conferencia de las Partes y del párrafo 1 del artículo 14 del Convenio, </w:t>
      </w:r>
      <w:r w:rsidR="00936231" w:rsidRPr="00EB5B1D">
        <w:rPr>
          <w:szCs w:val="22"/>
          <w:lang w:val="fr-CH"/>
        </w:rPr>
        <w:t xml:space="preserve">se ha desarrollado </w:t>
      </w:r>
      <w:r w:rsidR="007669DB" w:rsidRPr="00EB5B1D">
        <w:rPr>
          <w:szCs w:val="22"/>
          <w:lang w:val="es-ES"/>
        </w:rPr>
        <w:t xml:space="preserve">el apéndice VI </w:t>
      </w:r>
      <w:r w:rsidR="00936231" w:rsidRPr="00EB5B1D">
        <w:rPr>
          <w:szCs w:val="22"/>
          <w:lang w:val="fr-CH"/>
        </w:rPr>
        <w:t xml:space="preserve">con el fin de facilitar el intercambio de información sobre los productos químicos que han sido recomendados para su inclusión en el anexo </w:t>
      </w:r>
      <w:smartTag w:uri="urn:schemas-microsoft-com:office:smarttags" w:element="stockticker">
        <w:r w:rsidR="00936231" w:rsidRPr="00EB5B1D">
          <w:rPr>
            <w:szCs w:val="22"/>
            <w:lang w:val="fr-CH"/>
          </w:rPr>
          <w:t>III</w:t>
        </w:r>
      </w:smartTag>
      <w:r w:rsidR="00936231" w:rsidRPr="00EB5B1D">
        <w:rPr>
          <w:szCs w:val="22"/>
          <w:lang w:val="fr-CH"/>
        </w:rPr>
        <w:t xml:space="preserve"> del Convenio por el Comité de Examen de Productos Químicos, pero para los que la Conferencia de las Partes no ha tomado todavía una decisión final. </w:t>
      </w:r>
    </w:p>
    <w:p w:rsidR="00936231" w:rsidRPr="00EB5B1D" w:rsidRDefault="00936231" w:rsidP="00936231">
      <w:pPr>
        <w:jc w:val="both"/>
        <w:rPr>
          <w:szCs w:val="22"/>
          <w:lang w:val="fr-CH"/>
        </w:rPr>
      </w:pPr>
    </w:p>
    <w:p w:rsidR="00936231" w:rsidRPr="00EB5B1D" w:rsidRDefault="00936231" w:rsidP="00936231">
      <w:pPr>
        <w:jc w:val="both"/>
        <w:rPr>
          <w:szCs w:val="22"/>
          <w:lang w:val="fr-CH"/>
        </w:rPr>
      </w:pPr>
      <w:r w:rsidRPr="00EB5B1D">
        <w:rPr>
          <w:szCs w:val="22"/>
          <w:lang w:val="fr-CH"/>
        </w:rPr>
        <w:t xml:space="preserve">Este apéndice consta de dos partes: </w:t>
      </w:r>
    </w:p>
    <w:p w:rsidR="00936231" w:rsidRPr="00EB5B1D" w:rsidRDefault="00936231" w:rsidP="00936231">
      <w:pPr>
        <w:jc w:val="both"/>
        <w:rPr>
          <w:szCs w:val="22"/>
          <w:lang w:val="fr-CH"/>
        </w:rPr>
      </w:pPr>
    </w:p>
    <w:p w:rsidR="00936231" w:rsidRPr="00EB5B1D" w:rsidRDefault="00936231" w:rsidP="00936231">
      <w:pPr>
        <w:ind w:left="426"/>
        <w:jc w:val="both"/>
        <w:rPr>
          <w:szCs w:val="22"/>
          <w:lang w:val="fr-CH"/>
        </w:rPr>
      </w:pPr>
      <w:r w:rsidRPr="00EB5B1D">
        <w:rPr>
          <w:b/>
          <w:szCs w:val="22"/>
          <w:lang w:val="fr-CH"/>
        </w:rPr>
        <w:t>Parte A</w:t>
      </w:r>
      <w:r w:rsidRPr="00EB5B1D">
        <w:rPr>
          <w:szCs w:val="22"/>
          <w:lang w:val="fr-CH"/>
        </w:rPr>
        <w:t xml:space="preserve"> proporciona una referencia a la información que ha sido facilitada por las Partes a la Secretaría sobre las decisiones nacionales relativas a la gestión </w:t>
      </w:r>
      <w:r w:rsidR="005E00B8" w:rsidRPr="00EB5B1D">
        <w:rPr>
          <w:szCs w:val="22"/>
          <w:lang w:val="fr-CH"/>
        </w:rPr>
        <w:t>de estos productos químicos</w:t>
      </w:r>
      <w:r w:rsidRPr="00EB5B1D">
        <w:rPr>
          <w:szCs w:val="22"/>
          <w:lang w:val="fr-CH"/>
        </w:rPr>
        <w:t xml:space="preserve">. La tabla contiene un resumen de la información presentada por las Partes para estos productos químicos, incluyendo el nombre del producto químico, la Parte, la Circular de CFP en la que se envió la información por vez primera y un enlace a la página web del Convenio de </w:t>
      </w:r>
      <w:r w:rsidR="007D514A" w:rsidRPr="00EB5B1D">
        <w:rPr>
          <w:szCs w:val="22"/>
          <w:lang w:val="fr-CH"/>
        </w:rPr>
        <w:t>Rotterdam</w:t>
      </w:r>
      <w:r w:rsidRPr="00EB5B1D">
        <w:rPr>
          <w:szCs w:val="22"/>
          <w:lang w:val="fr-CH"/>
        </w:rPr>
        <w:t>, donde se puede descargar la información detallada.</w:t>
      </w:r>
    </w:p>
    <w:p w:rsidR="00936231" w:rsidRPr="00EB5B1D" w:rsidRDefault="00936231" w:rsidP="00936231">
      <w:pPr>
        <w:ind w:left="426"/>
        <w:jc w:val="both"/>
        <w:rPr>
          <w:snapToGrid w:val="0"/>
          <w:szCs w:val="22"/>
          <w:lang w:val="fr-CH"/>
        </w:rPr>
      </w:pPr>
    </w:p>
    <w:p w:rsidR="00936231" w:rsidRPr="00EB5B1D" w:rsidRDefault="00936231" w:rsidP="00936231">
      <w:pPr>
        <w:ind w:left="426"/>
        <w:jc w:val="both"/>
        <w:rPr>
          <w:szCs w:val="22"/>
          <w:lang w:val="fr-CH"/>
        </w:rPr>
      </w:pPr>
      <w:r w:rsidRPr="00EB5B1D">
        <w:rPr>
          <w:b/>
          <w:snapToGrid w:val="0"/>
          <w:szCs w:val="22"/>
          <w:lang w:val="fr-CH"/>
        </w:rPr>
        <w:t xml:space="preserve">Parte B </w:t>
      </w:r>
      <w:r w:rsidRPr="00EB5B1D">
        <w:rPr>
          <w:szCs w:val="22"/>
          <w:lang w:val="fr-CH"/>
        </w:rPr>
        <w:t xml:space="preserve">es una lista de decisiones sobre la futura importación </w:t>
      </w:r>
      <w:r w:rsidR="005E00B8" w:rsidRPr="00EB5B1D">
        <w:rPr>
          <w:szCs w:val="22"/>
          <w:lang w:val="fr-CH"/>
        </w:rPr>
        <w:t>de estos productos químicos</w:t>
      </w:r>
      <w:r w:rsidRPr="00EB5B1D">
        <w:rPr>
          <w:szCs w:val="22"/>
          <w:lang w:val="fr-CH"/>
        </w:rPr>
        <w:t>. Estas decisiones de importación se distribuyen únicamente a título informativo y no constituyen parte de los compromisos jurídicamente vinculantes del procedimiento de CFP.</w:t>
      </w:r>
    </w:p>
    <w:p w:rsidR="00936231" w:rsidRPr="00EB5B1D" w:rsidRDefault="00936231" w:rsidP="00936231">
      <w:pPr>
        <w:jc w:val="both"/>
        <w:rPr>
          <w:szCs w:val="22"/>
          <w:lang w:val="fr-CH"/>
        </w:rPr>
      </w:pPr>
    </w:p>
    <w:p w:rsidR="007B68CF" w:rsidRPr="00EB5B1D" w:rsidRDefault="00936231" w:rsidP="00936231">
      <w:pPr>
        <w:jc w:val="both"/>
        <w:rPr>
          <w:szCs w:val="22"/>
          <w:lang w:val="fr-CH"/>
        </w:rPr>
      </w:pPr>
      <w:r w:rsidRPr="00EB5B1D">
        <w:rPr>
          <w:szCs w:val="22"/>
          <w:lang w:val="fr-CH"/>
        </w:rPr>
        <w:t xml:space="preserve">En el sitio Web del Convenio de </w:t>
      </w:r>
      <w:r w:rsidR="007D514A" w:rsidRPr="00EB5B1D">
        <w:rPr>
          <w:szCs w:val="22"/>
          <w:lang w:val="fr-CH"/>
        </w:rPr>
        <w:t>Rotterdam</w:t>
      </w:r>
      <w:r w:rsidRPr="00EB5B1D">
        <w:rPr>
          <w:szCs w:val="22"/>
          <w:lang w:val="fr-CH"/>
        </w:rPr>
        <w:t xml:space="preserve">, en la sección </w:t>
      </w:r>
      <w:r w:rsidR="00407D2A" w:rsidRPr="00EB5B1D">
        <w:rPr>
          <w:szCs w:val="22"/>
          <w:lang w:val="fr-CH"/>
        </w:rPr>
        <w:t>“</w:t>
      </w:r>
      <w:r w:rsidRPr="00EB5B1D">
        <w:rPr>
          <w:szCs w:val="22"/>
          <w:lang w:val="fr-CH"/>
        </w:rPr>
        <w:t>Productos químicos recomendado</w:t>
      </w:r>
      <w:r w:rsidR="00407D2A" w:rsidRPr="00EB5B1D">
        <w:rPr>
          <w:szCs w:val="22"/>
          <w:lang w:val="fr-CH"/>
        </w:rPr>
        <w:t>s para inclusión”,</w:t>
      </w:r>
      <w:r w:rsidRPr="00EB5B1D">
        <w:rPr>
          <w:szCs w:val="22"/>
          <w:lang w:val="fr-CH"/>
        </w:rPr>
        <w:t xml:space="preserve"> también </w:t>
      </w:r>
      <w:r w:rsidR="00C06BC9" w:rsidRPr="00EB5B1D">
        <w:rPr>
          <w:szCs w:val="22"/>
          <w:lang w:val="fr-CH"/>
        </w:rPr>
        <w:t xml:space="preserve">se </w:t>
      </w:r>
      <w:r w:rsidRPr="00EB5B1D">
        <w:rPr>
          <w:szCs w:val="22"/>
          <w:lang w:val="fr-CH"/>
        </w:rPr>
        <w:t xml:space="preserve">encontrará más información sobre estos productos químicos, incluyendo las notificaciones de medida reglamentaria firme y la documentación de apoyo a disposición del Comité de Examen de Productos Químicos y el borrador de los </w:t>
      </w:r>
      <w:r w:rsidR="00E21FF0" w:rsidRPr="00EB5B1D">
        <w:rPr>
          <w:szCs w:val="22"/>
          <w:lang w:val="fr-CH"/>
        </w:rPr>
        <w:t>d</w:t>
      </w:r>
      <w:r w:rsidRPr="00EB5B1D">
        <w:rPr>
          <w:szCs w:val="22"/>
          <w:lang w:val="fr-CH"/>
        </w:rPr>
        <w:t xml:space="preserve">ocumentos de </w:t>
      </w:r>
      <w:r w:rsidR="00E21FF0" w:rsidRPr="00EB5B1D">
        <w:rPr>
          <w:szCs w:val="22"/>
          <w:lang w:val="fr-CH"/>
        </w:rPr>
        <w:t>o</w:t>
      </w:r>
      <w:r w:rsidRPr="00EB5B1D">
        <w:rPr>
          <w:szCs w:val="22"/>
          <w:lang w:val="fr-CH"/>
        </w:rPr>
        <w:t xml:space="preserve">rientación para la </w:t>
      </w:r>
      <w:r w:rsidR="00E21FF0" w:rsidRPr="00EB5B1D">
        <w:rPr>
          <w:szCs w:val="22"/>
          <w:lang w:val="fr-CH"/>
        </w:rPr>
        <w:t>a</w:t>
      </w:r>
      <w:r w:rsidRPr="00EB5B1D">
        <w:rPr>
          <w:szCs w:val="22"/>
          <w:lang w:val="fr-CH"/>
        </w:rPr>
        <w:t xml:space="preserve">dopción de </w:t>
      </w:r>
      <w:r w:rsidR="00E21FF0" w:rsidRPr="00EB5B1D">
        <w:rPr>
          <w:szCs w:val="22"/>
          <w:lang w:val="fr-CH"/>
        </w:rPr>
        <w:t>d</w:t>
      </w:r>
      <w:r w:rsidRPr="00EB5B1D">
        <w:rPr>
          <w:szCs w:val="22"/>
          <w:lang w:val="fr-CH"/>
        </w:rPr>
        <w:t>ecisiones.</w:t>
      </w:r>
      <w:r w:rsidR="00BC73C4" w:rsidRPr="00EB5B1D">
        <w:rPr>
          <w:szCs w:val="22"/>
          <w:lang w:val="fr-CH"/>
        </w:rPr>
        <w:t xml:space="preserve"> </w:t>
      </w:r>
    </w:p>
    <w:p w:rsidR="00A332F9" w:rsidRPr="00EB5B1D" w:rsidRDefault="00A332F9" w:rsidP="007B68CF">
      <w:pPr>
        <w:jc w:val="center"/>
        <w:rPr>
          <w:b/>
          <w:u w:val="single"/>
          <w:lang w:val="fr-CH"/>
        </w:rPr>
        <w:sectPr w:rsidR="00A332F9" w:rsidRPr="00EB5B1D" w:rsidSect="007F589F">
          <w:headerReference w:type="default" r:id="rId38"/>
          <w:pgSz w:w="11907" w:h="16839" w:code="9"/>
          <w:pgMar w:top="1134" w:right="1134" w:bottom="1134" w:left="1134" w:header="709" w:footer="709" w:gutter="0"/>
          <w:cols w:space="708"/>
          <w:docGrid w:linePitch="360"/>
        </w:sectPr>
      </w:pPr>
    </w:p>
    <w:p w:rsidR="007B68CF" w:rsidRPr="00EB5B1D" w:rsidRDefault="00BC73C4" w:rsidP="007B68CF">
      <w:pPr>
        <w:jc w:val="center"/>
        <w:rPr>
          <w:b/>
          <w:sz w:val="24"/>
          <w:lang w:val="fr-CH"/>
        </w:rPr>
      </w:pPr>
      <w:r w:rsidRPr="00EB5B1D">
        <w:rPr>
          <w:b/>
          <w:sz w:val="24"/>
          <w:u w:val="single"/>
          <w:lang w:val="fr-CH"/>
        </w:rPr>
        <w:t>PART</w:t>
      </w:r>
      <w:r w:rsidR="00936231" w:rsidRPr="00EB5B1D">
        <w:rPr>
          <w:b/>
          <w:sz w:val="24"/>
          <w:u w:val="single"/>
          <w:lang w:val="fr-CH"/>
        </w:rPr>
        <w:t>E</w:t>
      </w:r>
      <w:r w:rsidRPr="00EB5B1D">
        <w:rPr>
          <w:b/>
          <w:sz w:val="24"/>
          <w:u w:val="single"/>
          <w:lang w:val="fr-CH"/>
        </w:rPr>
        <w:t xml:space="preserve"> </w:t>
      </w:r>
      <w:r w:rsidR="00F64250" w:rsidRPr="00EB5B1D">
        <w:rPr>
          <w:b/>
          <w:sz w:val="24"/>
          <w:u w:val="single"/>
          <w:lang w:val="fr-CH"/>
        </w:rPr>
        <w:t>A</w:t>
      </w:r>
    </w:p>
    <w:p w:rsidR="007B68CF" w:rsidRPr="00EB5B1D" w:rsidRDefault="007B68CF" w:rsidP="007B68CF">
      <w:pPr>
        <w:rPr>
          <w:sz w:val="24"/>
          <w:lang w:val="fr-CH"/>
        </w:rPr>
      </w:pPr>
    </w:p>
    <w:p w:rsidR="007B68CF" w:rsidRPr="00EB5B1D" w:rsidRDefault="00936231" w:rsidP="007B68CF">
      <w:pPr>
        <w:jc w:val="center"/>
        <w:rPr>
          <w:b/>
          <w:snapToGrid w:val="0"/>
          <w:sz w:val="24"/>
          <w:lang w:val="fr-CH"/>
        </w:rPr>
      </w:pPr>
      <w:r w:rsidRPr="00EB5B1D">
        <w:rPr>
          <w:b/>
          <w:snapToGrid w:val="0"/>
          <w:sz w:val="24"/>
          <w:lang w:val="fr-CH"/>
        </w:rPr>
        <w:t xml:space="preserve">DECISIONES NACIONALES RELATIVAS A LA GESTIÓN </w:t>
      </w:r>
      <w:r w:rsidR="005E00B8" w:rsidRPr="00EB5B1D">
        <w:rPr>
          <w:b/>
          <w:snapToGrid w:val="0"/>
          <w:sz w:val="24"/>
          <w:lang w:val="fr-CH"/>
        </w:rPr>
        <w:t>DE PRODUCTOS QUÍMICOS RECOMENDADOS POR EL COMITÉ DE EXAMEN DE PRODUCTOS QUÍMICOS PARA SU INCLUSIÓN EN EL ANEXO III, PARA LOS QUE LA CONFERENCIA DE LAS PARTES NO HA TOMADO TODAVÍA UNA DECISIÓN FINAL</w:t>
      </w:r>
    </w:p>
    <w:p w:rsidR="007B68CF" w:rsidRPr="00EB5B1D" w:rsidRDefault="007B68CF" w:rsidP="00E16B07">
      <w:pPr>
        <w:rPr>
          <w:szCs w:val="22"/>
          <w:lang w:val="fr-CH"/>
        </w:rPr>
      </w:pPr>
    </w:p>
    <w:tbl>
      <w:tblPr>
        <w:tblW w:w="99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6"/>
        <w:gridCol w:w="3632"/>
        <w:gridCol w:w="4792"/>
      </w:tblGrid>
      <w:tr w:rsidR="000D3F31" w:rsidRPr="00EB5B1D" w:rsidTr="00D22CF6">
        <w:trPr>
          <w:trHeight w:val="249"/>
          <w:jc w:val="center"/>
        </w:trPr>
        <w:tc>
          <w:tcPr>
            <w:tcW w:w="9930" w:type="dxa"/>
            <w:gridSpan w:val="3"/>
            <w:tcBorders>
              <w:top w:val="single" w:sz="4" w:space="0" w:color="auto"/>
              <w:bottom w:val="single" w:sz="4" w:space="0" w:color="auto"/>
              <w:right w:val="single" w:sz="4" w:space="0" w:color="auto"/>
            </w:tcBorders>
            <w:shd w:val="clear" w:color="auto" w:fill="E6E6E6"/>
          </w:tcPr>
          <w:p w:rsidR="000D3F31" w:rsidRPr="00EB5B1D" w:rsidRDefault="000D3F31" w:rsidP="00703DBB">
            <w:pPr>
              <w:autoSpaceDE w:val="0"/>
              <w:autoSpaceDN w:val="0"/>
              <w:adjustRightInd w:val="0"/>
              <w:spacing w:before="40" w:after="40"/>
              <w:rPr>
                <w:sz w:val="20"/>
                <w:szCs w:val="20"/>
                <w:lang w:eastAsia="en-GB"/>
              </w:rPr>
            </w:pPr>
            <w:bookmarkStart w:id="296" w:name="OLE_LINK3"/>
            <w:r w:rsidRPr="00EB5B1D">
              <w:rPr>
                <w:b/>
                <w:bCs/>
                <w:sz w:val="20"/>
                <w:szCs w:val="20"/>
                <w:lang w:eastAsia="en-GB"/>
              </w:rPr>
              <w:t xml:space="preserve">Amianto Crisotilo (Número </w:t>
            </w:r>
            <w:smartTag w:uri="urn:schemas-microsoft-com:office:smarttags" w:element="stockticker">
              <w:r w:rsidRPr="00EB5B1D">
                <w:rPr>
                  <w:b/>
                  <w:bCs/>
                  <w:sz w:val="20"/>
                  <w:szCs w:val="20"/>
                  <w:lang w:eastAsia="en-GB"/>
                </w:rPr>
                <w:t>CAS</w:t>
              </w:r>
            </w:smartTag>
            <w:r w:rsidRPr="00EB5B1D">
              <w:rPr>
                <w:b/>
                <w:bCs/>
                <w:sz w:val="20"/>
                <w:szCs w:val="20"/>
                <w:lang w:eastAsia="en-GB"/>
              </w:rPr>
              <w:t>: 12001-29-5)</w:t>
            </w:r>
            <w:bookmarkEnd w:id="296"/>
          </w:p>
        </w:tc>
      </w:tr>
      <w:tr w:rsidR="000D3F31" w:rsidRPr="00EB5B1D" w:rsidTr="00D22CF6">
        <w:trPr>
          <w:trHeight w:val="234"/>
          <w:jc w:val="center"/>
        </w:trPr>
        <w:tc>
          <w:tcPr>
            <w:tcW w:w="1506" w:type="dxa"/>
            <w:tcBorders>
              <w:top w:val="single" w:sz="4" w:space="0" w:color="auto"/>
              <w:bottom w:val="single" w:sz="4" w:space="0" w:color="auto"/>
              <w:right w:val="single" w:sz="4" w:space="0" w:color="auto"/>
            </w:tcBorders>
            <w:shd w:val="clear" w:color="auto" w:fill="auto"/>
          </w:tcPr>
          <w:p w:rsidR="000D3F31" w:rsidRPr="00EB5B1D" w:rsidRDefault="000D3F31" w:rsidP="00703DBB">
            <w:pPr>
              <w:autoSpaceDE w:val="0"/>
              <w:autoSpaceDN w:val="0"/>
              <w:adjustRightInd w:val="0"/>
              <w:spacing w:before="40" w:after="40"/>
              <w:rPr>
                <w:b/>
                <w:bCs/>
                <w:sz w:val="20"/>
                <w:szCs w:val="20"/>
                <w:lang w:eastAsia="en-GB"/>
              </w:rPr>
            </w:pPr>
            <w:r w:rsidRPr="00EB5B1D">
              <w:rPr>
                <w:b/>
                <w:bCs/>
                <w:sz w:val="20"/>
                <w:szCs w:val="20"/>
                <w:lang w:eastAsia="en-GB"/>
              </w:rPr>
              <w:t>PARTE</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0D3F31" w:rsidRPr="00EB5B1D" w:rsidRDefault="000D3F31" w:rsidP="00703DBB">
            <w:pPr>
              <w:autoSpaceDE w:val="0"/>
              <w:autoSpaceDN w:val="0"/>
              <w:adjustRightInd w:val="0"/>
              <w:spacing w:before="40" w:after="40"/>
              <w:rPr>
                <w:b/>
                <w:bCs/>
                <w:sz w:val="20"/>
                <w:szCs w:val="20"/>
                <w:lang w:eastAsia="en-GB"/>
              </w:rPr>
            </w:pPr>
            <w:r w:rsidRPr="00EB5B1D">
              <w:rPr>
                <w:b/>
                <w:sz w:val="20"/>
                <w:szCs w:val="20"/>
                <w:lang w:eastAsia="en-GB"/>
              </w:rPr>
              <w:t>CIRCULAR CFP</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0D3F31" w:rsidRPr="00EB5B1D" w:rsidRDefault="000D3F31" w:rsidP="00703DBB">
            <w:pPr>
              <w:autoSpaceDE w:val="0"/>
              <w:autoSpaceDN w:val="0"/>
              <w:adjustRightInd w:val="0"/>
              <w:spacing w:before="40" w:after="40"/>
              <w:rPr>
                <w:b/>
                <w:sz w:val="20"/>
                <w:szCs w:val="20"/>
                <w:lang w:eastAsia="en-GB"/>
              </w:rPr>
            </w:pPr>
            <w:r w:rsidRPr="00EB5B1D">
              <w:rPr>
                <w:b/>
                <w:sz w:val="20"/>
                <w:szCs w:val="20"/>
                <w:lang w:eastAsia="en-GB"/>
              </w:rPr>
              <w:t>CONEXIÓN</w:t>
            </w:r>
          </w:p>
        </w:tc>
      </w:tr>
      <w:tr w:rsidR="000D3F31" w:rsidRPr="00EB5B1D" w:rsidTr="00D22CF6">
        <w:trPr>
          <w:trHeight w:val="498"/>
          <w:jc w:val="center"/>
        </w:trPr>
        <w:tc>
          <w:tcPr>
            <w:tcW w:w="1506" w:type="dxa"/>
            <w:tcBorders>
              <w:top w:val="single" w:sz="4" w:space="0" w:color="auto"/>
              <w:bottom w:val="single" w:sz="4" w:space="0" w:color="auto"/>
              <w:right w:val="single" w:sz="4" w:space="0" w:color="auto"/>
            </w:tcBorders>
          </w:tcPr>
          <w:p w:rsidR="000D3F31" w:rsidRPr="00EB5B1D" w:rsidRDefault="000D3F31" w:rsidP="000D3F31">
            <w:pPr>
              <w:autoSpaceDE w:val="0"/>
              <w:autoSpaceDN w:val="0"/>
              <w:adjustRightInd w:val="0"/>
              <w:spacing w:before="40" w:after="40"/>
              <w:jc w:val="both"/>
              <w:rPr>
                <w:bCs/>
                <w:sz w:val="20"/>
                <w:szCs w:val="20"/>
                <w:lang w:eastAsia="en-GB"/>
              </w:rPr>
            </w:pPr>
            <w:r w:rsidRPr="00EB5B1D">
              <w:rPr>
                <w:bCs/>
                <w:sz w:val="20"/>
                <w:szCs w:val="20"/>
                <w:lang w:eastAsia="en-GB"/>
              </w:rPr>
              <w:t>Unión Europea</w:t>
            </w:r>
          </w:p>
        </w:tc>
        <w:tc>
          <w:tcPr>
            <w:tcW w:w="3632" w:type="dxa"/>
            <w:tcBorders>
              <w:top w:val="single" w:sz="4" w:space="0" w:color="auto"/>
              <w:left w:val="single" w:sz="4" w:space="0" w:color="auto"/>
              <w:bottom w:val="single" w:sz="4" w:space="0" w:color="auto"/>
              <w:right w:val="single" w:sz="4" w:space="0" w:color="auto"/>
            </w:tcBorders>
          </w:tcPr>
          <w:p w:rsidR="000D3F31" w:rsidRPr="00EB5B1D" w:rsidRDefault="000D3F31" w:rsidP="000D3F31">
            <w:pPr>
              <w:autoSpaceDE w:val="0"/>
              <w:autoSpaceDN w:val="0"/>
              <w:adjustRightInd w:val="0"/>
              <w:spacing w:before="40" w:after="40"/>
              <w:rPr>
                <w:b/>
                <w:bCs/>
                <w:sz w:val="20"/>
                <w:szCs w:val="20"/>
                <w:lang w:eastAsia="en-GB"/>
              </w:rPr>
            </w:pPr>
            <w:r w:rsidRPr="00EB5B1D">
              <w:rPr>
                <w:sz w:val="20"/>
                <w:szCs w:val="20"/>
                <w:lang w:eastAsia="en-GB"/>
              </w:rPr>
              <w:t>Circular CFP XXVII, junio de 2008</w:t>
            </w:r>
          </w:p>
        </w:tc>
        <w:tc>
          <w:tcPr>
            <w:tcW w:w="4792" w:type="dxa"/>
            <w:tcBorders>
              <w:top w:val="single" w:sz="4" w:space="0" w:color="auto"/>
              <w:left w:val="single" w:sz="4" w:space="0" w:color="auto"/>
              <w:bottom w:val="single" w:sz="4" w:space="0" w:color="auto"/>
              <w:right w:val="single" w:sz="4" w:space="0" w:color="auto"/>
            </w:tcBorders>
          </w:tcPr>
          <w:p w:rsidR="000D3F31" w:rsidRPr="00EB5B1D" w:rsidRDefault="00FC4140" w:rsidP="000D3F31">
            <w:pPr>
              <w:autoSpaceDE w:val="0"/>
              <w:autoSpaceDN w:val="0"/>
              <w:adjustRightInd w:val="0"/>
              <w:spacing w:before="40" w:after="40"/>
              <w:jc w:val="both"/>
              <w:rPr>
                <w:sz w:val="20"/>
                <w:szCs w:val="20"/>
                <w:u w:val="single"/>
                <w:lang w:eastAsia="en-GB"/>
              </w:rPr>
            </w:pPr>
            <w:hyperlink r:id="rId39" w:history="1">
              <w:r w:rsidR="000D3F31" w:rsidRPr="00EB5B1D">
                <w:rPr>
                  <w:rStyle w:val="Hyperlink"/>
                  <w:color w:val="auto"/>
                  <w:sz w:val="20"/>
                  <w:szCs w:val="20"/>
                  <w:lang w:eastAsia="en-GB"/>
                </w:rPr>
                <w:t>http://www.pic.int/ElConvenio/ProductosQuímicos/Recomendadosparainclusión/Chrysotile/tabid/2065/language/es-CO/Default.aspx</w:t>
              </w:r>
            </w:hyperlink>
          </w:p>
        </w:tc>
      </w:tr>
      <w:tr w:rsidR="000D3F31" w:rsidRPr="000F41F1" w:rsidTr="00D22CF6">
        <w:trPr>
          <w:trHeight w:val="249"/>
          <w:jc w:val="center"/>
        </w:trPr>
        <w:tc>
          <w:tcPr>
            <w:tcW w:w="1506" w:type="dxa"/>
            <w:tcBorders>
              <w:top w:val="single" w:sz="4" w:space="0" w:color="auto"/>
              <w:bottom w:val="single" w:sz="4" w:space="0" w:color="auto"/>
              <w:right w:val="single" w:sz="4" w:space="0" w:color="auto"/>
            </w:tcBorders>
          </w:tcPr>
          <w:p w:rsidR="000D3F31" w:rsidRPr="00EB5B1D" w:rsidRDefault="000D3F31" w:rsidP="000D3F31">
            <w:pPr>
              <w:autoSpaceDE w:val="0"/>
              <w:autoSpaceDN w:val="0"/>
              <w:adjustRightInd w:val="0"/>
              <w:spacing w:before="40" w:after="40"/>
              <w:jc w:val="both"/>
              <w:rPr>
                <w:bCs/>
                <w:sz w:val="20"/>
                <w:szCs w:val="20"/>
                <w:lang w:eastAsia="en-GB"/>
              </w:rPr>
            </w:pPr>
            <w:r w:rsidRPr="00EB5B1D">
              <w:rPr>
                <w:bCs/>
                <w:sz w:val="20"/>
                <w:szCs w:val="20"/>
                <w:lang w:eastAsia="en-GB"/>
              </w:rPr>
              <w:t>Suiza</w:t>
            </w:r>
          </w:p>
        </w:tc>
        <w:tc>
          <w:tcPr>
            <w:tcW w:w="3632" w:type="dxa"/>
            <w:tcBorders>
              <w:top w:val="single" w:sz="4" w:space="0" w:color="auto"/>
              <w:left w:val="single" w:sz="4" w:space="0" w:color="auto"/>
              <w:bottom w:val="single" w:sz="4" w:space="0" w:color="auto"/>
              <w:right w:val="single" w:sz="4" w:space="0" w:color="auto"/>
            </w:tcBorders>
          </w:tcPr>
          <w:p w:rsidR="000D3F31" w:rsidRPr="00EB5B1D" w:rsidRDefault="000D3F31" w:rsidP="000D3F31">
            <w:pPr>
              <w:autoSpaceDE w:val="0"/>
              <w:autoSpaceDN w:val="0"/>
              <w:adjustRightInd w:val="0"/>
              <w:spacing w:before="40" w:after="40"/>
              <w:rPr>
                <w:b/>
                <w:bCs/>
                <w:sz w:val="20"/>
                <w:szCs w:val="20"/>
                <w:lang w:val="fr-CH" w:eastAsia="en-GB"/>
              </w:rPr>
            </w:pPr>
            <w:r w:rsidRPr="00EB5B1D">
              <w:rPr>
                <w:sz w:val="20"/>
                <w:szCs w:val="20"/>
                <w:lang w:val="fr-CH" w:eastAsia="en-GB"/>
              </w:rPr>
              <w:t>Circular CFP XXVI, diciembre de 2007</w:t>
            </w:r>
          </w:p>
        </w:tc>
        <w:tc>
          <w:tcPr>
            <w:tcW w:w="4792" w:type="dxa"/>
            <w:tcBorders>
              <w:top w:val="single" w:sz="4" w:space="0" w:color="auto"/>
              <w:left w:val="single" w:sz="4" w:space="0" w:color="auto"/>
              <w:bottom w:val="single" w:sz="4" w:space="0" w:color="auto"/>
              <w:right w:val="single" w:sz="4" w:space="0" w:color="auto"/>
            </w:tcBorders>
          </w:tcPr>
          <w:p w:rsidR="000D3F31" w:rsidRPr="00EB5B1D" w:rsidRDefault="00FC4140" w:rsidP="000D3F31">
            <w:pPr>
              <w:autoSpaceDE w:val="0"/>
              <w:autoSpaceDN w:val="0"/>
              <w:adjustRightInd w:val="0"/>
              <w:spacing w:before="40" w:after="40"/>
              <w:jc w:val="both"/>
              <w:rPr>
                <w:sz w:val="20"/>
                <w:szCs w:val="20"/>
                <w:u w:val="single"/>
                <w:lang w:val="fr-CH" w:eastAsia="en-GB"/>
              </w:rPr>
            </w:pPr>
            <w:hyperlink r:id="rId40" w:history="1">
              <w:r w:rsidR="000D3F31" w:rsidRPr="00EB5B1D">
                <w:rPr>
                  <w:rStyle w:val="Hyperlink"/>
                  <w:color w:val="auto"/>
                  <w:sz w:val="20"/>
                  <w:szCs w:val="20"/>
                  <w:lang w:val="fr-CH" w:eastAsia="en-GB"/>
                </w:rPr>
                <w:t>http://www.pic.int/ElConvenio/ProductosQuímicos/Recomendadosparainclusión/Chrysotile/tabid/2065/language/es-CO/Default.aspx</w:t>
              </w:r>
            </w:hyperlink>
          </w:p>
        </w:tc>
      </w:tr>
    </w:tbl>
    <w:p w:rsidR="007B68CF" w:rsidRPr="00EB5B1D" w:rsidRDefault="007B68CF" w:rsidP="007B68CF">
      <w:pPr>
        <w:rPr>
          <w:szCs w:val="22"/>
          <w:lang w:val="fr-CH"/>
        </w:rPr>
      </w:pPr>
    </w:p>
    <w:p w:rsidR="007B68CF" w:rsidRPr="00EB5B1D" w:rsidRDefault="00F64250" w:rsidP="007B68CF">
      <w:pPr>
        <w:jc w:val="center"/>
        <w:rPr>
          <w:b/>
          <w:sz w:val="24"/>
          <w:u w:val="single"/>
          <w:lang w:val="fr-CH"/>
        </w:rPr>
      </w:pPr>
      <w:r w:rsidRPr="00EB5B1D">
        <w:rPr>
          <w:b/>
          <w:sz w:val="24"/>
          <w:u w:val="single"/>
          <w:lang w:val="fr-CH"/>
        </w:rPr>
        <w:t>PART</w:t>
      </w:r>
      <w:r w:rsidR="00691D67" w:rsidRPr="00EB5B1D">
        <w:rPr>
          <w:b/>
          <w:sz w:val="24"/>
          <w:u w:val="single"/>
          <w:lang w:val="fr-CH"/>
        </w:rPr>
        <w:t>E</w:t>
      </w:r>
      <w:r w:rsidRPr="00EB5B1D">
        <w:rPr>
          <w:b/>
          <w:sz w:val="24"/>
          <w:u w:val="single"/>
          <w:lang w:val="fr-CH"/>
        </w:rPr>
        <w:t xml:space="preserve"> B</w:t>
      </w:r>
    </w:p>
    <w:p w:rsidR="007B68CF" w:rsidRPr="00EB5B1D" w:rsidRDefault="007B68CF" w:rsidP="007B68CF">
      <w:pPr>
        <w:rPr>
          <w:sz w:val="24"/>
          <w:lang w:val="fr-CH"/>
        </w:rPr>
      </w:pPr>
    </w:p>
    <w:p w:rsidR="007B68CF" w:rsidRPr="00EB5B1D" w:rsidRDefault="000D3F31" w:rsidP="007B68CF">
      <w:pPr>
        <w:jc w:val="center"/>
        <w:rPr>
          <w:b/>
          <w:snapToGrid w:val="0"/>
          <w:sz w:val="24"/>
          <w:lang w:val="fr-CH"/>
        </w:rPr>
      </w:pPr>
      <w:r w:rsidRPr="00EB5B1D">
        <w:rPr>
          <w:b/>
          <w:snapToGrid w:val="0"/>
          <w:sz w:val="24"/>
          <w:lang w:val="fr-CH"/>
        </w:rPr>
        <w:t xml:space="preserve">DECISIONES SOBRE LA IMPORTACIÓN FUTURA </w:t>
      </w:r>
      <w:r w:rsidR="005E67A8" w:rsidRPr="00EB5B1D">
        <w:rPr>
          <w:b/>
          <w:snapToGrid w:val="0"/>
          <w:sz w:val="24"/>
          <w:lang w:val="fr-CH"/>
        </w:rPr>
        <w:t>DE PRODUCTOS QUÍMICOS RECOMENDADOS POR EL COMITÉ DE EXAMEN DE PRODUCTOS QUÍMICOS PARA SU INCLUSIÓN EN EL ANEXO III, PARA LOS QUE LA CONFERENCIA DE LAS PARTES NO HA TOMADO TODAVÍA UNA DECISIÓN FINAL</w:t>
      </w:r>
    </w:p>
    <w:p w:rsidR="00672D76" w:rsidRPr="00EB5B1D" w:rsidRDefault="00672D76" w:rsidP="007B68CF">
      <w:pPr>
        <w:rPr>
          <w:szCs w:val="22"/>
          <w:lang w:val="fr-CH"/>
        </w:rPr>
      </w:pPr>
    </w:p>
    <w:tbl>
      <w:tblPr>
        <w:tblW w:w="95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856"/>
        <w:gridCol w:w="1470"/>
      </w:tblGrid>
      <w:tr w:rsidR="000D3F31" w:rsidRPr="00EB5B1D" w:rsidTr="0099547B">
        <w:trPr>
          <w:trHeight w:val="251"/>
        </w:trPr>
        <w:tc>
          <w:tcPr>
            <w:tcW w:w="9586" w:type="dxa"/>
            <w:gridSpan w:val="3"/>
            <w:tcBorders>
              <w:top w:val="single" w:sz="4" w:space="0" w:color="auto"/>
              <w:bottom w:val="single" w:sz="4" w:space="0" w:color="auto"/>
              <w:right w:val="single" w:sz="4" w:space="0" w:color="auto"/>
            </w:tcBorders>
            <w:shd w:val="clear" w:color="auto" w:fill="E6E6E6"/>
            <w:vAlign w:val="center"/>
          </w:tcPr>
          <w:p w:rsidR="000D3F31" w:rsidRPr="00EB5B1D" w:rsidRDefault="000D3F31" w:rsidP="00703DBB">
            <w:pPr>
              <w:autoSpaceDE w:val="0"/>
              <w:autoSpaceDN w:val="0"/>
              <w:adjustRightInd w:val="0"/>
              <w:snapToGrid w:val="0"/>
              <w:spacing w:before="40" w:after="40"/>
              <w:rPr>
                <w:sz w:val="20"/>
                <w:szCs w:val="20"/>
                <w:lang w:eastAsia="en-GB"/>
              </w:rPr>
            </w:pPr>
            <w:r w:rsidRPr="00EB5B1D">
              <w:rPr>
                <w:b/>
                <w:bCs/>
                <w:sz w:val="20"/>
                <w:szCs w:val="20"/>
                <w:lang w:eastAsia="en-GB"/>
              </w:rPr>
              <w:t xml:space="preserve">Amianto </w:t>
            </w:r>
            <w:r w:rsidR="00672D76" w:rsidRPr="00EB5B1D">
              <w:rPr>
                <w:b/>
                <w:bCs/>
                <w:sz w:val="20"/>
                <w:szCs w:val="20"/>
                <w:lang w:eastAsia="en-GB"/>
              </w:rPr>
              <w:t xml:space="preserve">crisotilo </w:t>
            </w:r>
            <w:r w:rsidRPr="00EB5B1D">
              <w:rPr>
                <w:b/>
                <w:bCs/>
                <w:sz w:val="20"/>
                <w:szCs w:val="20"/>
                <w:lang w:eastAsia="en-GB"/>
              </w:rPr>
              <w:t xml:space="preserve">(Número </w:t>
            </w:r>
            <w:smartTag w:uri="urn:schemas-microsoft-com:office:smarttags" w:element="stockticker">
              <w:r w:rsidRPr="00EB5B1D">
                <w:rPr>
                  <w:b/>
                  <w:bCs/>
                  <w:sz w:val="20"/>
                  <w:szCs w:val="20"/>
                  <w:lang w:eastAsia="en-GB"/>
                </w:rPr>
                <w:t>CAS</w:t>
              </w:r>
            </w:smartTag>
            <w:r w:rsidRPr="00EB5B1D">
              <w:rPr>
                <w:b/>
                <w:bCs/>
                <w:sz w:val="20"/>
                <w:szCs w:val="20"/>
                <w:lang w:eastAsia="en-GB"/>
              </w:rPr>
              <w:t>: 12001-29-5)</w:t>
            </w:r>
          </w:p>
        </w:tc>
      </w:tr>
      <w:tr w:rsidR="000D3F31" w:rsidRPr="00EB5B1D" w:rsidTr="0099547B">
        <w:trPr>
          <w:trHeight w:val="488"/>
        </w:trPr>
        <w:tc>
          <w:tcPr>
            <w:tcW w:w="1260" w:type="dxa"/>
            <w:tcBorders>
              <w:top w:val="single" w:sz="4" w:space="0" w:color="auto"/>
              <w:bottom w:val="single" w:sz="4" w:space="0" w:color="auto"/>
              <w:right w:val="single" w:sz="4" w:space="0" w:color="auto"/>
            </w:tcBorders>
            <w:vAlign w:val="center"/>
          </w:tcPr>
          <w:p w:rsidR="000D3F31" w:rsidRPr="00EB5B1D" w:rsidRDefault="000D3F31" w:rsidP="00703DBB">
            <w:pPr>
              <w:autoSpaceDE w:val="0"/>
              <w:autoSpaceDN w:val="0"/>
              <w:adjustRightInd w:val="0"/>
              <w:snapToGrid w:val="0"/>
              <w:spacing w:before="40" w:after="40"/>
              <w:rPr>
                <w:b/>
                <w:bCs/>
                <w:sz w:val="20"/>
                <w:szCs w:val="20"/>
                <w:lang w:eastAsia="en-GB"/>
              </w:rPr>
            </w:pPr>
            <w:r w:rsidRPr="00EB5B1D">
              <w:rPr>
                <w:b/>
                <w:bCs/>
                <w:sz w:val="20"/>
                <w:szCs w:val="20"/>
                <w:lang w:eastAsia="en-GB"/>
              </w:rPr>
              <w:t>PARTE</w:t>
            </w:r>
          </w:p>
        </w:tc>
        <w:tc>
          <w:tcPr>
            <w:tcW w:w="6856" w:type="dxa"/>
            <w:tcBorders>
              <w:top w:val="single" w:sz="4" w:space="0" w:color="auto"/>
              <w:left w:val="single" w:sz="4" w:space="0" w:color="auto"/>
              <w:bottom w:val="single" w:sz="4" w:space="0" w:color="auto"/>
              <w:right w:val="single" w:sz="4" w:space="0" w:color="auto"/>
            </w:tcBorders>
            <w:vAlign w:val="center"/>
          </w:tcPr>
          <w:p w:rsidR="000D3F31" w:rsidRPr="00EB5B1D" w:rsidRDefault="000D3F31" w:rsidP="00703DBB">
            <w:pPr>
              <w:autoSpaceDE w:val="0"/>
              <w:autoSpaceDN w:val="0"/>
              <w:adjustRightInd w:val="0"/>
              <w:snapToGrid w:val="0"/>
              <w:spacing w:before="40" w:after="40"/>
              <w:rPr>
                <w:b/>
                <w:bCs/>
                <w:sz w:val="20"/>
                <w:szCs w:val="20"/>
                <w:lang w:eastAsia="en-GB"/>
              </w:rPr>
            </w:pPr>
            <w:r w:rsidRPr="00EB5B1D">
              <w:rPr>
                <w:b/>
                <w:bCs/>
                <w:sz w:val="20"/>
                <w:szCs w:val="20"/>
                <w:lang w:eastAsia="en-GB"/>
              </w:rPr>
              <w:t>DECISIÓN SOBRE LA IMPORTACIÓN</w:t>
            </w:r>
          </w:p>
        </w:tc>
        <w:tc>
          <w:tcPr>
            <w:tcW w:w="1470" w:type="dxa"/>
            <w:tcBorders>
              <w:top w:val="single" w:sz="4" w:space="0" w:color="auto"/>
              <w:left w:val="single" w:sz="4" w:space="0" w:color="auto"/>
              <w:bottom w:val="single" w:sz="4" w:space="0" w:color="auto"/>
              <w:right w:val="single" w:sz="4" w:space="0" w:color="auto"/>
            </w:tcBorders>
            <w:vAlign w:val="center"/>
          </w:tcPr>
          <w:p w:rsidR="000D3F31" w:rsidRPr="00EB5B1D" w:rsidRDefault="000D3F31" w:rsidP="00703DBB">
            <w:pPr>
              <w:autoSpaceDE w:val="0"/>
              <w:autoSpaceDN w:val="0"/>
              <w:adjustRightInd w:val="0"/>
              <w:snapToGrid w:val="0"/>
              <w:spacing w:before="40" w:after="40"/>
              <w:rPr>
                <w:b/>
                <w:sz w:val="20"/>
                <w:szCs w:val="20"/>
                <w:lang w:eastAsia="en-GB"/>
              </w:rPr>
            </w:pPr>
            <w:r w:rsidRPr="00EB5B1D">
              <w:rPr>
                <w:b/>
                <w:sz w:val="20"/>
                <w:szCs w:val="20"/>
                <w:lang w:eastAsia="en-GB"/>
              </w:rPr>
              <w:t>FECHA DE RECEPCIÓN</w:t>
            </w:r>
          </w:p>
        </w:tc>
      </w:tr>
      <w:tr w:rsidR="000D3F31" w:rsidRPr="00EB5B1D" w:rsidTr="0099547B">
        <w:tc>
          <w:tcPr>
            <w:tcW w:w="1260" w:type="dxa"/>
            <w:tcBorders>
              <w:top w:val="single" w:sz="4" w:space="0" w:color="auto"/>
              <w:bottom w:val="single" w:sz="4" w:space="0" w:color="auto"/>
              <w:right w:val="single" w:sz="4" w:space="0" w:color="auto"/>
            </w:tcBorders>
          </w:tcPr>
          <w:p w:rsidR="000D3F31" w:rsidRPr="00EB5B1D" w:rsidRDefault="000D3F31" w:rsidP="0099547B">
            <w:pPr>
              <w:autoSpaceDE w:val="0"/>
              <w:autoSpaceDN w:val="0"/>
              <w:adjustRightInd w:val="0"/>
              <w:snapToGrid w:val="0"/>
              <w:spacing w:before="40" w:after="40"/>
              <w:jc w:val="both"/>
              <w:rPr>
                <w:bCs/>
                <w:sz w:val="20"/>
                <w:szCs w:val="20"/>
                <w:lang w:val="en-GB" w:eastAsia="en-GB"/>
              </w:rPr>
            </w:pPr>
            <w:r w:rsidRPr="00EB5B1D">
              <w:rPr>
                <w:bCs/>
                <w:sz w:val="20"/>
                <w:szCs w:val="20"/>
                <w:lang w:eastAsia="en-GB"/>
              </w:rPr>
              <w:t>Unión Europea</w:t>
            </w:r>
          </w:p>
        </w:tc>
        <w:tc>
          <w:tcPr>
            <w:tcW w:w="6856" w:type="dxa"/>
            <w:tcBorders>
              <w:top w:val="single" w:sz="4" w:space="0" w:color="auto"/>
              <w:left w:val="single" w:sz="4" w:space="0" w:color="auto"/>
              <w:bottom w:val="single" w:sz="4" w:space="0" w:color="auto"/>
              <w:right w:val="single" w:sz="4" w:space="0" w:color="auto"/>
            </w:tcBorders>
          </w:tcPr>
          <w:p w:rsidR="000D3F31" w:rsidRPr="00EB5B1D" w:rsidRDefault="000D3F31" w:rsidP="0099547B">
            <w:pPr>
              <w:autoSpaceDE w:val="0"/>
              <w:autoSpaceDN w:val="0"/>
              <w:adjustRightInd w:val="0"/>
              <w:snapToGrid w:val="0"/>
              <w:spacing w:before="40" w:after="40"/>
              <w:jc w:val="both"/>
              <w:rPr>
                <w:bCs/>
                <w:sz w:val="20"/>
                <w:szCs w:val="20"/>
                <w:u w:val="single"/>
                <w:lang w:val="fr-CH" w:eastAsia="en-GB"/>
              </w:rPr>
            </w:pPr>
            <w:r w:rsidRPr="00EB5B1D">
              <w:rPr>
                <w:bCs/>
                <w:sz w:val="20"/>
                <w:szCs w:val="20"/>
                <w:u w:val="single"/>
                <w:lang w:val="fr-CH" w:eastAsia="en-GB"/>
              </w:rPr>
              <w:t>Consentida la importación sólo bajo las siguientes condiciones:</w:t>
            </w:r>
          </w:p>
          <w:p w:rsidR="0099547B" w:rsidRPr="00EB5B1D" w:rsidRDefault="000D3F31" w:rsidP="0099547B">
            <w:pPr>
              <w:autoSpaceDE w:val="0"/>
              <w:autoSpaceDN w:val="0"/>
              <w:adjustRightInd w:val="0"/>
              <w:snapToGrid w:val="0"/>
              <w:spacing w:before="40" w:after="40"/>
              <w:jc w:val="both"/>
              <w:rPr>
                <w:sz w:val="20"/>
                <w:szCs w:val="20"/>
                <w:lang w:val="fr-CH" w:eastAsia="en-GB"/>
              </w:rPr>
            </w:pPr>
            <w:r w:rsidRPr="00EB5B1D">
              <w:rPr>
                <w:sz w:val="20"/>
                <w:szCs w:val="20"/>
                <w:lang w:val="fr-CH" w:eastAsia="en-GB"/>
              </w:rPr>
              <w:t>Queda prohibido fabricar, colocar en el mercado y utilizar las fibras de amianto de crisotilo y demás artículos agregados intencionalmente que contengan estas fibras. Sin embargo, los Estados Miembros podrán ser extentos de la comercialización y el uso de diafragmas que contengan crisotilo para las instalaciones de electrólisis existentes hasta que éstos alcancen el final de su duración o servicio o hasta que cualquiera de los sustitutos del amianto estén disponibles cuanto antes. Antes del 1º de junio de 2011, los Estados Miembros que hacen uso de esta exención, proporcionarán un informe a la Comisión. La Comisión pedirá a la Agencia Europea de Productos Químicos que prepare un expediente en el que se refleje que se prohíbe la comercialización y el uso de los diafragmas que contengan el crisotilo.</w:t>
            </w:r>
          </w:p>
          <w:p w:rsidR="000D3F31" w:rsidRPr="00EB5B1D" w:rsidRDefault="000D3F31" w:rsidP="0099547B">
            <w:pPr>
              <w:autoSpaceDE w:val="0"/>
              <w:autoSpaceDN w:val="0"/>
              <w:adjustRightInd w:val="0"/>
              <w:snapToGrid w:val="0"/>
              <w:spacing w:before="40" w:after="40"/>
              <w:jc w:val="both"/>
              <w:rPr>
                <w:bCs/>
                <w:sz w:val="20"/>
                <w:szCs w:val="20"/>
                <w:u w:val="single"/>
                <w:lang w:val="fr-CH" w:eastAsia="en-GB"/>
              </w:rPr>
            </w:pPr>
            <w:r w:rsidRPr="00EB5B1D">
              <w:rPr>
                <w:bCs/>
                <w:sz w:val="20"/>
                <w:szCs w:val="20"/>
                <w:u w:val="single"/>
                <w:lang w:val="fr-CH" w:eastAsia="en-GB"/>
              </w:rPr>
              <w:t>Medidas administrativas:</w:t>
            </w:r>
          </w:p>
          <w:p w:rsidR="000D3F31" w:rsidRPr="00EB5B1D" w:rsidRDefault="000D3F31" w:rsidP="0099547B">
            <w:pPr>
              <w:autoSpaceDE w:val="0"/>
              <w:autoSpaceDN w:val="0"/>
              <w:adjustRightInd w:val="0"/>
              <w:snapToGrid w:val="0"/>
              <w:spacing w:before="40" w:after="40"/>
              <w:jc w:val="both"/>
              <w:rPr>
                <w:bCs/>
                <w:sz w:val="20"/>
                <w:szCs w:val="20"/>
                <w:lang w:val="fr-CH" w:eastAsia="en-GB"/>
              </w:rPr>
            </w:pPr>
            <w:r w:rsidRPr="00EB5B1D">
              <w:rPr>
                <w:sz w:val="20"/>
                <w:szCs w:val="20"/>
                <w:lang w:val="fr-CH" w:eastAsia="en-GB"/>
              </w:rPr>
              <w:t xml:space="preserve">El producto químico fue prohibido (con una derogación limitada, estipulado en la sección  5.3 </w:t>
            </w:r>
            <w:r w:rsidRPr="00EB5B1D">
              <w:rPr>
                <w:i/>
                <w:sz w:val="20"/>
                <w:szCs w:val="20"/>
                <w:lang w:val="fr-CH" w:eastAsia="en-GB"/>
              </w:rPr>
              <w:t>supra</w:t>
            </w:r>
            <w:r w:rsidRPr="00EB5B1D">
              <w:rPr>
                <w:sz w:val="20"/>
                <w:szCs w:val="20"/>
                <w:lang w:val="fr-CH" w:eastAsia="en-GB"/>
              </w:rPr>
              <w:t>) según la Norma (CE) Nº 1907/2006 del Parlamento Europeo y del Consejo, de fecha 18 de diciembre de 2006, con respecto a registro, evaluación, autorización y restricción de los productos químicos (</w:t>
            </w:r>
            <w:r w:rsidRPr="00EB5B1D">
              <w:rPr>
                <w:i/>
                <w:sz w:val="20"/>
                <w:szCs w:val="20"/>
                <w:lang w:val="fr-CH" w:eastAsia="en-GB"/>
              </w:rPr>
              <w:t>REACH</w:t>
            </w:r>
            <w:r w:rsidRPr="00EB5B1D">
              <w:rPr>
                <w:sz w:val="20"/>
                <w:szCs w:val="20"/>
                <w:lang w:val="fr-CH" w:eastAsia="en-GB"/>
              </w:rPr>
              <w:t>), estableciendo una Agencia Europea sobre Productos Químicos, con la enmienda de la Directiva 1999/45/EC y la revocación de la Norma del Consejo (CEE) Nº. 793/93 y norma de la Comisión (CE) Nº 1488/94 así como Directiva del Consejo (CE) 76/769/CEE y las directrices de la Comisión 91/155/CEE, 93/67/CEE, 93/105/CE y 2000/21/CE (Diario Oficial de la Comisiones Europeas (OJ) L396 de 30 de diciembre de 2006, p.1) modificada por la Norma de la Comisión (CE) Nº 552/2009 de 22 de junio de 2009 enmendada con la Norma (CE) Nº 1907/2006 del Parlamente y el Consejo sobre el registro, evaluación, autorización y restricción de Productos Químicos (</w:t>
            </w:r>
            <w:r w:rsidRPr="00EB5B1D">
              <w:rPr>
                <w:i/>
                <w:sz w:val="20"/>
                <w:szCs w:val="20"/>
                <w:lang w:val="fr-CH" w:eastAsia="en-GB"/>
              </w:rPr>
              <w:t>REACH</w:t>
            </w:r>
            <w:r w:rsidRPr="00EB5B1D">
              <w:rPr>
                <w:sz w:val="20"/>
                <w:szCs w:val="20"/>
                <w:lang w:val="fr-CH" w:eastAsia="en-GB"/>
              </w:rPr>
              <w:t xml:space="preserve">) por lo que respecta al Anexo XVII (OJ L 164 de 22 de junio de 2009, p. 7). </w:t>
            </w:r>
          </w:p>
        </w:tc>
        <w:tc>
          <w:tcPr>
            <w:tcW w:w="1470" w:type="dxa"/>
            <w:tcBorders>
              <w:top w:val="single" w:sz="4" w:space="0" w:color="auto"/>
              <w:left w:val="single" w:sz="4" w:space="0" w:color="auto"/>
              <w:bottom w:val="single" w:sz="4" w:space="0" w:color="auto"/>
              <w:right w:val="single" w:sz="4" w:space="0" w:color="auto"/>
            </w:tcBorders>
          </w:tcPr>
          <w:p w:rsidR="000D3F31" w:rsidRPr="00EB5B1D" w:rsidRDefault="000939D4" w:rsidP="006422FE">
            <w:pPr>
              <w:autoSpaceDE w:val="0"/>
              <w:autoSpaceDN w:val="0"/>
              <w:adjustRightInd w:val="0"/>
              <w:snapToGrid w:val="0"/>
              <w:spacing w:before="40" w:after="40"/>
              <w:rPr>
                <w:b/>
                <w:sz w:val="20"/>
                <w:szCs w:val="20"/>
                <w:lang w:val="en-GB" w:eastAsia="en-GB"/>
              </w:rPr>
            </w:pPr>
            <w:r w:rsidRPr="000939D4">
              <w:rPr>
                <w:sz w:val="20"/>
                <w:szCs w:val="20"/>
                <w:lang w:val="en-GB" w:eastAsia="en-GB"/>
              </w:rPr>
              <w:t>6 de octubre de 2009</w:t>
            </w:r>
          </w:p>
        </w:tc>
      </w:tr>
    </w:tbl>
    <w:p w:rsidR="007B68CF" w:rsidRDefault="007B68CF" w:rsidP="007B68CF">
      <w:pPr>
        <w:rPr>
          <w:szCs w:val="22"/>
          <w:lang w:val="fr-CH"/>
        </w:rPr>
      </w:pPr>
    </w:p>
    <w:p w:rsidR="006422FE" w:rsidRDefault="006422FE" w:rsidP="007B68CF">
      <w:pPr>
        <w:rPr>
          <w:szCs w:val="22"/>
          <w:lang w:val="fr-CH"/>
        </w:rPr>
      </w:pPr>
    </w:p>
    <w:p w:rsidR="006422FE" w:rsidRPr="00EB5B1D" w:rsidRDefault="006422FE" w:rsidP="007B68CF">
      <w:pPr>
        <w:rPr>
          <w:szCs w:val="22"/>
          <w:lang w:val="fr-CH"/>
        </w:rPr>
      </w:pPr>
    </w:p>
    <w:tbl>
      <w:tblPr>
        <w:tblW w:w="96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6985"/>
        <w:gridCol w:w="1465"/>
      </w:tblGrid>
      <w:tr w:rsidR="000D3F31" w:rsidRPr="000F41F1" w:rsidTr="0099547B">
        <w:trPr>
          <w:trHeight w:val="249"/>
        </w:trPr>
        <w:tc>
          <w:tcPr>
            <w:tcW w:w="9655" w:type="dxa"/>
            <w:gridSpan w:val="3"/>
            <w:tcBorders>
              <w:top w:val="single" w:sz="4" w:space="0" w:color="auto"/>
              <w:bottom w:val="single" w:sz="4" w:space="0" w:color="auto"/>
              <w:right w:val="single" w:sz="4" w:space="0" w:color="auto"/>
            </w:tcBorders>
            <w:shd w:val="clear" w:color="auto" w:fill="E6E6E6"/>
            <w:vAlign w:val="center"/>
          </w:tcPr>
          <w:p w:rsidR="000D3F31" w:rsidRPr="00EB5B1D" w:rsidRDefault="000D3F31" w:rsidP="00703DBB">
            <w:pPr>
              <w:autoSpaceDE w:val="0"/>
              <w:autoSpaceDN w:val="0"/>
              <w:adjustRightInd w:val="0"/>
              <w:spacing w:before="40" w:after="40"/>
              <w:rPr>
                <w:sz w:val="20"/>
                <w:szCs w:val="20"/>
                <w:lang w:val="fr-CH" w:eastAsia="en-GB"/>
              </w:rPr>
            </w:pPr>
            <w:r w:rsidRPr="00EB5B1D">
              <w:rPr>
                <w:b/>
                <w:bCs/>
                <w:sz w:val="20"/>
                <w:szCs w:val="20"/>
                <w:lang w:val="fr-CH" w:eastAsia="en-GB"/>
              </w:rPr>
              <w:t>Formulaciones líquidas (concentrado emulsionable y concentrado soluble) que contienen, como mínimo, 276 g/L de dicloruro de paraquat, equivalente a 200 g/L o más de ión de paraquat</w:t>
            </w:r>
          </w:p>
        </w:tc>
      </w:tr>
      <w:tr w:rsidR="000D3F31" w:rsidRPr="00EB5B1D" w:rsidTr="0099547B">
        <w:trPr>
          <w:trHeight w:val="234"/>
        </w:trPr>
        <w:tc>
          <w:tcPr>
            <w:tcW w:w="1205" w:type="dxa"/>
            <w:tcBorders>
              <w:top w:val="single" w:sz="4" w:space="0" w:color="auto"/>
              <w:bottom w:val="single" w:sz="4" w:space="0" w:color="auto"/>
              <w:right w:val="single" w:sz="4" w:space="0" w:color="auto"/>
            </w:tcBorders>
            <w:shd w:val="clear" w:color="auto" w:fill="auto"/>
            <w:vAlign w:val="center"/>
          </w:tcPr>
          <w:p w:rsidR="000D3F31" w:rsidRPr="00EB5B1D" w:rsidRDefault="000D3F31" w:rsidP="00703DBB">
            <w:pPr>
              <w:autoSpaceDE w:val="0"/>
              <w:autoSpaceDN w:val="0"/>
              <w:adjustRightInd w:val="0"/>
              <w:spacing w:before="40" w:after="40"/>
              <w:rPr>
                <w:b/>
                <w:bCs/>
                <w:sz w:val="20"/>
                <w:szCs w:val="20"/>
                <w:lang w:eastAsia="en-GB"/>
              </w:rPr>
            </w:pPr>
            <w:r w:rsidRPr="00EB5B1D">
              <w:rPr>
                <w:b/>
                <w:bCs/>
                <w:sz w:val="20"/>
                <w:szCs w:val="20"/>
                <w:lang w:eastAsia="en-GB"/>
              </w:rPr>
              <w:t>PARTE</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0D3F31" w:rsidRPr="00EB5B1D" w:rsidRDefault="000D3F31" w:rsidP="00703DBB">
            <w:pPr>
              <w:autoSpaceDE w:val="0"/>
              <w:autoSpaceDN w:val="0"/>
              <w:adjustRightInd w:val="0"/>
              <w:spacing w:before="40" w:after="40"/>
              <w:rPr>
                <w:b/>
                <w:bCs/>
                <w:sz w:val="20"/>
                <w:szCs w:val="20"/>
                <w:lang w:eastAsia="en-GB"/>
              </w:rPr>
            </w:pPr>
            <w:r w:rsidRPr="00EB5B1D">
              <w:rPr>
                <w:b/>
                <w:bCs/>
                <w:sz w:val="20"/>
                <w:szCs w:val="20"/>
                <w:lang w:eastAsia="en-GB"/>
              </w:rPr>
              <w:t>DECISIÓN SOBRE LA IMPORTACIÓN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0D3F31" w:rsidRPr="00EB5B1D" w:rsidRDefault="000D3F31" w:rsidP="00703DBB">
            <w:pPr>
              <w:autoSpaceDE w:val="0"/>
              <w:autoSpaceDN w:val="0"/>
              <w:adjustRightInd w:val="0"/>
              <w:spacing w:before="40" w:after="40"/>
              <w:rPr>
                <w:b/>
                <w:sz w:val="20"/>
                <w:szCs w:val="20"/>
                <w:lang w:eastAsia="en-GB"/>
              </w:rPr>
            </w:pPr>
            <w:r w:rsidRPr="00EB5B1D">
              <w:rPr>
                <w:b/>
                <w:sz w:val="20"/>
                <w:szCs w:val="20"/>
                <w:lang w:eastAsia="en-GB"/>
              </w:rPr>
              <w:t>FECHA DE RECEPCIÓN</w:t>
            </w:r>
          </w:p>
        </w:tc>
      </w:tr>
      <w:tr w:rsidR="00D2359C" w:rsidRPr="00D2359C" w:rsidTr="0099547B">
        <w:trPr>
          <w:trHeight w:val="206"/>
        </w:trPr>
        <w:tc>
          <w:tcPr>
            <w:tcW w:w="1205" w:type="dxa"/>
            <w:tcBorders>
              <w:top w:val="single" w:sz="4" w:space="0" w:color="auto"/>
              <w:bottom w:val="single" w:sz="4" w:space="0" w:color="auto"/>
              <w:right w:val="single" w:sz="4" w:space="0" w:color="auto"/>
            </w:tcBorders>
          </w:tcPr>
          <w:p w:rsidR="000D3F31" w:rsidRPr="00EB5B1D" w:rsidRDefault="000D3F31" w:rsidP="00691D67">
            <w:pPr>
              <w:autoSpaceDE w:val="0"/>
              <w:autoSpaceDN w:val="0"/>
              <w:adjustRightInd w:val="0"/>
              <w:spacing w:before="40" w:after="40"/>
              <w:jc w:val="both"/>
              <w:rPr>
                <w:bCs/>
                <w:sz w:val="20"/>
                <w:szCs w:val="20"/>
                <w:lang w:eastAsia="en-GB"/>
              </w:rPr>
            </w:pPr>
            <w:r w:rsidRPr="00EB5B1D">
              <w:rPr>
                <w:bCs/>
                <w:sz w:val="20"/>
                <w:szCs w:val="20"/>
                <w:lang w:val="en-GB" w:eastAsia="en-GB"/>
              </w:rPr>
              <w:t>Qatar</w:t>
            </w:r>
          </w:p>
        </w:tc>
        <w:tc>
          <w:tcPr>
            <w:tcW w:w="6985" w:type="dxa"/>
            <w:tcBorders>
              <w:top w:val="single" w:sz="4" w:space="0" w:color="auto"/>
              <w:left w:val="single" w:sz="4" w:space="0" w:color="auto"/>
              <w:bottom w:val="single" w:sz="4" w:space="0" w:color="auto"/>
              <w:right w:val="single" w:sz="4" w:space="0" w:color="auto"/>
            </w:tcBorders>
          </w:tcPr>
          <w:p w:rsidR="000D3F31" w:rsidRPr="00EB5B1D" w:rsidRDefault="000D3F31" w:rsidP="00691D67">
            <w:pPr>
              <w:autoSpaceDE w:val="0"/>
              <w:autoSpaceDN w:val="0"/>
              <w:adjustRightInd w:val="0"/>
              <w:spacing w:before="40" w:after="40"/>
              <w:rPr>
                <w:sz w:val="20"/>
                <w:szCs w:val="20"/>
                <w:u w:val="single"/>
              </w:rPr>
            </w:pPr>
            <w:r w:rsidRPr="00EB5B1D">
              <w:rPr>
                <w:sz w:val="20"/>
                <w:szCs w:val="20"/>
                <w:u w:val="single"/>
              </w:rPr>
              <w:t>No consentido</w:t>
            </w:r>
          </w:p>
          <w:p w:rsidR="0099547B" w:rsidRPr="00EB5B1D" w:rsidRDefault="0099547B" w:rsidP="00691D67">
            <w:pPr>
              <w:autoSpaceDE w:val="0"/>
              <w:autoSpaceDN w:val="0"/>
              <w:adjustRightInd w:val="0"/>
              <w:spacing w:before="40" w:after="40"/>
              <w:rPr>
                <w:sz w:val="20"/>
                <w:szCs w:val="20"/>
              </w:rPr>
            </w:pPr>
          </w:p>
          <w:p w:rsidR="000D3F31" w:rsidRPr="00EB5B1D" w:rsidRDefault="000D3F31" w:rsidP="00691D67">
            <w:pPr>
              <w:autoSpaceDE w:val="0"/>
              <w:autoSpaceDN w:val="0"/>
              <w:adjustRightInd w:val="0"/>
              <w:spacing w:before="40" w:after="40"/>
              <w:jc w:val="both"/>
              <w:rPr>
                <w:bCs/>
                <w:sz w:val="20"/>
                <w:szCs w:val="20"/>
                <w:u w:val="single"/>
                <w:lang w:eastAsia="en-GB"/>
              </w:rPr>
            </w:pPr>
            <w:r w:rsidRPr="00EB5B1D">
              <w:rPr>
                <w:bCs/>
                <w:sz w:val="20"/>
                <w:szCs w:val="20"/>
                <w:u w:val="single"/>
                <w:lang w:eastAsia="en-GB"/>
              </w:rPr>
              <w:t>Medidas administrativas:</w:t>
            </w:r>
          </w:p>
          <w:p w:rsidR="000D3F31" w:rsidRPr="00EB5B1D" w:rsidRDefault="000D3F31" w:rsidP="00691D67">
            <w:pPr>
              <w:autoSpaceDE w:val="0"/>
              <w:autoSpaceDN w:val="0"/>
              <w:adjustRightInd w:val="0"/>
              <w:spacing w:before="40" w:after="40"/>
              <w:jc w:val="both"/>
              <w:rPr>
                <w:b/>
                <w:bCs/>
                <w:sz w:val="20"/>
                <w:szCs w:val="20"/>
                <w:lang w:val="fr-CH" w:eastAsia="en-GB"/>
              </w:rPr>
            </w:pPr>
            <w:r w:rsidRPr="00EB5B1D">
              <w:rPr>
                <w:sz w:val="20"/>
                <w:szCs w:val="20"/>
              </w:rPr>
              <w:t xml:space="preserve">El Ministerio de Medio Ambiente realizará todas las tareas y medidas necesarias para proteger el medio ambiente en el país. </w:t>
            </w:r>
            <w:r w:rsidRPr="00EB5B1D">
              <w:rPr>
                <w:sz w:val="20"/>
                <w:szCs w:val="20"/>
                <w:lang w:val="fr-CH"/>
              </w:rPr>
              <w:t>De conformidad con la Ley Nº 30 de 2002 Artículo (26). Prohíbe la importación, la manipulación o el transporte de materiales peligrosos, sin la autorización de la autoridad administrativa competente, y en el Artículo (29) o en la Ley Nº 30 de 2002, que dispone (el spray o uso de plaguicidas u otros compuestos químicos para la agricultura, la salud pública u otros fines deberán considerarse los requisitos, controles y equilibrios definidos por los reglamentos, para asegurar que el medio ambiente, los seres humanos, animales, vegetales o cursos de agua sean directa o indirectamente objetivo de los futuros efectos adversos de los plaguicidas o compuestos químicos (*) La Ley Nº 24 de 2010 promulga el Reglamento de plaguicidas en los Estados del Consejo de Cooperación para los Estados Árabes del Golfo.</w:t>
            </w:r>
          </w:p>
        </w:tc>
        <w:tc>
          <w:tcPr>
            <w:tcW w:w="1465" w:type="dxa"/>
            <w:tcBorders>
              <w:top w:val="single" w:sz="4" w:space="0" w:color="auto"/>
              <w:left w:val="single" w:sz="4" w:space="0" w:color="auto"/>
              <w:bottom w:val="single" w:sz="4" w:space="0" w:color="auto"/>
              <w:right w:val="single" w:sz="4" w:space="0" w:color="auto"/>
            </w:tcBorders>
          </w:tcPr>
          <w:p w:rsidR="000D3F31" w:rsidRPr="00D2359C" w:rsidRDefault="000939D4" w:rsidP="00703DBB">
            <w:pPr>
              <w:autoSpaceDE w:val="0"/>
              <w:autoSpaceDN w:val="0"/>
              <w:adjustRightInd w:val="0"/>
              <w:spacing w:before="40" w:after="40"/>
              <w:rPr>
                <w:sz w:val="20"/>
                <w:szCs w:val="20"/>
                <w:lang w:eastAsia="en-GB"/>
              </w:rPr>
            </w:pPr>
            <w:r w:rsidRPr="000939D4">
              <w:rPr>
                <w:sz w:val="20"/>
                <w:szCs w:val="20"/>
                <w:lang w:eastAsia="en-GB"/>
              </w:rPr>
              <w:t>2 de noviembre de 2015</w:t>
            </w:r>
          </w:p>
        </w:tc>
      </w:tr>
    </w:tbl>
    <w:p w:rsidR="00893B7A" w:rsidRPr="00D2359C" w:rsidRDefault="00893B7A" w:rsidP="00D47369">
      <w:pPr>
        <w:rPr>
          <w:lang w:val="en-GB"/>
        </w:rPr>
      </w:pPr>
    </w:p>
    <w:sectPr w:rsidR="00893B7A" w:rsidRPr="00D2359C" w:rsidSect="007F589F">
      <w:headerReference w:type="default" r:id="rId41"/>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40" w:rsidRDefault="00FC4140">
      <w:r>
        <w:separator/>
      </w:r>
    </w:p>
  </w:endnote>
  <w:endnote w:type="continuationSeparator" w:id="0">
    <w:p w:rsidR="00FC4140" w:rsidRDefault="00FC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variable"/>
    <w:sig w:usb0="00000003" w:usb1="00000000" w:usb2="00000000" w:usb3="00000000" w:csb0="00000001"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9A" w:rsidRDefault="00595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1F3F1A" w:rsidRDefault="008C5FA8" w:rsidP="00C02E67">
    <w:pPr>
      <w:pStyle w:val="Footer"/>
      <w:pBdr>
        <w:top w:val="single" w:sz="4" w:space="1" w:color="auto"/>
      </w:pBdr>
      <w:tabs>
        <w:tab w:val="clear" w:pos="4320"/>
        <w:tab w:val="clear" w:pos="8640"/>
        <w:tab w:val="right" w:pos="0"/>
        <w:tab w:val="left" w:pos="8568"/>
      </w:tabs>
      <w:jc w:val="both"/>
      <w:rPr>
        <w:i/>
        <w:sz w:val="20"/>
        <w:szCs w:val="20"/>
      </w:rPr>
    </w:pPr>
    <w:r w:rsidRPr="00455B36">
      <w:rPr>
        <w:i/>
        <w:sz w:val="20"/>
        <w:szCs w:val="20"/>
      </w:rPr>
      <w:t xml:space="preserve">Circular </w:t>
    </w:r>
    <w:r>
      <w:rPr>
        <w:i/>
        <w:sz w:val="20"/>
        <w:szCs w:val="20"/>
      </w:rPr>
      <w:t xml:space="preserve">CFP </w:t>
    </w:r>
    <w:r w:rsidRPr="00455B36">
      <w:rPr>
        <w:i/>
        <w:sz w:val="20"/>
        <w:szCs w:val="20"/>
      </w:rPr>
      <w:t>X</w:t>
    </w:r>
    <w:r>
      <w:rPr>
        <w:i/>
        <w:sz w:val="20"/>
        <w:szCs w:val="20"/>
      </w:rPr>
      <w:t xml:space="preserve">LV (45) </w:t>
    </w:r>
    <w:r w:rsidRPr="00A33C0E">
      <w:rPr>
        <w:i/>
        <w:sz w:val="20"/>
        <w:szCs w:val="20"/>
      </w:rPr>
      <w:t>–</w:t>
    </w:r>
    <w:r>
      <w:rPr>
        <w:i/>
        <w:sz w:val="20"/>
        <w:szCs w:val="20"/>
      </w:rPr>
      <w:t xml:space="preserve"> junio de 2017</w:t>
    </w:r>
    <w:r>
      <w:rPr>
        <w:sz w:val="20"/>
        <w:szCs w:val="20"/>
      </w:rPr>
      <w:tab/>
    </w:r>
    <w:r>
      <w:rPr>
        <w:sz w:val="24"/>
      </w:rPr>
      <w:fldChar w:fldCharType="begin"/>
    </w:r>
    <w:r>
      <w:instrText xml:space="preserve"> PAGE   \* MERGEFORMAT </w:instrText>
    </w:r>
    <w:r>
      <w:rPr>
        <w:sz w:val="24"/>
      </w:rPr>
      <w:fldChar w:fldCharType="separate"/>
    </w:r>
    <w:r w:rsidR="000F41F1" w:rsidRPr="000F41F1">
      <w:rPr>
        <w:noProof/>
        <w:sz w:val="20"/>
        <w:szCs w:val="20"/>
      </w:rPr>
      <w:t>1</w:t>
    </w:r>
    <w:r>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Default="008C5FA8" w:rsidP="00BF20CC">
    <w:pPr>
      <w:pStyle w:val="Footer"/>
      <w:tabs>
        <w:tab w:val="clear" w:pos="4320"/>
        <w:tab w:val="clear" w:pos="8640"/>
        <w:tab w:val="right" w:pos="9639"/>
      </w:tabs>
    </w:pPr>
    <w:r>
      <w:rPr>
        <w:sz w:val="24"/>
      </w:rPr>
      <w:fldChar w:fldCharType="begin"/>
    </w:r>
    <w:r>
      <w:instrText xml:space="preserve"> PAGE   \* MERGEFORMAT </w:instrText>
    </w:r>
    <w:r>
      <w:rPr>
        <w:sz w:val="24"/>
      </w:rPr>
      <w:fldChar w:fldCharType="separate"/>
    </w:r>
    <w:r w:rsidR="007E1789" w:rsidRPr="007E1789">
      <w:rPr>
        <w:noProof/>
        <w:sz w:val="20"/>
        <w:szCs w:val="20"/>
      </w:rPr>
      <w:t>42</w:t>
    </w:r>
    <w:r>
      <w:rPr>
        <w:noProof/>
        <w:sz w:val="20"/>
        <w:szCs w:val="20"/>
      </w:rPr>
      <w:fldChar w:fldCharType="end"/>
    </w:r>
    <w:r w:rsidRPr="00455B36">
      <w:rPr>
        <w:sz w:val="20"/>
        <w:szCs w:val="20"/>
      </w:rPr>
      <w:tab/>
    </w:r>
    <w:r>
      <w:rPr>
        <w:i/>
        <w:sz w:val="20"/>
        <w:szCs w:val="20"/>
      </w:rPr>
      <w:t>PIC Circular X</w:t>
    </w:r>
    <w:r>
      <w:rPr>
        <w:i/>
        <w:sz w:val="20"/>
        <w:szCs w:val="20"/>
        <w:lang w:val="de-CH"/>
      </w:rPr>
      <w:t xml:space="preserve">L </w:t>
    </w:r>
    <w:r>
      <w:rPr>
        <w:i/>
        <w:sz w:val="20"/>
        <w:szCs w:val="20"/>
      </w:rPr>
      <w:t>(</w:t>
    </w:r>
    <w:r>
      <w:rPr>
        <w:i/>
        <w:sz w:val="20"/>
        <w:szCs w:val="20"/>
        <w:lang w:val="de-CH"/>
      </w:rPr>
      <w:t xml:space="preserve">December </w:t>
    </w:r>
    <w:r>
      <w:rPr>
        <w:i/>
        <w:sz w:val="20"/>
        <w:szCs w:val="20"/>
        <w:lang w:val="en-GB"/>
      </w:rPr>
      <w:t>2014</w:t>
    </w:r>
    <w:r>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40" w:rsidRDefault="00FC4140">
      <w:r>
        <w:separator/>
      </w:r>
    </w:p>
  </w:footnote>
  <w:footnote w:type="continuationSeparator" w:id="0">
    <w:p w:rsidR="00FC4140" w:rsidRDefault="00FC4140">
      <w:r>
        <w:continuationSeparator/>
      </w:r>
    </w:p>
  </w:footnote>
  <w:footnote w:id="1">
    <w:p w:rsidR="008C5FA8" w:rsidRPr="004F7EF9" w:rsidRDefault="008C5FA8" w:rsidP="00D872C1">
      <w:pPr>
        <w:pStyle w:val="FootnoteText"/>
        <w:rPr>
          <w:lang w:val="fr-CH"/>
        </w:rPr>
      </w:pPr>
      <w:r>
        <w:rPr>
          <w:rStyle w:val="FootnoteReference"/>
        </w:rPr>
        <w:footnoteRef/>
      </w:r>
      <w:r>
        <w:t xml:space="preserve"> </w:t>
      </w:r>
      <w:hyperlink r:id="rId1" w:history="1">
        <w:r w:rsidRPr="006E6B74">
          <w:rPr>
            <w:rStyle w:val="Hyperlink"/>
          </w:rPr>
          <w:t>http://www.pic.int/tabid/2011/Default.aspx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D74544" w:rsidRDefault="008C5FA8" w:rsidP="00D745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CA2689" w:rsidRDefault="008C5FA8" w:rsidP="007B68CF">
    <w:pPr>
      <w:pStyle w:val="Header"/>
      <w:tabs>
        <w:tab w:val="clear" w:pos="4320"/>
        <w:tab w:val="clear" w:pos="8640"/>
        <w:tab w:val="right" w:pos="9639"/>
      </w:tabs>
      <w:rPr>
        <w:rFonts w:ascii="Arial" w:hAnsi="Arial" w:cs="Arial"/>
        <w:i/>
        <w:sz w:val="18"/>
        <w:szCs w:val="18"/>
      </w:rPr>
    </w:pPr>
    <w:r w:rsidRPr="00CA2689">
      <w:rPr>
        <w:rFonts w:ascii="Arial" w:hAnsi="Arial" w:cs="Arial"/>
        <w:sz w:val="18"/>
        <w:szCs w:val="18"/>
      </w:rPr>
      <w:t>Appendix VI</w:t>
    </w:r>
    <w:r w:rsidRPr="00CA2689">
      <w:rPr>
        <w:rFonts w:ascii="Arial" w:hAnsi="Arial" w:cs="Arial"/>
        <w:sz w:val="18"/>
        <w:szCs w:val="18"/>
      </w:rPr>
      <w:tab/>
      <w:t>Information exchange on chemicals recommended for inclusion in Annex III</w:t>
    </w:r>
  </w:p>
  <w:p w:rsidR="008C5FA8" w:rsidRPr="00B84AB0" w:rsidRDefault="008C5FA8" w:rsidP="007B68CF">
    <w:pPr>
      <w:pStyle w:val="Header"/>
      <w:pBdr>
        <w:top w:val="single" w:sz="4" w:space="1" w:color="auto"/>
      </w:pBd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017F65" w:rsidRDefault="008C5FA8" w:rsidP="000965A1">
    <w:pPr>
      <w:pStyle w:val="Header"/>
      <w:pBdr>
        <w:bottom w:val="single" w:sz="6" w:space="1" w:color="auto"/>
      </w:pBdr>
      <w:tabs>
        <w:tab w:val="clear" w:pos="4320"/>
        <w:tab w:val="clear" w:pos="8640"/>
        <w:tab w:val="right" w:pos="9630"/>
      </w:tabs>
      <w:jc w:val="right"/>
      <w:rPr>
        <w:sz w:val="20"/>
        <w:szCs w:val="20"/>
        <w:lang w:val="fr-CH"/>
      </w:rPr>
    </w:pPr>
    <w:r w:rsidRPr="00017F65">
      <w:rPr>
        <w:sz w:val="20"/>
        <w:szCs w:val="20"/>
        <w:lang w:val="fr-CH"/>
      </w:rPr>
      <w:t>Notificaciones de medida reglamentaria firme</w:t>
    </w:r>
  </w:p>
  <w:p w:rsidR="008C5FA8" w:rsidRDefault="008C5FA8" w:rsidP="00B866B3">
    <w:pPr>
      <w:pStyle w:val="Header"/>
      <w:pBdr>
        <w:bottom w:val="single" w:sz="6" w:space="1" w:color="auto"/>
      </w:pBdr>
      <w:tabs>
        <w:tab w:val="clear" w:pos="4320"/>
        <w:tab w:val="clear" w:pos="8640"/>
        <w:tab w:val="right" w:pos="9630"/>
      </w:tabs>
      <w:rPr>
        <w:sz w:val="20"/>
        <w:szCs w:val="20"/>
        <w:lang w:val="fr-CH"/>
      </w:rPr>
    </w:pPr>
    <w:r w:rsidRPr="00B866B3">
      <w:rPr>
        <w:sz w:val="20"/>
        <w:szCs w:val="20"/>
        <w:lang w:val="fr-CH"/>
      </w:rPr>
      <w:t>Apéndice V</w:t>
    </w:r>
    <w:r w:rsidRPr="00B866B3">
      <w:rPr>
        <w:sz w:val="20"/>
        <w:szCs w:val="20"/>
        <w:lang w:val="fr-CH"/>
      </w:rPr>
      <w:tab/>
    </w:r>
    <w:r>
      <w:rPr>
        <w:sz w:val="20"/>
        <w:szCs w:val="20"/>
        <w:lang w:val="fr-CH"/>
      </w:rPr>
      <w:t>para productos quimicos</w:t>
    </w:r>
    <w:r w:rsidRPr="00B866B3">
      <w:rPr>
        <w:sz w:val="20"/>
        <w:szCs w:val="20"/>
        <w:lang w:val="fr-CH"/>
      </w:rPr>
      <w:t xml:space="preserve"> que no están incluidos en el </w:t>
    </w:r>
    <w:r>
      <w:rPr>
        <w:sz w:val="20"/>
        <w:szCs w:val="20"/>
        <w:lang w:val="fr-CH"/>
      </w:rPr>
      <w:t>a</w:t>
    </w:r>
    <w:r w:rsidRPr="00B866B3">
      <w:rPr>
        <w:sz w:val="20"/>
        <w:szCs w:val="20"/>
        <w:lang w:val="fr-CH"/>
      </w:rPr>
      <w:t>nexo III</w:t>
    </w:r>
  </w:p>
  <w:p w:rsidR="008C5FA8" w:rsidRPr="00B866B3" w:rsidRDefault="008C5FA8" w:rsidP="00913073">
    <w:pPr>
      <w:pStyle w:val="Header"/>
      <w:rPr>
        <w:szCs w:val="20"/>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017F65" w:rsidRDefault="008C5FA8" w:rsidP="000965A1">
    <w:pPr>
      <w:pStyle w:val="Header"/>
      <w:pBdr>
        <w:bottom w:val="single" w:sz="6" w:space="1" w:color="auto"/>
      </w:pBdr>
      <w:tabs>
        <w:tab w:val="clear" w:pos="4320"/>
        <w:tab w:val="clear" w:pos="8640"/>
        <w:tab w:val="right" w:pos="9630"/>
      </w:tabs>
      <w:jc w:val="right"/>
      <w:rPr>
        <w:sz w:val="20"/>
        <w:szCs w:val="20"/>
        <w:lang w:val="fr-CH"/>
      </w:rPr>
    </w:pPr>
    <w:r w:rsidRPr="00017F65">
      <w:rPr>
        <w:sz w:val="20"/>
        <w:szCs w:val="20"/>
        <w:lang w:val="fr-CH"/>
      </w:rPr>
      <w:t>Notificaciones de medida reglamentaria firme</w:t>
    </w:r>
  </w:p>
  <w:p w:rsidR="008C5FA8" w:rsidRDefault="008C5FA8" w:rsidP="005228C1">
    <w:pPr>
      <w:pStyle w:val="Header"/>
      <w:pBdr>
        <w:bottom w:val="single" w:sz="6" w:space="1" w:color="auto"/>
      </w:pBdr>
      <w:tabs>
        <w:tab w:val="clear" w:pos="4320"/>
        <w:tab w:val="clear" w:pos="8640"/>
        <w:tab w:val="right" w:pos="9630"/>
      </w:tabs>
      <w:rPr>
        <w:sz w:val="20"/>
        <w:szCs w:val="20"/>
        <w:lang w:val="fr-CH"/>
      </w:rPr>
    </w:pPr>
    <w:r w:rsidRPr="00B866B3">
      <w:rPr>
        <w:sz w:val="20"/>
        <w:szCs w:val="20"/>
        <w:lang w:val="fr-CH"/>
      </w:rPr>
      <w:t>Apéndice V</w:t>
    </w:r>
    <w:r w:rsidRPr="00B866B3">
      <w:rPr>
        <w:sz w:val="20"/>
        <w:szCs w:val="20"/>
        <w:lang w:val="fr-CH"/>
      </w:rPr>
      <w:tab/>
    </w:r>
    <w:r>
      <w:rPr>
        <w:sz w:val="20"/>
        <w:szCs w:val="20"/>
        <w:lang w:val="fr-CH"/>
      </w:rPr>
      <w:t>para productos quimicos</w:t>
    </w:r>
    <w:r w:rsidRPr="00B866B3">
      <w:rPr>
        <w:sz w:val="20"/>
        <w:szCs w:val="20"/>
        <w:lang w:val="fr-CH"/>
      </w:rPr>
      <w:t xml:space="preserve"> que no están incluidos en el </w:t>
    </w:r>
    <w:r>
      <w:rPr>
        <w:sz w:val="20"/>
        <w:szCs w:val="20"/>
        <w:lang w:val="fr-CH"/>
      </w:rPr>
      <w:t>a</w:t>
    </w:r>
    <w:r w:rsidRPr="00B866B3">
      <w:rPr>
        <w:sz w:val="20"/>
        <w:szCs w:val="20"/>
        <w:lang w:val="fr-CH"/>
      </w:rPr>
      <w:t>nexo III</w:t>
    </w:r>
  </w:p>
  <w:p w:rsidR="008C5FA8" w:rsidRPr="008C5FA8" w:rsidRDefault="008C5FA8" w:rsidP="005228C1">
    <w:pPr>
      <w:pStyle w:val="Header"/>
      <w:pBdr>
        <w:bottom w:val="single" w:sz="6" w:space="1" w:color="auto"/>
      </w:pBdr>
      <w:tabs>
        <w:tab w:val="clear" w:pos="4320"/>
        <w:tab w:val="clear" w:pos="8640"/>
        <w:tab w:val="right" w:pos="9630"/>
      </w:tabs>
      <w:rPr>
        <w:i/>
        <w:sz w:val="20"/>
        <w:szCs w:val="20"/>
        <w:lang w:val="fr-CH"/>
      </w:rPr>
    </w:pPr>
    <w:r w:rsidRPr="008C5FA8">
      <w:rPr>
        <w:i/>
        <w:sz w:val="20"/>
        <w:szCs w:val="20"/>
        <w:lang w:val="fr-CH"/>
      </w:rPr>
      <w:t>Parte A</w:t>
    </w:r>
    <w:r w:rsidRPr="008C5FA8">
      <w:rPr>
        <w:sz w:val="20"/>
        <w:szCs w:val="20"/>
        <w:lang w:val="fr-CH"/>
      </w:rPr>
      <w:tab/>
    </w:r>
    <w:r w:rsidR="007422FD">
      <w:rPr>
        <w:i/>
        <w:sz w:val="20"/>
        <w:szCs w:val="20"/>
        <w:lang w:val="fr-CH"/>
      </w:rPr>
      <w:t>verificado</w:t>
    </w:r>
    <w:r w:rsidRPr="008C5FA8">
      <w:rPr>
        <w:i/>
        <w:sz w:val="20"/>
        <w:szCs w:val="20"/>
        <w:lang w:val="fr-CH"/>
      </w:rPr>
      <w:t xml:space="preserve"> que contienen </w:t>
    </w:r>
    <w:r w:rsidR="007422FD">
      <w:rPr>
        <w:i/>
        <w:sz w:val="20"/>
        <w:szCs w:val="20"/>
        <w:lang w:val="fr-CH"/>
      </w:rPr>
      <w:t xml:space="preserve">toda </w:t>
    </w:r>
    <w:r w:rsidRPr="008C5FA8">
      <w:rPr>
        <w:i/>
        <w:sz w:val="20"/>
        <w:szCs w:val="20"/>
        <w:lang w:val="fr-CH"/>
      </w:rPr>
      <w:t>la información estipulada en el anexo I del Convenio</w:t>
    </w:r>
  </w:p>
  <w:p w:rsidR="008C5FA8" w:rsidRPr="008C5FA8" w:rsidRDefault="008C5FA8" w:rsidP="00913073">
    <w:pPr>
      <w:pStyle w:val="Header"/>
      <w:tabs>
        <w:tab w:val="clear" w:pos="4320"/>
        <w:tab w:val="clear" w:pos="8640"/>
        <w:tab w:val="right" w:pos="9072"/>
      </w:tabs>
      <w:rPr>
        <w:b/>
        <w:sz w:val="20"/>
        <w:szCs w:val="20"/>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6D09CE" w:rsidRDefault="008C5FA8" w:rsidP="006D09CE">
    <w:pPr>
      <w:pStyle w:val="Header"/>
      <w:pBdr>
        <w:bottom w:val="single" w:sz="6" w:space="1" w:color="auto"/>
      </w:pBdr>
      <w:tabs>
        <w:tab w:val="clear" w:pos="4320"/>
        <w:tab w:val="clear" w:pos="8640"/>
        <w:tab w:val="right" w:pos="9630"/>
      </w:tabs>
      <w:jc w:val="right"/>
      <w:rPr>
        <w:sz w:val="20"/>
        <w:szCs w:val="20"/>
        <w:lang w:val="fr-CH"/>
      </w:rPr>
    </w:pPr>
    <w:r w:rsidRPr="006D09CE">
      <w:rPr>
        <w:sz w:val="20"/>
        <w:szCs w:val="20"/>
        <w:lang w:val="fr-CH"/>
      </w:rPr>
      <w:t>Notificaciones de medida reglamentaria firme</w:t>
    </w:r>
  </w:p>
  <w:p w:rsidR="008C5FA8" w:rsidRDefault="008C5FA8" w:rsidP="006D09CE">
    <w:pPr>
      <w:pStyle w:val="Header"/>
      <w:pBdr>
        <w:bottom w:val="single" w:sz="6" w:space="1" w:color="auto"/>
      </w:pBdr>
      <w:tabs>
        <w:tab w:val="clear" w:pos="4320"/>
        <w:tab w:val="clear" w:pos="8640"/>
        <w:tab w:val="right" w:pos="9630"/>
      </w:tabs>
      <w:rPr>
        <w:sz w:val="20"/>
        <w:szCs w:val="20"/>
        <w:lang w:val="fr-CH"/>
      </w:rPr>
    </w:pPr>
    <w:r w:rsidRPr="00B866B3">
      <w:rPr>
        <w:sz w:val="20"/>
        <w:szCs w:val="20"/>
        <w:lang w:val="fr-CH"/>
      </w:rPr>
      <w:t>Apéndice V</w:t>
    </w:r>
    <w:r w:rsidRPr="00B866B3">
      <w:rPr>
        <w:sz w:val="20"/>
        <w:szCs w:val="20"/>
        <w:lang w:val="fr-CH"/>
      </w:rPr>
      <w:tab/>
    </w:r>
    <w:r>
      <w:rPr>
        <w:sz w:val="20"/>
        <w:szCs w:val="20"/>
        <w:lang w:val="fr-CH"/>
      </w:rPr>
      <w:t>para productos quimicos</w:t>
    </w:r>
    <w:r w:rsidRPr="00B866B3">
      <w:rPr>
        <w:sz w:val="20"/>
        <w:szCs w:val="20"/>
        <w:lang w:val="fr-CH"/>
      </w:rPr>
      <w:t xml:space="preserve"> que no están incluidos en el </w:t>
    </w:r>
    <w:r>
      <w:rPr>
        <w:sz w:val="20"/>
        <w:szCs w:val="20"/>
        <w:lang w:val="fr-CH"/>
      </w:rPr>
      <w:t>a</w:t>
    </w:r>
    <w:r w:rsidRPr="00B866B3">
      <w:rPr>
        <w:sz w:val="20"/>
        <w:szCs w:val="20"/>
        <w:lang w:val="fr-CH"/>
      </w:rPr>
      <w:t>nexo III</w:t>
    </w:r>
  </w:p>
  <w:p w:rsidR="008C5FA8" w:rsidRPr="00F60855" w:rsidRDefault="008C5FA8" w:rsidP="006D09CE">
    <w:pPr>
      <w:pStyle w:val="Header"/>
      <w:pBdr>
        <w:bottom w:val="single" w:sz="6" w:space="1" w:color="auto"/>
      </w:pBdr>
      <w:tabs>
        <w:tab w:val="clear" w:pos="4320"/>
        <w:tab w:val="clear" w:pos="8640"/>
        <w:tab w:val="right" w:pos="9630"/>
      </w:tabs>
      <w:rPr>
        <w:i/>
        <w:sz w:val="20"/>
        <w:szCs w:val="20"/>
        <w:lang w:val="fr-CH"/>
      </w:rPr>
    </w:pPr>
    <w:r w:rsidRPr="00F60855">
      <w:rPr>
        <w:i/>
        <w:sz w:val="20"/>
        <w:szCs w:val="20"/>
        <w:lang w:val="fr-CH"/>
      </w:rPr>
      <w:t>Parte B</w:t>
    </w:r>
    <w:r w:rsidRPr="00F60855">
      <w:rPr>
        <w:sz w:val="20"/>
        <w:szCs w:val="20"/>
        <w:lang w:val="fr-CH"/>
      </w:rPr>
      <w:tab/>
    </w:r>
    <w:r w:rsidR="0068558D">
      <w:rPr>
        <w:i/>
        <w:sz w:val="20"/>
        <w:szCs w:val="20"/>
        <w:lang w:val="fr-CH"/>
      </w:rPr>
      <w:t>verificado</w:t>
    </w:r>
    <w:r w:rsidRPr="00F60855">
      <w:rPr>
        <w:i/>
        <w:sz w:val="20"/>
        <w:szCs w:val="20"/>
        <w:lang w:val="fr-CH"/>
      </w:rPr>
      <w:t xml:space="preserve"> que no </w:t>
    </w:r>
    <w:r w:rsidR="00F60855" w:rsidRPr="00F60855">
      <w:rPr>
        <w:i/>
        <w:sz w:val="20"/>
        <w:szCs w:val="20"/>
        <w:lang w:val="fr-CH"/>
      </w:rPr>
      <w:t xml:space="preserve">contienen </w:t>
    </w:r>
    <w:r w:rsidR="0068558D">
      <w:rPr>
        <w:i/>
        <w:sz w:val="20"/>
        <w:szCs w:val="20"/>
        <w:lang w:val="fr-CH"/>
      </w:rPr>
      <w:t xml:space="preserve">toda </w:t>
    </w:r>
    <w:r w:rsidR="00F60855" w:rsidRPr="00F60855">
      <w:rPr>
        <w:i/>
        <w:sz w:val="20"/>
        <w:szCs w:val="20"/>
        <w:lang w:val="fr-CH"/>
      </w:rPr>
      <w:t xml:space="preserve">la información estipulada en </w:t>
    </w:r>
    <w:r w:rsidRPr="00F60855">
      <w:rPr>
        <w:i/>
        <w:sz w:val="20"/>
        <w:szCs w:val="20"/>
        <w:lang w:val="fr-CH"/>
      </w:rPr>
      <w:t>el anexo I</w:t>
    </w:r>
  </w:p>
  <w:p w:rsidR="008C5FA8" w:rsidRPr="00F60855" w:rsidRDefault="008C5FA8" w:rsidP="00913073">
    <w:pPr>
      <w:pStyle w:val="Header"/>
      <w:tabs>
        <w:tab w:val="clear" w:pos="4320"/>
        <w:tab w:val="clear" w:pos="8640"/>
        <w:tab w:val="right" w:pos="9072"/>
      </w:tabs>
      <w:rPr>
        <w:b/>
        <w:sz w:val="20"/>
        <w:szCs w:val="20"/>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936231" w:rsidRDefault="008C5FA8" w:rsidP="00936231">
    <w:pPr>
      <w:pStyle w:val="Header"/>
      <w:pBdr>
        <w:bottom w:val="single" w:sz="6" w:space="1" w:color="auto"/>
      </w:pBdr>
      <w:tabs>
        <w:tab w:val="clear" w:pos="4320"/>
        <w:tab w:val="clear" w:pos="8640"/>
        <w:tab w:val="right" w:pos="9630"/>
      </w:tabs>
      <w:rPr>
        <w:sz w:val="20"/>
        <w:szCs w:val="20"/>
        <w:lang w:val="fr-CH"/>
      </w:rPr>
    </w:pPr>
    <w:r w:rsidRPr="00936231">
      <w:rPr>
        <w:sz w:val="20"/>
        <w:lang w:val="fr-CH"/>
      </w:rPr>
      <w:t>Apéndice</w:t>
    </w:r>
    <w:r w:rsidRPr="00936231">
      <w:rPr>
        <w:sz w:val="20"/>
        <w:szCs w:val="20"/>
        <w:lang w:val="fr-CH"/>
      </w:rPr>
      <w:t xml:space="preserve"> VI</w:t>
    </w:r>
    <w:r w:rsidRPr="00936231">
      <w:rPr>
        <w:sz w:val="20"/>
        <w:szCs w:val="20"/>
        <w:lang w:val="fr-CH"/>
      </w:rPr>
      <w:tab/>
    </w:r>
    <w:r w:rsidRPr="00936231">
      <w:rPr>
        <w:sz w:val="20"/>
        <w:lang w:val="fr-CH"/>
      </w:rPr>
      <w:t xml:space="preserve">Intercambio </w:t>
    </w:r>
    <w:proofErr w:type="gramStart"/>
    <w:r w:rsidRPr="00936231">
      <w:rPr>
        <w:sz w:val="20"/>
        <w:lang w:val="fr-CH"/>
      </w:rPr>
      <w:t>de información</w:t>
    </w:r>
    <w:proofErr w:type="gramEnd"/>
    <w:r w:rsidRPr="00936231">
      <w:rPr>
        <w:sz w:val="20"/>
        <w:lang w:val="fr-CH"/>
      </w:rPr>
      <w:t xml:space="preserve"> sobre productos químicos recomendados por inclusión en el </w:t>
    </w:r>
    <w:r>
      <w:rPr>
        <w:sz w:val="20"/>
        <w:lang w:val="fr-CH"/>
      </w:rPr>
      <w:t>a</w:t>
    </w:r>
    <w:r w:rsidRPr="00936231">
      <w:rPr>
        <w:sz w:val="20"/>
        <w:lang w:val="fr-CH"/>
      </w:rPr>
      <w:t>nexo III</w:t>
    </w:r>
  </w:p>
  <w:p w:rsidR="008C5FA8" w:rsidRPr="00936231" w:rsidRDefault="008C5FA8" w:rsidP="007F589F">
    <w:pPr>
      <w:pStyle w:val="Header"/>
      <w:rPr>
        <w:szCs w:val="20"/>
        <w:lang w:val="fr-CH"/>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0D3F31" w:rsidRDefault="008C5FA8" w:rsidP="000D3F31">
    <w:pPr>
      <w:pStyle w:val="Header"/>
      <w:pBdr>
        <w:bottom w:val="single" w:sz="6" w:space="1" w:color="auto"/>
      </w:pBdr>
      <w:tabs>
        <w:tab w:val="clear" w:pos="4320"/>
        <w:tab w:val="clear" w:pos="8640"/>
        <w:tab w:val="right" w:pos="9630"/>
      </w:tabs>
      <w:rPr>
        <w:i/>
        <w:sz w:val="20"/>
        <w:szCs w:val="20"/>
        <w:lang w:val="fr-CH"/>
      </w:rPr>
    </w:pPr>
    <w:r w:rsidRPr="00936231">
      <w:rPr>
        <w:sz w:val="20"/>
        <w:lang w:val="fr-CH"/>
      </w:rPr>
      <w:t>Apéndice</w:t>
    </w:r>
    <w:r w:rsidRPr="00936231">
      <w:rPr>
        <w:sz w:val="20"/>
        <w:szCs w:val="20"/>
        <w:lang w:val="fr-CH"/>
      </w:rPr>
      <w:t xml:space="preserve"> VI</w:t>
    </w:r>
    <w:r w:rsidRPr="00936231">
      <w:rPr>
        <w:sz w:val="20"/>
        <w:szCs w:val="20"/>
        <w:lang w:val="fr-CH"/>
      </w:rPr>
      <w:tab/>
    </w:r>
    <w:r w:rsidRPr="00936231">
      <w:rPr>
        <w:sz w:val="20"/>
        <w:lang w:val="fr-CH"/>
      </w:rPr>
      <w:t xml:space="preserve">Intercambio </w:t>
    </w:r>
    <w:proofErr w:type="gramStart"/>
    <w:r w:rsidRPr="00936231">
      <w:rPr>
        <w:sz w:val="20"/>
        <w:lang w:val="fr-CH"/>
      </w:rPr>
      <w:t>de información</w:t>
    </w:r>
    <w:proofErr w:type="gramEnd"/>
    <w:r w:rsidRPr="00936231">
      <w:rPr>
        <w:sz w:val="20"/>
        <w:lang w:val="fr-CH"/>
      </w:rPr>
      <w:t xml:space="preserve"> sobre productos químicos recomendados por inclusión en el </w:t>
    </w:r>
    <w:r>
      <w:rPr>
        <w:sz w:val="20"/>
        <w:lang w:val="fr-CH"/>
      </w:rPr>
      <w:t>a</w:t>
    </w:r>
    <w:r w:rsidRPr="00936231">
      <w:rPr>
        <w:sz w:val="20"/>
        <w:lang w:val="fr-CH"/>
      </w:rPr>
      <w:t>nexo III</w:t>
    </w:r>
    <w:r w:rsidRPr="000D3F31">
      <w:rPr>
        <w:i/>
        <w:sz w:val="20"/>
        <w:szCs w:val="20"/>
        <w:lang w:val="fr-CH"/>
      </w:rPr>
      <w:t xml:space="preserve"> </w:t>
    </w:r>
  </w:p>
  <w:p w:rsidR="008C5FA8" w:rsidRPr="000D3F31" w:rsidRDefault="008C5FA8" w:rsidP="007F589F">
    <w:pPr>
      <w:pStyle w:val="Header"/>
      <w:rPr>
        <w:szCs w:val="2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A61D8A" w:rsidRDefault="008C5FA8" w:rsidP="00EB4A13">
    <w:pPr>
      <w:pStyle w:val="Header"/>
      <w:pBdr>
        <w:bottom w:val="single" w:sz="6" w:space="1" w:color="auto"/>
      </w:pBdr>
      <w:tabs>
        <w:tab w:val="clear" w:pos="4320"/>
        <w:tab w:val="clear" w:pos="8640"/>
        <w:tab w:val="right" w:pos="9072"/>
      </w:tabs>
      <w:rPr>
        <w:sz w:val="20"/>
        <w:szCs w:val="20"/>
        <w:lang w:val="fr-CH"/>
      </w:rPr>
    </w:pPr>
    <w:r w:rsidRPr="00A61D8A">
      <w:rPr>
        <w:sz w:val="20"/>
        <w:szCs w:val="20"/>
        <w:lang w:val="fr-CH"/>
      </w:rPr>
      <w:t>Apéndice I</w:t>
    </w:r>
    <w:r w:rsidRPr="00A61D8A">
      <w:rPr>
        <w:sz w:val="20"/>
        <w:szCs w:val="20"/>
        <w:lang w:val="fr-CH"/>
      </w:rPr>
      <w:tab/>
    </w:r>
    <w:r>
      <w:rPr>
        <w:sz w:val="20"/>
        <w:szCs w:val="20"/>
        <w:lang w:val="fr-CH"/>
      </w:rPr>
      <w:t>Sinopsis</w:t>
    </w:r>
    <w:r w:rsidRPr="00A61D8A">
      <w:rPr>
        <w:sz w:val="20"/>
        <w:szCs w:val="20"/>
        <w:lang w:val="fr-CH"/>
      </w:rPr>
      <w:t xml:space="preserve"> de las nuevas notificaciones de medida reglamentaria firme</w:t>
    </w:r>
  </w:p>
  <w:p w:rsidR="008C5FA8" w:rsidRPr="00A61D8A" w:rsidRDefault="008C5FA8" w:rsidP="00EB4A13">
    <w:pPr>
      <w:pStyle w:val="Header"/>
      <w:rPr>
        <w:sz w:val="20"/>
        <w:szCs w:val="20"/>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EE7680" w:rsidRDefault="008C5FA8" w:rsidP="00544A0D">
    <w:pPr>
      <w:pStyle w:val="Header"/>
      <w:pBdr>
        <w:bottom w:val="single" w:sz="6" w:space="1" w:color="auto"/>
      </w:pBdr>
      <w:tabs>
        <w:tab w:val="clear" w:pos="4320"/>
        <w:tab w:val="clear" w:pos="8640"/>
        <w:tab w:val="right" w:pos="9900"/>
      </w:tabs>
      <w:rPr>
        <w:sz w:val="20"/>
        <w:szCs w:val="20"/>
        <w:lang w:val="fr-CH"/>
      </w:rPr>
    </w:pPr>
    <w:r w:rsidRPr="00EE7680">
      <w:rPr>
        <w:sz w:val="20"/>
        <w:szCs w:val="20"/>
        <w:lang w:val="fr-CH"/>
      </w:rPr>
      <w:t>Apéndice I</w:t>
    </w:r>
    <w:r w:rsidRPr="00EE7680">
      <w:rPr>
        <w:sz w:val="20"/>
        <w:szCs w:val="20"/>
        <w:lang w:val="fr-CH"/>
      </w:rPr>
      <w:tab/>
      <w:t>Sinopsis de las notificaciones de medida reglamentaria firme</w:t>
    </w:r>
  </w:p>
  <w:p w:rsidR="008C5FA8" w:rsidRPr="00EE7680" w:rsidRDefault="008C5FA8" w:rsidP="00544A0D">
    <w:pPr>
      <w:pStyle w:val="Header"/>
      <w:pBdr>
        <w:bottom w:val="single" w:sz="6" w:space="1" w:color="auto"/>
      </w:pBdr>
      <w:tabs>
        <w:tab w:val="clear" w:pos="4320"/>
        <w:tab w:val="clear" w:pos="8640"/>
        <w:tab w:val="right" w:pos="9900"/>
      </w:tabs>
      <w:rPr>
        <w:i/>
        <w:sz w:val="20"/>
        <w:szCs w:val="20"/>
        <w:lang w:val="fr-CH"/>
      </w:rPr>
    </w:pPr>
    <w:r w:rsidRPr="00FB2D20">
      <w:rPr>
        <w:i/>
        <w:sz w:val="20"/>
        <w:szCs w:val="20"/>
        <w:lang w:val="es-AR"/>
      </w:rPr>
      <w:t xml:space="preserve">Parte </w:t>
    </w:r>
    <w:proofErr w:type="gramStart"/>
    <w:r w:rsidRPr="00FB2D20">
      <w:rPr>
        <w:i/>
        <w:sz w:val="20"/>
        <w:szCs w:val="20"/>
        <w:lang w:val="es-AR"/>
      </w:rPr>
      <w:t>A</w:t>
    </w:r>
    <w:proofErr w:type="gramEnd"/>
    <w:r w:rsidRPr="00FB2D20">
      <w:rPr>
        <w:sz w:val="20"/>
        <w:szCs w:val="20"/>
        <w:lang w:val="es-AR"/>
      </w:rPr>
      <w:tab/>
    </w:r>
    <w:r w:rsidR="00BC51BD" w:rsidRPr="00FB2D20">
      <w:rPr>
        <w:i/>
        <w:sz w:val="20"/>
        <w:szCs w:val="20"/>
        <w:lang w:val="es-AR"/>
      </w:rPr>
      <w:t>v</w:t>
    </w:r>
    <w:r w:rsidRPr="00FB2D20">
      <w:rPr>
        <w:i/>
        <w:sz w:val="20"/>
        <w:szCs w:val="20"/>
        <w:lang w:val="es-AR"/>
      </w:rPr>
      <w:t>erificado que contienen toda la información estipulada en el anexo I</w:t>
    </w:r>
  </w:p>
  <w:p w:rsidR="008C5FA8" w:rsidRPr="00EE7680" w:rsidRDefault="008C5FA8" w:rsidP="00815FE5">
    <w:pPr>
      <w:pStyle w:val="Header"/>
      <w:tabs>
        <w:tab w:val="clear" w:pos="4320"/>
        <w:tab w:val="clear" w:pos="8640"/>
        <w:tab w:val="right" w:pos="9072"/>
      </w:tabs>
      <w:rPr>
        <w:b/>
        <w:sz w:val="20"/>
        <w:szCs w:val="20"/>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433909" w:rsidRDefault="008C5FA8" w:rsidP="00A84B0B">
    <w:pPr>
      <w:pStyle w:val="Header"/>
      <w:pBdr>
        <w:bottom w:val="single" w:sz="4" w:space="1" w:color="auto"/>
      </w:pBdr>
      <w:tabs>
        <w:tab w:val="clear" w:pos="4320"/>
        <w:tab w:val="clear" w:pos="8640"/>
        <w:tab w:val="right" w:pos="9072"/>
      </w:tabs>
      <w:rPr>
        <w:sz w:val="20"/>
        <w:szCs w:val="20"/>
        <w:lang w:val="en-GB"/>
      </w:rPr>
    </w:pPr>
    <w:r>
      <w:rPr>
        <w:sz w:val="20"/>
        <w:szCs w:val="20"/>
      </w:rPr>
      <w:t>Appendix II</w:t>
    </w:r>
    <w:r>
      <w:rPr>
        <w:sz w:val="20"/>
        <w:szCs w:val="20"/>
      </w:rPr>
      <w:tab/>
    </w:r>
  </w:p>
  <w:p w:rsidR="008C5FA8" w:rsidRPr="00433909" w:rsidRDefault="008C5FA8" w:rsidP="00A84B0B">
    <w:pPr>
      <w:pStyle w:val="Header"/>
      <w:tabs>
        <w:tab w:val="clear" w:pos="4320"/>
        <w:tab w:val="clear" w:pos="8640"/>
        <w:tab w:val="left" w:pos="4605"/>
        <w:tab w:val="right" w:pos="9072"/>
      </w:tabs>
      <w:rPr>
        <w:sz w:val="20"/>
        <w:szCs w:val="20"/>
        <w:lang w:val="en-GB"/>
      </w:rPr>
    </w:pPr>
    <w:r>
      <w:rPr>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A34CFD" w:rsidRDefault="008C5FA8" w:rsidP="005068F2">
    <w:pPr>
      <w:pStyle w:val="Header"/>
      <w:pBdr>
        <w:bottom w:val="single" w:sz="6" w:space="1" w:color="auto"/>
      </w:pBdr>
      <w:tabs>
        <w:tab w:val="clear" w:pos="4320"/>
        <w:tab w:val="clear" w:pos="8640"/>
        <w:tab w:val="right" w:pos="9072"/>
      </w:tabs>
      <w:rPr>
        <w:sz w:val="20"/>
        <w:szCs w:val="20"/>
        <w:lang w:val="fr-CH"/>
      </w:rPr>
    </w:pPr>
    <w:r w:rsidRPr="00A34CFD">
      <w:rPr>
        <w:sz w:val="20"/>
        <w:szCs w:val="20"/>
        <w:lang w:val="fr-CH"/>
      </w:rPr>
      <w:t>Apéndice I</w:t>
    </w:r>
    <w:r w:rsidRPr="00A34CFD">
      <w:rPr>
        <w:sz w:val="20"/>
        <w:szCs w:val="20"/>
        <w:lang w:val="fr-CH"/>
      </w:rPr>
      <w:tab/>
      <w:t>Sinopsis de las notificaciones de medida reglamentaria firme</w:t>
    </w:r>
  </w:p>
  <w:p w:rsidR="008C5FA8" w:rsidRPr="00A34CFD" w:rsidRDefault="008C5FA8" w:rsidP="00884B4A">
    <w:pPr>
      <w:pStyle w:val="Header"/>
      <w:tabs>
        <w:tab w:val="clear" w:pos="4320"/>
        <w:tab w:val="clear" w:pos="8640"/>
        <w:tab w:val="right" w:pos="9072"/>
      </w:tabs>
      <w:rPr>
        <w:sz w:val="20"/>
        <w:szCs w:val="20"/>
        <w:u w:val="single"/>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Pr="00063D1B" w:rsidRDefault="008C5FA8" w:rsidP="008A1D9E">
    <w:pPr>
      <w:pStyle w:val="Header"/>
      <w:pBdr>
        <w:bottom w:val="single" w:sz="6" w:space="1" w:color="auto"/>
      </w:pBdr>
      <w:tabs>
        <w:tab w:val="clear" w:pos="4320"/>
        <w:tab w:val="clear" w:pos="8640"/>
        <w:tab w:val="right" w:pos="9072"/>
      </w:tabs>
      <w:rPr>
        <w:b/>
        <w:sz w:val="20"/>
        <w:szCs w:val="20"/>
        <w:lang w:val="fr-CH"/>
      </w:rPr>
    </w:pPr>
    <w:r w:rsidRPr="00063D1B">
      <w:rPr>
        <w:sz w:val="20"/>
        <w:szCs w:val="20"/>
        <w:lang w:val="fr-CH"/>
      </w:rPr>
      <w:t>Apéndice II</w:t>
    </w:r>
    <w:r w:rsidRPr="00063D1B">
      <w:rPr>
        <w:sz w:val="20"/>
        <w:szCs w:val="20"/>
        <w:lang w:val="fr-CH"/>
      </w:rPr>
      <w:tab/>
      <w:t xml:space="preserve">Propuestas para </w:t>
    </w:r>
    <w:proofErr w:type="gramStart"/>
    <w:r w:rsidRPr="00063D1B">
      <w:rPr>
        <w:sz w:val="20"/>
        <w:szCs w:val="20"/>
        <w:lang w:val="fr-CH"/>
      </w:rPr>
      <w:t>la inclusión</w:t>
    </w:r>
    <w:proofErr w:type="gramEnd"/>
    <w:r w:rsidRPr="00063D1B">
      <w:rPr>
        <w:sz w:val="20"/>
        <w:szCs w:val="20"/>
        <w:lang w:val="fr-CH"/>
      </w:rPr>
      <w:t xml:space="preserve"> de formulaciones plaguicidas extremadamente peligrosas</w:t>
    </w:r>
  </w:p>
  <w:p w:rsidR="008C5FA8" w:rsidRPr="00063D1B" w:rsidRDefault="008C5FA8">
    <w:pP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Default="008C5FA8" w:rsidP="000D7881">
    <w:pPr>
      <w:pStyle w:val="Header"/>
      <w:tabs>
        <w:tab w:val="clear" w:pos="4320"/>
        <w:tab w:val="clear" w:pos="8640"/>
        <w:tab w:val="right" w:pos="9600"/>
      </w:tabs>
      <w:rPr>
        <w:sz w:val="20"/>
        <w:szCs w:val="20"/>
      </w:rPr>
    </w:pPr>
    <w:r>
      <w:rPr>
        <w:sz w:val="20"/>
        <w:szCs w:val="20"/>
      </w:rPr>
      <w:t>Appendix IV</w:t>
    </w:r>
    <w:r>
      <w:rPr>
        <w:sz w:val="20"/>
        <w:szCs w:val="20"/>
      </w:rPr>
      <w:tab/>
    </w:r>
    <w:r w:rsidRPr="00B22DC6">
      <w:rPr>
        <w:sz w:val="20"/>
        <w:szCs w:val="20"/>
      </w:rPr>
      <w:t>List of import responses received from Parties</w:t>
    </w:r>
  </w:p>
  <w:p w:rsidR="008C5FA8" w:rsidRPr="0015774B" w:rsidRDefault="008C5FA8" w:rsidP="000D7881">
    <w:pPr>
      <w:pStyle w:val="Header"/>
      <w:tabs>
        <w:tab w:val="clear" w:pos="4320"/>
        <w:tab w:val="clear" w:pos="8640"/>
        <w:tab w:val="right" w:pos="9600"/>
      </w:tabs>
      <w:rPr>
        <w:i/>
        <w:sz w:val="20"/>
        <w:szCs w:val="20"/>
      </w:rPr>
    </w:pPr>
    <w:r>
      <w:rPr>
        <w:i/>
        <w:sz w:val="20"/>
        <w:szCs w:val="20"/>
      </w:rPr>
      <w:t>Part 1</w:t>
    </w:r>
    <w:r>
      <w:rPr>
        <w:i/>
        <w:sz w:val="20"/>
        <w:szCs w:val="20"/>
      </w:rPr>
      <w:tab/>
      <w:t>new import responses received</w:t>
    </w:r>
  </w:p>
  <w:p w:rsidR="008C5FA8" w:rsidRPr="001F6737" w:rsidRDefault="008C5FA8" w:rsidP="000D7881">
    <w:pPr>
      <w:pStyle w:val="Header"/>
      <w:pBdr>
        <w:top w:val="single" w:sz="4" w:space="1" w:color="auto"/>
      </w:pBdr>
      <w:tabs>
        <w:tab w:val="clear" w:pos="4320"/>
        <w:tab w:val="clear" w:pos="8640"/>
        <w:tab w:val="right" w:pos="9900"/>
      </w:tabs>
      <w:rPr>
        <w:sz w:val="20"/>
        <w:szCs w:val="20"/>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Default="008C5FA8" w:rsidP="008A1D9E">
    <w:pPr>
      <w:pStyle w:val="Header"/>
      <w:pBdr>
        <w:bottom w:val="single" w:sz="6" w:space="1" w:color="auto"/>
      </w:pBdr>
      <w:tabs>
        <w:tab w:val="clear" w:pos="4320"/>
        <w:tab w:val="clear" w:pos="8640"/>
        <w:tab w:val="right" w:pos="9072"/>
      </w:tabs>
      <w:rPr>
        <w:sz w:val="20"/>
        <w:szCs w:val="20"/>
      </w:rPr>
    </w:pPr>
    <w:r w:rsidRPr="00063D1B">
      <w:rPr>
        <w:sz w:val="20"/>
        <w:szCs w:val="20"/>
      </w:rPr>
      <w:t>Apéndice</w:t>
    </w:r>
    <w:r>
      <w:rPr>
        <w:sz w:val="20"/>
        <w:szCs w:val="20"/>
      </w:rPr>
      <w:t xml:space="preserve"> III</w:t>
    </w:r>
    <w:r>
      <w:rPr>
        <w:sz w:val="20"/>
        <w:szCs w:val="20"/>
      </w:rPr>
      <w:tab/>
    </w:r>
    <w:r w:rsidRPr="00063D1B">
      <w:rPr>
        <w:sz w:val="20"/>
        <w:szCs w:val="20"/>
      </w:rPr>
      <w:t xml:space="preserve">Productos químicos sujetos al </w:t>
    </w:r>
    <w:r>
      <w:rPr>
        <w:sz w:val="20"/>
        <w:szCs w:val="20"/>
      </w:rPr>
      <w:t>p</w:t>
    </w:r>
    <w:r w:rsidRPr="00063D1B">
      <w:rPr>
        <w:sz w:val="20"/>
        <w:szCs w:val="20"/>
      </w:rPr>
      <w:t xml:space="preserve">rocedimiento de </w:t>
    </w:r>
    <w:r>
      <w:rPr>
        <w:sz w:val="20"/>
        <w:szCs w:val="20"/>
      </w:rPr>
      <w:t>C</w:t>
    </w:r>
    <w:r w:rsidRPr="00063D1B">
      <w:rPr>
        <w:sz w:val="20"/>
        <w:szCs w:val="20"/>
      </w:rPr>
      <w:t xml:space="preserve">onsentimiento </w:t>
    </w:r>
    <w:r>
      <w:rPr>
        <w:sz w:val="20"/>
        <w:szCs w:val="20"/>
      </w:rPr>
      <w:t>F</w:t>
    </w:r>
    <w:r w:rsidRPr="00063D1B">
      <w:rPr>
        <w:sz w:val="20"/>
        <w:szCs w:val="20"/>
      </w:rPr>
      <w:t xml:space="preserve">undamentado </w:t>
    </w:r>
    <w:r>
      <w:rPr>
        <w:sz w:val="20"/>
        <w:szCs w:val="20"/>
      </w:rPr>
      <w:t>P</w:t>
    </w:r>
    <w:r w:rsidRPr="00063D1B">
      <w:rPr>
        <w:sz w:val="20"/>
        <w:szCs w:val="20"/>
      </w:rPr>
      <w:t>revio</w:t>
    </w:r>
  </w:p>
  <w:p w:rsidR="008C5FA8" w:rsidRDefault="008C5FA8" w:rsidP="008A1D9E">
    <w:pPr>
      <w:pStyle w:val="Header"/>
      <w:tabs>
        <w:tab w:val="clear" w:pos="4320"/>
        <w:tab w:val="clear" w:pos="8640"/>
        <w:tab w:val="right" w:pos="9072"/>
      </w:tabs>
      <w:rPr>
        <w:i/>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8" w:rsidRDefault="008C5FA8" w:rsidP="003D3357">
    <w:pPr>
      <w:pStyle w:val="Header"/>
      <w:pBdr>
        <w:bottom w:val="single" w:sz="6" w:space="1" w:color="auto"/>
      </w:pBdr>
      <w:tabs>
        <w:tab w:val="clear" w:pos="4320"/>
        <w:tab w:val="clear" w:pos="8640"/>
        <w:tab w:val="right" w:pos="9630"/>
      </w:tabs>
      <w:rPr>
        <w:sz w:val="20"/>
        <w:szCs w:val="20"/>
        <w:lang w:val="fr-CH"/>
      </w:rPr>
    </w:pPr>
    <w:r w:rsidRPr="00B34F25">
      <w:rPr>
        <w:sz w:val="20"/>
        <w:szCs w:val="20"/>
        <w:lang w:val="fr-CH"/>
      </w:rPr>
      <w:t>Apéndice</w:t>
    </w:r>
    <w:r>
      <w:rPr>
        <w:sz w:val="20"/>
        <w:szCs w:val="20"/>
        <w:lang w:val="fr-CH"/>
      </w:rPr>
      <w:t xml:space="preserve"> IV</w:t>
    </w:r>
    <w:r>
      <w:rPr>
        <w:sz w:val="20"/>
        <w:szCs w:val="20"/>
        <w:lang w:val="fr-CH"/>
      </w:rPr>
      <w:tab/>
    </w:r>
    <w:r w:rsidRPr="00B34F25">
      <w:rPr>
        <w:sz w:val="20"/>
        <w:szCs w:val="20"/>
        <w:lang w:val="fr-CH"/>
      </w:rPr>
      <w:t xml:space="preserve">Lista de las respuestas sobre la importación recibidas de las </w:t>
    </w:r>
    <w:r>
      <w:rPr>
        <w:sz w:val="20"/>
        <w:szCs w:val="20"/>
        <w:lang w:val="fr-CH"/>
      </w:rPr>
      <w:t>P</w:t>
    </w:r>
    <w:r w:rsidRPr="00B34F25">
      <w:rPr>
        <w:sz w:val="20"/>
        <w:szCs w:val="20"/>
        <w:lang w:val="fr-CH"/>
      </w:rPr>
      <w:t>artes</w:t>
    </w:r>
  </w:p>
  <w:p w:rsidR="008C5FA8" w:rsidRDefault="008C5FA8" w:rsidP="00B34F25">
    <w:pPr>
      <w:pStyle w:val="Header"/>
      <w:tabs>
        <w:tab w:val="clear" w:pos="4320"/>
        <w:tab w:val="clear" w:pos="8640"/>
        <w:tab w:val="right" w:pos="9072"/>
      </w:tabs>
      <w:rPr>
        <w:i/>
        <w:sz w:val="20"/>
        <w:szCs w:val="20"/>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B16"/>
    <w:multiLevelType w:val="hybridMultilevel"/>
    <w:tmpl w:val="9DB473E8"/>
    <w:lvl w:ilvl="0" w:tplc="0809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137561A"/>
    <w:multiLevelType w:val="hybridMultilevel"/>
    <w:tmpl w:val="F0B8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6FE8"/>
    <w:multiLevelType w:val="hybridMultilevel"/>
    <w:tmpl w:val="DC40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25CBD"/>
    <w:multiLevelType w:val="hybridMultilevel"/>
    <w:tmpl w:val="8E14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95D6A"/>
    <w:multiLevelType w:val="hybridMultilevel"/>
    <w:tmpl w:val="E4D8E64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9D3D4F"/>
    <w:multiLevelType w:val="hybridMultilevel"/>
    <w:tmpl w:val="9B7C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80977"/>
    <w:multiLevelType w:val="hybridMultilevel"/>
    <w:tmpl w:val="54F2495E"/>
    <w:lvl w:ilvl="0" w:tplc="04090001">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DA5A5F"/>
    <w:multiLevelType w:val="hybridMultilevel"/>
    <w:tmpl w:val="4E4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B5FD4"/>
    <w:multiLevelType w:val="hybridMultilevel"/>
    <w:tmpl w:val="243C6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87590"/>
    <w:multiLevelType w:val="hybridMultilevel"/>
    <w:tmpl w:val="CDD04BE8"/>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35178E"/>
    <w:multiLevelType w:val="hybridMultilevel"/>
    <w:tmpl w:val="D76A8B3C"/>
    <w:lvl w:ilvl="0" w:tplc="04090001">
      <w:start w:val="1"/>
      <w:numFmt w:val="bullet"/>
      <w:lvlText w:val=""/>
      <w:lvlJc w:val="left"/>
      <w:pPr>
        <w:ind w:left="720" w:hanging="360"/>
      </w:pPr>
      <w:rPr>
        <w:rFonts w:ascii="Symbol" w:hAnsi="Symbol" w:hint="default"/>
      </w:rPr>
    </w:lvl>
    <w:lvl w:ilvl="1" w:tplc="22768904">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35E28"/>
    <w:multiLevelType w:val="hybridMultilevel"/>
    <w:tmpl w:val="9B54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CB4F05"/>
    <w:multiLevelType w:val="hybridMultilevel"/>
    <w:tmpl w:val="61E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005D3"/>
    <w:multiLevelType w:val="hybridMultilevel"/>
    <w:tmpl w:val="9258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B4D60"/>
    <w:multiLevelType w:val="hybridMultilevel"/>
    <w:tmpl w:val="5078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E55D1"/>
    <w:multiLevelType w:val="hybridMultilevel"/>
    <w:tmpl w:val="F06031FE"/>
    <w:lvl w:ilvl="0" w:tplc="04090001">
      <w:start w:val="1"/>
      <w:numFmt w:val="bullet"/>
      <w:lvlText w:val=""/>
      <w:lvlJc w:val="left"/>
      <w:pPr>
        <w:ind w:left="360" w:hanging="360"/>
      </w:pPr>
      <w:rPr>
        <w:rFonts w:ascii="Symbol" w:hAnsi="Symbol" w:hint="default"/>
      </w:rPr>
    </w:lvl>
    <w:lvl w:ilvl="1" w:tplc="2DD80F3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66332C"/>
    <w:multiLevelType w:val="hybridMultilevel"/>
    <w:tmpl w:val="CA48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C07CD"/>
    <w:multiLevelType w:val="hybridMultilevel"/>
    <w:tmpl w:val="D06EC11E"/>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342E75"/>
    <w:multiLevelType w:val="hybridMultilevel"/>
    <w:tmpl w:val="D92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B4D04"/>
    <w:multiLevelType w:val="hybridMultilevel"/>
    <w:tmpl w:val="A982758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864DE3"/>
    <w:multiLevelType w:val="hybridMultilevel"/>
    <w:tmpl w:val="8B549D4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176B75"/>
    <w:multiLevelType w:val="hybridMultilevel"/>
    <w:tmpl w:val="524C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54F3D"/>
    <w:multiLevelType w:val="multilevel"/>
    <w:tmpl w:val="2D404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CD30054"/>
    <w:multiLevelType w:val="hybridMultilevel"/>
    <w:tmpl w:val="B334503E"/>
    <w:lvl w:ilvl="0" w:tplc="08090001">
      <w:start w:val="1"/>
      <w:numFmt w:val="decimal"/>
      <w:lvlText w:val="%1."/>
      <w:lvlJc w:val="left"/>
      <w:pPr>
        <w:tabs>
          <w:tab w:val="num" w:pos="720"/>
        </w:tabs>
        <w:ind w:left="720" w:hanging="360"/>
      </w:pPr>
      <w:rPr>
        <w:b/>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7F5C492E"/>
    <w:multiLevelType w:val="hybridMultilevel"/>
    <w:tmpl w:val="56542AB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4"/>
  </w:num>
  <w:num w:numId="5">
    <w:abstractNumId w:val="9"/>
  </w:num>
  <w:num w:numId="6">
    <w:abstractNumId w:val="20"/>
  </w:num>
  <w:num w:numId="7">
    <w:abstractNumId w:val="19"/>
  </w:num>
  <w:num w:numId="8">
    <w:abstractNumId w:val="4"/>
  </w:num>
  <w:num w:numId="9">
    <w:abstractNumId w:val="17"/>
  </w:num>
  <w:num w:numId="10">
    <w:abstractNumId w:val="7"/>
  </w:num>
  <w:num w:numId="11">
    <w:abstractNumId w:val="1"/>
  </w:num>
  <w:num w:numId="12">
    <w:abstractNumId w:val="13"/>
  </w:num>
  <w:num w:numId="13">
    <w:abstractNumId w:val="18"/>
  </w:num>
  <w:num w:numId="14">
    <w:abstractNumId w:val="2"/>
  </w:num>
  <w:num w:numId="15">
    <w:abstractNumId w:val="5"/>
  </w:num>
  <w:num w:numId="16">
    <w:abstractNumId w:val="16"/>
  </w:num>
  <w:num w:numId="17">
    <w:abstractNumId w:val="10"/>
  </w:num>
  <w:num w:numId="18">
    <w:abstractNumId w:val="21"/>
  </w:num>
  <w:num w:numId="19">
    <w:abstractNumId w:val="12"/>
  </w:num>
  <w:num w:numId="20">
    <w:abstractNumId w:val="8"/>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6"/>
  </w:num>
  <w:num w:numId="41">
    <w:abstractNumId w:val="15"/>
  </w:num>
  <w:num w:numId="42">
    <w:abstractNumId w:val="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jlovski, Aleksandar (AGPM)">
    <w15:presenceInfo w15:providerId="AD" w15:userId="S-1-5-21-2107199734-1002509562-578033828-8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de-CH" w:vendorID="64" w:dllVersion="131078" w:nlCheck="1" w:checkStyle="1"/>
  <w:activeWritingStyle w:appName="MSWord" w:lang="es-CO" w:vendorID="64" w:dllVersion="131078" w:nlCheck="1" w:checkStyle="1"/>
  <w:activeWritingStyle w:appName="MSWord" w:lang="es-AR" w:vendorID="64" w:dllVersion="131078" w:nlCheck="1" w:checkStyle="1"/>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B7"/>
    <w:rsid w:val="00004699"/>
    <w:rsid w:val="00004744"/>
    <w:rsid w:val="0000488F"/>
    <w:rsid w:val="000049DE"/>
    <w:rsid w:val="00005302"/>
    <w:rsid w:val="00006599"/>
    <w:rsid w:val="00006808"/>
    <w:rsid w:val="000075E7"/>
    <w:rsid w:val="000105F6"/>
    <w:rsid w:val="00013E9A"/>
    <w:rsid w:val="000156AC"/>
    <w:rsid w:val="00017F65"/>
    <w:rsid w:val="000200B2"/>
    <w:rsid w:val="000212A2"/>
    <w:rsid w:val="000220B2"/>
    <w:rsid w:val="000221C4"/>
    <w:rsid w:val="00022AA4"/>
    <w:rsid w:val="00024374"/>
    <w:rsid w:val="00026923"/>
    <w:rsid w:val="00032FF7"/>
    <w:rsid w:val="00034CEF"/>
    <w:rsid w:val="00035068"/>
    <w:rsid w:val="000361DA"/>
    <w:rsid w:val="000465EC"/>
    <w:rsid w:val="00047601"/>
    <w:rsid w:val="00051AE9"/>
    <w:rsid w:val="00052F91"/>
    <w:rsid w:val="00055AA0"/>
    <w:rsid w:val="00055FC2"/>
    <w:rsid w:val="00060006"/>
    <w:rsid w:val="0006056D"/>
    <w:rsid w:val="00062236"/>
    <w:rsid w:val="00063D1B"/>
    <w:rsid w:val="00067471"/>
    <w:rsid w:val="00070F4E"/>
    <w:rsid w:val="000710BA"/>
    <w:rsid w:val="00072C07"/>
    <w:rsid w:val="000763A3"/>
    <w:rsid w:val="00077731"/>
    <w:rsid w:val="00082483"/>
    <w:rsid w:val="0008475C"/>
    <w:rsid w:val="000874EA"/>
    <w:rsid w:val="00087819"/>
    <w:rsid w:val="00090885"/>
    <w:rsid w:val="00093814"/>
    <w:rsid w:val="000939D4"/>
    <w:rsid w:val="00095377"/>
    <w:rsid w:val="000965A1"/>
    <w:rsid w:val="00096B23"/>
    <w:rsid w:val="00096EA8"/>
    <w:rsid w:val="000A3BAB"/>
    <w:rsid w:val="000A5DDA"/>
    <w:rsid w:val="000B28CD"/>
    <w:rsid w:val="000B4832"/>
    <w:rsid w:val="000B5F4D"/>
    <w:rsid w:val="000B61BD"/>
    <w:rsid w:val="000B65A8"/>
    <w:rsid w:val="000B7A9A"/>
    <w:rsid w:val="000C04E5"/>
    <w:rsid w:val="000C1507"/>
    <w:rsid w:val="000C265B"/>
    <w:rsid w:val="000C2DB7"/>
    <w:rsid w:val="000C3BD1"/>
    <w:rsid w:val="000C4D01"/>
    <w:rsid w:val="000D02B5"/>
    <w:rsid w:val="000D3160"/>
    <w:rsid w:val="000D3F31"/>
    <w:rsid w:val="000D3F3F"/>
    <w:rsid w:val="000D5363"/>
    <w:rsid w:val="000D6A9B"/>
    <w:rsid w:val="000D7688"/>
    <w:rsid w:val="000D7881"/>
    <w:rsid w:val="000D7FEC"/>
    <w:rsid w:val="000E196B"/>
    <w:rsid w:val="000E371F"/>
    <w:rsid w:val="000E75ED"/>
    <w:rsid w:val="000E79BD"/>
    <w:rsid w:val="000F41F1"/>
    <w:rsid w:val="000F5DEA"/>
    <w:rsid w:val="00100252"/>
    <w:rsid w:val="0010040D"/>
    <w:rsid w:val="00100E8A"/>
    <w:rsid w:val="00101598"/>
    <w:rsid w:val="0010418B"/>
    <w:rsid w:val="00111288"/>
    <w:rsid w:val="0011310A"/>
    <w:rsid w:val="001143A0"/>
    <w:rsid w:val="001143B0"/>
    <w:rsid w:val="00116323"/>
    <w:rsid w:val="00120241"/>
    <w:rsid w:val="00120D70"/>
    <w:rsid w:val="001234DE"/>
    <w:rsid w:val="00127F46"/>
    <w:rsid w:val="00136158"/>
    <w:rsid w:val="001369E9"/>
    <w:rsid w:val="001376FC"/>
    <w:rsid w:val="00140232"/>
    <w:rsid w:val="00141241"/>
    <w:rsid w:val="00142C36"/>
    <w:rsid w:val="00147C6C"/>
    <w:rsid w:val="00147F48"/>
    <w:rsid w:val="00154401"/>
    <w:rsid w:val="0015567E"/>
    <w:rsid w:val="00156C06"/>
    <w:rsid w:val="00161844"/>
    <w:rsid w:val="00162DCF"/>
    <w:rsid w:val="00165DDE"/>
    <w:rsid w:val="00166B8B"/>
    <w:rsid w:val="0017453B"/>
    <w:rsid w:val="00175B29"/>
    <w:rsid w:val="00185258"/>
    <w:rsid w:val="00190450"/>
    <w:rsid w:val="00191177"/>
    <w:rsid w:val="001920DD"/>
    <w:rsid w:val="00192E0B"/>
    <w:rsid w:val="00194609"/>
    <w:rsid w:val="00195E47"/>
    <w:rsid w:val="00197CD2"/>
    <w:rsid w:val="001A0314"/>
    <w:rsid w:val="001A06CE"/>
    <w:rsid w:val="001A0B26"/>
    <w:rsid w:val="001A2BAF"/>
    <w:rsid w:val="001A79F0"/>
    <w:rsid w:val="001B0518"/>
    <w:rsid w:val="001B4736"/>
    <w:rsid w:val="001B53B1"/>
    <w:rsid w:val="001B55DC"/>
    <w:rsid w:val="001C155B"/>
    <w:rsid w:val="001C337C"/>
    <w:rsid w:val="001C4C4E"/>
    <w:rsid w:val="001C61B3"/>
    <w:rsid w:val="001D0827"/>
    <w:rsid w:val="001E12AC"/>
    <w:rsid w:val="001E16B1"/>
    <w:rsid w:val="001E2973"/>
    <w:rsid w:val="001E37A1"/>
    <w:rsid w:val="001E3C98"/>
    <w:rsid w:val="001E60F5"/>
    <w:rsid w:val="001E64AB"/>
    <w:rsid w:val="001E7963"/>
    <w:rsid w:val="001E7FFD"/>
    <w:rsid w:val="001F02A4"/>
    <w:rsid w:val="001F1934"/>
    <w:rsid w:val="001F1F25"/>
    <w:rsid w:val="001F2410"/>
    <w:rsid w:val="001F3F1A"/>
    <w:rsid w:val="001F46B4"/>
    <w:rsid w:val="002010DB"/>
    <w:rsid w:val="00204BD3"/>
    <w:rsid w:val="00212854"/>
    <w:rsid w:val="00212EFC"/>
    <w:rsid w:val="002135CF"/>
    <w:rsid w:val="0022020F"/>
    <w:rsid w:val="00221276"/>
    <w:rsid w:val="00221B40"/>
    <w:rsid w:val="00226B29"/>
    <w:rsid w:val="00230078"/>
    <w:rsid w:val="002309C3"/>
    <w:rsid w:val="0023239D"/>
    <w:rsid w:val="00241503"/>
    <w:rsid w:val="00243D1D"/>
    <w:rsid w:val="00244AF9"/>
    <w:rsid w:val="00247980"/>
    <w:rsid w:val="00254A9B"/>
    <w:rsid w:val="00256D52"/>
    <w:rsid w:val="00257B9F"/>
    <w:rsid w:val="00260A59"/>
    <w:rsid w:val="00262058"/>
    <w:rsid w:val="00265A71"/>
    <w:rsid w:val="0027273A"/>
    <w:rsid w:val="002754CE"/>
    <w:rsid w:val="00275841"/>
    <w:rsid w:val="002770B3"/>
    <w:rsid w:val="00284410"/>
    <w:rsid w:val="00290F9F"/>
    <w:rsid w:val="00292B4D"/>
    <w:rsid w:val="00293307"/>
    <w:rsid w:val="00296313"/>
    <w:rsid w:val="0029756D"/>
    <w:rsid w:val="002A573F"/>
    <w:rsid w:val="002A6E69"/>
    <w:rsid w:val="002B10F4"/>
    <w:rsid w:val="002B4E81"/>
    <w:rsid w:val="002B649C"/>
    <w:rsid w:val="002C0CA6"/>
    <w:rsid w:val="002C1116"/>
    <w:rsid w:val="002C2D0B"/>
    <w:rsid w:val="002C3639"/>
    <w:rsid w:val="002C6E87"/>
    <w:rsid w:val="002C729F"/>
    <w:rsid w:val="002C7CF4"/>
    <w:rsid w:val="002D022E"/>
    <w:rsid w:val="002D72B8"/>
    <w:rsid w:val="002D7689"/>
    <w:rsid w:val="002D7812"/>
    <w:rsid w:val="002E141A"/>
    <w:rsid w:val="002E1423"/>
    <w:rsid w:val="002E3CA1"/>
    <w:rsid w:val="002E4A84"/>
    <w:rsid w:val="002E55D8"/>
    <w:rsid w:val="002E76BD"/>
    <w:rsid w:val="002E7F9D"/>
    <w:rsid w:val="002F0E0B"/>
    <w:rsid w:val="002F16F6"/>
    <w:rsid w:val="002F251D"/>
    <w:rsid w:val="002F4C4A"/>
    <w:rsid w:val="002F60A9"/>
    <w:rsid w:val="002F6416"/>
    <w:rsid w:val="002F6AD3"/>
    <w:rsid w:val="002F76E4"/>
    <w:rsid w:val="003031E7"/>
    <w:rsid w:val="00303E0C"/>
    <w:rsid w:val="003045C5"/>
    <w:rsid w:val="00305C5C"/>
    <w:rsid w:val="00311491"/>
    <w:rsid w:val="00313217"/>
    <w:rsid w:val="003154A2"/>
    <w:rsid w:val="003173B4"/>
    <w:rsid w:val="003177A0"/>
    <w:rsid w:val="00321B54"/>
    <w:rsid w:val="003265A8"/>
    <w:rsid w:val="00326678"/>
    <w:rsid w:val="00331C99"/>
    <w:rsid w:val="003323AE"/>
    <w:rsid w:val="00335447"/>
    <w:rsid w:val="00340526"/>
    <w:rsid w:val="00340E2B"/>
    <w:rsid w:val="003412BF"/>
    <w:rsid w:val="0034316D"/>
    <w:rsid w:val="003440FB"/>
    <w:rsid w:val="00345C5A"/>
    <w:rsid w:val="003462F4"/>
    <w:rsid w:val="00351F9B"/>
    <w:rsid w:val="0035407A"/>
    <w:rsid w:val="00357A79"/>
    <w:rsid w:val="0036459D"/>
    <w:rsid w:val="003658B0"/>
    <w:rsid w:val="0036633A"/>
    <w:rsid w:val="0037082A"/>
    <w:rsid w:val="00372C16"/>
    <w:rsid w:val="00376E2A"/>
    <w:rsid w:val="00383AB4"/>
    <w:rsid w:val="00384500"/>
    <w:rsid w:val="00385B91"/>
    <w:rsid w:val="00390B86"/>
    <w:rsid w:val="00394548"/>
    <w:rsid w:val="0039532D"/>
    <w:rsid w:val="0039543D"/>
    <w:rsid w:val="003957BB"/>
    <w:rsid w:val="00397D3D"/>
    <w:rsid w:val="003A38CA"/>
    <w:rsid w:val="003A5497"/>
    <w:rsid w:val="003A7988"/>
    <w:rsid w:val="003B19EE"/>
    <w:rsid w:val="003B2EE5"/>
    <w:rsid w:val="003B39C6"/>
    <w:rsid w:val="003B4454"/>
    <w:rsid w:val="003C4CFD"/>
    <w:rsid w:val="003C563D"/>
    <w:rsid w:val="003C6897"/>
    <w:rsid w:val="003D0453"/>
    <w:rsid w:val="003D0950"/>
    <w:rsid w:val="003D0CCC"/>
    <w:rsid w:val="003D3357"/>
    <w:rsid w:val="003D5448"/>
    <w:rsid w:val="003D640C"/>
    <w:rsid w:val="003E3787"/>
    <w:rsid w:val="003E4E99"/>
    <w:rsid w:val="003F660E"/>
    <w:rsid w:val="00405547"/>
    <w:rsid w:val="00405CAE"/>
    <w:rsid w:val="00406935"/>
    <w:rsid w:val="00406C1E"/>
    <w:rsid w:val="00407D2A"/>
    <w:rsid w:val="0041159A"/>
    <w:rsid w:val="004135EF"/>
    <w:rsid w:val="00415CAF"/>
    <w:rsid w:val="00425C92"/>
    <w:rsid w:val="004265FC"/>
    <w:rsid w:val="004300EE"/>
    <w:rsid w:val="0043160B"/>
    <w:rsid w:val="0043338C"/>
    <w:rsid w:val="00433B70"/>
    <w:rsid w:val="0043482A"/>
    <w:rsid w:val="00435BA9"/>
    <w:rsid w:val="00440CD5"/>
    <w:rsid w:val="00440E3F"/>
    <w:rsid w:val="004475F0"/>
    <w:rsid w:val="00447ED2"/>
    <w:rsid w:val="0045253A"/>
    <w:rsid w:val="004528C8"/>
    <w:rsid w:val="00455B54"/>
    <w:rsid w:val="004632B4"/>
    <w:rsid w:val="004632E4"/>
    <w:rsid w:val="00465DBB"/>
    <w:rsid w:val="00467195"/>
    <w:rsid w:val="00471361"/>
    <w:rsid w:val="0047574B"/>
    <w:rsid w:val="00475D89"/>
    <w:rsid w:val="004773DD"/>
    <w:rsid w:val="0048365F"/>
    <w:rsid w:val="00486745"/>
    <w:rsid w:val="004906B7"/>
    <w:rsid w:val="00491AC1"/>
    <w:rsid w:val="00494FD5"/>
    <w:rsid w:val="004974F9"/>
    <w:rsid w:val="004A20D8"/>
    <w:rsid w:val="004A3BA5"/>
    <w:rsid w:val="004A3F0D"/>
    <w:rsid w:val="004B32C8"/>
    <w:rsid w:val="004B488E"/>
    <w:rsid w:val="004B706E"/>
    <w:rsid w:val="004B7339"/>
    <w:rsid w:val="004C1DFA"/>
    <w:rsid w:val="004C36C7"/>
    <w:rsid w:val="004C37B7"/>
    <w:rsid w:val="004C40E5"/>
    <w:rsid w:val="004C4AB1"/>
    <w:rsid w:val="004C72B4"/>
    <w:rsid w:val="004D018C"/>
    <w:rsid w:val="004D07D2"/>
    <w:rsid w:val="004D1D88"/>
    <w:rsid w:val="004E3C55"/>
    <w:rsid w:val="004E5AEF"/>
    <w:rsid w:val="004E5E2F"/>
    <w:rsid w:val="004F7EF9"/>
    <w:rsid w:val="00500C32"/>
    <w:rsid w:val="00500F17"/>
    <w:rsid w:val="00501424"/>
    <w:rsid w:val="00501957"/>
    <w:rsid w:val="00505FBA"/>
    <w:rsid w:val="005068F2"/>
    <w:rsid w:val="00507E74"/>
    <w:rsid w:val="00515A23"/>
    <w:rsid w:val="00516C64"/>
    <w:rsid w:val="00520DFB"/>
    <w:rsid w:val="005228C1"/>
    <w:rsid w:val="005235CD"/>
    <w:rsid w:val="00531DAD"/>
    <w:rsid w:val="005323D7"/>
    <w:rsid w:val="005332A2"/>
    <w:rsid w:val="005336D1"/>
    <w:rsid w:val="005378C4"/>
    <w:rsid w:val="00537932"/>
    <w:rsid w:val="00544A0D"/>
    <w:rsid w:val="00546545"/>
    <w:rsid w:val="005468BC"/>
    <w:rsid w:val="00546F71"/>
    <w:rsid w:val="00551D3D"/>
    <w:rsid w:val="005531A7"/>
    <w:rsid w:val="00554E44"/>
    <w:rsid w:val="00560B84"/>
    <w:rsid w:val="0056393E"/>
    <w:rsid w:val="00565A49"/>
    <w:rsid w:val="00566C21"/>
    <w:rsid w:val="00571847"/>
    <w:rsid w:val="005719ED"/>
    <w:rsid w:val="005748A5"/>
    <w:rsid w:val="00585DC5"/>
    <w:rsid w:val="00586F79"/>
    <w:rsid w:val="005913FF"/>
    <w:rsid w:val="00591932"/>
    <w:rsid w:val="005928D0"/>
    <w:rsid w:val="00592907"/>
    <w:rsid w:val="005935C1"/>
    <w:rsid w:val="0059599A"/>
    <w:rsid w:val="005A2FB9"/>
    <w:rsid w:val="005A313C"/>
    <w:rsid w:val="005A5BDB"/>
    <w:rsid w:val="005B2473"/>
    <w:rsid w:val="005B4A64"/>
    <w:rsid w:val="005C359C"/>
    <w:rsid w:val="005C5CA6"/>
    <w:rsid w:val="005D0363"/>
    <w:rsid w:val="005D3048"/>
    <w:rsid w:val="005D521A"/>
    <w:rsid w:val="005D70A2"/>
    <w:rsid w:val="005E00B8"/>
    <w:rsid w:val="005E100F"/>
    <w:rsid w:val="005E67A8"/>
    <w:rsid w:val="005E7E6B"/>
    <w:rsid w:val="005F09D2"/>
    <w:rsid w:val="005F241A"/>
    <w:rsid w:val="005F4C1F"/>
    <w:rsid w:val="005F63D0"/>
    <w:rsid w:val="006024C6"/>
    <w:rsid w:val="00602DC1"/>
    <w:rsid w:val="00603EC3"/>
    <w:rsid w:val="00605609"/>
    <w:rsid w:val="00606312"/>
    <w:rsid w:val="00611186"/>
    <w:rsid w:val="00613B6D"/>
    <w:rsid w:val="00616F52"/>
    <w:rsid w:val="00621C4A"/>
    <w:rsid w:val="006224DF"/>
    <w:rsid w:val="00623E55"/>
    <w:rsid w:val="00630A3A"/>
    <w:rsid w:val="0063278C"/>
    <w:rsid w:val="00635584"/>
    <w:rsid w:val="006422FE"/>
    <w:rsid w:val="00646D53"/>
    <w:rsid w:val="006479B9"/>
    <w:rsid w:val="006504BC"/>
    <w:rsid w:val="00650FEE"/>
    <w:rsid w:val="006514D0"/>
    <w:rsid w:val="0065567A"/>
    <w:rsid w:val="006574A1"/>
    <w:rsid w:val="00663281"/>
    <w:rsid w:val="00663362"/>
    <w:rsid w:val="006647D2"/>
    <w:rsid w:val="00664D8A"/>
    <w:rsid w:val="00672D76"/>
    <w:rsid w:val="00676B7C"/>
    <w:rsid w:val="00676D07"/>
    <w:rsid w:val="00677B7D"/>
    <w:rsid w:val="00682191"/>
    <w:rsid w:val="00684E37"/>
    <w:rsid w:val="0068558D"/>
    <w:rsid w:val="0068628A"/>
    <w:rsid w:val="00690811"/>
    <w:rsid w:val="00691D67"/>
    <w:rsid w:val="00692E96"/>
    <w:rsid w:val="00692F80"/>
    <w:rsid w:val="006950ED"/>
    <w:rsid w:val="0069600C"/>
    <w:rsid w:val="00696A3F"/>
    <w:rsid w:val="006972FD"/>
    <w:rsid w:val="00697338"/>
    <w:rsid w:val="00697CA4"/>
    <w:rsid w:val="006A08BC"/>
    <w:rsid w:val="006A15A0"/>
    <w:rsid w:val="006A2D12"/>
    <w:rsid w:val="006A4A54"/>
    <w:rsid w:val="006A783F"/>
    <w:rsid w:val="006B06B9"/>
    <w:rsid w:val="006B131D"/>
    <w:rsid w:val="006B4AEA"/>
    <w:rsid w:val="006C3C95"/>
    <w:rsid w:val="006C48A3"/>
    <w:rsid w:val="006C6617"/>
    <w:rsid w:val="006C680E"/>
    <w:rsid w:val="006C70B7"/>
    <w:rsid w:val="006C7C7F"/>
    <w:rsid w:val="006D09CE"/>
    <w:rsid w:val="006D213A"/>
    <w:rsid w:val="006D375F"/>
    <w:rsid w:val="006D3C1C"/>
    <w:rsid w:val="006D547C"/>
    <w:rsid w:val="006E0A02"/>
    <w:rsid w:val="006E59AF"/>
    <w:rsid w:val="006E6B74"/>
    <w:rsid w:val="006F0F15"/>
    <w:rsid w:val="006F3F13"/>
    <w:rsid w:val="006F4865"/>
    <w:rsid w:val="006F7665"/>
    <w:rsid w:val="006F7CC0"/>
    <w:rsid w:val="006F7D20"/>
    <w:rsid w:val="006F7FF4"/>
    <w:rsid w:val="00703090"/>
    <w:rsid w:val="00703DBB"/>
    <w:rsid w:val="007050FD"/>
    <w:rsid w:val="00705D90"/>
    <w:rsid w:val="00707D8E"/>
    <w:rsid w:val="00713577"/>
    <w:rsid w:val="00715468"/>
    <w:rsid w:val="00716324"/>
    <w:rsid w:val="007168A1"/>
    <w:rsid w:val="00717ABF"/>
    <w:rsid w:val="00717EB7"/>
    <w:rsid w:val="00721070"/>
    <w:rsid w:val="00723B70"/>
    <w:rsid w:val="00724B3B"/>
    <w:rsid w:val="00724F44"/>
    <w:rsid w:val="007266DF"/>
    <w:rsid w:val="0072706B"/>
    <w:rsid w:val="007300B4"/>
    <w:rsid w:val="00732CC4"/>
    <w:rsid w:val="00732E07"/>
    <w:rsid w:val="00733210"/>
    <w:rsid w:val="0073567E"/>
    <w:rsid w:val="00737717"/>
    <w:rsid w:val="00737F59"/>
    <w:rsid w:val="007422FD"/>
    <w:rsid w:val="0074261B"/>
    <w:rsid w:val="00743999"/>
    <w:rsid w:val="00743DF0"/>
    <w:rsid w:val="007457F6"/>
    <w:rsid w:val="007473A1"/>
    <w:rsid w:val="007516BF"/>
    <w:rsid w:val="007538BF"/>
    <w:rsid w:val="0075486E"/>
    <w:rsid w:val="00757B3E"/>
    <w:rsid w:val="00762526"/>
    <w:rsid w:val="00762CB2"/>
    <w:rsid w:val="00763A0F"/>
    <w:rsid w:val="007640B9"/>
    <w:rsid w:val="007669DB"/>
    <w:rsid w:val="00767F5F"/>
    <w:rsid w:val="00771222"/>
    <w:rsid w:val="00771AE3"/>
    <w:rsid w:val="00772191"/>
    <w:rsid w:val="00774BA7"/>
    <w:rsid w:val="00777736"/>
    <w:rsid w:val="007803DE"/>
    <w:rsid w:val="0078339F"/>
    <w:rsid w:val="007844BA"/>
    <w:rsid w:val="00785D70"/>
    <w:rsid w:val="00787665"/>
    <w:rsid w:val="00787F75"/>
    <w:rsid w:val="0079358D"/>
    <w:rsid w:val="00793A7F"/>
    <w:rsid w:val="00794984"/>
    <w:rsid w:val="00795B03"/>
    <w:rsid w:val="00796B82"/>
    <w:rsid w:val="007A0B37"/>
    <w:rsid w:val="007A15FF"/>
    <w:rsid w:val="007A284F"/>
    <w:rsid w:val="007A3DC4"/>
    <w:rsid w:val="007A6A27"/>
    <w:rsid w:val="007B1D81"/>
    <w:rsid w:val="007B252C"/>
    <w:rsid w:val="007B5E45"/>
    <w:rsid w:val="007B68CF"/>
    <w:rsid w:val="007B7106"/>
    <w:rsid w:val="007C1710"/>
    <w:rsid w:val="007D514A"/>
    <w:rsid w:val="007E15AB"/>
    <w:rsid w:val="007E1789"/>
    <w:rsid w:val="007E204B"/>
    <w:rsid w:val="007E44F3"/>
    <w:rsid w:val="007F2D69"/>
    <w:rsid w:val="007F589F"/>
    <w:rsid w:val="00801548"/>
    <w:rsid w:val="008112D2"/>
    <w:rsid w:val="00814E51"/>
    <w:rsid w:val="00814F26"/>
    <w:rsid w:val="00815FE5"/>
    <w:rsid w:val="008177A3"/>
    <w:rsid w:val="00825ECC"/>
    <w:rsid w:val="00826C50"/>
    <w:rsid w:val="0083438C"/>
    <w:rsid w:val="0083782A"/>
    <w:rsid w:val="008405ED"/>
    <w:rsid w:val="00840724"/>
    <w:rsid w:val="00841091"/>
    <w:rsid w:val="00841110"/>
    <w:rsid w:val="00843EC7"/>
    <w:rsid w:val="00844175"/>
    <w:rsid w:val="00845A2D"/>
    <w:rsid w:val="0084712C"/>
    <w:rsid w:val="008531E2"/>
    <w:rsid w:val="00853BB2"/>
    <w:rsid w:val="008541D9"/>
    <w:rsid w:val="00860E7E"/>
    <w:rsid w:val="0087160A"/>
    <w:rsid w:val="0087377E"/>
    <w:rsid w:val="008754A4"/>
    <w:rsid w:val="00876EE2"/>
    <w:rsid w:val="00881D70"/>
    <w:rsid w:val="00883ABA"/>
    <w:rsid w:val="00884B4A"/>
    <w:rsid w:val="0088500B"/>
    <w:rsid w:val="00885F1C"/>
    <w:rsid w:val="0088793F"/>
    <w:rsid w:val="00893B7A"/>
    <w:rsid w:val="0089410F"/>
    <w:rsid w:val="008A0CBB"/>
    <w:rsid w:val="008A1461"/>
    <w:rsid w:val="008A1A3F"/>
    <w:rsid w:val="008A1D9E"/>
    <w:rsid w:val="008A5737"/>
    <w:rsid w:val="008A6CE3"/>
    <w:rsid w:val="008B11CF"/>
    <w:rsid w:val="008B2422"/>
    <w:rsid w:val="008B7086"/>
    <w:rsid w:val="008B7BD0"/>
    <w:rsid w:val="008C14DB"/>
    <w:rsid w:val="008C15A2"/>
    <w:rsid w:val="008C1FD5"/>
    <w:rsid w:val="008C35CC"/>
    <w:rsid w:val="008C4DC4"/>
    <w:rsid w:val="008C5B27"/>
    <w:rsid w:val="008C5FA8"/>
    <w:rsid w:val="008C6A38"/>
    <w:rsid w:val="008C72C3"/>
    <w:rsid w:val="008D22CC"/>
    <w:rsid w:val="008D54BA"/>
    <w:rsid w:val="008D5585"/>
    <w:rsid w:val="008D7884"/>
    <w:rsid w:val="008D7CC0"/>
    <w:rsid w:val="008D7F6B"/>
    <w:rsid w:val="008E16A7"/>
    <w:rsid w:val="008E2EB9"/>
    <w:rsid w:val="008F040F"/>
    <w:rsid w:val="008F73F5"/>
    <w:rsid w:val="008F7D84"/>
    <w:rsid w:val="00906B91"/>
    <w:rsid w:val="00907206"/>
    <w:rsid w:val="009077EC"/>
    <w:rsid w:val="00913073"/>
    <w:rsid w:val="009147EA"/>
    <w:rsid w:val="009157E8"/>
    <w:rsid w:val="00917215"/>
    <w:rsid w:val="00920B95"/>
    <w:rsid w:val="00920FD3"/>
    <w:rsid w:val="00924575"/>
    <w:rsid w:val="009252ED"/>
    <w:rsid w:val="00934C02"/>
    <w:rsid w:val="00936231"/>
    <w:rsid w:val="00945517"/>
    <w:rsid w:val="00945675"/>
    <w:rsid w:val="00946052"/>
    <w:rsid w:val="00946FD4"/>
    <w:rsid w:val="009470A9"/>
    <w:rsid w:val="009531BC"/>
    <w:rsid w:val="00953338"/>
    <w:rsid w:val="00954307"/>
    <w:rsid w:val="00954A7A"/>
    <w:rsid w:val="0095520B"/>
    <w:rsid w:val="00961A5C"/>
    <w:rsid w:val="00964BEA"/>
    <w:rsid w:val="00966F37"/>
    <w:rsid w:val="00967303"/>
    <w:rsid w:val="00967E76"/>
    <w:rsid w:val="009726E5"/>
    <w:rsid w:val="00972975"/>
    <w:rsid w:val="00976420"/>
    <w:rsid w:val="00977A38"/>
    <w:rsid w:val="009805D5"/>
    <w:rsid w:val="00985981"/>
    <w:rsid w:val="00985C05"/>
    <w:rsid w:val="009902AD"/>
    <w:rsid w:val="00990C95"/>
    <w:rsid w:val="009923A0"/>
    <w:rsid w:val="0099547B"/>
    <w:rsid w:val="009A39A4"/>
    <w:rsid w:val="009A5378"/>
    <w:rsid w:val="009B08F2"/>
    <w:rsid w:val="009B2233"/>
    <w:rsid w:val="009B2CBE"/>
    <w:rsid w:val="009B62B4"/>
    <w:rsid w:val="009B6994"/>
    <w:rsid w:val="009C326A"/>
    <w:rsid w:val="009C6929"/>
    <w:rsid w:val="009D0E70"/>
    <w:rsid w:val="009D0E79"/>
    <w:rsid w:val="009D41E2"/>
    <w:rsid w:val="009E1C4D"/>
    <w:rsid w:val="009E51CA"/>
    <w:rsid w:val="009E6696"/>
    <w:rsid w:val="009F1658"/>
    <w:rsid w:val="00A04A26"/>
    <w:rsid w:val="00A05A91"/>
    <w:rsid w:val="00A1245D"/>
    <w:rsid w:val="00A1409D"/>
    <w:rsid w:val="00A20176"/>
    <w:rsid w:val="00A232FF"/>
    <w:rsid w:val="00A23AB1"/>
    <w:rsid w:val="00A24899"/>
    <w:rsid w:val="00A25A64"/>
    <w:rsid w:val="00A25D55"/>
    <w:rsid w:val="00A25F17"/>
    <w:rsid w:val="00A27FE0"/>
    <w:rsid w:val="00A30EBA"/>
    <w:rsid w:val="00A3160D"/>
    <w:rsid w:val="00A332F9"/>
    <w:rsid w:val="00A33C0E"/>
    <w:rsid w:val="00A346FD"/>
    <w:rsid w:val="00A34CFD"/>
    <w:rsid w:val="00A376B7"/>
    <w:rsid w:val="00A41402"/>
    <w:rsid w:val="00A45004"/>
    <w:rsid w:val="00A5074D"/>
    <w:rsid w:val="00A51191"/>
    <w:rsid w:val="00A53AB3"/>
    <w:rsid w:val="00A56E9C"/>
    <w:rsid w:val="00A573CF"/>
    <w:rsid w:val="00A61D8A"/>
    <w:rsid w:val="00A62240"/>
    <w:rsid w:val="00A63724"/>
    <w:rsid w:val="00A63A29"/>
    <w:rsid w:val="00A64FFE"/>
    <w:rsid w:val="00A7090C"/>
    <w:rsid w:val="00A71602"/>
    <w:rsid w:val="00A72575"/>
    <w:rsid w:val="00A728CE"/>
    <w:rsid w:val="00A72BEB"/>
    <w:rsid w:val="00A73C92"/>
    <w:rsid w:val="00A73D6F"/>
    <w:rsid w:val="00A74A0F"/>
    <w:rsid w:val="00A775DE"/>
    <w:rsid w:val="00A81C8F"/>
    <w:rsid w:val="00A84B0B"/>
    <w:rsid w:val="00A87069"/>
    <w:rsid w:val="00A87376"/>
    <w:rsid w:val="00A90612"/>
    <w:rsid w:val="00A91A0E"/>
    <w:rsid w:val="00A91F14"/>
    <w:rsid w:val="00A9331E"/>
    <w:rsid w:val="00A946C2"/>
    <w:rsid w:val="00AA36A8"/>
    <w:rsid w:val="00AA595A"/>
    <w:rsid w:val="00AB0917"/>
    <w:rsid w:val="00AB2735"/>
    <w:rsid w:val="00AB5121"/>
    <w:rsid w:val="00AB5E69"/>
    <w:rsid w:val="00AB7951"/>
    <w:rsid w:val="00AC0F6A"/>
    <w:rsid w:val="00AC1519"/>
    <w:rsid w:val="00AC1AAC"/>
    <w:rsid w:val="00AC6116"/>
    <w:rsid w:val="00AC76AE"/>
    <w:rsid w:val="00AD0280"/>
    <w:rsid w:val="00AD2F5D"/>
    <w:rsid w:val="00AD3133"/>
    <w:rsid w:val="00AD365D"/>
    <w:rsid w:val="00AD58CF"/>
    <w:rsid w:val="00AD7073"/>
    <w:rsid w:val="00AD7A07"/>
    <w:rsid w:val="00AE0AB1"/>
    <w:rsid w:val="00AE1BA0"/>
    <w:rsid w:val="00AE1C2F"/>
    <w:rsid w:val="00AE681A"/>
    <w:rsid w:val="00AE7152"/>
    <w:rsid w:val="00AE78BF"/>
    <w:rsid w:val="00AF01E6"/>
    <w:rsid w:val="00AF3CC4"/>
    <w:rsid w:val="00AF3E27"/>
    <w:rsid w:val="00AF726A"/>
    <w:rsid w:val="00AF7C77"/>
    <w:rsid w:val="00B004A1"/>
    <w:rsid w:val="00B00583"/>
    <w:rsid w:val="00B03078"/>
    <w:rsid w:val="00B04122"/>
    <w:rsid w:val="00B053DA"/>
    <w:rsid w:val="00B10617"/>
    <w:rsid w:val="00B12AF9"/>
    <w:rsid w:val="00B13973"/>
    <w:rsid w:val="00B1420E"/>
    <w:rsid w:val="00B14899"/>
    <w:rsid w:val="00B1614A"/>
    <w:rsid w:val="00B207A9"/>
    <w:rsid w:val="00B25F01"/>
    <w:rsid w:val="00B27D3E"/>
    <w:rsid w:val="00B34F25"/>
    <w:rsid w:val="00B377B8"/>
    <w:rsid w:val="00B37F43"/>
    <w:rsid w:val="00B40473"/>
    <w:rsid w:val="00B41202"/>
    <w:rsid w:val="00B418AE"/>
    <w:rsid w:val="00B45C9A"/>
    <w:rsid w:val="00B537D6"/>
    <w:rsid w:val="00B56575"/>
    <w:rsid w:val="00B64706"/>
    <w:rsid w:val="00B652B8"/>
    <w:rsid w:val="00B6706C"/>
    <w:rsid w:val="00B71D0E"/>
    <w:rsid w:val="00B81127"/>
    <w:rsid w:val="00B81D12"/>
    <w:rsid w:val="00B82CEB"/>
    <w:rsid w:val="00B845B1"/>
    <w:rsid w:val="00B866B3"/>
    <w:rsid w:val="00B90E23"/>
    <w:rsid w:val="00B91448"/>
    <w:rsid w:val="00B93206"/>
    <w:rsid w:val="00B95253"/>
    <w:rsid w:val="00BA5BD8"/>
    <w:rsid w:val="00BA6B4B"/>
    <w:rsid w:val="00BB0EE4"/>
    <w:rsid w:val="00BB13B8"/>
    <w:rsid w:val="00BB1421"/>
    <w:rsid w:val="00BB3C8F"/>
    <w:rsid w:val="00BB606F"/>
    <w:rsid w:val="00BC03F4"/>
    <w:rsid w:val="00BC0DC7"/>
    <w:rsid w:val="00BC3EAE"/>
    <w:rsid w:val="00BC45CD"/>
    <w:rsid w:val="00BC51BD"/>
    <w:rsid w:val="00BC5E0F"/>
    <w:rsid w:val="00BC73C4"/>
    <w:rsid w:val="00BC7753"/>
    <w:rsid w:val="00BD0D30"/>
    <w:rsid w:val="00BD4E06"/>
    <w:rsid w:val="00BD5328"/>
    <w:rsid w:val="00BE33A6"/>
    <w:rsid w:val="00BE3D62"/>
    <w:rsid w:val="00BE79A9"/>
    <w:rsid w:val="00BF0D2E"/>
    <w:rsid w:val="00BF20CC"/>
    <w:rsid w:val="00C02E67"/>
    <w:rsid w:val="00C042B0"/>
    <w:rsid w:val="00C06BC9"/>
    <w:rsid w:val="00C1385C"/>
    <w:rsid w:val="00C16C48"/>
    <w:rsid w:val="00C178F3"/>
    <w:rsid w:val="00C22A36"/>
    <w:rsid w:val="00C30876"/>
    <w:rsid w:val="00C34511"/>
    <w:rsid w:val="00C34B00"/>
    <w:rsid w:val="00C36A3E"/>
    <w:rsid w:val="00C41237"/>
    <w:rsid w:val="00C431A2"/>
    <w:rsid w:val="00C447F2"/>
    <w:rsid w:val="00C542A8"/>
    <w:rsid w:val="00C5712F"/>
    <w:rsid w:val="00C63513"/>
    <w:rsid w:val="00C64BCA"/>
    <w:rsid w:val="00C66F05"/>
    <w:rsid w:val="00C710D9"/>
    <w:rsid w:val="00C73743"/>
    <w:rsid w:val="00C73924"/>
    <w:rsid w:val="00C75C2A"/>
    <w:rsid w:val="00C76A4C"/>
    <w:rsid w:val="00C81A2B"/>
    <w:rsid w:val="00C834AE"/>
    <w:rsid w:val="00C85427"/>
    <w:rsid w:val="00C865D3"/>
    <w:rsid w:val="00C92815"/>
    <w:rsid w:val="00C9495F"/>
    <w:rsid w:val="00C94A27"/>
    <w:rsid w:val="00C96650"/>
    <w:rsid w:val="00C97E55"/>
    <w:rsid w:val="00CA0C42"/>
    <w:rsid w:val="00CA1A98"/>
    <w:rsid w:val="00CA2689"/>
    <w:rsid w:val="00CA368A"/>
    <w:rsid w:val="00CC2CF1"/>
    <w:rsid w:val="00CC627A"/>
    <w:rsid w:val="00CD0FE1"/>
    <w:rsid w:val="00CD1B7A"/>
    <w:rsid w:val="00CE0CEB"/>
    <w:rsid w:val="00CE4C2A"/>
    <w:rsid w:val="00CE734F"/>
    <w:rsid w:val="00CF1D76"/>
    <w:rsid w:val="00CF2EF9"/>
    <w:rsid w:val="00CF38E9"/>
    <w:rsid w:val="00CF3DD1"/>
    <w:rsid w:val="00CF5372"/>
    <w:rsid w:val="00CF5656"/>
    <w:rsid w:val="00D00382"/>
    <w:rsid w:val="00D049EB"/>
    <w:rsid w:val="00D04DE8"/>
    <w:rsid w:val="00D05204"/>
    <w:rsid w:val="00D10157"/>
    <w:rsid w:val="00D12550"/>
    <w:rsid w:val="00D145C7"/>
    <w:rsid w:val="00D15A4E"/>
    <w:rsid w:val="00D217BC"/>
    <w:rsid w:val="00D2299D"/>
    <w:rsid w:val="00D22CF6"/>
    <w:rsid w:val="00D2359C"/>
    <w:rsid w:val="00D23F0F"/>
    <w:rsid w:val="00D277F4"/>
    <w:rsid w:val="00D367D6"/>
    <w:rsid w:val="00D40013"/>
    <w:rsid w:val="00D41154"/>
    <w:rsid w:val="00D41870"/>
    <w:rsid w:val="00D41F84"/>
    <w:rsid w:val="00D47369"/>
    <w:rsid w:val="00D476AF"/>
    <w:rsid w:val="00D508BD"/>
    <w:rsid w:val="00D5167E"/>
    <w:rsid w:val="00D60DC0"/>
    <w:rsid w:val="00D62217"/>
    <w:rsid w:val="00D6322A"/>
    <w:rsid w:val="00D6424D"/>
    <w:rsid w:val="00D72385"/>
    <w:rsid w:val="00D72ED4"/>
    <w:rsid w:val="00D74544"/>
    <w:rsid w:val="00D75ACD"/>
    <w:rsid w:val="00D77E8A"/>
    <w:rsid w:val="00D84261"/>
    <w:rsid w:val="00D872C1"/>
    <w:rsid w:val="00DA0971"/>
    <w:rsid w:val="00DA09E3"/>
    <w:rsid w:val="00DA23FB"/>
    <w:rsid w:val="00DB5643"/>
    <w:rsid w:val="00DC17AC"/>
    <w:rsid w:val="00DC19D5"/>
    <w:rsid w:val="00DC28A2"/>
    <w:rsid w:val="00DC4BFA"/>
    <w:rsid w:val="00DC5D4A"/>
    <w:rsid w:val="00DD0BA8"/>
    <w:rsid w:val="00DE1ACA"/>
    <w:rsid w:val="00DE2517"/>
    <w:rsid w:val="00DF45E1"/>
    <w:rsid w:val="00DF7F2D"/>
    <w:rsid w:val="00E008DD"/>
    <w:rsid w:val="00E015D1"/>
    <w:rsid w:val="00E04ED8"/>
    <w:rsid w:val="00E0513A"/>
    <w:rsid w:val="00E071B4"/>
    <w:rsid w:val="00E1049A"/>
    <w:rsid w:val="00E16B07"/>
    <w:rsid w:val="00E16ED1"/>
    <w:rsid w:val="00E207ED"/>
    <w:rsid w:val="00E2122D"/>
    <w:rsid w:val="00E21FF0"/>
    <w:rsid w:val="00E23A72"/>
    <w:rsid w:val="00E27219"/>
    <w:rsid w:val="00E2786C"/>
    <w:rsid w:val="00E36298"/>
    <w:rsid w:val="00E3774D"/>
    <w:rsid w:val="00E40841"/>
    <w:rsid w:val="00E408C6"/>
    <w:rsid w:val="00E46203"/>
    <w:rsid w:val="00E46640"/>
    <w:rsid w:val="00E51E2A"/>
    <w:rsid w:val="00E53AA9"/>
    <w:rsid w:val="00E56603"/>
    <w:rsid w:val="00E57D40"/>
    <w:rsid w:val="00E61CF1"/>
    <w:rsid w:val="00E6273F"/>
    <w:rsid w:val="00E64788"/>
    <w:rsid w:val="00E65FDB"/>
    <w:rsid w:val="00E705A9"/>
    <w:rsid w:val="00E72384"/>
    <w:rsid w:val="00E72822"/>
    <w:rsid w:val="00E73256"/>
    <w:rsid w:val="00E839E9"/>
    <w:rsid w:val="00E85D79"/>
    <w:rsid w:val="00E90D35"/>
    <w:rsid w:val="00E93393"/>
    <w:rsid w:val="00E96712"/>
    <w:rsid w:val="00E96E58"/>
    <w:rsid w:val="00E976A1"/>
    <w:rsid w:val="00EA13B5"/>
    <w:rsid w:val="00EA16E3"/>
    <w:rsid w:val="00EA3277"/>
    <w:rsid w:val="00EA3EE7"/>
    <w:rsid w:val="00EA4CAB"/>
    <w:rsid w:val="00EA4F0A"/>
    <w:rsid w:val="00EA65C7"/>
    <w:rsid w:val="00EB09BA"/>
    <w:rsid w:val="00EB1151"/>
    <w:rsid w:val="00EB4A13"/>
    <w:rsid w:val="00EB5B1D"/>
    <w:rsid w:val="00EB7447"/>
    <w:rsid w:val="00EC05A0"/>
    <w:rsid w:val="00EC1BC0"/>
    <w:rsid w:val="00EC2C20"/>
    <w:rsid w:val="00EC2EEF"/>
    <w:rsid w:val="00EC3F3E"/>
    <w:rsid w:val="00EC4A14"/>
    <w:rsid w:val="00EC6368"/>
    <w:rsid w:val="00ED00E2"/>
    <w:rsid w:val="00ED030B"/>
    <w:rsid w:val="00ED16B5"/>
    <w:rsid w:val="00ED4934"/>
    <w:rsid w:val="00ED562C"/>
    <w:rsid w:val="00ED5E63"/>
    <w:rsid w:val="00ED5ED1"/>
    <w:rsid w:val="00EE4716"/>
    <w:rsid w:val="00EE6CCC"/>
    <w:rsid w:val="00EE7680"/>
    <w:rsid w:val="00EF1FA6"/>
    <w:rsid w:val="00EF2456"/>
    <w:rsid w:val="00EF720B"/>
    <w:rsid w:val="00F02205"/>
    <w:rsid w:val="00F0241B"/>
    <w:rsid w:val="00F03248"/>
    <w:rsid w:val="00F04914"/>
    <w:rsid w:val="00F063AA"/>
    <w:rsid w:val="00F0768C"/>
    <w:rsid w:val="00F108EC"/>
    <w:rsid w:val="00F11988"/>
    <w:rsid w:val="00F13C0C"/>
    <w:rsid w:val="00F162CC"/>
    <w:rsid w:val="00F220E5"/>
    <w:rsid w:val="00F22B9C"/>
    <w:rsid w:val="00F251A3"/>
    <w:rsid w:val="00F303ED"/>
    <w:rsid w:val="00F304EA"/>
    <w:rsid w:val="00F34FA6"/>
    <w:rsid w:val="00F376AB"/>
    <w:rsid w:val="00F41BBC"/>
    <w:rsid w:val="00F4201C"/>
    <w:rsid w:val="00F45569"/>
    <w:rsid w:val="00F473F4"/>
    <w:rsid w:val="00F47632"/>
    <w:rsid w:val="00F47DA3"/>
    <w:rsid w:val="00F50EE2"/>
    <w:rsid w:val="00F5136E"/>
    <w:rsid w:val="00F5510F"/>
    <w:rsid w:val="00F55A38"/>
    <w:rsid w:val="00F5728E"/>
    <w:rsid w:val="00F57BF6"/>
    <w:rsid w:val="00F60855"/>
    <w:rsid w:val="00F64250"/>
    <w:rsid w:val="00F64C4C"/>
    <w:rsid w:val="00F67625"/>
    <w:rsid w:val="00F701DC"/>
    <w:rsid w:val="00F713CE"/>
    <w:rsid w:val="00F720B6"/>
    <w:rsid w:val="00F7239D"/>
    <w:rsid w:val="00F73396"/>
    <w:rsid w:val="00F77EFC"/>
    <w:rsid w:val="00F8382E"/>
    <w:rsid w:val="00F91290"/>
    <w:rsid w:val="00F92B8C"/>
    <w:rsid w:val="00F92B98"/>
    <w:rsid w:val="00F93E96"/>
    <w:rsid w:val="00F94B63"/>
    <w:rsid w:val="00FA1104"/>
    <w:rsid w:val="00FA59A5"/>
    <w:rsid w:val="00FA5FB2"/>
    <w:rsid w:val="00FB0C18"/>
    <w:rsid w:val="00FB14B7"/>
    <w:rsid w:val="00FB2D20"/>
    <w:rsid w:val="00FB4AF1"/>
    <w:rsid w:val="00FB7983"/>
    <w:rsid w:val="00FC4140"/>
    <w:rsid w:val="00FD2012"/>
    <w:rsid w:val="00FD2F13"/>
    <w:rsid w:val="00FD2F8A"/>
    <w:rsid w:val="00FD6CF1"/>
    <w:rsid w:val="00FE6D6F"/>
    <w:rsid w:val="00FF15EB"/>
    <w:rsid w:val="00FF270D"/>
    <w:rsid w:val="00FF2EA0"/>
    <w:rsid w:val="00FF3FE9"/>
    <w:rsid w:val="00FF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DA"/>
    <w:rPr>
      <w:rFonts w:eastAsia="Times New Roman"/>
      <w:sz w:val="22"/>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Cs w:val="20"/>
      <w:lang w:eastAsia="en-US"/>
    </w:rPr>
  </w:style>
  <w:style w:type="paragraph" w:styleId="Heading8">
    <w:name w:val="heading 8"/>
    <w:basedOn w:val="Normal"/>
    <w:next w:val="Normal"/>
    <w:link w:val="Heading8Char"/>
    <w:qFormat/>
    <w:rsid w:val="002F76E4"/>
    <w:pPr>
      <w:keepNext/>
      <w:jc w:val="center"/>
      <w:outlineLvl w:val="7"/>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ing2Char">
    <w:name w:val="Heading 2 Char"/>
    <w:link w:val="Heading2"/>
    <w:rsid w:val="004316B2"/>
    <w:rPr>
      <w:rFonts w:ascii="Microsoft Sans Serif" w:eastAsia="Times New Roman" w:hAnsi="Microsoft Sans Serif"/>
      <w:sz w:val="24"/>
      <w:szCs w:val="24"/>
      <w:lang w:val="en-US" w:eastAsia="en-U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Heading8Char">
    <w:name w:val="Heading 8 Char"/>
    <w:basedOn w:val="DefaultParagraphFont"/>
    <w:link w:val="Heading8"/>
    <w:rsid w:val="002F76E4"/>
    <w:rPr>
      <w:rFonts w:eastAsia="Times New Roman"/>
      <w:b/>
      <w:lang w:eastAsia="en-US"/>
    </w:rPr>
  </w:style>
  <w:style w:type="paragraph" w:styleId="BodyTextIndent3">
    <w:name w:val="Body Text Indent 3"/>
    <w:basedOn w:val="Normal"/>
    <w:link w:val="BodyTextIndent3Char"/>
    <w:rsid w:val="004C37B7"/>
    <w:pPr>
      <w:ind w:right="-720" w:firstLine="360"/>
      <w:jc w:val="both"/>
    </w:pPr>
    <w:rPr>
      <w:snapToGrid w:val="0"/>
      <w:szCs w:val="20"/>
      <w:lang w:val="en-GB" w:eastAsia="en-US"/>
    </w:rPr>
  </w:style>
  <w:style w:type="character" w:customStyle="1" w:styleId="BodyTextIndent3Char">
    <w:name w:val="Body Text Indent 3 Char"/>
    <w:basedOn w:val="DefaultParagraphFont"/>
    <w:link w:val="BodyTextIndent3"/>
    <w:rsid w:val="00AC1AAC"/>
    <w:rPr>
      <w:rFonts w:eastAsia="Times New Roman"/>
      <w:snapToGrid w:val="0"/>
      <w:sz w:val="22"/>
      <w:lang w:eastAsia="en-US"/>
    </w:rPr>
  </w:style>
  <w:style w:type="paragraph" w:styleId="BodyText2">
    <w:name w:val="Body Text 2"/>
    <w:basedOn w:val="Normal"/>
    <w:link w:val="BodyText2Char"/>
    <w:rsid w:val="004C37B7"/>
    <w:pPr>
      <w:ind w:right="-720"/>
      <w:jc w:val="both"/>
    </w:pPr>
    <w:rPr>
      <w:snapToGrid w:val="0"/>
      <w:szCs w:val="20"/>
      <w:lang w:val="en-GB" w:eastAsia="en-US"/>
    </w:rPr>
  </w:style>
  <w:style w:type="character" w:customStyle="1" w:styleId="BodyText2Char">
    <w:name w:val="Body Text 2 Char"/>
    <w:basedOn w:val="DefaultParagraphFont"/>
    <w:link w:val="BodyText2"/>
    <w:rsid w:val="00AC1AAC"/>
    <w:rPr>
      <w:rFonts w:eastAsia="Times New Roman"/>
      <w:snapToGrid w:val="0"/>
      <w:sz w:val="22"/>
      <w:lang w:eastAsia="en-US"/>
    </w:rPr>
  </w:style>
  <w:style w:type="paragraph" w:styleId="BodyText3">
    <w:name w:val="Body Text 3"/>
    <w:basedOn w:val="Normal"/>
    <w:link w:val="BodyText3Char"/>
    <w:rsid w:val="004C37B7"/>
    <w:pPr>
      <w:ind w:right="283"/>
      <w:jc w:val="both"/>
    </w:pPr>
    <w:rPr>
      <w:color w:val="000000"/>
    </w:rPr>
  </w:style>
  <w:style w:type="character" w:customStyle="1" w:styleId="BodyText3Char">
    <w:name w:val="Body Text 3 Char"/>
    <w:link w:val="BodyText3"/>
    <w:locked/>
    <w:rsid w:val="00F6420E"/>
    <w:rPr>
      <w:rFonts w:eastAsia="Times New Roman"/>
      <w:color w:val="000000"/>
      <w:sz w:val="22"/>
      <w:szCs w:val="24"/>
      <w:lang w:eastAsia="it-IT"/>
    </w:rPr>
  </w:style>
  <w:style w:type="character" w:styleId="Hyperlink">
    <w:name w:val="Hyperlink"/>
    <w:uiPriority w:val="99"/>
    <w:rsid w:val="004C37B7"/>
    <w:rPr>
      <w:color w:val="0000FF"/>
      <w:u w:val="single"/>
    </w:rPr>
  </w:style>
  <w:style w:type="paragraph" w:styleId="NormalWeb">
    <w:name w:val="Normal (Web)"/>
    <w:basedOn w:val="Normal"/>
    <w:rsid w:val="004C37B7"/>
    <w:pPr>
      <w:spacing w:before="100" w:beforeAutospacing="1" w:after="100" w:afterAutospacing="1"/>
    </w:pPr>
    <w:rPr>
      <w:rFonts w:eastAsia="SimSun"/>
      <w:lang w:eastAsia="zh-CN"/>
    </w:rPr>
  </w:style>
  <w:style w:type="paragraph" w:customStyle="1" w:styleId="NormalWeb9">
    <w:name w:val="Normal (Web)9"/>
    <w:basedOn w:val="Normal"/>
    <w:rsid w:val="004C37B7"/>
    <w:rPr>
      <w:rFonts w:eastAsia="SimSun"/>
      <w:color w:val="333333"/>
      <w:sz w:val="17"/>
      <w:szCs w:val="17"/>
      <w:lang w:eastAsia="zh-CN"/>
    </w:rPr>
  </w:style>
  <w:style w:type="character" w:styleId="Emphasis">
    <w:name w:val="Emphasis"/>
    <w:uiPriority w:val="20"/>
    <w:qFormat/>
    <w:rsid w:val="004C37B7"/>
    <w:rPr>
      <w:i/>
      <w:iCs/>
    </w:rPr>
  </w:style>
  <w:style w:type="paragraph" w:styleId="TOC1">
    <w:name w:val="toc 1"/>
    <w:basedOn w:val="Normal"/>
    <w:next w:val="Normal"/>
    <w:autoRedefine/>
    <w:uiPriority w:val="39"/>
    <w:rsid w:val="00BC3EAE"/>
    <w:pPr>
      <w:tabs>
        <w:tab w:val="left" w:pos="900"/>
        <w:tab w:val="right" w:leader="dot" w:pos="9540"/>
      </w:tabs>
      <w:spacing w:after="60"/>
      <w:ind w:right="29"/>
    </w:pPr>
    <w:rPr>
      <w:rFonts w:eastAsia="MS Mincho"/>
      <w:b/>
      <w:bCs/>
      <w:noProof/>
      <w:snapToGrid w:val="0"/>
      <w:szCs w:val="22"/>
      <w:lang w:val="en-GB" w:eastAsia="ja-JP"/>
    </w:rPr>
  </w:style>
  <w:style w:type="paragraph" w:styleId="TOC2">
    <w:name w:val="toc 2"/>
    <w:basedOn w:val="Normal"/>
    <w:next w:val="Normal"/>
    <w:autoRedefine/>
    <w:uiPriority w:val="39"/>
    <w:rsid w:val="00B10617"/>
    <w:pPr>
      <w:tabs>
        <w:tab w:val="left" w:pos="880"/>
        <w:tab w:val="right" w:leader="dot" w:pos="9540"/>
      </w:tabs>
      <w:ind w:left="878" w:right="71" w:hanging="878"/>
    </w:pPr>
    <w:rPr>
      <w:rFonts w:ascii="Arial" w:hAnsi="Arial" w:cs="Arial"/>
      <w:b/>
      <w:bCs/>
      <w:noProof/>
      <w:snapToGrid w:val="0"/>
      <w:sz w:val="20"/>
      <w:szCs w:val="20"/>
      <w:lang w:val="en-GB"/>
    </w:rPr>
  </w:style>
  <w:style w:type="paragraph" w:customStyle="1" w:styleId="main">
    <w:name w:val="main"/>
    <w:basedOn w:val="Normal"/>
    <w:autoRedefine/>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rsid w:val="00DF05F8"/>
    <w:rPr>
      <w:rFonts w:ascii="Tahoma" w:hAnsi="Tahoma"/>
      <w:sz w:val="16"/>
      <w:szCs w:val="16"/>
    </w:rPr>
  </w:style>
  <w:style w:type="character" w:customStyle="1" w:styleId="BalloonTextChar">
    <w:name w:val="Balloon Text Char"/>
    <w:link w:val="BalloonText"/>
    <w:rsid w:val="00E015D1"/>
    <w:rPr>
      <w:rFonts w:ascii="Tahoma" w:eastAsia="Times New Roman" w:hAnsi="Tahoma" w:cs="Tahoma"/>
      <w:sz w:val="16"/>
      <w:szCs w:val="16"/>
      <w:lang w:val="en-US" w:eastAsia="it-IT"/>
    </w:rPr>
  </w:style>
  <w:style w:type="table" w:styleId="TableGrid">
    <w:name w:val="Table Grid"/>
    <w:basedOn w:val="TableNormal"/>
    <w:rsid w:val="006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48B5"/>
    <w:pPr>
      <w:tabs>
        <w:tab w:val="center" w:pos="4320"/>
        <w:tab w:val="right" w:pos="8640"/>
      </w:tabs>
    </w:pPr>
  </w:style>
  <w:style w:type="character" w:customStyle="1" w:styleId="HeaderChar">
    <w:name w:val="Header Char"/>
    <w:link w:val="Header"/>
    <w:rsid w:val="00EA582D"/>
    <w:rPr>
      <w:rFonts w:eastAsia="Times New Roman"/>
      <w:sz w:val="24"/>
      <w:szCs w:val="24"/>
    </w:rPr>
  </w:style>
  <w:style w:type="paragraph" w:styleId="Footer">
    <w:name w:val="footer"/>
    <w:basedOn w:val="Normal"/>
    <w:link w:val="FooterChar"/>
    <w:uiPriority w:val="99"/>
    <w:rsid w:val="006648B5"/>
    <w:pPr>
      <w:tabs>
        <w:tab w:val="center" w:pos="4320"/>
        <w:tab w:val="right" w:pos="8640"/>
      </w:tabs>
    </w:pPr>
  </w:style>
  <w:style w:type="character" w:customStyle="1" w:styleId="FooterChar">
    <w:name w:val="Footer Char"/>
    <w:link w:val="Footer"/>
    <w:uiPriority w:val="99"/>
    <w:rsid w:val="00EA582D"/>
    <w:rPr>
      <w:rFonts w:eastAsia="Times New Roman"/>
      <w:sz w:val="24"/>
      <w:szCs w:val="24"/>
    </w:rPr>
  </w:style>
  <w:style w:type="character" w:styleId="PageNumber">
    <w:name w:val="page number"/>
    <w:basedOn w:val="DefaultParagraphFont"/>
    <w:rsid w:val="006648B5"/>
  </w:style>
  <w:style w:type="paragraph" w:customStyle="1" w:styleId="H1PIC">
    <w:name w:val="H1 PIC"/>
    <w:basedOn w:val="Normal"/>
    <w:link w:val="H1PICChar"/>
    <w:rsid w:val="006648B5"/>
    <w:pPr>
      <w:tabs>
        <w:tab w:val="left" w:pos="9240"/>
      </w:tabs>
      <w:outlineLvl w:val="0"/>
    </w:pPr>
    <w:rPr>
      <w:b/>
      <w:snapToGrid w:val="0"/>
      <w:color w:val="000000"/>
      <w:szCs w:val="22"/>
      <w:lang w:val="en-GB"/>
    </w:rPr>
  </w:style>
  <w:style w:type="character" w:customStyle="1" w:styleId="H1PICChar">
    <w:name w:val="H1 PIC Char"/>
    <w:link w:val="H1PIC"/>
    <w:rsid w:val="00063D1B"/>
    <w:rPr>
      <w:rFonts w:eastAsia="Times New Roman"/>
      <w:b/>
      <w:snapToGrid w:val="0"/>
      <w:color w:val="000000"/>
      <w:sz w:val="22"/>
      <w:szCs w:val="22"/>
      <w:lang w:eastAsia="it-IT"/>
    </w:rPr>
  </w:style>
  <w:style w:type="paragraph" w:styleId="DocumentMap">
    <w:name w:val="Document Map"/>
    <w:basedOn w:val="Normal"/>
    <w:link w:val="DocumentMapChar"/>
    <w:uiPriority w:val="99"/>
    <w:rsid w:val="000B3D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23AB1"/>
    <w:rPr>
      <w:rFonts w:ascii="Tahoma" w:eastAsia="Times New Roman" w:hAnsi="Tahoma" w:cs="Tahoma"/>
      <w:shd w:val="clear" w:color="auto" w:fill="000080"/>
      <w:lang w:val="en-US" w:eastAsia="it-IT"/>
    </w:rPr>
  </w:style>
  <w:style w:type="paragraph" w:styleId="CommentText">
    <w:name w:val="annotation text"/>
    <w:basedOn w:val="Normal"/>
    <w:link w:val="CommentTextChar"/>
    <w:rsid w:val="00F52ECD"/>
    <w:rPr>
      <w:sz w:val="20"/>
      <w:szCs w:val="20"/>
    </w:rPr>
  </w:style>
  <w:style w:type="character" w:customStyle="1" w:styleId="CommentTextChar">
    <w:name w:val="Comment Text Char"/>
    <w:link w:val="CommentText"/>
    <w:locked/>
    <w:rsid w:val="00272ECF"/>
    <w:rPr>
      <w:rFonts w:eastAsia="Times New Roman"/>
      <w:lang w:val="en-US" w:eastAsia="it-IT"/>
    </w:rPr>
  </w:style>
  <w:style w:type="paragraph" w:styleId="CommentSubject">
    <w:name w:val="annotation subject"/>
    <w:basedOn w:val="CommentText"/>
    <w:next w:val="CommentText"/>
    <w:link w:val="CommentSubjectChar"/>
    <w:uiPriority w:val="99"/>
    <w:rsid w:val="00F52ECD"/>
    <w:rPr>
      <w:b/>
      <w:bCs/>
    </w:rPr>
  </w:style>
  <w:style w:type="character" w:customStyle="1" w:styleId="CommentSubjectChar">
    <w:name w:val="Comment Subject Char"/>
    <w:basedOn w:val="CommentTextChar"/>
    <w:link w:val="CommentSubject"/>
    <w:uiPriority w:val="99"/>
    <w:rsid w:val="00005302"/>
    <w:rPr>
      <w:rFonts w:eastAsia="Times New Roman"/>
      <w:b/>
      <w:bCs/>
      <w:lang w:val="en-US" w:eastAsia="it-IT"/>
    </w:rPr>
  </w:style>
  <w:style w:type="character" w:styleId="FollowedHyperlink">
    <w:name w:val="FollowedHyperlink"/>
    <w:uiPriority w:val="99"/>
    <w:rsid w:val="00F52ECD"/>
    <w:rPr>
      <w:color w:val="800080"/>
      <w:u w:val="single"/>
    </w:rPr>
  </w:style>
  <w:style w:type="paragraph" w:styleId="TOC3">
    <w:name w:val="toc 3"/>
    <w:basedOn w:val="Normal"/>
    <w:next w:val="Normal"/>
    <w:autoRedefine/>
    <w:rsid w:val="00F52ECD"/>
    <w:pPr>
      <w:ind w:left="480"/>
    </w:pPr>
    <w:rPr>
      <w:lang w:eastAsia="en-US"/>
    </w:rPr>
  </w:style>
  <w:style w:type="paragraph" w:styleId="TOC4">
    <w:name w:val="toc 4"/>
    <w:basedOn w:val="Normal"/>
    <w:next w:val="Normal"/>
    <w:autoRedefine/>
    <w:rsid w:val="00F52ECD"/>
    <w:pPr>
      <w:ind w:left="720"/>
    </w:pPr>
    <w:rPr>
      <w:lang w:eastAsia="en-US"/>
    </w:rPr>
  </w:style>
  <w:style w:type="paragraph" w:styleId="TOC5">
    <w:name w:val="toc 5"/>
    <w:basedOn w:val="Normal"/>
    <w:next w:val="Normal"/>
    <w:autoRedefine/>
    <w:rsid w:val="00F52ECD"/>
    <w:pPr>
      <w:ind w:left="960"/>
    </w:pPr>
    <w:rPr>
      <w:lang w:eastAsia="en-US"/>
    </w:rPr>
  </w:style>
  <w:style w:type="paragraph" w:styleId="TOC6">
    <w:name w:val="toc 6"/>
    <w:basedOn w:val="Normal"/>
    <w:next w:val="Normal"/>
    <w:autoRedefine/>
    <w:rsid w:val="00F52ECD"/>
    <w:pPr>
      <w:ind w:left="1200"/>
    </w:pPr>
    <w:rPr>
      <w:lang w:eastAsia="en-US"/>
    </w:rPr>
  </w:style>
  <w:style w:type="paragraph" w:styleId="TOC7">
    <w:name w:val="toc 7"/>
    <w:basedOn w:val="Normal"/>
    <w:next w:val="Normal"/>
    <w:autoRedefine/>
    <w:rsid w:val="00F52ECD"/>
    <w:pPr>
      <w:ind w:left="1440"/>
    </w:pPr>
    <w:rPr>
      <w:lang w:eastAsia="en-US"/>
    </w:rPr>
  </w:style>
  <w:style w:type="paragraph" w:styleId="TOC8">
    <w:name w:val="toc 8"/>
    <w:basedOn w:val="Normal"/>
    <w:next w:val="Normal"/>
    <w:autoRedefine/>
    <w:rsid w:val="00F52ECD"/>
    <w:pPr>
      <w:ind w:left="1680"/>
    </w:pPr>
    <w:rPr>
      <w:lang w:eastAsia="en-US"/>
    </w:rPr>
  </w:style>
  <w:style w:type="paragraph" w:styleId="TOC9">
    <w:name w:val="toc 9"/>
    <w:basedOn w:val="Normal"/>
    <w:next w:val="Normal"/>
    <w:autoRedefine/>
    <w:rsid w:val="00F52ECD"/>
    <w:pPr>
      <w:ind w:left="1920"/>
    </w:pPr>
    <w:rPr>
      <w:lang w:eastAsia="en-US"/>
    </w:rPr>
  </w:style>
  <w:style w:type="paragraph" w:customStyle="1" w:styleId="ICRtext">
    <w:name w:val="ICR text"/>
    <w:basedOn w:val="Normal"/>
    <w:link w:val="ICRtextChar"/>
    <w:rsid w:val="00F52ECD"/>
    <w:pPr>
      <w:widowControl w:val="0"/>
      <w:autoSpaceDE w:val="0"/>
      <w:autoSpaceDN w:val="0"/>
      <w:adjustRightInd w:val="0"/>
    </w:pPr>
    <w:rPr>
      <w:rFonts w:ascii="MS Sans Serif" w:hAnsi="MS Sans Serif" w:cs="MS Sans Serif"/>
      <w:sz w:val="17"/>
      <w:szCs w:val="17"/>
      <w:lang w:val="es-ES" w:eastAsia="en-US"/>
    </w:rPr>
  </w:style>
  <w:style w:type="character" w:customStyle="1" w:styleId="ICRtextChar">
    <w:name w:val="ICR text Char"/>
    <w:link w:val="ICRtext"/>
    <w:rsid w:val="002F76E4"/>
    <w:rPr>
      <w:rFonts w:ascii="MS Sans Serif" w:eastAsia="Times New Roman" w:hAnsi="MS Sans Serif" w:cs="MS Sans Serif"/>
      <w:sz w:val="17"/>
      <w:szCs w:val="17"/>
      <w:lang w:val="es-ES" w:eastAsia="en-US"/>
    </w:rPr>
  </w:style>
  <w:style w:type="paragraph" w:styleId="BodyText">
    <w:name w:val="Body Text"/>
    <w:basedOn w:val="Normal"/>
    <w:link w:val="BodyTextChar"/>
    <w:rsid w:val="00F52ECD"/>
    <w:pPr>
      <w:spacing w:after="120"/>
    </w:pPr>
    <w:rPr>
      <w:lang w:eastAsia="en-US"/>
    </w:rPr>
  </w:style>
  <w:style w:type="character" w:customStyle="1" w:styleId="BodyTextChar">
    <w:name w:val="Body Text Char"/>
    <w:basedOn w:val="DefaultParagraphFont"/>
    <w:link w:val="BodyText"/>
    <w:rsid w:val="00AC1AAC"/>
    <w:rPr>
      <w:rFonts w:eastAsia="Times New Roman"/>
      <w:sz w:val="24"/>
      <w:szCs w:val="24"/>
      <w:lang w:val="en-US" w:eastAsia="en-US"/>
    </w:rPr>
  </w:style>
  <w:style w:type="paragraph" w:styleId="FootnoteText">
    <w:name w:val="footnote text"/>
    <w:aliases w:val="DNV-FT"/>
    <w:basedOn w:val="Normal"/>
    <w:link w:val="FootnoteTextChar"/>
    <w:uiPriority w:val="99"/>
    <w:rsid w:val="00F52ECD"/>
    <w:rPr>
      <w:sz w:val="20"/>
      <w:szCs w:val="20"/>
    </w:rPr>
  </w:style>
  <w:style w:type="character" w:customStyle="1" w:styleId="FootnoteTextChar">
    <w:name w:val="Footnote Text Char"/>
    <w:aliases w:val="DNV-FT Char"/>
    <w:link w:val="FootnoteText"/>
    <w:uiPriority w:val="99"/>
    <w:semiHidden/>
    <w:locked/>
    <w:rsid w:val="00F6420E"/>
    <w:rPr>
      <w:rFonts w:eastAsia="Times New Roman"/>
      <w:lang w:val="en-US" w:eastAsia="it-IT"/>
    </w:rPr>
  </w:style>
  <w:style w:type="paragraph" w:customStyle="1" w:styleId="H2PIC">
    <w:name w:val="H2 PIC"/>
    <w:basedOn w:val="BodyTextIndent3"/>
    <w:link w:val="H2PICChar"/>
    <w:rsid w:val="00F52ECD"/>
    <w:pPr>
      <w:ind w:right="0" w:firstLine="0"/>
      <w:outlineLvl w:val="1"/>
    </w:pPr>
    <w:rPr>
      <w:b/>
      <w:color w:val="000000"/>
      <w:szCs w:val="22"/>
    </w:rPr>
  </w:style>
  <w:style w:type="character" w:customStyle="1" w:styleId="H2PICChar">
    <w:name w:val="H2 PIC Char"/>
    <w:link w:val="H2PIC"/>
    <w:rsid w:val="002F76E4"/>
    <w:rPr>
      <w:rFonts w:eastAsia="Times New Roman"/>
      <w:b/>
      <w:snapToGrid w:val="0"/>
      <w:color w:val="000000"/>
      <w:sz w:val="22"/>
      <w:szCs w:val="22"/>
      <w:lang w:eastAsia="en-US"/>
    </w:rPr>
  </w:style>
  <w:style w:type="paragraph" w:customStyle="1" w:styleId="H1PICSection">
    <w:name w:val="H1 PIC Section"/>
    <w:basedOn w:val="Normal"/>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semiHidden/>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rsid w:val="00786E45"/>
    <w:rPr>
      <w:sz w:val="16"/>
      <w:szCs w:val="16"/>
    </w:rPr>
  </w:style>
  <w:style w:type="paragraph" w:customStyle="1" w:styleId="xl65">
    <w:name w:val="xl65"/>
    <w:basedOn w:val="Normal"/>
    <w:rsid w:val="00665A9C"/>
    <w:pPr>
      <w:spacing w:before="100" w:beforeAutospacing="1" w:after="100" w:afterAutospacing="1"/>
    </w:pPr>
    <w:rPr>
      <w:lang w:eastAsia="en-US"/>
    </w:rPr>
  </w:style>
  <w:style w:type="paragraph" w:customStyle="1" w:styleId="xl66">
    <w:name w:val="xl66"/>
    <w:basedOn w:val="Normal"/>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uiPriority w:val="99"/>
    <w:rsid w:val="00C92DD7"/>
    <w:rPr>
      <w:vertAlign w:val="superscrip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uiPriority w:val="22"/>
    <w:qFormat/>
    <w:rsid w:val="00B537D6"/>
    <w:rPr>
      <w:b/>
      <w:bCs/>
    </w:rPr>
  </w:style>
  <w:style w:type="paragraph" w:styleId="ListParagraph">
    <w:name w:val="List Paragraph"/>
    <w:basedOn w:val="Normal"/>
    <w:uiPriority w:val="34"/>
    <w:qFormat/>
    <w:rsid w:val="005935C1"/>
    <w:pPr>
      <w:ind w:left="720"/>
      <w:contextualSpacing/>
    </w:pPr>
  </w:style>
  <w:style w:type="character" w:customStyle="1" w:styleId="apple-converted-space">
    <w:name w:val="apple-converted-space"/>
    <w:basedOn w:val="DefaultParagraphFont"/>
    <w:rsid w:val="00004744"/>
  </w:style>
  <w:style w:type="paragraph" w:styleId="BlockText">
    <w:name w:val="Block Text"/>
    <w:basedOn w:val="Normal"/>
    <w:rsid w:val="002F76E4"/>
    <w:pPr>
      <w:ind w:left="720" w:right="720"/>
      <w:jc w:val="both"/>
    </w:pPr>
    <w:rPr>
      <w:snapToGrid w:val="0"/>
      <w:szCs w:val="20"/>
      <w:lang w:eastAsia="en-US"/>
    </w:rPr>
  </w:style>
  <w:style w:type="paragraph" w:styleId="BodyTextIndent2">
    <w:name w:val="Body Text Indent 2"/>
    <w:basedOn w:val="Normal"/>
    <w:link w:val="BodyTextIndent2Char"/>
    <w:rsid w:val="002F76E4"/>
    <w:pPr>
      <w:ind w:firstLine="720"/>
      <w:jc w:val="both"/>
    </w:pPr>
    <w:rPr>
      <w:szCs w:val="20"/>
      <w:lang w:val="es-ES_tradnl"/>
    </w:rPr>
  </w:style>
  <w:style w:type="character" w:customStyle="1" w:styleId="BodyTextIndent2Char">
    <w:name w:val="Body Text Indent 2 Char"/>
    <w:basedOn w:val="DefaultParagraphFont"/>
    <w:link w:val="BodyTextIndent2"/>
    <w:rsid w:val="002F76E4"/>
    <w:rPr>
      <w:rFonts w:eastAsia="Times New Roman"/>
      <w:sz w:val="22"/>
      <w:lang w:val="es-ES_tradnl" w:eastAsia="it-IT"/>
    </w:rPr>
  </w:style>
  <w:style w:type="paragraph" w:styleId="Title">
    <w:name w:val="Title"/>
    <w:basedOn w:val="Normal"/>
    <w:link w:val="TitleChar"/>
    <w:qFormat/>
    <w:rsid w:val="002F76E4"/>
    <w:pPr>
      <w:jc w:val="center"/>
    </w:pPr>
    <w:rPr>
      <w:b/>
      <w:i/>
      <w:snapToGrid w:val="0"/>
      <w:szCs w:val="20"/>
      <w:lang w:val="en-GB" w:eastAsia="en-US"/>
    </w:rPr>
  </w:style>
  <w:style w:type="character" w:customStyle="1" w:styleId="TitleChar">
    <w:name w:val="Title Char"/>
    <w:basedOn w:val="DefaultParagraphFont"/>
    <w:link w:val="Title"/>
    <w:rsid w:val="002F76E4"/>
    <w:rPr>
      <w:rFonts w:eastAsia="Times New Roman"/>
      <w:b/>
      <w:i/>
      <w:snapToGrid w:val="0"/>
      <w:sz w:val="22"/>
      <w:lang w:eastAsia="en-US"/>
    </w:rPr>
  </w:style>
  <w:style w:type="paragraph" w:customStyle="1" w:styleId="TEXTE">
    <w:name w:val="TEXTE"/>
    <w:basedOn w:val="Normal"/>
    <w:rsid w:val="002F76E4"/>
    <w:pPr>
      <w:ind w:left="720" w:right="567"/>
    </w:pPr>
    <w:rPr>
      <w:rFonts w:ascii="CG Times (WN)" w:hAnsi="CG Times (WN)"/>
      <w:sz w:val="24"/>
      <w:szCs w:val="20"/>
      <w:lang w:eastAsia="en-US"/>
    </w:rPr>
  </w:style>
  <w:style w:type="paragraph" w:styleId="BodyTextIndent">
    <w:name w:val="Body Text Indent"/>
    <w:basedOn w:val="Normal"/>
    <w:link w:val="BodyTextIndentChar"/>
    <w:rsid w:val="002F76E4"/>
    <w:pPr>
      <w:tabs>
        <w:tab w:val="left" w:pos="993"/>
      </w:tabs>
      <w:autoSpaceDE w:val="0"/>
      <w:autoSpaceDN w:val="0"/>
      <w:ind w:left="993" w:hanging="993"/>
      <w:jc w:val="both"/>
    </w:pPr>
    <w:rPr>
      <w:b/>
      <w:lang w:val="es-ES_tradnl" w:eastAsia="en-US"/>
    </w:rPr>
  </w:style>
  <w:style w:type="character" w:customStyle="1" w:styleId="BodyTextIndentChar">
    <w:name w:val="Body Text Indent Char"/>
    <w:basedOn w:val="DefaultParagraphFont"/>
    <w:link w:val="BodyTextIndent"/>
    <w:rsid w:val="002F76E4"/>
    <w:rPr>
      <w:rFonts w:eastAsia="Times New Roman"/>
      <w:b/>
      <w:sz w:val="22"/>
      <w:szCs w:val="24"/>
      <w:lang w:val="es-ES_tradnl" w:eastAsia="en-US"/>
    </w:rPr>
  </w:style>
  <w:style w:type="paragraph" w:customStyle="1" w:styleId="NormalArial">
    <w:name w:val="Normal+ Arial"/>
    <w:aliases w:val="8.5 pt,Bold"/>
    <w:basedOn w:val="Normal"/>
    <w:link w:val="NormalArialChar"/>
    <w:rsid w:val="002F76E4"/>
    <w:pPr>
      <w:widowControl w:val="0"/>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7" w:lineRule="exact"/>
    </w:pPr>
    <w:rPr>
      <w:szCs w:val="22"/>
      <w:lang w:val="es-ES_tradnl"/>
    </w:rPr>
  </w:style>
  <w:style w:type="character" w:customStyle="1" w:styleId="NormalArialChar">
    <w:name w:val="Normal+ Arial Char"/>
    <w:aliases w:val="8.5 pt Char,Bold Char"/>
    <w:link w:val="NormalArial"/>
    <w:rsid w:val="002F76E4"/>
    <w:rPr>
      <w:rFonts w:eastAsia="Times New Roman"/>
      <w:sz w:val="22"/>
      <w:szCs w:val="22"/>
      <w:lang w:val="es-ES_tradnl" w:eastAsia="it-IT"/>
    </w:rPr>
  </w:style>
  <w:style w:type="paragraph" w:customStyle="1" w:styleId="IRMSShar">
    <w:name w:val="IR MS Shar"/>
    <w:basedOn w:val="Normal"/>
    <w:link w:val="IRMSSharChar"/>
    <w:rsid w:val="002F76E4"/>
    <w:rPr>
      <w:rFonts w:ascii="Microsoft Sans Serif" w:hAnsi="Microsoft Sans Serif" w:cs="Arial"/>
      <w:sz w:val="17"/>
      <w:szCs w:val="17"/>
    </w:rPr>
  </w:style>
  <w:style w:type="character" w:customStyle="1" w:styleId="IRMSSharChar">
    <w:name w:val="IR MS Shar Char"/>
    <w:link w:val="IRMSShar"/>
    <w:rsid w:val="002F76E4"/>
    <w:rPr>
      <w:rFonts w:ascii="Microsoft Sans Serif" w:eastAsia="Times New Roman" w:hAnsi="Microsoft Sans Serif" w:cs="Arial"/>
      <w:sz w:val="17"/>
      <w:szCs w:val="17"/>
      <w:lang w:val="en-US" w:eastAsia="it-IT"/>
    </w:rPr>
  </w:style>
  <w:style w:type="character" w:customStyle="1" w:styleId="longtext1">
    <w:name w:val="long_text1"/>
    <w:rsid w:val="002F76E4"/>
    <w:rPr>
      <w:sz w:val="20"/>
      <w:szCs w:val="20"/>
    </w:rPr>
  </w:style>
  <w:style w:type="character" w:customStyle="1" w:styleId="longtext">
    <w:name w:val="long_text"/>
    <w:basedOn w:val="DefaultParagraphFont"/>
    <w:rsid w:val="002F76E4"/>
  </w:style>
  <w:style w:type="character" w:customStyle="1" w:styleId="hps">
    <w:name w:val="hps"/>
    <w:basedOn w:val="DefaultParagraphFont"/>
    <w:rsid w:val="002F76E4"/>
  </w:style>
  <w:style w:type="paragraph" w:customStyle="1" w:styleId="ColorfulList-Accent11">
    <w:name w:val="Colorful List - Accent 11"/>
    <w:basedOn w:val="Normal"/>
    <w:uiPriority w:val="34"/>
    <w:qFormat/>
    <w:rsid w:val="002F76E4"/>
    <w:pPr>
      <w:spacing w:after="200" w:line="276" w:lineRule="auto"/>
      <w:ind w:left="720"/>
      <w:contextualSpacing/>
    </w:pPr>
    <w:rPr>
      <w:rFonts w:ascii="Calibri" w:eastAsia="Calibri" w:hAnsi="Calibri"/>
      <w:szCs w:val="22"/>
      <w:lang w:eastAsia="en-US"/>
    </w:rPr>
  </w:style>
  <w:style w:type="character" w:customStyle="1" w:styleId="st">
    <w:name w:val="st"/>
    <w:rsid w:val="002F76E4"/>
  </w:style>
  <w:style w:type="paragraph" w:customStyle="1" w:styleId="MEAS">
    <w:name w:val="MEAS"/>
    <w:basedOn w:val="Normal"/>
    <w:link w:val="MEASChar"/>
    <w:qFormat/>
    <w:rsid w:val="002F76E4"/>
    <w:pPr>
      <w:widowControl w:val="0"/>
      <w:autoSpaceDE w:val="0"/>
      <w:autoSpaceDN w:val="0"/>
      <w:adjustRightInd w:val="0"/>
    </w:pPr>
    <w:rPr>
      <w:rFonts w:ascii="MS Sans Serif" w:hAnsi="MS Sans Serif" w:cs="MS Sans Serif"/>
      <w:color w:val="000000"/>
      <w:sz w:val="17"/>
      <w:szCs w:val="17"/>
      <w:lang w:val="es-ES"/>
    </w:rPr>
  </w:style>
  <w:style w:type="character" w:customStyle="1" w:styleId="MEASChar">
    <w:name w:val="MEAS Char"/>
    <w:basedOn w:val="DefaultParagraphFont"/>
    <w:link w:val="MEAS"/>
    <w:rsid w:val="002F76E4"/>
    <w:rPr>
      <w:rFonts w:ascii="MS Sans Serif" w:eastAsia="Times New Roman" w:hAnsi="MS Sans Serif" w:cs="MS Sans Serif"/>
      <w:color w:val="000000"/>
      <w:sz w:val="17"/>
      <w:szCs w:val="17"/>
      <w:lang w:val="es-ES" w:eastAsia="it-IT"/>
    </w:rPr>
  </w:style>
  <w:style w:type="character" w:customStyle="1" w:styleId="shorttext">
    <w:name w:val="short_text"/>
    <w:basedOn w:val="DefaultParagraphFont"/>
    <w:rsid w:val="00D872C1"/>
  </w:style>
  <w:style w:type="paragraph" w:customStyle="1" w:styleId="ca">
    <w:name w:val="ca"/>
    <w:basedOn w:val="Normal"/>
    <w:rsid w:val="0041159A"/>
    <w:pPr>
      <w:spacing w:before="120"/>
    </w:pPr>
    <w:rPr>
      <w:color w:val="00000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DA"/>
    <w:rPr>
      <w:rFonts w:eastAsia="Times New Roman"/>
      <w:sz w:val="22"/>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Cs w:val="20"/>
      <w:lang w:eastAsia="en-US"/>
    </w:rPr>
  </w:style>
  <w:style w:type="paragraph" w:styleId="Heading8">
    <w:name w:val="heading 8"/>
    <w:basedOn w:val="Normal"/>
    <w:next w:val="Normal"/>
    <w:link w:val="Heading8Char"/>
    <w:qFormat/>
    <w:rsid w:val="002F76E4"/>
    <w:pPr>
      <w:keepNext/>
      <w:jc w:val="center"/>
      <w:outlineLvl w:val="7"/>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ing2Char">
    <w:name w:val="Heading 2 Char"/>
    <w:link w:val="Heading2"/>
    <w:rsid w:val="004316B2"/>
    <w:rPr>
      <w:rFonts w:ascii="Microsoft Sans Serif" w:eastAsia="Times New Roman" w:hAnsi="Microsoft Sans Serif"/>
      <w:sz w:val="24"/>
      <w:szCs w:val="24"/>
      <w:lang w:val="en-US" w:eastAsia="en-U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Heading8Char">
    <w:name w:val="Heading 8 Char"/>
    <w:basedOn w:val="DefaultParagraphFont"/>
    <w:link w:val="Heading8"/>
    <w:rsid w:val="002F76E4"/>
    <w:rPr>
      <w:rFonts w:eastAsia="Times New Roman"/>
      <w:b/>
      <w:lang w:eastAsia="en-US"/>
    </w:rPr>
  </w:style>
  <w:style w:type="paragraph" w:styleId="BodyTextIndent3">
    <w:name w:val="Body Text Indent 3"/>
    <w:basedOn w:val="Normal"/>
    <w:link w:val="BodyTextIndent3Char"/>
    <w:rsid w:val="004C37B7"/>
    <w:pPr>
      <w:ind w:right="-720" w:firstLine="360"/>
      <w:jc w:val="both"/>
    </w:pPr>
    <w:rPr>
      <w:snapToGrid w:val="0"/>
      <w:szCs w:val="20"/>
      <w:lang w:val="en-GB" w:eastAsia="en-US"/>
    </w:rPr>
  </w:style>
  <w:style w:type="character" w:customStyle="1" w:styleId="BodyTextIndent3Char">
    <w:name w:val="Body Text Indent 3 Char"/>
    <w:basedOn w:val="DefaultParagraphFont"/>
    <w:link w:val="BodyTextIndent3"/>
    <w:rsid w:val="00AC1AAC"/>
    <w:rPr>
      <w:rFonts w:eastAsia="Times New Roman"/>
      <w:snapToGrid w:val="0"/>
      <w:sz w:val="22"/>
      <w:lang w:eastAsia="en-US"/>
    </w:rPr>
  </w:style>
  <w:style w:type="paragraph" w:styleId="BodyText2">
    <w:name w:val="Body Text 2"/>
    <w:basedOn w:val="Normal"/>
    <w:link w:val="BodyText2Char"/>
    <w:rsid w:val="004C37B7"/>
    <w:pPr>
      <w:ind w:right="-720"/>
      <w:jc w:val="both"/>
    </w:pPr>
    <w:rPr>
      <w:snapToGrid w:val="0"/>
      <w:szCs w:val="20"/>
      <w:lang w:val="en-GB" w:eastAsia="en-US"/>
    </w:rPr>
  </w:style>
  <w:style w:type="character" w:customStyle="1" w:styleId="BodyText2Char">
    <w:name w:val="Body Text 2 Char"/>
    <w:basedOn w:val="DefaultParagraphFont"/>
    <w:link w:val="BodyText2"/>
    <w:rsid w:val="00AC1AAC"/>
    <w:rPr>
      <w:rFonts w:eastAsia="Times New Roman"/>
      <w:snapToGrid w:val="0"/>
      <w:sz w:val="22"/>
      <w:lang w:eastAsia="en-US"/>
    </w:rPr>
  </w:style>
  <w:style w:type="paragraph" w:styleId="BodyText3">
    <w:name w:val="Body Text 3"/>
    <w:basedOn w:val="Normal"/>
    <w:link w:val="BodyText3Char"/>
    <w:rsid w:val="004C37B7"/>
    <w:pPr>
      <w:ind w:right="283"/>
      <w:jc w:val="both"/>
    </w:pPr>
    <w:rPr>
      <w:color w:val="000000"/>
    </w:rPr>
  </w:style>
  <w:style w:type="character" w:customStyle="1" w:styleId="BodyText3Char">
    <w:name w:val="Body Text 3 Char"/>
    <w:link w:val="BodyText3"/>
    <w:locked/>
    <w:rsid w:val="00F6420E"/>
    <w:rPr>
      <w:rFonts w:eastAsia="Times New Roman"/>
      <w:color w:val="000000"/>
      <w:sz w:val="22"/>
      <w:szCs w:val="24"/>
      <w:lang w:eastAsia="it-IT"/>
    </w:rPr>
  </w:style>
  <w:style w:type="character" w:styleId="Hyperlink">
    <w:name w:val="Hyperlink"/>
    <w:uiPriority w:val="99"/>
    <w:rsid w:val="004C37B7"/>
    <w:rPr>
      <w:color w:val="0000FF"/>
      <w:u w:val="single"/>
    </w:rPr>
  </w:style>
  <w:style w:type="paragraph" w:styleId="NormalWeb">
    <w:name w:val="Normal (Web)"/>
    <w:basedOn w:val="Normal"/>
    <w:rsid w:val="004C37B7"/>
    <w:pPr>
      <w:spacing w:before="100" w:beforeAutospacing="1" w:after="100" w:afterAutospacing="1"/>
    </w:pPr>
    <w:rPr>
      <w:rFonts w:eastAsia="SimSun"/>
      <w:lang w:eastAsia="zh-CN"/>
    </w:rPr>
  </w:style>
  <w:style w:type="paragraph" w:customStyle="1" w:styleId="NormalWeb9">
    <w:name w:val="Normal (Web)9"/>
    <w:basedOn w:val="Normal"/>
    <w:rsid w:val="004C37B7"/>
    <w:rPr>
      <w:rFonts w:eastAsia="SimSun"/>
      <w:color w:val="333333"/>
      <w:sz w:val="17"/>
      <w:szCs w:val="17"/>
      <w:lang w:eastAsia="zh-CN"/>
    </w:rPr>
  </w:style>
  <w:style w:type="character" w:styleId="Emphasis">
    <w:name w:val="Emphasis"/>
    <w:uiPriority w:val="20"/>
    <w:qFormat/>
    <w:rsid w:val="004C37B7"/>
    <w:rPr>
      <w:i/>
      <w:iCs/>
    </w:rPr>
  </w:style>
  <w:style w:type="paragraph" w:styleId="TOC1">
    <w:name w:val="toc 1"/>
    <w:basedOn w:val="Normal"/>
    <w:next w:val="Normal"/>
    <w:autoRedefine/>
    <w:uiPriority w:val="39"/>
    <w:rsid w:val="00BC3EAE"/>
    <w:pPr>
      <w:tabs>
        <w:tab w:val="left" w:pos="900"/>
        <w:tab w:val="right" w:leader="dot" w:pos="9540"/>
      </w:tabs>
      <w:spacing w:after="60"/>
      <w:ind w:right="29"/>
    </w:pPr>
    <w:rPr>
      <w:rFonts w:eastAsia="MS Mincho"/>
      <w:b/>
      <w:bCs/>
      <w:noProof/>
      <w:snapToGrid w:val="0"/>
      <w:szCs w:val="22"/>
      <w:lang w:val="en-GB" w:eastAsia="ja-JP"/>
    </w:rPr>
  </w:style>
  <w:style w:type="paragraph" w:styleId="TOC2">
    <w:name w:val="toc 2"/>
    <w:basedOn w:val="Normal"/>
    <w:next w:val="Normal"/>
    <w:autoRedefine/>
    <w:uiPriority w:val="39"/>
    <w:rsid w:val="00B10617"/>
    <w:pPr>
      <w:tabs>
        <w:tab w:val="left" w:pos="880"/>
        <w:tab w:val="right" w:leader="dot" w:pos="9540"/>
      </w:tabs>
      <w:ind w:left="878" w:right="71" w:hanging="878"/>
    </w:pPr>
    <w:rPr>
      <w:rFonts w:ascii="Arial" w:hAnsi="Arial" w:cs="Arial"/>
      <w:b/>
      <w:bCs/>
      <w:noProof/>
      <w:snapToGrid w:val="0"/>
      <w:sz w:val="20"/>
      <w:szCs w:val="20"/>
      <w:lang w:val="en-GB"/>
    </w:rPr>
  </w:style>
  <w:style w:type="paragraph" w:customStyle="1" w:styleId="main">
    <w:name w:val="main"/>
    <w:basedOn w:val="Normal"/>
    <w:autoRedefine/>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rsid w:val="00DF05F8"/>
    <w:rPr>
      <w:rFonts w:ascii="Tahoma" w:hAnsi="Tahoma"/>
      <w:sz w:val="16"/>
      <w:szCs w:val="16"/>
    </w:rPr>
  </w:style>
  <w:style w:type="character" w:customStyle="1" w:styleId="BalloonTextChar">
    <w:name w:val="Balloon Text Char"/>
    <w:link w:val="BalloonText"/>
    <w:rsid w:val="00E015D1"/>
    <w:rPr>
      <w:rFonts w:ascii="Tahoma" w:eastAsia="Times New Roman" w:hAnsi="Tahoma" w:cs="Tahoma"/>
      <w:sz w:val="16"/>
      <w:szCs w:val="16"/>
      <w:lang w:val="en-US" w:eastAsia="it-IT"/>
    </w:rPr>
  </w:style>
  <w:style w:type="table" w:styleId="TableGrid">
    <w:name w:val="Table Grid"/>
    <w:basedOn w:val="TableNormal"/>
    <w:rsid w:val="006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48B5"/>
    <w:pPr>
      <w:tabs>
        <w:tab w:val="center" w:pos="4320"/>
        <w:tab w:val="right" w:pos="8640"/>
      </w:tabs>
    </w:pPr>
  </w:style>
  <w:style w:type="character" w:customStyle="1" w:styleId="HeaderChar">
    <w:name w:val="Header Char"/>
    <w:link w:val="Header"/>
    <w:rsid w:val="00EA582D"/>
    <w:rPr>
      <w:rFonts w:eastAsia="Times New Roman"/>
      <w:sz w:val="24"/>
      <w:szCs w:val="24"/>
    </w:rPr>
  </w:style>
  <w:style w:type="paragraph" w:styleId="Footer">
    <w:name w:val="footer"/>
    <w:basedOn w:val="Normal"/>
    <w:link w:val="FooterChar"/>
    <w:uiPriority w:val="99"/>
    <w:rsid w:val="006648B5"/>
    <w:pPr>
      <w:tabs>
        <w:tab w:val="center" w:pos="4320"/>
        <w:tab w:val="right" w:pos="8640"/>
      </w:tabs>
    </w:pPr>
  </w:style>
  <w:style w:type="character" w:customStyle="1" w:styleId="FooterChar">
    <w:name w:val="Footer Char"/>
    <w:link w:val="Footer"/>
    <w:uiPriority w:val="99"/>
    <w:rsid w:val="00EA582D"/>
    <w:rPr>
      <w:rFonts w:eastAsia="Times New Roman"/>
      <w:sz w:val="24"/>
      <w:szCs w:val="24"/>
    </w:rPr>
  </w:style>
  <w:style w:type="character" w:styleId="PageNumber">
    <w:name w:val="page number"/>
    <w:basedOn w:val="DefaultParagraphFont"/>
    <w:rsid w:val="006648B5"/>
  </w:style>
  <w:style w:type="paragraph" w:customStyle="1" w:styleId="H1PIC">
    <w:name w:val="H1 PIC"/>
    <w:basedOn w:val="Normal"/>
    <w:link w:val="H1PICChar"/>
    <w:rsid w:val="006648B5"/>
    <w:pPr>
      <w:tabs>
        <w:tab w:val="left" w:pos="9240"/>
      </w:tabs>
      <w:outlineLvl w:val="0"/>
    </w:pPr>
    <w:rPr>
      <w:b/>
      <w:snapToGrid w:val="0"/>
      <w:color w:val="000000"/>
      <w:szCs w:val="22"/>
      <w:lang w:val="en-GB"/>
    </w:rPr>
  </w:style>
  <w:style w:type="character" w:customStyle="1" w:styleId="H1PICChar">
    <w:name w:val="H1 PIC Char"/>
    <w:link w:val="H1PIC"/>
    <w:rsid w:val="00063D1B"/>
    <w:rPr>
      <w:rFonts w:eastAsia="Times New Roman"/>
      <w:b/>
      <w:snapToGrid w:val="0"/>
      <w:color w:val="000000"/>
      <w:sz w:val="22"/>
      <w:szCs w:val="22"/>
      <w:lang w:eastAsia="it-IT"/>
    </w:rPr>
  </w:style>
  <w:style w:type="paragraph" w:styleId="DocumentMap">
    <w:name w:val="Document Map"/>
    <w:basedOn w:val="Normal"/>
    <w:link w:val="DocumentMapChar"/>
    <w:uiPriority w:val="99"/>
    <w:rsid w:val="000B3D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23AB1"/>
    <w:rPr>
      <w:rFonts w:ascii="Tahoma" w:eastAsia="Times New Roman" w:hAnsi="Tahoma" w:cs="Tahoma"/>
      <w:shd w:val="clear" w:color="auto" w:fill="000080"/>
      <w:lang w:val="en-US" w:eastAsia="it-IT"/>
    </w:rPr>
  </w:style>
  <w:style w:type="paragraph" w:styleId="CommentText">
    <w:name w:val="annotation text"/>
    <w:basedOn w:val="Normal"/>
    <w:link w:val="CommentTextChar"/>
    <w:rsid w:val="00F52ECD"/>
    <w:rPr>
      <w:sz w:val="20"/>
      <w:szCs w:val="20"/>
    </w:rPr>
  </w:style>
  <w:style w:type="character" w:customStyle="1" w:styleId="CommentTextChar">
    <w:name w:val="Comment Text Char"/>
    <w:link w:val="CommentText"/>
    <w:locked/>
    <w:rsid w:val="00272ECF"/>
    <w:rPr>
      <w:rFonts w:eastAsia="Times New Roman"/>
      <w:lang w:val="en-US" w:eastAsia="it-IT"/>
    </w:rPr>
  </w:style>
  <w:style w:type="paragraph" w:styleId="CommentSubject">
    <w:name w:val="annotation subject"/>
    <w:basedOn w:val="CommentText"/>
    <w:next w:val="CommentText"/>
    <w:link w:val="CommentSubjectChar"/>
    <w:uiPriority w:val="99"/>
    <w:rsid w:val="00F52ECD"/>
    <w:rPr>
      <w:b/>
      <w:bCs/>
    </w:rPr>
  </w:style>
  <w:style w:type="character" w:customStyle="1" w:styleId="CommentSubjectChar">
    <w:name w:val="Comment Subject Char"/>
    <w:basedOn w:val="CommentTextChar"/>
    <w:link w:val="CommentSubject"/>
    <w:uiPriority w:val="99"/>
    <w:rsid w:val="00005302"/>
    <w:rPr>
      <w:rFonts w:eastAsia="Times New Roman"/>
      <w:b/>
      <w:bCs/>
      <w:lang w:val="en-US" w:eastAsia="it-IT"/>
    </w:rPr>
  </w:style>
  <w:style w:type="character" w:styleId="FollowedHyperlink">
    <w:name w:val="FollowedHyperlink"/>
    <w:uiPriority w:val="99"/>
    <w:rsid w:val="00F52ECD"/>
    <w:rPr>
      <w:color w:val="800080"/>
      <w:u w:val="single"/>
    </w:rPr>
  </w:style>
  <w:style w:type="paragraph" w:styleId="TOC3">
    <w:name w:val="toc 3"/>
    <w:basedOn w:val="Normal"/>
    <w:next w:val="Normal"/>
    <w:autoRedefine/>
    <w:rsid w:val="00F52ECD"/>
    <w:pPr>
      <w:ind w:left="480"/>
    </w:pPr>
    <w:rPr>
      <w:lang w:eastAsia="en-US"/>
    </w:rPr>
  </w:style>
  <w:style w:type="paragraph" w:styleId="TOC4">
    <w:name w:val="toc 4"/>
    <w:basedOn w:val="Normal"/>
    <w:next w:val="Normal"/>
    <w:autoRedefine/>
    <w:rsid w:val="00F52ECD"/>
    <w:pPr>
      <w:ind w:left="720"/>
    </w:pPr>
    <w:rPr>
      <w:lang w:eastAsia="en-US"/>
    </w:rPr>
  </w:style>
  <w:style w:type="paragraph" w:styleId="TOC5">
    <w:name w:val="toc 5"/>
    <w:basedOn w:val="Normal"/>
    <w:next w:val="Normal"/>
    <w:autoRedefine/>
    <w:rsid w:val="00F52ECD"/>
    <w:pPr>
      <w:ind w:left="960"/>
    </w:pPr>
    <w:rPr>
      <w:lang w:eastAsia="en-US"/>
    </w:rPr>
  </w:style>
  <w:style w:type="paragraph" w:styleId="TOC6">
    <w:name w:val="toc 6"/>
    <w:basedOn w:val="Normal"/>
    <w:next w:val="Normal"/>
    <w:autoRedefine/>
    <w:rsid w:val="00F52ECD"/>
    <w:pPr>
      <w:ind w:left="1200"/>
    </w:pPr>
    <w:rPr>
      <w:lang w:eastAsia="en-US"/>
    </w:rPr>
  </w:style>
  <w:style w:type="paragraph" w:styleId="TOC7">
    <w:name w:val="toc 7"/>
    <w:basedOn w:val="Normal"/>
    <w:next w:val="Normal"/>
    <w:autoRedefine/>
    <w:rsid w:val="00F52ECD"/>
    <w:pPr>
      <w:ind w:left="1440"/>
    </w:pPr>
    <w:rPr>
      <w:lang w:eastAsia="en-US"/>
    </w:rPr>
  </w:style>
  <w:style w:type="paragraph" w:styleId="TOC8">
    <w:name w:val="toc 8"/>
    <w:basedOn w:val="Normal"/>
    <w:next w:val="Normal"/>
    <w:autoRedefine/>
    <w:rsid w:val="00F52ECD"/>
    <w:pPr>
      <w:ind w:left="1680"/>
    </w:pPr>
    <w:rPr>
      <w:lang w:eastAsia="en-US"/>
    </w:rPr>
  </w:style>
  <w:style w:type="paragraph" w:styleId="TOC9">
    <w:name w:val="toc 9"/>
    <w:basedOn w:val="Normal"/>
    <w:next w:val="Normal"/>
    <w:autoRedefine/>
    <w:rsid w:val="00F52ECD"/>
    <w:pPr>
      <w:ind w:left="1920"/>
    </w:pPr>
    <w:rPr>
      <w:lang w:eastAsia="en-US"/>
    </w:rPr>
  </w:style>
  <w:style w:type="paragraph" w:customStyle="1" w:styleId="ICRtext">
    <w:name w:val="ICR text"/>
    <w:basedOn w:val="Normal"/>
    <w:link w:val="ICRtextChar"/>
    <w:rsid w:val="00F52ECD"/>
    <w:pPr>
      <w:widowControl w:val="0"/>
      <w:autoSpaceDE w:val="0"/>
      <w:autoSpaceDN w:val="0"/>
      <w:adjustRightInd w:val="0"/>
    </w:pPr>
    <w:rPr>
      <w:rFonts w:ascii="MS Sans Serif" w:hAnsi="MS Sans Serif" w:cs="MS Sans Serif"/>
      <w:sz w:val="17"/>
      <w:szCs w:val="17"/>
      <w:lang w:val="es-ES" w:eastAsia="en-US"/>
    </w:rPr>
  </w:style>
  <w:style w:type="character" w:customStyle="1" w:styleId="ICRtextChar">
    <w:name w:val="ICR text Char"/>
    <w:link w:val="ICRtext"/>
    <w:rsid w:val="002F76E4"/>
    <w:rPr>
      <w:rFonts w:ascii="MS Sans Serif" w:eastAsia="Times New Roman" w:hAnsi="MS Sans Serif" w:cs="MS Sans Serif"/>
      <w:sz w:val="17"/>
      <w:szCs w:val="17"/>
      <w:lang w:val="es-ES" w:eastAsia="en-US"/>
    </w:rPr>
  </w:style>
  <w:style w:type="paragraph" w:styleId="BodyText">
    <w:name w:val="Body Text"/>
    <w:basedOn w:val="Normal"/>
    <w:link w:val="BodyTextChar"/>
    <w:rsid w:val="00F52ECD"/>
    <w:pPr>
      <w:spacing w:after="120"/>
    </w:pPr>
    <w:rPr>
      <w:lang w:eastAsia="en-US"/>
    </w:rPr>
  </w:style>
  <w:style w:type="character" w:customStyle="1" w:styleId="BodyTextChar">
    <w:name w:val="Body Text Char"/>
    <w:basedOn w:val="DefaultParagraphFont"/>
    <w:link w:val="BodyText"/>
    <w:rsid w:val="00AC1AAC"/>
    <w:rPr>
      <w:rFonts w:eastAsia="Times New Roman"/>
      <w:sz w:val="24"/>
      <w:szCs w:val="24"/>
      <w:lang w:val="en-US" w:eastAsia="en-US"/>
    </w:rPr>
  </w:style>
  <w:style w:type="paragraph" w:styleId="FootnoteText">
    <w:name w:val="footnote text"/>
    <w:aliases w:val="DNV-FT"/>
    <w:basedOn w:val="Normal"/>
    <w:link w:val="FootnoteTextChar"/>
    <w:uiPriority w:val="99"/>
    <w:rsid w:val="00F52ECD"/>
    <w:rPr>
      <w:sz w:val="20"/>
      <w:szCs w:val="20"/>
    </w:rPr>
  </w:style>
  <w:style w:type="character" w:customStyle="1" w:styleId="FootnoteTextChar">
    <w:name w:val="Footnote Text Char"/>
    <w:aliases w:val="DNV-FT Char"/>
    <w:link w:val="FootnoteText"/>
    <w:uiPriority w:val="99"/>
    <w:semiHidden/>
    <w:locked/>
    <w:rsid w:val="00F6420E"/>
    <w:rPr>
      <w:rFonts w:eastAsia="Times New Roman"/>
      <w:lang w:val="en-US" w:eastAsia="it-IT"/>
    </w:rPr>
  </w:style>
  <w:style w:type="paragraph" w:customStyle="1" w:styleId="H2PIC">
    <w:name w:val="H2 PIC"/>
    <w:basedOn w:val="BodyTextIndent3"/>
    <w:link w:val="H2PICChar"/>
    <w:rsid w:val="00F52ECD"/>
    <w:pPr>
      <w:ind w:right="0" w:firstLine="0"/>
      <w:outlineLvl w:val="1"/>
    </w:pPr>
    <w:rPr>
      <w:b/>
      <w:color w:val="000000"/>
      <w:szCs w:val="22"/>
    </w:rPr>
  </w:style>
  <w:style w:type="character" w:customStyle="1" w:styleId="H2PICChar">
    <w:name w:val="H2 PIC Char"/>
    <w:link w:val="H2PIC"/>
    <w:rsid w:val="002F76E4"/>
    <w:rPr>
      <w:rFonts w:eastAsia="Times New Roman"/>
      <w:b/>
      <w:snapToGrid w:val="0"/>
      <w:color w:val="000000"/>
      <w:sz w:val="22"/>
      <w:szCs w:val="22"/>
      <w:lang w:eastAsia="en-US"/>
    </w:rPr>
  </w:style>
  <w:style w:type="paragraph" w:customStyle="1" w:styleId="H1PICSection">
    <w:name w:val="H1 PIC Section"/>
    <w:basedOn w:val="Normal"/>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semiHidden/>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rsid w:val="00786E45"/>
    <w:rPr>
      <w:sz w:val="16"/>
      <w:szCs w:val="16"/>
    </w:rPr>
  </w:style>
  <w:style w:type="paragraph" w:customStyle="1" w:styleId="xl65">
    <w:name w:val="xl65"/>
    <w:basedOn w:val="Normal"/>
    <w:rsid w:val="00665A9C"/>
    <w:pPr>
      <w:spacing w:before="100" w:beforeAutospacing="1" w:after="100" w:afterAutospacing="1"/>
    </w:pPr>
    <w:rPr>
      <w:lang w:eastAsia="en-US"/>
    </w:rPr>
  </w:style>
  <w:style w:type="paragraph" w:customStyle="1" w:styleId="xl66">
    <w:name w:val="xl66"/>
    <w:basedOn w:val="Normal"/>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uiPriority w:val="99"/>
    <w:rsid w:val="00C92DD7"/>
    <w:rPr>
      <w:vertAlign w:val="superscrip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uiPriority w:val="22"/>
    <w:qFormat/>
    <w:rsid w:val="00B537D6"/>
    <w:rPr>
      <w:b/>
      <w:bCs/>
    </w:rPr>
  </w:style>
  <w:style w:type="paragraph" w:styleId="ListParagraph">
    <w:name w:val="List Paragraph"/>
    <w:basedOn w:val="Normal"/>
    <w:uiPriority w:val="34"/>
    <w:qFormat/>
    <w:rsid w:val="005935C1"/>
    <w:pPr>
      <w:ind w:left="720"/>
      <w:contextualSpacing/>
    </w:pPr>
  </w:style>
  <w:style w:type="character" w:customStyle="1" w:styleId="apple-converted-space">
    <w:name w:val="apple-converted-space"/>
    <w:basedOn w:val="DefaultParagraphFont"/>
    <w:rsid w:val="00004744"/>
  </w:style>
  <w:style w:type="paragraph" w:styleId="BlockText">
    <w:name w:val="Block Text"/>
    <w:basedOn w:val="Normal"/>
    <w:rsid w:val="002F76E4"/>
    <w:pPr>
      <w:ind w:left="720" w:right="720"/>
      <w:jc w:val="both"/>
    </w:pPr>
    <w:rPr>
      <w:snapToGrid w:val="0"/>
      <w:szCs w:val="20"/>
      <w:lang w:eastAsia="en-US"/>
    </w:rPr>
  </w:style>
  <w:style w:type="paragraph" w:styleId="BodyTextIndent2">
    <w:name w:val="Body Text Indent 2"/>
    <w:basedOn w:val="Normal"/>
    <w:link w:val="BodyTextIndent2Char"/>
    <w:rsid w:val="002F76E4"/>
    <w:pPr>
      <w:ind w:firstLine="720"/>
      <w:jc w:val="both"/>
    </w:pPr>
    <w:rPr>
      <w:szCs w:val="20"/>
      <w:lang w:val="es-ES_tradnl"/>
    </w:rPr>
  </w:style>
  <w:style w:type="character" w:customStyle="1" w:styleId="BodyTextIndent2Char">
    <w:name w:val="Body Text Indent 2 Char"/>
    <w:basedOn w:val="DefaultParagraphFont"/>
    <w:link w:val="BodyTextIndent2"/>
    <w:rsid w:val="002F76E4"/>
    <w:rPr>
      <w:rFonts w:eastAsia="Times New Roman"/>
      <w:sz w:val="22"/>
      <w:lang w:val="es-ES_tradnl" w:eastAsia="it-IT"/>
    </w:rPr>
  </w:style>
  <w:style w:type="paragraph" w:styleId="Title">
    <w:name w:val="Title"/>
    <w:basedOn w:val="Normal"/>
    <w:link w:val="TitleChar"/>
    <w:qFormat/>
    <w:rsid w:val="002F76E4"/>
    <w:pPr>
      <w:jc w:val="center"/>
    </w:pPr>
    <w:rPr>
      <w:b/>
      <w:i/>
      <w:snapToGrid w:val="0"/>
      <w:szCs w:val="20"/>
      <w:lang w:val="en-GB" w:eastAsia="en-US"/>
    </w:rPr>
  </w:style>
  <w:style w:type="character" w:customStyle="1" w:styleId="TitleChar">
    <w:name w:val="Title Char"/>
    <w:basedOn w:val="DefaultParagraphFont"/>
    <w:link w:val="Title"/>
    <w:rsid w:val="002F76E4"/>
    <w:rPr>
      <w:rFonts w:eastAsia="Times New Roman"/>
      <w:b/>
      <w:i/>
      <w:snapToGrid w:val="0"/>
      <w:sz w:val="22"/>
      <w:lang w:eastAsia="en-US"/>
    </w:rPr>
  </w:style>
  <w:style w:type="paragraph" w:customStyle="1" w:styleId="TEXTE">
    <w:name w:val="TEXTE"/>
    <w:basedOn w:val="Normal"/>
    <w:rsid w:val="002F76E4"/>
    <w:pPr>
      <w:ind w:left="720" w:right="567"/>
    </w:pPr>
    <w:rPr>
      <w:rFonts w:ascii="CG Times (WN)" w:hAnsi="CG Times (WN)"/>
      <w:sz w:val="24"/>
      <w:szCs w:val="20"/>
      <w:lang w:eastAsia="en-US"/>
    </w:rPr>
  </w:style>
  <w:style w:type="paragraph" w:styleId="BodyTextIndent">
    <w:name w:val="Body Text Indent"/>
    <w:basedOn w:val="Normal"/>
    <w:link w:val="BodyTextIndentChar"/>
    <w:rsid w:val="002F76E4"/>
    <w:pPr>
      <w:tabs>
        <w:tab w:val="left" w:pos="993"/>
      </w:tabs>
      <w:autoSpaceDE w:val="0"/>
      <w:autoSpaceDN w:val="0"/>
      <w:ind w:left="993" w:hanging="993"/>
      <w:jc w:val="both"/>
    </w:pPr>
    <w:rPr>
      <w:b/>
      <w:lang w:val="es-ES_tradnl" w:eastAsia="en-US"/>
    </w:rPr>
  </w:style>
  <w:style w:type="character" w:customStyle="1" w:styleId="BodyTextIndentChar">
    <w:name w:val="Body Text Indent Char"/>
    <w:basedOn w:val="DefaultParagraphFont"/>
    <w:link w:val="BodyTextIndent"/>
    <w:rsid w:val="002F76E4"/>
    <w:rPr>
      <w:rFonts w:eastAsia="Times New Roman"/>
      <w:b/>
      <w:sz w:val="22"/>
      <w:szCs w:val="24"/>
      <w:lang w:val="es-ES_tradnl" w:eastAsia="en-US"/>
    </w:rPr>
  </w:style>
  <w:style w:type="paragraph" w:customStyle="1" w:styleId="NormalArial">
    <w:name w:val="Normal+ Arial"/>
    <w:aliases w:val="8.5 pt,Bold"/>
    <w:basedOn w:val="Normal"/>
    <w:link w:val="NormalArialChar"/>
    <w:rsid w:val="002F76E4"/>
    <w:pPr>
      <w:widowControl w:val="0"/>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7" w:lineRule="exact"/>
    </w:pPr>
    <w:rPr>
      <w:szCs w:val="22"/>
      <w:lang w:val="es-ES_tradnl"/>
    </w:rPr>
  </w:style>
  <w:style w:type="character" w:customStyle="1" w:styleId="NormalArialChar">
    <w:name w:val="Normal+ Arial Char"/>
    <w:aliases w:val="8.5 pt Char,Bold Char"/>
    <w:link w:val="NormalArial"/>
    <w:rsid w:val="002F76E4"/>
    <w:rPr>
      <w:rFonts w:eastAsia="Times New Roman"/>
      <w:sz w:val="22"/>
      <w:szCs w:val="22"/>
      <w:lang w:val="es-ES_tradnl" w:eastAsia="it-IT"/>
    </w:rPr>
  </w:style>
  <w:style w:type="paragraph" w:customStyle="1" w:styleId="IRMSShar">
    <w:name w:val="IR MS Shar"/>
    <w:basedOn w:val="Normal"/>
    <w:link w:val="IRMSSharChar"/>
    <w:rsid w:val="002F76E4"/>
    <w:rPr>
      <w:rFonts w:ascii="Microsoft Sans Serif" w:hAnsi="Microsoft Sans Serif" w:cs="Arial"/>
      <w:sz w:val="17"/>
      <w:szCs w:val="17"/>
    </w:rPr>
  </w:style>
  <w:style w:type="character" w:customStyle="1" w:styleId="IRMSSharChar">
    <w:name w:val="IR MS Shar Char"/>
    <w:link w:val="IRMSShar"/>
    <w:rsid w:val="002F76E4"/>
    <w:rPr>
      <w:rFonts w:ascii="Microsoft Sans Serif" w:eastAsia="Times New Roman" w:hAnsi="Microsoft Sans Serif" w:cs="Arial"/>
      <w:sz w:val="17"/>
      <w:szCs w:val="17"/>
      <w:lang w:val="en-US" w:eastAsia="it-IT"/>
    </w:rPr>
  </w:style>
  <w:style w:type="character" w:customStyle="1" w:styleId="longtext1">
    <w:name w:val="long_text1"/>
    <w:rsid w:val="002F76E4"/>
    <w:rPr>
      <w:sz w:val="20"/>
      <w:szCs w:val="20"/>
    </w:rPr>
  </w:style>
  <w:style w:type="character" w:customStyle="1" w:styleId="longtext">
    <w:name w:val="long_text"/>
    <w:basedOn w:val="DefaultParagraphFont"/>
    <w:rsid w:val="002F76E4"/>
  </w:style>
  <w:style w:type="character" w:customStyle="1" w:styleId="hps">
    <w:name w:val="hps"/>
    <w:basedOn w:val="DefaultParagraphFont"/>
    <w:rsid w:val="002F76E4"/>
  </w:style>
  <w:style w:type="paragraph" w:customStyle="1" w:styleId="ColorfulList-Accent11">
    <w:name w:val="Colorful List - Accent 11"/>
    <w:basedOn w:val="Normal"/>
    <w:uiPriority w:val="34"/>
    <w:qFormat/>
    <w:rsid w:val="002F76E4"/>
    <w:pPr>
      <w:spacing w:after="200" w:line="276" w:lineRule="auto"/>
      <w:ind w:left="720"/>
      <w:contextualSpacing/>
    </w:pPr>
    <w:rPr>
      <w:rFonts w:ascii="Calibri" w:eastAsia="Calibri" w:hAnsi="Calibri"/>
      <w:szCs w:val="22"/>
      <w:lang w:eastAsia="en-US"/>
    </w:rPr>
  </w:style>
  <w:style w:type="character" w:customStyle="1" w:styleId="st">
    <w:name w:val="st"/>
    <w:rsid w:val="002F76E4"/>
  </w:style>
  <w:style w:type="paragraph" w:customStyle="1" w:styleId="MEAS">
    <w:name w:val="MEAS"/>
    <w:basedOn w:val="Normal"/>
    <w:link w:val="MEASChar"/>
    <w:qFormat/>
    <w:rsid w:val="002F76E4"/>
    <w:pPr>
      <w:widowControl w:val="0"/>
      <w:autoSpaceDE w:val="0"/>
      <w:autoSpaceDN w:val="0"/>
      <w:adjustRightInd w:val="0"/>
    </w:pPr>
    <w:rPr>
      <w:rFonts w:ascii="MS Sans Serif" w:hAnsi="MS Sans Serif" w:cs="MS Sans Serif"/>
      <w:color w:val="000000"/>
      <w:sz w:val="17"/>
      <w:szCs w:val="17"/>
      <w:lang w:val="es-ES"/>
    </w:rPr>
  </w:style>
  <w:style w:type="character" w:customStyle="1" w:styleId="MEASChar">
    <w:name w:val="MEAS Char"/>
    <w:basedOn w:val="DefaultParagraphFont"/>
    <w:link w:val="MEAS"/>
    <w:rsid w:val="002F76E4"/>
    <w:rPr>
      <w:rFonts w:ascii="MS Sans Serif" w:eastAsia="Times New Roman" w:hAnsi="MS Sans Serif" w:cs="MS Sans Serif"/>
      <w:color w:val="000000"/>
      <w:sz w:val="17"/>
      <w:szCs w:val="17"/>
      <w:lang w:val="es-ES" w:eastAsia="it-IT"/>
    </w:rPr>
  </w:style>
  <w:style w:type="character" w:customStyle="1" w:styleId="shorttext">
    <w:name w:val="short_text"/>
    <w:basedOn w:val="DefaultParagraphFont"/>
    <w:rsid w:val="00D872C1"/>
  </w:style>
  <w:style w:type="paragraph" w:customStyle="1" w:styleId="ca">
    <w:name w:val="ca"/>
    <w:basedOn w:val="Normal"/>
    <w:rsid w:val="0041159A"/>
    <w:pPr>
      <w:spacing w:before="120"/>
    </w:pPr>
    <w:rPr>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58">
      <w:bodyDiv w:val="1"/>
      <w:marLeft w:val="0"/>
      <w:marRight w:val="0"/>
      <w:marTop w:val="0"/>
      <w:marBottom w:val="0"/>
      <w:divBdr>
        <w:top w:val="none" w:sz="0" w:space="0" w:color="auto"/>
        <w:left w:val="none" w:sz="0" w:space="0" w:color="auto"/>
        <w:bottom w:val="none" w:sz="0" w:space="0" w:color="auto"/>
        <w:right w:val="none" w:sz="0" w:space="0" w:color="auto"/>
      </w:divBdr>
    </w:div>
    <w:div w:id="9383344">
      <w:bodyDiv w:val="1"/>
      <w:marLeft w:val="0"/>
      <w:marRight w:val="0"/>
      <w:marTop w:val="0"/>
      <w:marBottom w:val="0"/>
      <w:divBdr>
        <w:top w:val="none" w:sz="0" w:space="0" w:color="auto"/>
        <w:left w:val="none" w:sz="0" w:space="0" w:color="auto"/>
        <w:bottom w:val="none" w:sz="0" w:space="0" w:color="auto"/>
        <w:right w:val="none" w:sz="0" w:space="0" w:color="auto"/>
      </w:divBdr>
    </w:div>
    <w:div w:id="12390872">
      <w:bodyDiv w:val="1"/>
      <w:marLeft w:val="0"/>
      <w:marRight w:val="0"/>
      <w:marTop w:val="0"/>
      <w:marBottom w:val="0"/>
      <w:divBdr>
        <w:top w:val="none" w:sz="0" w:space="0" w:color="auto"/>
        <w:left w:val="none" w:sz="0" w:space="0" w:color="auto"/>
        <w:bottom w:val="none" w:sz="0" w:space="0" w:color="auto"/>
        <w:right w:val="none" w:sz="0" w:space="0" w:color="auto"/>
      </w:divBdr>
    </w:div>
    <w:div w:id="18088317">
      <w:bodyDiv w:val="1"/>
      <w:marLeft w:val="0"/>
      <w:marRight w:val="0"/>
      <w:marTop w:val="0"/>
      <w:marBottom w:val="0"/>
      <w:divBdr>
        <w:top w:val="none" w:sz="0" w:space="0" w:color="auto"/>
        <w:left w:val="none" w:sz="0" w:space="0" w:color="auto"/>
        <w:bottom w:val="none" w:sz="0" w:space="0" w:color="auto"/>
        <w:right w:val="none" w:sz="0" w:space="0" w:color="auto"/>
      </w:divBdr>
    </w:div>
    <w:div w:id="28917710">
      <w:bodyDiv w:val="1"/>
      <w:marLeft w:val="0"/>
      <w:marRight w:val="0"/>
      <w:marTop w:val="0"/>
      <w:marBottom w:val="0"/>
      <w:divBdr>
        <w:top w:val="none" w:sz="0" w:space="0" w:color="auto"/>
        <w:left w:val="none" w:sz="0" w:space="0" w:color="auto"/>
        <w:bottom w:val="none" w:sz="0" w:space="0" w:color="auto"/>
        <w:right w:val="none" w:sz="0" w:space="0" w:color="auto"/>
      </w:divBdr>
    </w:div>
    <w:div w:id="37054642">
      <w:bodyDiv w:val="1"/>
      <w:marLeft w:val="0"/>
      <w:marRight w:val="0"/>
      <w:marTop w:val="0"/>
      <w:marBottom w:val="0"/>
      <w:divBdr>
        <w:top w:val="none" w:sz="0" w:space="0" w:color="auto"/>
        <w:left w:val="none" w:sz="0" w:space="0" w:color="auto"/>
        <w:bottom w:val="none" w:sz="0" w:space="0" w:color="auto"/>
        <w:right w:val="none" w:sz="0" w:space="0" w:color="auto"/>
      </w:divBdr>
    </w:div>
    <w:div w:id="45956869">
      <w:bodyDiv w:val="1"/>
      <w:marLeft w:val="0"/>
      <w:marRight w:val="0"/>
      <w:marTop w:val="0"/>
      <w:marBottom w:val="0"/>
      <w:divBdr>
        <w:top w:val="none" w:sz="0" w:space="0" w:color="auto"/>
        <w:left w:val="none" w:sz="0" w:space="0" w:color="auto"/>
        <w:bottom w:val="none" w:sz="0" w:space="0" w:color="auto"/>
        <w:right w:val="none" w:sz="0" w:space="0" w:color="auto"/>
      </w:divBdr>
    </w:div>
    <w:div w:id="61149339">
      <w:bodyDiv w:val="1"/>
      <w:marLeft w:val="0"/>
      <w:marRight w:val="0"/>
      <w:marTop w:val="0"/>
      <w:marBottom w:val="0"/>
      <w:divBdr>
        <w:top w:val="none" w:sz="0" w:space="0" w:color="auto"/>
        <w:left w:val="none" w:sz="0" w:space="0" w:color="auto"/>
        <w:bottom w:val="none" w:sz="0" w:space="0" w:color="auto"/>
        <w:right w:val="none" w:sz="0" w:space="0" w:color="auto"/>
      </w:divBdr>
    </w:div>
    <w:div w:id="74019257">
      <w:bodyDiv w:val="1"/>
      <w:marLeft w:val="0"/>
      <w:marRight w:val="0"/>
      <w:marTop w:val="0"/>
      <w:marBottom w:val="0"/>
      <w:divBdr>
        <w:top w:val="none" w:sz="0" w:space="0" w:color="auto"/>
        <w:left w:val="none" w:sz="0" w:space="0" w:color="auto"/>
        <w:bottom w:val="none" w:sz="0" w:space="0" w:color="auto"/>
        <w:right w:val="none" w:sz="0" w:space="0" w:color="auto"/>
      </w:divBdr>
    </w:div>
    <w:div w:id="86733515">
      <w:bodyDiv w:val="1"/>
      <w:marLeft w:val="0"/>
      <w:marRight w:val="0"/>
      <w:marTop w:val="0"/>
      <w:marBottom w:val="0"/>
      <w:divBdr>
        <w:top w:val="none" w:sz="0" w:space="0" w:color="auto"/>
        <w:left w:val="none" w:sz="0" w:space="0" w:color="auto"/>
        <w:bottom w:val="none" w:sz="0" w:space="0" w:color="auto"/>
        <w:right w:val="none" w:sz="0" w:space="0" w:color="auto"/>
      </w:divBdr>
    </w:div>
    <w:div w:id="93014669">
      <w:bodyDiv w:val="1"/>
      <w:marLeft w:val="0"/>
      <w:marRight w:val="0"/>
      <w:marTop w:val="0"/>
      <w:marBottom w:val="0"/>
      <w:divBdr>
        <w:top w:val="none" w:sz="0" w:space="0" w:color="auto"/>
        <w:left w:val="none" w:sz="0" w:space="0" w:color="auto"/>
        <w:bottom w:val="none" w:sz="0" w:space="0" w:color="auto"/>
        <w:right w:val="none" w:sz="0" w:space="0" w:color="auto"/>
      </w:divBdr>
    </w:div>
    <w:div w:id="98961086">
      <w:bodyDiv w:val="1"/>
      <w:marLeft w:val="0"/>
      <w:marRight w:val="0"/>
      <w:marTop w:val="0"/>
      <w:marBottom w:val="0"/>
      <w:divBdr>
        <w:top w:val="none" w:sz="0" w:space="0" w:color="auto"/>
        <w:left w:val="none" w:sz="0" w:space="0" w:color="auto"/>
        <w:bottom w:val="none" w:sz="0" w:space="0" w:color="auto"/>
        <w:right w:val="none" w:sz="0" w:space="0" w:color="auto"/>
      </w:divBdr>
    </w:div>
    <w:div w:id="100806762">
      <w:bodyDiv w:val="1"/>
      <w:marLeft w:val="0"/>
      <w:marRight w:val="0"/>
      <w:marTop w:val="0"/>
      <w:marBottom w:val="0"/>
      <w:divBdr>
        <w:top w:val="none" w:sz="0" w:space="0" w:color="auto"/>
        <w:left w:val="none" w:sz="0" w:space="0" w:color="auto"/>
        <w:bottom w:val="none" w:sz="0" w:space="0" w:color="auto"/>
        <w:right w:val="none" w:sz="0" w:space="0" w:color="auto"/>
      </w:divBdr>
    </w:div>
    <w:div w:id="105200809">
      <w:bodyDiv w:val="1"/>
      <w:marLeft w:val="0"/>
      <w:marRight w:val="0"/>
      <w:marTop w:val="0"/>
      <w:marBottom w:val="0"/>
      <w:divBdr>
        <w:top w:val="none" w:sz="0" w:space="0" w:color="auto"/>
        <w:left w:val="none" w:sz="0" w:space="0" w:color="auto"/>
        <w:bottom w:val="none" w:sz="0" w:space="0" w:color="auto"/>
        <w:right w:val="none" w:sz="0" w:space="0" w:color="auto"/>
      </w:divBdr>
    </w:div>
    <w:div w:id="107430399">
      <w:bodyDiv w:val="1"/>
      <w:marLeft w:val="0"/>
      <w:marRight w:val="0"/>
      <w:marTop w:val="0"/>
      <w:marBottom w:val="0"/>
      <w:divBdr>
        <w:top w:val="none" w:sz="0" w:space="0" w:color="auto"/>
        <w:left w:val="none" w:sz="0" w:space="0" w:color="auto"/>
        <w:bottom w:val="none" w:sz="0" w:space="0" w:color="auto"/>
        <w:right w:val="none" w:sz="0" w:space="0" w:color="auto"/>
      </w:divBdr>
    </w:div>
    <w:div w:id="114299445">
      <w:bodyDiv w:val="1"/>
      <w:marLeft w:val="0"/>
      <w:marRight w:val="0"/>
      <w:marTop w:val="0"/>
      <w:marBottom w:val="0"/>
      <w:divBdr>
        <w:top w:val="none" w:sz="0" w:space="0" w:color="auto"/>
        <w:left w:val="none" w:sz="0" w:space="0" w:color="auto"/>
        <w:bottom w:val="none" w:sz="0" w:space="0" w:color="auto"/>
        <w:right w:val="none" w:sz="0" w:space="0" w:color="auto"/>
      </w:divBdr>
    </w:div>
    <w:div w:id="116682266">
      <w:bodyDiv w:val="1"/>
      <w:marLeft w:val="0"/>
      <w:marRight w:val="0"/>
      <w:marTop w:val="0"/>
      <w:marBottom w:val="0"/>
      <w:divBdr>
        <w:top w:val="none" w:sz="0" w:space="0" w:color="auto"/>
        <w:left w:val="none" w:sz="0" w:space="0" w:color="auto"/>
        <w:bottom w:val="none" w:sz="0" w:space="0" w:color="auto"/>
        <w:right w:val="none" w:sz="0" w:space="0" w:color="auto"/>
      </w:divBdr>
    </w:div>
    <w:div w:id="127823140">
      <w:bodyDiv w:val="1"/>
      <w:marLeft w:val="0"/>
      <w:marRight w:val="0"/>
      <w:marTop w:val="0"/>
      <w:marBottom w:val="0"/>
      <w:divBdr>
        <w:top w:val="none" w:sz="0" w:space="0" w:color="auto"/>
        <w:left w:val="none" w:sz="0" w:space="0" w:color="auto"/>
        <w:bottom w:val="none" w:sz="0" w:space="0" w:color="auto"/>
        <w:right w:val="none" w:sz="0" w:space="0" w:color="auto"/>
      </w:divBdr>
    </w:div>
    <w:div w:id="131020046">
      <w:bodyDiv w:val="1"/>
      <w:marLeft w:val="0"/>
      <w:marRight w:val="0"/>
      <w:marTop w:val="0"/>
      <w:marBottom w:val="0"/>
      <w:divBdr>
        <w:top w:val="none" w:sz="0" w:space="0" w:color="auto"/>
        <w:left w:val="none" w:sz="0" w:space="0" w:color="auto"/>
        <w:bottom w:val="none" w:sz="0" w:space="0" w:color="auto"/>
        <w:right w:val="none" w:sz="0" w:space="0" w:color="auto"/>
      </w:divBdr>
    </w:div>
    <w:div w:id="142897601">
      <w:bodyDiv w:val="1"/>
      <w:marLeft w:val="0"/>
      <w:marRight w:val="0"/>
      <w:marTop w:val="0"/>
      <w:marBottom w:val="0"/>
      <w:divBdr>
        <w:top w:val="none" w:sz="0" w:space="0" w:color="auto"/>
        <w:left w:val="none" w:sz="0" w:space="0" w:color="auto"/>
        <w:bottom w:val="none" w:sz="0" w:space="0" w:color="auto"/>
        <w:right w:val="none" w:sz="0" w:space="0" w:color="auto"/>
      </w:divBdr>
    </w:div>
    <w:div w:id="144322825">
      <w:bodyDiv w:val="1"/>
      <w:marLeft w:val="0"/>
      <w:marRight w:val="0"/>
      <w:marTop w:val="0"/>
      <w:marBottom w:val="0"/>
      <w:divBdr>
        <w:top w:val="none" w:sz="0" w:space="0" w:color="auto"/>
        <w:left w:val="none" w:sz="0" w:space="0" w:color="auto"/>
        <w:bottom w:val="none" w:sz="0" w:space="0" w:color="auto"/>
        <w:right w:val="none" w:sz="0" w:space="0" w:color="auto"/>
      </w:divBdr>
    </w:div>
    <w:div w:id="154957852">
      <w:bodyDiv w:val="1"/>
      <w:marLeft w:val="0"/>
      <w:marRight w:val="0"/>
      <w:marTop w:val="0"/>
      <w:marBottom w:val="0"/>
      <w:divBdr>
        <w:top w:val="none" w:sz="0" w:space="0" w:color="auto"/>
        <w:left w:val="none" w:sz="0" w:space="0" w:color="auto"/>
        <w:bottom w:val="none" w:sz="0" w:space="0" w:color="auto"/>
        <w:right w:val="none" w:sz="0" w:space="0" w:color="auto"/>
      </w:divBdr>
    </w:div>
    <w:div w:id="155417295">
      <w:bodyDiv w:val="1"/>
      <w:marLeft w:val="0"/>
      <w:marRight w:val="0"/>
      <w:marTop w:val="0"/>
      <w:marBottom w:val="0"/>
      <w:divBdr>
        <w:top w:val="none" w:sz="0" w:space="0" w:color="auto"/>
        <w:left w:val="none" w:sz="0" w:space="0" w:color="auto"/>
        <w:bottom w:val="none" w:sz="0" w:space="0" w:color="auto"/>
        <w:right w:val="none" w:sz="0" w:space="0" w:color="auto"/>
      </w:divBdr>
    </w:div>
    <w:div w:id="157841992">
      <w:bodyDiv w:val="1"/>
      <w:marLeft w:val="0"/>
      <w:marRight w:val="0"/>
      <w:marTop w:val="0"/>
      <w:marBottom w:val="0"/>
      <w:divBdr>
        <w:top w:val="none" w:sz="0" w:space="0" w:color="auto"/>
        <w:left w:val="none" w:sz="0" w:space="0" w:color="auto"/>
        <w:bottom w:val="none" w:sz="0" w:space="0" w:color="auto"/>
        <w:right w:val="none" w:sz="0" w:space="0" w:color="auto"/>
      </w:divBdr>
    </w:div>
    <w:div w:id="181284005">
      <w:bodyDiv w:val="1"/>
      <w:marLeft w:val="0"/>
      <w:marRight w:val="0"/>
      <w:marTop w:val="0"/>
      <w:marBottom w:val="0"/>
      <w:divBdr>
        <w:top w:val="none" w:sz="0" w:space="0" w:color="auto"/>
        <w:left w:val="none" w:sz="0" w:space="0" w:color="auto"/>
        <w:bottom w:val="none" w:sz="0" w:space="0" w:color="auto"/>
        <w:right w:val="none" w:sz="0" w:space="0" w:color="auto"/>
      </w:divBdr>
    </w:div>
    <w:div w:id="195431145">
      <w:bodyDiv w:val="1"/>
      <w:marLeft w:val="0"/>
      <w:marRight w:val="0"/>
      <w:marTop w:val="0"/>
      <w:marBottom w:val="0"/>
      <w:divBdr>
        <w:top w:val="none" w:sz="0" w:space="0" w:color="auto"/>
        <w:left w:val="none" w:sz="0" w:space="0" w:color="auto"/>
        <w:bottom w:val="none" w:sz="0" w:space="0" w:color="auto"/>
        <w:right w:val="none" w:sz="0" w:space="0" w:color="auto"/>
      </w:divBdr>
    </w:div>
    <w:div w:id="202254028">
      <w:bodyDiv w:val="1"/>
      <w:marLeft w:val="0"/>
      <w:marRight w:val="0"/>
      <w:marTop w:val="0"/>
      <w:marBottom w:val="0"/>
      <w:divBdr>
        <w:top w:val="none" w:sz="0" w:space="0" w:color="auto"/>
        <w:left w:val="none" w:sz="0" w:space="0" w:color="auto"/>
        <w:bottom w:val="none" w:sz="0" w:space="0" w:color="auto"/>
        <w:right w:val="none" w:sz="0" w:space="0" w:color="auto"/>
      </w:divBdr>
    </w:div>
    <w:div w:id="204024112">
      <w:bodyDiv w:val="1"/>
      <w:marLeft w:val="0"/>
      <w:marRight w:val="0"/>
      <w:marTop w:val="0"/>
      <w:marBottom w:val="0"/>
      <w:divBdr>
        <w:top w:val="none" w:sz="0" w:space="0" w:color="auto"/>
        <w:left w:val="none" w:sz="0" w:space="0" w:color="auto"/>
        <w:bottom w:val="none" w:sz="0" w:space="0" w:color="auto"/>
        <w:right w:val="none" w:sz="0" w:space="0" w:color="auto"/>
      </w:divBdr>
    </w:div>
    <w:div w:id="216168025">
      <w:bodyDiv w:val="1"/>
      <w:marLeft w:val="0"/>
      <w:marRight w:val="0"/>
      <w:marTop w:val="0"/>
      <w:marBottom w:val="0"/>
      <w:divBdr>
        <w:top w:val="none" w:sz="0" w:space="0" w:color="auto"/>
        <w:left w:val="none" w:sz="0" w:space="0" w:color="auto"/>
        <w:bottom w:val="none" w:sz="0" w:space="0" w:color="auto"/>
        <w:right w:val="none" w:sz="0" w:space="0" w:color="auto"/>
      </w:divBdr>
    </w:div>
    <w:div w:id="220337292">
      <w:bodyDiv w:val="1"/>
      <w:marLeft w:val="0"/>
      <w:marRight w:val="0"/>
      <w:marTop w:val="0"/>
      <w:marBottom w:val="0"/>
      <w:divBdr>
        <w:top w:val="none" w:sz="0" w:space="0" w:color="auto"/>
        <w:left w:val="none" w:sz="0" w:space="0" w:color="auto"/>
        <w:bottom w:val="none" w:sz="0" w:space="0" w:color="auto"/>
        <w:right w:val="none" w:sz="0" w:space="0" w:color="auto"/>
      </w:divBdr>
    </w:div>
    <w:div w:id="221134485">
      <w:bodyDiv w:val="1"/>
      <w:marLeft w:val="0"/>
      <w:marRight w:val="0"/>
      <w:marTop w:val="0"/>
      <w:marBottom w:val="0"/>
      <w:divBdr>
        <w:top w:val="none" w:sz="0" w:space="0" w:color="auto"/>
        <w:left w:val="none" w:sz="0" w:space="0" w:color="auto"/>
        <w:bottom w:val="none" w:sz="0" w:space="0" w:color="auto"/>
        <w:right w:val="none" w:sz="0" w:space="0" w:color="auto"/>
      </w:divBdr>
    </w:div>
    <w:div w:id="225380279">
      <w:bodyDiv w:val="1"/>
      <w:marLeft w:val="0"/>
      <w:marRight w:val="0"/>
      <w:marTop w:val="0"/>
      <w:marBottom w:val="0"/>
      <w:divBdr>
        <w:top w:val="none" w:sz="0" w:space="0" w:color="auto"/>
        <w:left w:val="none" w:sz="0" w:space="0" w:color="auto"/>
        <w:bottom w:val="none" w:sz="0" w:space="0" w:color="auto"/>
        <w:right w:val="none" w:sz="0" w:space="0" w:color="auto"/>
      </w:divBdr>
    </w:div>
    <w:div w:id="226192573">
      <w:bodyDiv w:val="1"/>
      <w:marLeft w:val="0"/>
      <w:marRight w:val="0"/>
      <w:marTop w:val="0"/>
      <w:marBottom w:val="0"/>
      <w:divBdr>
        <w:top w:val="none" w:sz="0" w:space="0" w:color="auto"/>
        <w:left w:val="none" w:sz="0" w:space="0" w:color="auto"/>
        <w:bottom w:val="none" w:sz="0" w:space="0" w:color="auto"/>
        <w:right w:val="none" w:sz="0" w:space="0" w:color="auto"/>
      </w:divBdr>
    </w:div>
    <w:div w:id="233046812">
      <w:bodyDiv w:val="1"/>
      <w:marLeft w:val="0"/>
      <w:marRight w:val="0"/>
      <w:marTop w:val="0"/>
      <w:marBottom w:val="0"/>
      <w:divBdr>
        <w:top w:val="none" w:sz="0" w:space="0" w:color="auto"/>
        <w:left w:val="none" w:sz="0" w:space="0" w:color="auto"/>
        <w:bottom w:val="none" w:sz="0" w:space="0" w:color="auto"/>
        <w:right w:val="none" w:sz="0" w:space="0" w:color="auto"/>
      </w:divBdr>
    </w:div>
    <w:div w:id="238635204">
      <w:bodyDiv w:val="1"/>
      <w:marLeft w:val="0"/>
      <w:marRight w:val="0"/>
      <w:marTop w:val="0"/>
      <w:marBottom w:val="0"/>
      <w:divBdr>
        <w:top w:val="none" w:sz="0" w:space="0" w:color="auto"/>
        <w:left w:val="none" w:sz="0" w:space="0" w:color="auto"/>
        <w:bottom w:val="none" w:sz="0" w:space="0" w:color="auto"/>
        <w:right w:val="none" w:sz="0" w:space="0" w:color="auto"/>
      </w:divBdr>
    </w:div>
    <w:div w:id="256135854">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
    <w:div w:id="282344519">
      <w:bodyDiv w:val="1"/>
      <w:marLeft w:val="0"/>
      <w:marRight w:val="0"/>
      <w:marTop w:val="0"/>
      <w:marBottom w:val="0"/>
      <w:divBdr>
        <w:top w:val="none" w:sz="0" w:space="0" w:color="auto"/>
        <w:left w:val="none" w:sz="0" w:space="0" w:color="auto"/>
        <w:bottom w:val="none" w:sz="0" w:space="0" w:color="auto"/>
        <w:right w:val="none" w:sz="0" w:space="0" w:color="auto"/>
      </w:divBdr>
    </w:div>
    <w:div w:id="286668745">
      <w:bodyDiv w:val="1"/>
      <w:marLeft w:val="0"/>
      <w:marRight w:val="0"/>
      <w:marTop w:val="0"/>
      <w:marBottom w:val="0"/>
      <w:divBdr>
        <w:top w:val="none" w:sz="0" w:space="0" w:color="auto"/>
        <w:left w:val="none" w:sz="0" w:space="0" w:color="auto"/>
        <w:bottom w:val="none" w:sz="0" w:space="0" w:color="auto"/>
        <w:right w:val="none" w:sz="0" w:space="0" w:color="auto"/>
      </w:divBdr>
    </w:div>
    <w:div w:id="297492342">
      <w:bodyDiv w:val="1"/>
      <w:marLeft w:val="0"/>
      <w:marRight w:val="0"/>
      <w:marTop w:val="0"/>
      <w:marBottom w:val="0"/>
      <w:divBdr>
        <w:top w:val="none" w:sz="0" w:space="0" w:color="auto"/>
        <w:left w:val="none" w:sz="0" w:space="0" w:color="auto"/>
        <w:bottom w:val="none" w:sz="0" w:space="0" w:color="auto"/>
        <w:right w:val="none" w:sz="0" w:space="0" w:color="auto"/>
      </w:divBdr>
    </w:div>
    <w:div w:id="311524823">
      <w:bodyDiv w:val="1"/>
      <w:marLeft w:val="0"/>
      <w:marRight w:val="0"/>
      <w:marTop w:val="0"/>
      <w:marBottom w:val="0"/>
      <w:divBdr>
        <w:top w:val="none" w:sz="0" w:space="0" w:color="auto"/>
        <w:left w:val="none" w:sz="0" w:space="0" w:color="auto"/>
        <w:bottom w:val="none" w:sz="0" w:space="0" w:color="auto"/>
        <w:right w:val="none" w:sz="0" w:space="0" w:color="auto"/>
      </w:divBdr>
    </w:div>
    <w:div w:id="312027835">
      <w:bodyDiv w:val="1"/>
      <w:marLeft w:val="0"/>
      <w:marRight w:val="0"/>
      <w:marTop w:val="0"/>
      <w:marBottom w:val="0"/>
      <w:divBdr>
        <w:top w:val="none" w:sz="0" w:space="0" w:color="auto"/>
        <w:left w:val="none" w:sz="0" w:space="0" w:color="auto"/>
        <w:bottom w:val="none" w:sz="0" w:space="0" w:color="auto"/>
        <w:right w:val="none" w:sz="0" w:space="0" w:color="auto"/>
      </w:divBdr>
    </w:div>
    <w:div w:id="323633532">
      <w:bodyDiv w:val="1"/>
      <w:marLeft w:val="0"/>
      <w:marRight w:val="0"/>
      <w:marTop w:val="0"/>
      <w:marBottom w:val="0"/>
      <w:divBdr>
        <w:top w:val="none" w:sz="0" w:space="0" w:color="auto"/>
        <w:left w:val="none" w:sz="0" w:space="0" w:color="auto"/>
        <w:bottom w:val="none" w:sz="0" w:space="0" w:color="auto"/>
        <w:right w:val="none" w:sz="0" w:space="0" w:color="auto"/>
      </w:divBdr>
    </w:div>
    <w:div w:id="324363765">
      <w:bodyDiv w:val="1"/>
      <w:marLeft w:val="0"/>
      <w:marRight w:val="0"/>
      <w:marTop w:val="0"/>
      <w:marBottom w:val="0"/>
      <w:divBdr>
        <w:top w:val="none" w:sz="0" w:space="0" w:color="auto"/>
        <w:left w:val="none" w:sz="0" w:space="0" w:color="auto"/>
        <w:bottom w:val="none" w:sz="0" w:space="0" w:color="auto"/>
        <w:right w:val="none" w:sz="0" w:space="0" w:color="auto"/>
      </w:divBdr>
    </w:div>
    <w:div w:id="333843305">
      <w:bodyDiv w:val="1"/>
      <w:marLeft w:val="0"/>
      <w:marRight w:val="0"/>
      <w:marTop w:val="0"/>
      <w:marBottom w:val="0"/>
      <w:divBdr>
        <w:top w:val="none" w:sz="0" w:space="0" w:color="auto"/>
        <w:left w:val="none" w:sz="0" w:space="0" w:color="auto"/>
        <w:bottom w:val="none" w:sz="0" w:space="0" w:color="auto"/>
        <w:right w:val="none" w:sz="0" w:space="0" w:color="auto"/>
      </w:divBdr>
    </w:div>
    <w:div w:id="334118188">
      <w:bodyDiv w:val="1"/>
      <w:marLeft w:val="0"/>
      <w:marRight w:val="0"/>
      <w:marTop w:val="0"/>
      <w:marBottom w:val="0"/>
      <w:divBdr>
        <w:top w:val="none" w:sz="0" w:space="0" w:color="auto"/>
        <w:left w:val="none" w:sz="0" w:space="0" w:color="auto"/>
        <w:bottom w:val="none" w:sz="0" w:space="0" w:color="auto"/>
        <w:right w:val="none" w:sz="0" w:space="0" w:color="auto"/>
      </w:divBdr>
    </w:div>
    <w:div w:id="335771507">
      <w:bodyDiv w:val="1"/>
      <w:marLeft w:val="0"/>
      <w:marRight w:val="0"/>
      <w:marTop w:val="0"/>
      <w:marBottom w:val="0"/>
      <w:divBdr>
        <w:top w:val="none" w:sz="0" w:space="0" w:color="auto"/>
        <w:left w:val="none" w:sz="0" w:space="0" w:color="auto"/>
        <w:bottom w:val="none" w:sz="0" w:space="0" w:color="auto"/>
        <w:right w:val="none" w:sz="0" w:space="0" w:color="auto"/>
      </w:divBdr>
    </w:div>
    <w:div w:id="336658805">
      <w:bodyDiv w:val="1"/>
      <w:marLeft w:val="0"/>
      <w:marRight w:val="0"/>
      <w:marTop w:val="0"/>
      <w:marBottom w:val="0"/>
      <w:divBdr>
        <w:top w:val="none" w:sz="0" w:space="0" w:color="auto"/>
        <w:left w:val="none" w:sz="0" w:space="0" w:color="auto"/>
        <w:bottom w:val="none" w:sz="0" w:space="0" w:color="auto"/>
        <w:right w:val="none" w:sz="0" w:space="0" w:color="auto"/>
      </w:divBdr>
    </w:div>
    <w:div w:id="349185216">
      <w:bodyDiv w:val="1"/>
      <w:marLeft w:val="0"/>
      <w:marRight w:val="0"/>
      <w:marTop w:val="0"/>
      <w:marBottom w:val="0"/>
      <w:divBdr>
        <w:top w:val="none" w:sz="0" w:space="0" w:color="auto"/>
        <w:left w:val="none" w:sz="0" w:space="0" w:color="auto"/>
        <w:bottom w:val="none" w:sz="0" w:space="0" w:color="auto"/>
        <w:right w:val="none" w:sz="0" w:space="0" w:color="auto"/>
      </w:divBdr>
    </w:div>
    <w:div w:id="357389335">
      <w:bodyDiv w:val="1"/>
      <w:marLeft w:val="0"/>
      <w:marRight w:val="0"/>
      <w:marTop w:val="0"/>
      <w:marBottom w:val="0"/>
      <w:divBdr>
        <w:top w:val="none" w:sz="0" w:space="0" w:color="auto"/>
        <w:left w:val="none" w:sz="0" w:space="0" w:color="auto"/>
        <w:bottom w:val="none" w:sz="0" w:space="0" w:color="auto"/>
        <w:right w:val="none" w:sz="0" w:space="0" w:color="auto"/>
      </w:divBdr>
    </w:div>
    <w:div w:id="362901680">
      <w:bodyDiv w:val="1"/>
      <w:marLeft w:val="0"/>
      <w:marRight w:val="0"/>
      <w:marTop w:val="0"/>
      <w:marBottom w:val="0"/>
      <w:divBdr>
        <w:top w:val="none" w:sz="0" w:space="0" w:color="auto"/>
        <w:left w:val="none" w:sz="0" w:space="0" w:color="auto"/>
        <w:bottom w:val="none" w:sz="0" w:space="0" w:color="auto"/>
        <w:right w:val="none" w:sz="0" w:space="0" w:color="auto"/>
      </w:divBdr>
    </w:div>
    <w:div w:id="367801412">
      <w:bodyDiv w:val="1"/>
      <w:marLeft w:val="0"/>
      <w:marRight w:val="0"/>
      <w:marTop w:val="0"/>
      <w:marBottom w:val="0"/>
      <w:divBdr>
        <w:top w:val="none" w:sz="0" w:space="0" w:color="auto"/>
        <w:left w:val="none" w:sz="0" w:space="0" w:color="auto"/>
        <w:bottom w:val="none" w:sz="0" w:space="0" w:color="auto"/>
        <w:right w:val="none" w:sz="0" w:space="0" w:color="auto"/>
      </w:divBdr>
    </w:div>
    <w:div w:id="382411582">
      <w:bodyDiv w:val="1"/>
      <w:marLeft w:val="0"/>
      <w:marRight w:val="0"/>
      <w:marTop w:val="0"/>
      <w:marBottom w:val="0"/>
      <w:divBdr>
        <w:top w:val="none" w:sz="0" w:space="0" w:color="auto"/>
        <w:left w:val="none" w:sz="0" w:space="0" w:color="auto"/>
        <w:bottom w:val="none" w:sz="0" w:space="0" w:color="auto"/>
        <w:right w:val="none" w:sz="0" w:space="0" w:color="auto"/>
      </w:divBdr>
    </w:div>
    <w:div w:id="389308780">
      <w:bodyDiv w:val="1"/>
      <w:marLeft w:val="0"/>
      <w:marRight w:val="0"/>
      <w:marTop w:val="0"/>
      <w:marBottom w:val="0"/>
      <w:divBdr>
        <w:top w:val="none" w:sz="0" w:space="0" w:color="auto"/>
        <w:left w:val="none" w:sz="0" w:space="0" w:color="auto"/>
        <w:bottom w:val="none" w:sz="0" w:space="0" w:color="auto"/>
        <w:right w:val="none" w:sz="0" w:space="0" w:color="auto"/>
      </w:divBdr>
    </w:div>
    <w:div w:id="397283879">
      <w:bodyDiv w:val="1"/>
      <w:marLeft w:val="0"/>
      <w:marRight w:val="0"/>
      <w:marTop w:val="0"/>
      <w:marBottom w:val="0"/>
      <w:divBdr>
        <w:top w:val="none" w:sz="0" w:space="0" w:color="auto"/>
        <w:left w:val="none" w:sz="0" w:space="0" w:color="auto"/>
        <w:bottom w:val="none" w:sz="0" w:space="0" w:color="auto"/>
        <w:right w:val="none" w:sz="0" w:space="0" w:color="auto"/>
      </w:divBdr>
    </w:div>
    <w:div w:id="402066197">
      <w:bodyDiv w:val="1"/>
      <w:marLeft w:val="0"/>
      <w:marRight w:val="0"/>
      <w:marTop w:val="0"/>
      <w:marBottom w:val="0"/>
      <w:divBdr>
        <w:top w:val="none" w:sz="0" w:space="0" w:color="auto"/>
        <w:left w:val="none" w:sz="0" w:space="0" w:color="auto"/>
        <w:bottom w:val="none" w:sz="0" w:space="0" w:color="auto"/>
        <w:right w:val="none" w:sz="0" w:space="0" w:color="auto"/>
      </w:divBdr>
    </w:div>
    <w:div w:id="419107295">
      <w:bodyDiv w:val="1"/>
      <w:marLeft w:val="0"/>
      <w:marRight w:val="0"/>
      <w:marTop w:val="0"/>
      <w:marBottom w:val="0"/>
      <w:divBdr>
        <w:top w:val="none" w:sz="0" w:space="0" w:color="auto"/>
        <w:left w:val="none" w:sz="0" w:space="0" w:color="auto"/>
        <w:bottom w:val="none" w:sz="0" w:space="0" w:color="auto"/>
        <w:right w:val="none" w:sz="0" w:space="0" w:color="auto"/>
      </w:divBdr>
    </w:div>
    <w:div w:id="424300537">
      <w:bodyDiv w:val="1"/>
      <w:marLeft w:val="0"/>
      <w:marRight w:val="0"/>
      <w:marTop w:val="0"/>
      <w:marBottom w:val="0"/>
      <w:divBdr>
        <w:top w:val="none" w:sz="0" w:space="0" w:color="auto"/>
        <w:left w:val="none" w:sz="0" w:space="0" w:color="auto"/>
        <w:bottom w:val="none" w:sz="0" w:space="0" w:color="auto"/>
        <w:right w:val="none" w:sz="0" w:space="0" w:color="auto"/>
      </w:divBdr>
    </w:div>
    <w:div w:id="437259242">
      <w:bodyDiv w:val="1"/>
      <w:marLeft w:val="0"/>
      <w:marRight w:val="0"/>
      <w:marTop w:val="0"/>
      <w:marBottom w:val="0"/>
      <w:divBdr>
        <w:top w:val="none" w:sz="0" w:space="0" w:color="auto"/>
        <w:left w:val="none" w:sz="0" w:space="0" w:color="auto"/>
        <w:bottom w:val="none" w:sz="0" w:space="0" w:color="auto"/>
        <w:right w:val="none" w:sz="0" w:space="0" w:color="auto"/>
      </w:divBdr>
    </w:div>
    <w:div w:id="441847693">
      <w:bodyDiv w:val="1"/>
      <w:marLeft w:val="0"/>
      <w:marRight w:val="0"/>
      <w:marTop w:val="0"/>
      <w:marBottom w:val="0"/>
      <w:divBdr>
        <w:top w:val="none" w:sz="0" w:space="0" w:color="auto"/>
        <w:left w:val="none" w:sz="0" w:space="0" w:color="auto"/>
        <w:bottom w:val="none" w:sz="0" w:space="0" w:color="auto"/>
        <w:right w:val="none" w:sz="0" w:space="0" w:color="auto"/>
      </w:divBdr>
    </w:div>
    <w:div w:id="461506605">
      <w:bodyDiv w:val="1"/>
      <w:marLeft w:val="0"/>
      <w:marRight w:val="0"/>
      <w:marTop w:val="0"/>
      <w:marBottom w:val="0"/>
      <w:divBdr>
        <w:top w:val="none" w:sz="0" w:space="0" w:color="auto"/>
        <w:left w:val="none" w:sz="0" w:space="0" w:color="auto"/>
        <w:bottom w:val="none" w:sz="0" w:space="0" w:color="auto"/>
        <w:right w:val="none" w:sz="0" w:space="0" w:color="auto"/>
      </w:divBdr>
    </w:div>
    <w:div w:id="461655825">
      <w:bodyDiv w:val="1"/>
      <w:marLeft w:val="0"/>
      <w:marRight w:val="0"/>
      <w:marTop w:val="0"/>
      <w:marBottom w:val="0"/>
      <w:divBdr>
        <w:top w:val="none" w:sz="0" w:space="0" w:color="auto"/>
        <w:left w:val="none" w:sz="0" w:space="0" w:color="auto"/>
        <w:bottom w:val="none" w:sz="0" w:space="0" w:color="auto"/>
        <w:right w:val="none" w:sz="0" w:space="0" w:color="auto"/>
      </w:divBdr>
    </w:div>
    <w:div w:id="471481092">
      <w:bodyDiv w:val="1"/>
      <w:marLeft w:val="0"/>
      <w:marRight w:val="0"/>
      <w:marTop w:val="0"/>
      <w:marBottom w:val="0"/>
      <w:divBdr>
        <w:top w:val="none" w:sz="0" w:space="0" w:color="auto"/>
        <w:left w:val="none" w:sz="0" w:space="0" w:color="auto"/>
        <w:bottom w:val="none" w:sz="0" w:space="0" w:color="auto"/>
        <w:right w:val="none" w:sz="0" w:space="0" w:color="auto"/>
      </w:divBdr>
    </w:div>
    <w:div w:id="486827258">
      <w:bodyDiv w:val="1"/>
      <w:marLeft w:val="0"/>
      <w:marRight w:val="0"/>
      <w:marTop w:val="0"/>
      <w:marBottom w:val="0"/>
      <w:divBdr>
        <w:top w:val="none" w:sz="0" w:space="0" w:color="auto"/>
        <w:left w:val="none" w:sz="0" w:space="0" w:color="auto"/>
        <w:bottom w:val="none" w:sz="0" w:space="0" w:color="auto"/>
        <w:right w:val="none" w:sz="0" w:space="0" w:color="auto"/>
      </w:divBdr>
    </w:div>
    <w:div w:id="488448687">
      <w:bodyDiv w:val="1"/>
      <w:marLeft w:val="0"/>
      <w:marRight w:val="0"/>
      <w:marTop w:val="0"/>
      <w:marBottom w:val="0"/>
      <w:divBdr>
        <w:top w:val="none" w:sz="0" w:space="0" w:color="auto"/>
        <w:left w:val="none" w:sz="0" w:space="0" w:color="auto"/>
        <w:bottom w:val="none" w:sz="0" w:space="0" w:color="auto"/>
        <w:right w:val="none" w:sz="0" w:space="0" w:color="auto"/>
      </w:divBdr>
    </w:div>
    <w:div w:id="497885812">
      <w:bodyDiv w:val="1"/>
      <w:marLeft w:val="0"/>
      <w:marRight w:val="0"/>
      <w:marTop w:val="0"/>
      <w:marBottom w:val="0"/>
      <w:divBdr>
        <w:top w:val="none" w:sz="0" w:space="0" w:color="auto"/>
        <w:left w:val="none" w:sz="0" w:space="0" w:color="auto"/>
        <w:bottom w:val="none" w:sz="0" w:space="0" w:color="auto"/>
        <w:right w:val="none" w:sz="0" w:space="0" w:color="auto"/>
      </w:divBdr>
    </w:div>
    <w:div w:id="499540732">
      <w:bodyDiv w:val="1"/>
      <w:marLeft w:val="0"/>
      <w:marRight w:val="0"/>
      <w:marTop w:val="0"/>
      <w:marBottom w:val="0"/>
      <w:divBdr>
        <w:top w:val="none" w:sz="0" w:space="0" w:color="auto"/>
        <w:left w:val="none" w:sz="0" w:space="0" w:color="auto"/>
        <w:bottom w:val="none" w:sz="0" w:space="0" w:color="auto"/>
        <w:right w:val="none" w:sz="0" w:space="0" w:color="auto"/>
      </w:divBdr>
    </w:div>
    <w:div w:id="505092441">
      <w:bodyDiv w:val="1"/>
      <w:marLeft w:val="0"/>
      <w:marRight w:val="0"/>
      <w:marTop w:val="0"/>
      <w:marBottom w:val="0"/>
      <w:divBdr>
        <w:top w:val="none" w:sz="0" w:space="0" w:color="auto"/>
        <w:left w:val="none" w:sz="0" w:space="0" w:color="auto"/>
        <w:bottom w:val="none" w:sz="0" w:space="0" w:color="auto"/>
        <w:right w:val="none" w:sz="0" w:space="0" w:color="auto"/>
      </w:divBdr>
    </w:div>
    <w:div w:id="508369117">
      <w:bodyDiv w:val="1"/>
      <w:marLeft w:val="0"/>
      <w:marRight w:val="0"/>
      <w:marTop w:val="0"/>
      <w:marBottom w:val="0"/>
      <w:divBdr>
        <w:top w:val="none" w:sz="0" w:space="0" w:color="auto"/>
        <w:left w:val="none" w:sz="0" w:space="0" w:color="auto"/>
        <w:bottom w:val="none" w:sz="0" w:space="0" w:color="auto"/>
        <w:right w:val="none" w:sz="0" w:space="0" w:color="auto"/>
      </w:divBdr>
    </w:div>
    <w:div w:id="511531537">
      <w:bodyDiv w:val="1"/>
      <w:marLeft w:val="0"/>
      <w:marRight w:val="0"/>
      <w:marTop w:val="0"/>
      <w:marBottom w:val="0"/>
      <w:divBdr>
        <w:top w:val="none" w:sz="0" w:space="0" w:color="auto"/>
        <w:left w:val="none" w:sz="0" w:space="0" w:color="auto"/>
        <w:bottom w:val="none" w:sz="0" w:space="0" w:color="auto"/>
        <w:right w:val="none" w:sz="0" w:space="0" w:color="auto"/>
      </w:divBdr>
    </w:div>
    <w:div w:id="521629643">
      <w:bodyDiv w:val="1"/>
      <w:marLeft w:val="0"/>
      <w:marRight w:val="0"/>
      <w:marTop w:val="0"/>
      <w:marBottom w:val="0"/>
      <w:divBdr>
        <w:top w:val="none" w:sz="0" w:space="0" w:color="auto"/>
        <w:left w:val="none" w:sz="0" w:space="0" w:color="auto"/>
        <w:bottom w:val="none" w:sz="0" w:space="0" w:color="auto"/>
        <w:right w:val="none" w:sz="0" w:space="0" w:color="auto"/>
      </w:divBdr>
    </w:div>
    <w:div w:id="522020147">
      <w:bodyDiv w:val="1"/>
      <w:marLeft w:val="0"/>
      <w:marRight w:val="0"/>
      <w:marTop w:val="0"/>
      <w:marBottom w:val="0"/>
      <w:divBdr>
        <w:top w:val="none" w:sz="0" w:space="0" w:color="auto"/>
        <w:left w:val="none" w:sz="0" w:space="0" w:color="auto"/>
        <w:bottom w:val="none" w:sz="0" w:space="0" w:color="auto"/>
        <w:right w:val="none" w:sz="0" w:space="0" w:color="auto"/>
      </w:divBdr>
    </w:div>
    <w:div w:id="529074797">
      <w:bodyDiv w:val="1"/>
      <w:marLeft w:val="0"/>
      <w:marRight w:val="0"/>
      <w:marTop w:val="0"/>
      <w:marBottom w:val="0"/>
      <w:divBdr>
        <w:top w:val="none" w:sz="0" w:space="0" w:color="auto"/>
        <w:left w:val="none" w:sz="0" w:space="0" w:color="auto"/>
        <w:bottom w:val="none" w:sz="0" w:space="0" w:color="auto"/>
        <w:right w:val="none" w:sz="0" w:space="0" w:color="auto"/>
      </w:divBdr>
      <w:divsChild>
        <w:div w:id="524517202">
          <w:marLeft w:val="0"/>
          <w:marRight w:val="0"/>
          <w:marTop w:val="0"/>
          <w:marBottom w:val="0"/>
          <w:divBdr>
            <w:top w:val="none" w:sz="0" w:space="0" w:color="auto"/>
            <w:left w:val="none" w:sz="0" w:space="0" w:color="auto"/>
            <w:bottom w:val="none" w:sz="0" w:space="0" w:color="auto"/>
            <w:right w:val="none" w:sz="0" w:space="0" w:color="auto"/>
          </w:divBdr>
          <w:divsChild>
            <w:div w:id="442308994">
              <w:marLeft w:val="0"/>
              <w:marRight w:val="0"/>
              <w:marTop w:val="0"/>
              <w:marBottom w:val="0"/>
              <w:divBdr>
                <w:top w:val="none" w:sz="0" w:space="0" w:color="auto"/>
                <w:left w:val="none" w:sz="0" w:space="0" w:color="auto"/>
                <w:bottom w:val="none" w:sz="0" w:space="0" w:color="auto"/>
                <w:right w:val="none" w:sz="0" w:space="0" w:color="auto"/>
              </w:divBdr>
              <w:divsChild>
                <w:div w:id="1192576409">
                  <w:marLeft w:val="0"/>
                  <w:marRight w:val="0"/>
                  <w:marTop w:val="0"/>
                  <w:marBottom w:val="0"/>
                  <w:divBdr>
                    <w:top w:val="none" w:sz="0" w:space="0" w:color="auto"/>
                    <w:left w:val="none" w:sz="0" w:space="0" w:color="auto"/>
                    <w:bottom w:val="none" w:sz="0" w:space="0" w:color="auto"/>
                    <w:right w:val="none" w:sz="0" w:space="0" w:color="auto"/>
                  </w:divBdr>
                  <w:divsChild>
                    <w:div w:id="1312905701">
                      <w:marLeft w:val="0"/>
                      <w:marRight w:val="0"/>
                      <w:marTop w:val="0"/>
                      <w:marBottom w:val="0"/>
                      <w:divBdr>
                        <w:top w:val="none" w:sz="0" w:space="0" w:color="auto"/>
                        <w:left w:val="none" w:sz="0" w:space="0" w:color="auto"/>
                        <w:bottom w:val="none" w:sz="0" w:space="0" w:color="auto"/>
                        <w:right w:val="none" w:sz="0" w:space="0" w:color="auto"/>
                      </w:divBdr>
                      <w:divsChild>
                        <w:div w:id="590629275">
                          <w:marLeft w:val="0"/>
                          <w:marRight w:val="0"/>
                          <w:marTop w:val="0"/>
                          <w:marBottom w:val="0"/>
                          <w:divBdr>
                            <w:top w:val="none" w:sz="0" w:space="0" w:color="auto"/>
                            <w:left w:val="none" w:sz="0" w:space="0" w:color="auto"/>
                            <w:bottom w:val="none" w:sz="0" w:space="0" w:color="auto"/>
                            <w:right w:val="none" w:sz="0" w:space="0" w:color="auto"/>
                          </w:divBdr>
                          <w:divsChild>
                            <w:div w:id="717315520">
                              <w:marLeft w:val="0"/>
                              <w:marRight w:val="0"/>
                              <w:marTop w:val="0"/>
                              <w:marBottom w:val="0"/>
                              <w:divBdr>
                                <w:top w:val="none" w:sz="0" w:space="0" w:color="auto"/>
                                <w:left w:val="none" w:sz="0" w:space="0" w:color="auto"/>
                                <w:bottom w:val="none" w:sz="0" w:space="0" w:color="auto"/>
                                <w:right w:val="none" w:sz="0" w:space="0" w:color="auto"/>
                              </w:divBdr>
                              <w:divsChild>
                                <w:div w:id="1759012041">
                                  <w:marLeft w:val="0"/>
                                  <w:marRight w:val="0"/>
                                  <w:marTop w:val="0"/>
                                  <w:marBottom w:val="0"/>
                                  <w:divBdr>
                                    <w:top w:val="none" w:sz="0" w:space="0" w:color="auto"/>
                                    <w:left w:val="none" w:sz="0" w:space="0" w:color="auto"/>
                                    <w:bottom w:val="none" w:sz="0" w:space="0" w:color="auto"/>
                                    <w:right w:val="none" w:sz="0" w:space="0" w:color="auto"/>
                                  </w:divBdr>
                                  <w:divsChild>
                                    <w:div w:id="834958303">
                                      <w:marLeft w:val="0"/>
                                      <w:marRight w:val="0"/>
                                      <w:marTop w:val="0"/>
                                      <w:marBottom w:val="0"/>
                                      <w:divBdr>
                                        <w:top w:val="single" w:sz="6" w:space="0" w:color="F5F5F5"/>
                                        <w:left w:val="single" w:sz="6" w:space="0" w:color="F5F5F5"/>
                                        <w:bottom w:val="single" w:sz="6" w:space="0" w:color="F5F5F5"/>
                                        <w:right w:val="single" w:sz="6" w:space="0" w:color="F5F5F5"/>
                                      </w:divBdr>
                                      <w:divsChild>
                                        <w:div w:id="52774458">
                                          <w:marLeft w:val="0"/>
                                          <w:marRight w:val="0"/>
                                          <w:marTop w:val="0"/>
                                          <w:marBottom w:val="0"/>
                                          <w:divBdr>
                                            <w:top w:val="none" w:sz="0" w:space="0" w:color="auto"/>
                                            <w:left w:val="none" w:sz="0" w:space="0" w:color="auto"/>
                                            <w:bottom w:val="none" w:sz="0" w:space="0" w:color="auto"/>
                                            <w:right w:val="none" w:sz="0" w:space="0" w:color="auto"/>
                                          </w:divBdr>
                                          <w:divsChild>
                                            <w:div w:id="1119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373383">
      <w:bodyDiv w:val="1"/>
      <w:marLeft w:val="0"/>
      <w:marRight w:val="0"/>
      <w:marTop w:val="0"/>
      <w:marBottom w:val="0"/>
      <w:divBdr>
        <w:top w:val="none" w:sz="0" w:space="0" w:color="auto"/>
        <w:left w:val="none" w:sz="0" w:space="0" w:color="auto"/>
        <w:bottom w:val="none" w:sz="0" w:space="0" w:color="auto"/>
        <w:right w:val="none" w:sz="0" w:space="0" w:color="auto"/>
      </w:divBdr>
    </w:div>
    <w:div w:id="553930836">
      <w:bodyDiv w:val="1"/>
      <w:marLeft w:val="0"/>
      <w:marRight w:val="0"/>
      <w:marTop w:val="0"/>
      <w:marBottom w:val="0"/>
      <w:divBdr>
        <w:top w:val="none" w:sz="0" w:space="0" w:color="auto"/>
        <w:left w:val="none" w:sz="0" w:space="0" w:color="auto"/>
        <w:bottom w:val="none" w:sz="0" w:space="0" w:color="auto"/>
        <w:right w:val="none" w:sz="0" w:space="0" w:color="auto"/>
      </w:divBdr>
    </w:div>
    <w:div w:id="557522825">
      <w:bodyDiv w:val="1"/>
      <w:marLeft w:val="0"/>
      <w:marRight w:val="0"/>
      <w:marTop w:val="0"/>
      <w:marBottom w:val="0"/>
      <w:divBdr>
        <w:top w:val="none" w:sz="0" w:space="0" w:color="auto"/>
        <w:left w:val="none" w:sz="0" w:space="0" w:color="auto"/>
        <w:bottom w:val="none" w:sz="0" w:space="0" w:color="auto"/>
        <w:right w:val="none" w:sz="0" w:space="0" w:color="auto"/>
      </w:divBdr>
    </w:div>
    <w:div w:id="576866097">
      <w:bodyDiv w:val="1"/>
      <w:marLeft w:val="0"/>
      <w:marRight w:val="0"/>
      <w:marTop w:val="0"/>
      <w:marBottom w:val="0"/>
      <w:divBdr>
        <w:top w:val="none" w:sz="0" w:space="0" w:color="auto"/>
        <w:left w:val="none" w:sz="0" w:space="0" w:color="auto"/>
        <w:bottom w:val="none" w:sz="0" w:space="0" w:color="auto"/>
        <w:right w:val="none" w:sz="0" w:space="0" w:color="auto"/>
      </w:divBdr>
    </w:div>
    <w:div w:id="578175048">
      <w:bodyDiv w:val="1"/>
      <w:marLeft w:val="0"/>
      <w:marRight w:val="0"/>
      <w:marTop w:val="0"/>
      <w:marBottom w:val="0"/>
      <w:divBdr>
        <w:top w:val="none" w:sz="0" w:space="0" w:color="auto"/>
        <w:left w:val="none" w:sz="0" w:space="0" w:color="auto"/>
        <w:bottom w:val="none" w:sz="0" w:space="0" w:color="auto"/>
        <w:right w:val="none" w:sz="0" w:space="0" w:color="auto"/>
      </w:divBdr>
    </w:div>
    <w:div w:id="598486068">
      <w:bodyDiv w:val="1"/>
      <w:marLeft w:val="0"/>
      <w:marRight w:val="0"/>
      <w:marTop w:val="0"/>
      <w:marBottom w:val="0"/>
      <w:divBdr>
        <w:top w:val="none" w:sz="0" w:space="0" w:color="auto"/>
        <w:left w:val="none" w:sz="0" w:space="0" w:color="auto"/>
        <w:bottom w:val="none" w:sz="0" w:space="0" w:color="auto"/>
        <w:right w:val="none" w:sz="0" w:space="0" w:color="auto"/>
      </w:divBdr>
    </w:div>
    <w:div w:id="611322840">
      <w:bodyDiv w:val="1"/>
      <w:marLeft w:val="0"/>
      <w:marRight w:val="0"/>
      <w:marTop w:val="0"/>
      <w:marBottom w:val="0"/>
      <w:divBdr>
        <w:top w:val="none" w:sz="0" w:space="0" w:color="auto"/>
        <w:left w:val="none" w:sz="0" w:space="0" w:color="auto"/>
        <w:bottom w:val="none" w:sz="0" w:space="0" w:color="auto"/>
        <w:right w:val="none" w:sz="0" w:space="0" w:color="auto"/>
      </w:divBdr>
    </w:div>
    <w:div w:id="636378500">
      <w:bodyDiv w:val="1"/>
      <w:marLeft w:val="0"/>
      <w:marRight w:val="0"/>
      <w:marTop w:val="0"/>
      <w:marBottom w:val="0"/>
      <w:divBdr>
        <w:top w:val="none" w:sz="0" w:space="0" w:color="auto"/>
        <w:left w:val="none" w:sz="0" w:space="0" w:color="auto"/>
        <w:bottom w:val="none" w:sz="0" w:space="0" w:color="auto"/>
        <w:right w:val="none" w:sz="0" w:space="0" w:color="auto"/>
      </w:divBdr>
    </w:div>
    <w:div w:id="637539704">
      <w:bodyDiv w:val="1"/>
      <w:marLeft w:val="0"/>
      <w:marRight w:val="0"/>
      <w:marTop w:val="0"/>
      <w:marBottom w:val="0"/>
      <w:divBdr>
        <w:top w:val="none" w:sz="0" w:space="0" w:color="auto"/>
        <w:left w:val="none" w:sz="0" w:space="0" w:color="auto"/>
        <w:bottom w:val="none" w:sz="0" w:space="0" w:color="auto"/>
        <w:right w:val="none" w:sz="0" w:space="0" w:color="auto"/>
      </w:divBdr>
    </w:div>
    <w:div w:id="637539896">
      <w:bodyDiv w:val="1"/>
      <w:marLeft w:val="0"/>
      <w:marRight w:val="0"/>
      <w:marTop w:val="0"/>
      <w:marBottom w:val="0"/>
      <w:divBdr>
        <w:top w:val="none" w:sz="0" w:space="0" w:color="auto"/>
        <w:left w:val="none" w:sz="0" w:space="0" w:color="auto"/>
        <w:bottom w:val="none" w:sz="0" w:space="0" w:color="auto"/>
        <w:right w:val="none" w:sz="0" w:space="0" w:color="auto"/>
      </w:divBdr>
    </w:div>
    <w:div w:id="650864197">
      <w:bodyDiv w:val="1"/>
      <w:marLeft w:val="0"/>
      <w:marRight w:val="0"/>
      <w:marTop w:val="0"/>
      <w:marBottom w:val="0"/>
      <w:divBdr>
        <w:top w:val="none" w:sz="0" w:space="0" w:color="auto"/>
        <w:left w:val="none" w:sz="0" w:space="0" w:color="auto"/>
        <w:bottom w:val="none" w:sz="0" w:space="0" w:color="auto"/>
        <w:right w:val="none" w:sz="0" w:space="0" w:color="auto"/>
      </w:divBdr>
    </w:div>
    <w:div w:id="661851963">
      <w:bodyDiv w:val="1"/>
      <w:marLeft w:val="0"/>
      <w:marRight w:val="0"/>
      <w:marTop w:val="0"/>
      <w:marBottom w:val="0"/>
      <w:divBdr>
        <w:top w:val="none" w:sz="0" w:space="0" w:color="auto"/>
        <w:left w:val="none" w:sz="0" w:space="0" w:color="auto"/>
        <w:bottom w:val="none" w:sz="0" w:space="0" w:color="auto"/>
        <w:right w:val="none" w:sz="0" w:space="0" w:color="auto"/>
      </w:divBdr>
    </w:div>
    <w:div w:id="662011870">
      <w:bodyDiv w:val="1"/>
      <w:marLeft w:val="0"/>
      <w:marRight w:val="0"/>
      <w:marTop w:val="0"/>
      <w:marBottom w:val="0"/>
      <w:divBdr>
        <w:top w:val="none" w:sz="0" w:space="0" w:color="auto"/>
        <w:left w:val="none" w:sz="0" w:space="0" w:color="auto"/>
        <w:bottom w:val="none" w:sz="0" w:space="0" w:color="auto"/>
        <w:right w:val="none" w:sz="0" w:space="0" w:color="auto"/>
      </w:divBdr>
    </w:div>
    <w:div w:id="664557562">
      <w:bodyDiv w:val="1"/>
      <w:marLeft w:val="0"/>
      <w:marRight w:val="0"/>
      <w:marTop w:val="0"/>
      <w:marBottom w:val="0"/>
      <w:divBdr>
        <w:top w:val="none" w:sz="0" w:space="0" w:color="auto"/>
        <w:left w:val="none" w:sz="0" w:space="0" w:color="auto"/>
        <w:bottom w:val="none" w:sz="0" w:space="0" w:color="auto"/>
        <w:right w:val="none" w:sz="0" w:space="0" w:color="auto"/>
      </w:divBdr>
    </w:div>
    <w:div w:id="665208336">
      <w:bodyDiv w:val="1"/>
      <w:marLeft w:val="0"/>
      <w:marRight w:val="0"/>
      <w:marTop w:val="0"/>
      <w:marBottom w:val="0"/>
      <w:divBdr>
        <w:top w:val="none" w:sz="0" w:space="0" w:color="auto"/>
        <w:left w:val="none" w:sz="0" w:space="0" w:color="auto"/>
        <w:bottom w:val="none" w:sz="0" w:space="0" w:color="auto"/>
        <w:right w:val="none" w:sz="0" w:space="0" w:color="auto"/>
      </w:divBdr>
    </w:div>
    <w:div w:id="684526564">
      <w:bodyDiv w:val="1"/>
      <w:marLeft w:val="0"/>
      <w:marRight w:val="0"/>
      <w:marTop w:val="0"/>
      <w:marBottom w:val="0"/>
      <w:divBdr>
        <w:top w:val="none" w:sz="0" w:space="0" w:color="auto"/>
        <w:left w:val="none" w:sz="0" w:space="0" w:color="auto"/>
        <w:bottom w:val="none" w:sz="0" w:space="0" w:color="auto"/>
        <w:right w:val="none" w:sz="0" w:space="0" w:color="auto"/>
      </w:divBdr>
    </w:div>
    <w:div w:id="688288493">
      <w:bodyDiv w:val="1"/>
      <w:marLeft w:val="0"/>
      <w:marRight w:val="0"/>
      <w:marTop w:val="0"/>
      <w:marBottom w:val="0"/>
      <w:divBdr>
        <w:top w:val="none" w:sz="0" w:space="0" w:color="auto"/>
        <w:left w:val="none" w:sz="0" w:space="0" w:color="auto"/>
        <w:bottom w:val="none" w:sz="0" w:space="0" w:color="auto"/>
        <w:right w:val="none" w:sz="0" w:space="0" w:color="auto"/>
      </w:divBdr>
    </w:div>
    <w:div w:id="690108828">
      <w:bodyDiv w:val="1"/>
      <w:marLeft w:val="0"/>
      <w:marRight w:val="0"/>
      <w:marTop w:val="0"/>
      <w:marBottom w:val="0"/>
      <w:divBdr>
        <w:top w:val="none" w:sz="0" w:space="0" w:color="auto"/>
        <w:left w:val="none" w:sz="0" w:space="0" w:color="auto"/>
        <w:bottom w:val="none" w:sz="0" w:space="0" w:color="auto"/>
        <w:right w:val="none" w:sz="0" w:space="0" w:color="auto"/>
      </w:divBdr>
    </w:div>
    <w:div w:id="707606367">
      <w:bodyDiv w:val="1"/>
      <w:marLeft w:val="0"/>
      <w:marRight w:val="0"/>
      <w:marTop w:val="0"/>
      <w:marBottom w:val="0"/>
      <w:divBdr>
        <w:top w:val="none" w:sz="0" w:space="0" w:color="auto"/>
        <w:left w:val="none" w:sz="0" w:space="0" w:color="auto"/>
        <w:bottom w:val="none" w:sz="0" w:space="0" w:color="auto"/>
        <w:right w:val="none" w:sz="0" w:space="0" w:color="auto"/>
      </w:divBdr>
    </w:div>
    <w:div w:id="708602440">
      <w:bodyDiv w:val="1"/>
      <w:marLeft w:val="0"/>
      <w:marRight w:val="0"/>
      <w:marTop w:val="0"/>
      <w:marBottom w:val="0"/>
      <w:divBdr>
        <w:top w:val="none" w:sz="0" w:space="0" w:color="auto"/>
        <w:left w:val="none" w:sz="0" w:space="0" w:color="auto"/>
        <w:bottom w:val="none" w:sz="0" w:space="0" w:color="auto"/>
        <w:right w:val="none" w:sz="0" w:space="0" w:color="auto"/>
      </w:divBdr>
    </w:div>
    <w:div w:id="709956017">
      <w:bodyDiv w:val="1"/>
      <w:marLeft w:val="0"/>
      <w:marRight w:val="0"/>
      <w:marTop w:val="0"/>
      <w:marBottom w:val="0"/>
      <w:divBdr>
        <w:top w:val="none" w:sz="0" w:space="0" w:color="auto"/>
        <w:left w:val="none" w:sz="0" w:space="0" w:color="auto"/>
        <w:bottom w:val="none" w:sz="0" w:space="0" w:color="auto"/>
        <w:right w:val="none" w:sz="0" w:space="0" w:color="auto"/>
      </w:divBdr>
    </w:div>
    <w:div w:id="717163859">
      <w:bodyDiv w:val="1"/>
      <w:marLeft w:val="0"/>
      <w:marRight w:val="0"/>
      <w:marTop w:val="0"/>
      <w:marBottom w:val="0"/>
      <w:divBdr>
        <w:top w:val="none" w:sz="0" w:space="0" w:color="auto"/>
        <w:left w:val="none" w:sz="0" w:space="0" w:color="auto"/>
        <w:bottom w:val="none" w:sz="0" w:space="0" w:color="auto"/>
        <w:right w:val="none" w:sz="0" w:space="0" w:color="auto"/>
      </w:divBdr>
    </w:div>
    <w:div w:id="717357064">
      <w:bodyDiv w:val="1"/>
      <w:marLeft w:val="0"/>
      <w:marRight w:val="0"/>
      <w:marTop w:val="0"/>
      <w:marBottom w:val="0"/>
      <w:divBdr>
        <w:top w:val="none" w:sz="0" w:space="0" w:color="auto"/>
        <w:left w:val="none" w:sz="0" w:space="0" w:color="auto"/>
        <w:bottom w:val="none" w:sz="0" w:space="0" w:color="auto"/>
        <w:right w:val="none" w:sz="0" w:space="0" w:color="auto"/>
      </w:divBdr>
    </w:div>
    <w:div w:id="726807318">
      <w:bodyDiv w:val="1"/>
      <w:marLeft w:val="0"/>
      <w:marRight w:val="0"/>
      <w:marTop w:val="0"/>
      <w:marBottom w:val="0"/>
      <w:divBdr>
        <w:top w:val="none" w:sz="0" w:space="0" w:color="auto"/>
        <w:left w:val="none" w:sz="0" w:space="0" w:color="auto"/>
        <w:bottom w:val="none" w:sz="0" w:space="0" w:color="auto"/>
        <w:right w:val="none" w:sz="0" w:space="0" w:color="auto"/>
      </w:divBdr>
    </w:div>
    <w:div w:id="728263367">
      <w:bodyDiv w:val="1"/>
      <w:marLeft w:val="0"/>
      <w:marRight w:val="0"/>
      <w:marTop w:val="0"/>
      <w:marBottom w:val="0"/>
      <w:divBdr>
        <w:top w:val="none" w:sz="0" w:space="0" w:color="auto"/>
        <w:left w:val="none" w:sz="0" w:space="0" w:color="auto"/>
        <w:bottom w:val="none" w:sz="0" w:space="0" w:color="auto"/>
        <w:right w:val="none" w:sz="0" w:space="0" w:color="auto"/>
      </w:divBdr>
    </w:div>
    <w:div w:id="735052519">
      <w:bodyDiv w:val="1"/>
      <w:marLeft w:val="0"/>
      <w:marRight w:val="0"/>
      <w:marTop w:val="0"/>
      <w:marBottom w:val="0"/>
      <w:divBdr>
        <w:top w:val="none" w:sz="0" w:space="0" w:color="auto"/>
        <w:left w:val="none" w:sz="0" w:space="0" w:color="auto"/>
        <w:bottom w:val="none" w:sz="0" w:space="0" w:color="auto"/>
        <w:right w:val="none" w:sz="0" w:space="0" w:color="auto"/>
      </w:divBdr>
    </w:div>
    <w:div w:id="735324453">
      <w:bodyDiv w:val="1"/>
      <w:marLeft w:val="0"/>
      <w:marRight w:val="0"/>
      <w:marTop w:val="0"/>
      <w:marBottom w:val="0"/>
      <w:divBdr>
        <w:top w:val="none" w:sz="0" w:space="0" w:color="auto"/>
        <w:left w:val="none" w:sz="0" w:space="0" w:color="auto"/>
        <w:bottom w:val="none" w:sz="0" w:space="0" w:color="auto"/>
        <w:right w:val="none" w:sz="0" w:space="0" w:color="auto"/>
      </w:divBdr>
    </w:div>
    <w:div w:id="743524454">
      <w:bodyDiv w:val="1"/>
      <w:marLeft w:val="0"/>
      <w:marRight w:val="0"/>
      <w:marTop w:val="0"/>
      <w:marBottom w:val="0"/>
      <w:divBdr>
        <w:top w:val="none" w:sz="0" w:space="0" w:color="auto"/>
        <w:left w:val="none" w:sz="0" w:space="0" w:color="auto"/>
        <w:bottom w:val="none" w:sz="0" w:space="0" w:color="auto"/>
        <w:right w:val="none" w:sz="0" w:space="0" w:color="auto"/>
      </w:divBdr>
    </w:div>
    <w:div w:id="745420816">
      <w:bodyDiv w:val="1"/>
      <w:marLeft w:val="0"/>
      <w:marRight w:val="0"/>
      <w:marTop w:val="0"/>
      <w:marBottom w:val="0"/>
      <w:divBdr>
        <w:top w:val="none" w:sz="0" w:space="0" w:color="auto"/>
        <w:left w:val="none" w:sz="0" w:space="0" w:color="auto"/>
        <w:bottom w:val="none" w:sz="0" w:space="0" w:color="auto"/>
        <w:right w:val="none" w:sz="0" w:space="0" w:color="auto"/>
      </w:divBdr>
    </w:div>
    <w:div w:id="750275662">
      <w:bodyDiv w:val="1"/>
      <w:marLeft w:val="0"/>
      <w:marRight w:val="0"/>
      <w:marTop w:val="0"/>
      <w:marBottom w:val="0"/>
      <w:divBdr>
        <w:top w:val="none" w:sz="0" w:space="0" w:color="auto"/>
        <w:left w:val="none" w:sz="0" w:space="0" w:color="auto"/>
        <w:bottom w:val="none" w:sz="0" w:space="0" w:color="auto"/>
        <w:right w:val="none" w:sz="0" w:space="0" w:color="auto"/>
      </w:divBdr>
    </w:div>
    <w:div w:id="762337856">
      <w:bodyDiv w:val="1"/>
      <w:marLeft w:val="0"/>
      <w:marRight w:val="0"/>
      <w:marTop w:val="0"/>
      <w:marBottom w:val="0"/>
      <w:divBdr>
        <w:top w:val="none" w:sz="0" w:space="0" w:color="auto"/>
        <w:left w:val="none" w:sz="0" w:space="0" w:color="auto"/>
        <w:bottom w:val="none" w:sz="0" w:space="0" w:color="auto"/>
        <w:right w:val="none" w:sz="0" w:space="0" w:color="auto"/>
      </w:divBdr>
    </w:div>
    <w:div w:id="763110046">
      <w:bodyDiv w:val="1"/>
      <w:marLeft w:val="0"/>
      <w:marRight w:val="0"/>
      <w:marTop w:val="0"/>
      <w:marBottom w:val="0"/>
      <w:divBdr>
        <w:top w:val="none" w:sz="0" w:space="0" w:color="auto"/>
        <w:left w:val="none" w:sz="0" w:space="0" w:color="auto"/>
        <w:bottom w:val="none" w:sz="0" w:space="0" w:color="auto"/>
        <w:right w:val="none" w:sz="0" w:space="0" w:color="auto"/>
      </w:divBdr>
    </w:div>
    <w:div w:id="783694733">
      <w:bodyDiv w:val="1"/>
      <w:marLeft w:val="0"/>
      <w:marRight w:val="0"/>
      <w:marTop w:val="0"/>
      <w:marBottom w:val="0"/>
      <w:divBdr>
        <w:top w:val="none" w:sz="0" w:space="0" w:color="auto"/>
        <w:left w:val="none" w:sz="0" w:space="0" w:color="auto"/>
        <w:bottom w:val="none" w:sz="0" w:space="0" w:color="auto"/>
        <w:right w:val="none" w:sz="0" w:space="0" w:color="auto"/>
      </w:divBdr>
    </w:div>
    <w:div w:id="783767472">
      <w:bodyDiv w:val="1"/>
      <w:marLeft w:val="0"/>
      <w:marRight w:val="0"/>
      <w:marTop w:val="0"/>
      <w:marBottom w:val="0"/>
      <w:divBdr>
        <w:top w:val="none" w:sz="0" w:space="0" w:color="auto"/>
        <w:left w:val="none" w:sz="0" w:space="0" w:color="auto"/>
        <w:bottom w:val="none" w:sz="0" w:space="0" w:color="auto"/>
        <w:right w:val="none" w:sz="0" w:space="0" w:color="auto"/>
      </w:divBdr>
    </w:div>
    <w:div w:id="786970581">
      <w:bodyDiv w:val="1"/>
      <w:marLeft w:val="0"/>
      <w:marRight w:val="0"/>
      <w:marTop w:val="0"/>
      <w:marBottom w:val="0"/>
      <w:divBdr>
        <w:top w:val="none" w:sz="0" w:space="0" w:color="auto"/>
        <w:left w:val="none" w:sz="0" w:space="0" w:color="auto"/>
        <w:bottom w:val="none" w:sz="0" w:space="0" w:color="auto"/>
        <w:right w:val="none" w:sz="0" w:space="0" w:color="auto"/>
      </w:divBdr>
    </w:div>
    <w:div w:id="794249726">
      <w:bodyDiv w:val="1"/>
      <w:marLeft w:val="0"/>
      <w:marRight w:val="0"/>
      <w:marTop w:val="0"/>
      <w:marBottom w:val="0"/>
      <w:divBdr>
        <w:top w:val="none" w:sz="0" w:space="0" w:color="auto"/>
        <w:left w:val="none" w:sz="0" w:space="0" w:color="auto"/>
        <w:bottom w:val="none" w:sz="0" w:space="0" w:color="auto"/>
        <w:right w:val="none" w:sz="0" w:space="0" w:color="auto"/>
      </w:divBdr>
    </w:div>
    <w:div w:id="808791994">
      <w:bodyDiv w:val="1"/>
      <w:marLeft w:val="0"/>
      <w:marRight w:val="0"/>
      <w:marTop w:val="0"/>
      <w:marBottom w:val="0"/>
      <w:divBdr>
        <w:top w:val="none" w:sz="0" w:space="0" w:color="auto"/>
        <w:left w:val="none" w:sz="0" w:space="0" w:color="auto"/>
        <w:bottom w:val="none" w:sz="0" w:space="0" w:color="auto"/>
        <w:right w:val="none" w:sz="0" w:space="0" w:color="auto"/>
      </w:divBdr>
    </w:div>
    <w:div w:id="816841669">
      <w:bodyDiv w:val="1"/>
      <w:marLeft w:val="0"/>
      <w:marRight w:val="0"/>
      <w:marTop w:val="0"/>
      <w:marBottom w:val="0"/>
      <w:divBdr>
        <w:top w:val="none" w:sz="0" w:space="0" w:color="auto"/>
        <w:left w:val="none" w:sz="0" w:space="0" w:color="auto"/>
        <w:bottom w:val="none" w:sz="0" w:space="0" w:color="auto"/>
        <w:right w:val="none" w:sz="0" w:space="0" w:color="auto"/>
      </w:divBdr>
    </w:div>
    <w:div w:id="823350745">
      <w:bodyDiv w:val="1"/>
      <w:marLeft w:val="0"/>
      <w:marRight w:val="0"/>
      <w:marTop w:val="0"/>
      <w:marBottom w:val="0"/>
      <w:divBdr>
        <w:top w:val="none" w:sz="0" w:space="0" w:color="auto"/>
        <w:left w:val="none" w:sz="0" w:space="0" w:color="auto"/>
        <w:bottom w:val="none" w:sz="0" w:space="0" w:color="auto"/>
        <w:right w:val="none" w:sz="0" w:space="0" w:color="auto"/>
      </w:divBdr>
    </w:div>
    <w:div w:id="834685140">
      <w:bodyDiv w:val="1"/>
      <w:marLeft w:val="0"/>
      <w:marRight w:val="0"/>
      <w:marTop w:val="0"/>
      <w:marBottom w:val="0"/>
      <w:divBdr>
        <w:top w:val="none" w:sz="0" w:space="0" w:color="auto"/>
        <w:left w:val="none" w:sz="0" w:space="0" w:color="auto"/>
        <w:bottom w:val="none" w:sz="0" w:space="0" w:color="auto"/>
        <w:right w:val="none" w:sz="0" w:space="0" w:color="auto"/>
      </w:divBdr>
    </w:div>
    <w:div w:id="835875999">
      <w:bodyDiv w:val="1"/>
      <w:marLeft w:val="0"/>
      <w:marRight w:val="0"/>
      <w:marTop w:val="0"/>
      <w:marBottom w:val="0"/>
      <w:divBdr>
        <w:top w:val="none" w:sz="0" w:space="0" w:color="auto"/>
        <w:left w:val="none" w:sz="0" w:space="0" w:color="auto"/>
        <w:bottom w:val="none" w:sz="0" w:space="0" w:color="auto"/>
        <w:right w:val="none" w:sz="0" w:space="0" w:color="auto"/>
      </w:divBdr>
    </w:div>
    <w:div w:id="838423095">
      <w:bodyDiv w:val="1"/>
      <w:marLeft w:val="0"/>
      <w:marRight w:val="0"/>
      <w:marTop w:val="0"/>
      <w:marBottom w:val="0"/>
      <w:divBdr>
        <w:top w:val="none" w:sz="0" w:space="0" w:color="auto"/>
        <w:left w:val="none" w:sz="0" w:space="0" w:color="auto"/>
        <w:bottom w:val="none" w:sz="0" w:space="0" w:color="auto"/>
        <w:right w:val="none" w:sz="0" w:space="0" w:color="auto"/>
      </w:divBdr>
    </w:div>
    <w:div w:id="840390666">
      <w:bodyDiv w:val="1"/>
      <w:marLeft w:val="0"/>
      <w:marRight w:val="0"/>
      <w:marTop w:val="0"/>
      <w:marBottom w:val="0"/>
      <w:divBdr>
        <w:top w:val="none" w:sz="0" w:space="0" w:color="auto"/>
        <w:left w:val="none" w:sz="0" w:space="0" w:color="auto"/>
        <w:bottom w:val="none" w:sz="0" w:space="0" w:color="auto"/>
        <w:right w:val="none" w:sz="0" w:space="0" w:color="auto"/>
      </w:divBdr>
    </w:div>
    <w:div w:id="842474930">
      <w:bodyDiv w:val="1"/>
      <w:marLeft w:val="0"/>
      <w:marRight w:val="0"/>
      <w:marTop w:val="0"/>
      <w:marBottom w:val="0"/>
      <w:divBdr>
        <w:top w:val="none" w:sz="0" w:space="0" w:color="auto"/>
        <w:left w:val="none" w:sz="0" w:space="0" w:color="auto"/>
        <w:bottom w:val="none" w:sz="0" w:space="0" w:color="auto"/>
        <w:right w:val="none" w:sz="0" w:space="0" w:color="auto"/>
      </w:divBdr>
    </w:div>
    <w:div w:id="846209940">
      <w:bodyDiv w:val="1"/>
      <w:marLeft w:val="0"/>
      <w:marRight w:val="0"/>
      <w:marTop w:val="0"/>
      <w:marBottom w:val="0"/>
      <w:divBdr>
        <w:top w:val="none" w:sz="0" w:space="0" w:color="auto"/>
        <w:left w:val="none" w:sz="0" w:space="0" w:color="auto"/>
        <w:bottom w:val="none" w:sz="0" w:space="0" w:color="auto"/>
        <w:right w:val="none" w:sz="0" w:space="0" w:color="auto"/>
      </w:divBdr>
    </w:div>
    <w:div w:id="858855166">
      <w:bodyDiv w:val="1"/>
      <w:marLeft w:val="0"/>
      <w:marRight w:val="0"/>
      <w:marTop w:val="0"/>
      <w:marBottom w:val="0"/>
      <w:divBdr>
        <w:top w:val="none" w:sz="0" w:space="0" w:color="auto"/>
        <w:left w:val="none" w:sz="0" w:space="0" w:color="auto"/>
        <w:bottom w:val="none" w:sz="0" w:space="0" w:color="auto"/>
        <w:right w:val="none" w:sz="0" w:space="0" w:color="auto"/>
      </w:divBdr>
    </w:div>
    <w:div w:id="861281536">
      <w:bodyDiv w:val="1"/>
      <w:marLeft w:val="0"/>
      <w:marRight w:val="0"/>
      <w:marTop w:val="0"/>
      <w:marBottom w:val="0"/>
      <w:divBdr>
        <w:top w:val="none" w:sz="0" w:space="0" w:color="auto"/>
        <w:left w:val="none" w:sz="0" w:space="0" w:color="auto"/>
        <w:bottom w:val="none" w:sz="0" w:space="0" w:color="auto"/>
        <w:right w:val="none" w:sz="0" w:space="0" w:color="auto"/>
      </w:divBdr>
    </w:div>
    <w:div w:id="874119683">
      <w:bodyDiv w:val="1"/>
      <w:marLeft w:val="0"/>
      <w:marRight w:val="0"/>
      <w:marTop w:val="0"/>
      <w:marBottom w:val="0"/>
      <w:divBdr>
        <w:top w:val="none" w:sz="0" w:space="0" w:color="auto"/>
        <w:left w:val="none" w:sz="0" w:space="0" w:color="auto"/>
        <w:bottom w:val="none" w:sz="0" w:space="0" w:color="auto"/>
        <w:right w:val="none" w:sz="0" w:space="0" w:color="auto"/>
      </w:divBdr>
    </w:div>
    <w:div w:id="880558402">
      <w:bodyDiv w:val="1"/>
      <w:marLeft w:val="0"/>
      <w:marRight w:val="0"/>
      <w:marTop w:val="0"/>
      <w:marBottom w:val="0"/>
      <w:divBdr>
        <w:top w:val="none" w:sz="0" w:space="0" w:color="auto"/>
        <w:left w:val="none" w:sz="0" w:space="0" w:color="auto"/>
        <w:bottom w:val="none" w:sz="0" w:space="0" w:color="auto"/>
        <w:right w:val="none" w:sz="0" w:space="0" w:color="auto"/>
      </w:divBdr>
    </w:div>
    <w:div w:id="885410504">
      <w:bodyDiv w:val="1"/>
      <w:marLeft w:val="0"/>
      <w:marRight w:val="0"/>
      <w:marTop w:val="0"/>
      <w:marBottom w:val="0"/>
      <w:divBdr>
        <w:top w:val="none" w:sz="0" w:space="0" w:color="auto"/>
        <w:left w:val="none" w:sz="0" w:space="0" w:color="auto"/>
        <w:bottom w:val="none" w:sz="0" w:space="0" w:color="auto"/>
        <w:right w:val="none" w:sz="0" w:space="0" w:color="auto"/>
      </w:divBdr>
    </w:div>
    <w:div w:id="890456225">
      <w:bodyDiv w:val="1"/>
      <w:marLeft w:val="0"/>
      <w:marRight w:val="0"/>
      <w:marTop w:val="0"/>
      <w:marBottom w:val="0"/>
      <w:divBdr>
        <w:top w:val="none" w:sz="0" w:space="0" w:color="auto"/>
        <w:left w:val="none" w:sz="0" w:space="0" w:color="auto"/>
        <w:bottom w:val="none" w:sz="0" w:space="0" w:color="auto"/>
        <w:right w:val="none" w:sz="0" w:space="0" w:color="auto"/>
      </w:divBdr>
    </w:div>
    <w:div w:id="902331863">
      <w:bodyDiv w:val="1"/>
      <w:marLeft w:val="0"/>
      <w:marRight w:val="0"/>
      <w:marTop w:val="0"/>
      <w:marBottom w:val="0"/>
      <w:divBdr>
        <w:top w:val="none" w:sz="0" w:space="0" w:color="auto"/>
        <w:left w:val="none" w:sz="0" w:space="0" w:color="auto"/>
        <w:bottom w:val="none" w:sz="0" w:space="0" w:color="auto"/>
        <w:right w:val="none" w:sz="0" w:space="0" w:color="auto"/>
      </w:divBdr>
    </w:div>
    <w:div w:id="905803998">
      <w:bodyDiv w:val="1"/>
      <w:marLeft w:val="0"/>
      <w:marRight w:val="0"/>
      <w:marTop w:val="0"/>
      <w:marBottom w:val="0"/>
      <w:divBdr>
        <w:top w:val="none" w:sz="0" w:space="0" w:color="auto"/>
        <w:left w:val="none" w:sz="0" w:space="0" w:color="auto"/>
        <w:bottom w:val="none" w:sz="0" w:space="0" w:color="auto"/>
        <w:right w:val="none" w:sz="0" w:space="0" w:color="auto"/>
      </w:divBdr>
    </w:div>
    <w:div w:id="921840516">
      <w:bodyDiv w:val="1"/>
      <w:marLeft w:val="0"/>
      <w:marRight w:val="0"/>
      <w:marTop w:val="0"/>
      <w:marBottom w:val="0"/>
      <w:divBdr>
        <w:top w:val="none" w:sz="0" w:space="0" w:color="auto"/>
        <w:left w:val="none" w:sz="0" w:space="0" w:color="auto"/>
        <w:bottom w:val="none" w:sz="0" w:space="0" w:color="auto"/>
        <w:right w:val="none" w:sz="0" w:space="0" w:color="auto"/>
      </w:divBdr>
    </w:div>
    <w:div w:id="938027710">
      <w:bodyDiv w:val="1"/>
      <w:marLeft w:val="0"/>
      <w:marRight w:val="0"/>
      <w:marTop w:val="0"/>
      <w:marBottom w:val="0"/>
      <w:divBdr>
        <w:top w:val="none" w:sz="0" w:space="0" w:color="auto"/>
        <w:left w:val="none" w:sz="0" w:space="0" w:color="auto"/>
        <w:bottom w:val="none" w:sz="0" w:space="0" w:color="auto"/>
        <w:right w:val="none" w:sz="0" w:space="0" w:color="auto"/>
      </w:divBdr>
    </w:div>
    <w:div w:id="947349237">
      <w:bodyDiv w:val="1"/>
      <w:marLeft w:val="0"/>
      <w:marRight w:val="0"/>
      <w:marTop w:val="0"/>
      <w:marBottom w:val="0"/>
      <w:divBdr>
        <w:top w:val="none" w:sz="0" w:space="0" w:color="auto"/>
        <w:left w:val="none" w:sz="0" w:space="0" w:color="auto"/>
        <w:bottom w:val="none" w:sz="0" w:space="0" w:color="auto"/>
        <w:right w:val="none" w:sz="0" w:space="0" w:color="auto"/>
      </w:divBdr>
    </w:div>
    <w:div w:id="955216294">
      <w:bodyDiv w:val="1"/>
      <w:marLeft w:val="0"/>
      <w:marRight w:val="0"/>
      <w:marTop w:val="0"/>
      <w:marBottom w:val="0"/>
      <w:divBdr>
        <w:top w:val="none" w:sz="0" w:space="0" w:color="auto"/>
        <w:left w:val="none" w:sz="0" w:space="0" w:color="auto"/>
        <w:bottom w:val="none" w:sz="0" w:space="0" w:color="auto"/>
        <w:right w:val="none" w:sz="0" w:space="0" w:color="auto"/>
      </w:divBdr>
    </w:div>
    <w:div w:id="971717313">
      <w:bodyDiv w:val="1"/>
      <w:marLeft w:val="0"/>
      <w:marRight w:val="0"/>
      <w:marTop w:val="0"/>
      <w:marBottom w:val="0"/>
      <w:divBdr>
        <w:top w:val="none" w:sz="0" w:space="0" w:color="auto"/>
        <w:left w:val="none" w:sz="0" w:space="0" w:color="auto"/>
        <w:bottom w:val="none" w:sz="0" w:space="0" w:color="auto"/>
        <w:right w:val="none" w:sz="0" w:space="0" w:color="auto"/>
      </w:divBdr>
    </w:div>
    <w:div w:id="974915887">
      <w:bodyDiv w:val="1"/>
      <w:marLeft w:val="0"/>
      <w:marRight w:val="0"/>
      <w:marTop w:val="0"/>
      <w:marBottom w:val="0"/>
      <w:divBdr>
        <w:top w:val="none" w:sz="0" w:space="0" w:color="auto"/>
        <w:left w:val="none" w:sz="0" w:space="0" w:color="auto"/>
        <w:bottom w:val="none" w:sz="0" w:space="0" w:color="auto"/>
        <w:right w:val="none" w:sz="0" w:space="0" w:color="auto"/>
      </w:divBdr>
    </w:div>
    <w:div w:id="978725159">
      <w:bodyDiv w:val="1"/>
      <w:marLeft w:val="0"/>
      <w:marRight w:val="0"/>
      <w:marTop w:val="0"/>
      <w:marBottom w:val="0"/>
      <w:divBdr>
        <w:top w:val="none" w:sz="0" w:space="0" w:color="auto"/>
        <w:left w:val="none" w:sz="0" w:space="0" w:color="auto"/>
        <w:bottom w:val="none" w:sz="0" w:space="0" w:color="auto"/>
        <w:right w:val="none" w:sz="0" w:space="0" w:color="auto"/>
      </w:divBdr>
    </w:div>
    <w:div w:id="979112114">
      <w:bodyDiv w:val="1"/>
      <w:marLeft w:val="0"/>
      <w:marRight w:val="0"/>
      <w:marTop w:val="0"/>
      <w:marBottom w:val="0"/>
      <w:divBdr>
        <w:top w:val="none" w:sz="0" w:space="0" w:color="auto"/>
        <w:left w:val="none" w:sz="0" w:space="0" w:color="auto"/>
        <w:bottom w:val="none" w:sz="0" w:space="0" w:color="auto"/>
        <w:right w:val="none" w:sz="0" w:space="0" w:color="auto"/>
      </w:divBdr>
    </w:div>
    <w:div w:id="997727541">
      <w:bodyDiv w:val="1"/>
      <w:marLeft w:val="0"/>
      <w:marRight w:val="0"/>
      <w:marTop w:val="0"/>
      <w:marBottom w:val="0"/>
      <w:divBdr>
        <w:top w:val="none" w:sz="0" w:space="0" w:color="auto"/>
        <w:left w:val="none" w:sz="0" w:space="0" w:color="auto"/>
        <w:bottom w:val="none" w:sz="0" w:space="0" w:color="auto"/>
        <w:right w:val="none" w:sz="0" w:space="0" w:color="auto"/>
      </w:divBdr>
    </w:div>
    <w:div w:id="1006979237">
      <w:bodyDiv w:val="1"/>
      <w:marLeft w:val="0"/>
      <w:marRight w:val="0"/>
      <w:marTop w:val="0"/>
      <w:marBottom w:val="0"/>
      <w:divBdr>
        <w:top w:val="none" w:sz="0" w:space="0" w:color="auto"/>
        <w:left w:val="none" w:sz="0" w:space="0" w:color="auto"/>
        <w:bottom w:val="none" w:sz="0" w:space="0" w:color="auto"/>
        <w:right w:val="none" w:sz="0" w:space="0" w:color="auto"/>
      </w:divBdr>
    </w:div>
    <w:div w:id="1032262765">
      <w:bodyDiv w:val="1"/>
      <w:marLeft w:val="0"/>
      <w:marRight w:val="0"/>
      <w:marTop w:val="0"/>
      <w:marBottom w:val="0"/>
      <w:divBdr>
        <w:top w:val="none" w:sz="0" w:space="0" w:color="auto"/>
        <w:left w:val="none" w:sz="0" w:space="0" w:color="auto"/>
        <w:bottom w:val="none" w:sz="0" w:space="0" w:color="auto"/>
        <w:right w:val="none" w:sz="0" w:space="0" w:color="auto"/>
      </w:divBdr>
    </w:div>
    <w:div w:id="1039865020">
      <w:bodyDiv w:val="1"/>
      <w:marLeft w:val="0"/>
      <w:marRight w:val="0"/>
      <w:marTop w:val="0"/>
      <w:marBottom w:val="0"/>
      <w:divBdr>
        <w:top w:val="none" w:sz="0" w:space="0" w:color="auto"/>
        <w:left w:val="none" w:sz="0" w:space="0" w:color="auto"/>
        <w:bottom w:val="none" w:sz="0" w:space="0" w:color="auto"/>
        <w:right w:val="none" w:sz="0" w:space="0" w:color="auto"/>
      </w:divBdr>
    </w:div>
    <w:div w:id="1041439936">
      <w:bodyDiv w:val="1"/>
      <w:marLeft w:val="0"/>
      <w:marRight w:val="0"/>
      <w:marTop w:val="0"/>
      <w:marBottom w:val="0"/>
      <w:divBdr>
        <w:top w:val="none" w:sz="0" w:space="0" w:color="auto"/>
        <w:left w:val="none" w:sz="0" w:space="0" w:color="auto"/>
        <w:bottom w:val="none" w:sz="0" w:space="0" w:color="auto"/>
        <w:right w:val="none" w:sz="0" w:space="0" w:color="auto"/>
      </w:divBdr>
    </w:div>
    <w:div w:id="1042440245">
      <w:bodyDiv w:val="1"/>
      <w:marLeft w:val="0"/>
      <w:marRight w:val="0"/>
      <w:marTop w:val="0"/>
      <w:marBottom w:val="0"/>
      <w:divBdr>
        <w:top w:val="none" w:sz="0" w:space="0" w:color="auto"/>
        <w:left w:val="none" w:sz="0" w:space="0" w:color="auto"/>
        <w:bottom w:val="none" w:sz="0" w:space="0" w:color="auto"/>
        <w:right w:val="none" w:sz="0" w:space="0" w:color="auto"/>
      </w:divBdr>
    </w:div>
    <w:div w:id="1046292176">
      <w:bodyDiv w:val="1"/>
      <w:marLeft w:val="0"/>
      <w:marRight w:val="0"/>
      <w:marTop w:val="0"/>
      <w:marBottom w:val="0"/>
      <w:divBdr>
        <w:top w:val="none" w:sz="0" w:space="0" w:color="auto"/>
        <w:left w:val="none" w:sz="0" w:space="0" w:color="auto"/>
        <w:bottom w:val="none" w:sz="0" w:space="0" w:color="auto"/>
        <w:right w:val="none" w:sz="0" w:space="0" w:color="auto"/>
      </w:divBdr>
    </w:div>
    <w:div w:id="1067069171">
      <w:bodyDiv w:val="1"/>
      <w:marLeft w:val="0"/>
      <w:marRight w:val="0"/>
      <w:marTop w:val="0"/>
      <w:marBottom w:val="0"/>
      <w:divBdr>
        <w:top w:val="none" w:sz="0" w:space="0" w:color="auto"/>
        <w:left w:val="none" w:sz="0" w:space="0" w:color="auto"/>
        <w:bottom w:val="none" w:sz="0" w:space="0" w:color="auto"/>
        <w:right w:val="none" w:sz="0" w:space="0" w:color="auto"/>
      </w:divBdr>
    </w:div>
    <w:div w:id="1074007461">
      <w:bodyDiv w:val="1"/>
      <w:marLeft w:val="0"/>
      <w:marRight w:val="0"/>
      <w:marTop w:val="0"/>
      <w:marBottom w:val="0"/>
      <w:divBdr>
        <w:top w:val="none" w:sz="0" w:space="0" w:color="auto"/>
        <w:left w:val="none" w:sz="0" w:space="0" w:color="auto"/>
        <w:bottom w:val="none" w:sz="0" w:space="0" w:color="auto"/>
        <w:right w:val="none" w:sz="0" w:space="0" w:color="auto"/>
      </w:divBdr>
    </w:div>
    <w:div w:id="1082876613">
      <w:bodyDiv w:val="1"/>
      <w:marLeft w:val="0"/>
      <w:marRight w:val="0"/>
      <w:marTop w:val="0"/>
      <w:marBottom w:val="0"/>
      <w:divBdr>
        <w:top w:val="none" w:sz="0" w:space="0" w:color="auto"/>
        <w:left w:val="none" w:sz="0" w:space="0" w:color="auto"/>
        <w:bottom w:val="none" w:sz="0" w:space="0" w:color="auto"/>
        <w:right w:val="none" w:sz="0" w:space="0" w:color="auto"/>
      </w:divBdr>
    </w:div>
    <w:div w:id="1094669724">
      <w:bodyDiv w:val="1"/>
      <w:marLeft w:val="0"/>
      <w:marRight w:val="0"/>
      <w:marTop w:val="0"/>
      <w:marBottom w:val="0"/>
      <w:divBdr>
        <w:top w:val="none" w:sz="0" w:space="0" w:color="auto"/>
        <w:left w:val="none" w:sz="0" w:space="0" w:color="auto"/>
        <w:bottom w:val="none" w:sz="0" w:space="0" w:color="auto"/>
        <w:right w:val="none" w:sz="0" w:space="0" w:color="auto"/>
      </w:divBdr>
    </w:div>
    <w:div w:id="1097216928">
      <w:bodyDiv w:val="1"/>
      <w:marLeft w:val="0"/>
      <w:marRight w:val="0"/>
      <w:marTop w:val="0"/>
      <w:marBottom w:val="0"/>
      <w:divBdr>
        <w:top w:val="none" w:sz="0" w:space="0" w:color="auto"/>
        <w:left w:val="none" w:sz="0" w:space="0" w:color="auto"/>
        <w:bottom w:val="none" w:sz="0" w:space="0" w:color="auto"/>
        <w:right w:val="none" w:sz="0" w:space="0" w:color="auto"/>
      </w:divBdr>
    </w:div>
    <w:div w:id="1097484321">
      <w:bodyDiv w:val="1"/>
      <w:marLeft w:val="0"/>
      <w:marRight w:val="0"/>
      <w:marTop w:val="0"/>
      <w:marBottom w:val="0"/>
      <w:divBdr>
        <w:top w:val="none" w:sz="0" w:space="0" w:color="auto"/>
        <w:left w:val="none" w:sz="0" w:space="0" w:color="auto"/>
        <w:bottom w:val="none" w:sz="0" w:space="0" w:color="auto"/>
        <w:right w:val="none" w:sz="0" w:space="0" w:color="auto"/>
      </w:divBdr>
    </w:div>
    <w:div w:id="1100107191">
      <w:bodyDiv w:val="1"/>
      <w:marLeft w:val="0"/>
      <w:marRight w:val="0"/>
      <w:marTop w:val="0"/>
      <w:marBottom w:val="0"/>
      <w:divBdr>
        <w:top w:val="none" w:sz="0" w:space="0" w:color="auto"/>
        <w:left w:val="none" w:sz="0" w:space="0" w:color="auto"/>
        <w:bottom w:val="none" w:sz="0" w:space="0" w:color="auto"/>
        <w:right w:val="none" w:sz="0" w:space="0" w:color="auto"/>
      </w:divBdr>
    </w:div>
    <w:div w:id="1100637144">
      <w:bodyDiv w:val="1"/>
      <w:marLeft w:val="0"/>
      <w:marRight w:val="0"/>
      <w:marTop w:val="0"/>
      <w:marBottom w:val="0"/>
      <w:divBdr>
        <w:top w:val="none" w:sz="0" w:space="0" w:color="auto"/>
        <w:left w:val="none" w:sz="0" w:space="0" w:color="auto"/>
        <w:bottom w:val="none" w:sz="0" w:space="0" w:color="auto"/>
        <w:right w:val="none" w:sz="0" w:space="0" w:color="auto"/>
      </w:divBdr>
    </w:div>
    <w:div w:id="1101024931">
      <w:bodyDiv w:val="1"/>
      <w:marLeft w:val="0"/>
      <w:marRight w:val="0"/>
      <w:marTop w:val="0"/>
      <w:marBottom w:val="0"/>
      <w:divBdr>
        <w:top w:val="none" w:sz="0" w:space="0" w:color="auto"/>
        <w:left w:val="none" w:sz="0" w:space="0" w:color="auto"/>
        <w:bottom w:val="none" w:sz="0" w:space="0" w:color="auto"/>
        <w:right w:val="none" w:sz="0" w:space="0" w:color="auto"/>
      </w:divBdr>
    </w:div>
    <w:div w:id="1103376175">
      <w:bodyDiv w:val="1"/>
      <w:marLeft w:val="0"/>
      <w:marRight w:val="0"/>
      <w:marTop w:val="0"/>
      <w:marBottom w:val="0"/>
      <w:divBdr>
        <w:top w:val="none" w:sz="0" w:space="0" w:color="auto"/>
        <w:left w:val="none" w:sz="0" w:space="0" w:color="auto"/>
        <w:bottom w:val="none" w:sz="0" w:space="0" w:color="auto"/>
        <w:right w:val="none" w:sz="0" w:space="0" w:color="auto"/>
      </w:divBdr>
    </w:div>
    <w:div w:id="1106004765">
      <w:bodyDiv w:val="1"/>
      <w:marLeft w:val="0"/>
      <w:marRight w:val="0"/>
      <w:marTop w:val="0"/>
      <w:marBottom w:val="0"/>
      <w:divBdr>
        <w:top w:val="none" w:sz="0" w:space="0" w:color="auto"/>
        <w:left w:val="none" w:sz="0" w:space="0" w:color="auto"/>
        <w:bottom w:val="none" w:sz="0" w:space="0" w:color="auto"/>
        <w:right w:val="none" w:sz="0" w:space="0" w:color="auto"/>
      </w:divBdr>
    </w:div>
    <w:div w:id="1110735988">
      <w:bodyDiv w:val="1"/>
      <w:marLeft w:val="0"/>
      <w:marRight w:val="0"/>
      <w:marTop w:val="0"/>
      <w:marBottom w:val="0"/>
      <w:divBdr>
        <w:top w:val="none" w:sz="0" w:space="0" w:color="auto"/>
        <w:left w:val="none" w:sz="0" w:space="0" w:color="auto"/>
        <w:bottom w:val="none" w:sz="0" w:space="0" w:color="auto"/>
        <w:right w:val="none" w:sz="0" w:space="0" w:color="auto"/>
      </w:divBdr>
    </w:div>
    <w:div w:id="1113206413">
      <w:bodyDiv w:val="1"/>
      <w:marLeft w:val="0"/>
      <w:marRight w:val="0"/>
      <w:marTop w:val="0"/>
      <w:marBottom w:val="0"/>
      <w:divBdr>
        <w:top w:val="none" w:sz="0" w:space="0" w:color="auto"/>
        <w:left w:val="none" w:sz="0" w:space="0" w:color="auto"/>
        <w:bottom w:val="none" w:sz="0" w:space="0" w:color="auto"/>
        <w:right w:val="none" w:sz="0" w:space="0" w:color="auto"/>
      </w:divBdr>
    </w:div>
    <w:div w:id="1114053128">
      <w:bodyDiv w:val="1"/>
      <w:marLeft w:val="0"/>
      <w:marRight w:val="0"/>
      <w:marTop w:val="0"/>
      <w:marBottom w:val="0"/>
      <w:divBdr>
        <w:top w:val="none" w:sz="0" w:space="0" w:color="auto"/>
        <w:left w:val="none" w:sz="0" w:space="0" w:color="auto"/>
        <w:bottom w:val="none" w:sz="0" w:space="0" w:color="auto"/>
        <w:right w:val="none" w:sz="0" w:space="0" w:color="auto"/>
      </w:divBdr>
    </w:div>
    <w:div w:id="1117989941">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131948059">
      <w:bodyDiv w:val="1"/>
      <w:marLeft w:val="0"/>
      <w:marRight w:val="0"/>
      <w:marTop w:val="0"/>
      <w:marBottom w:val="0"/>
      <w:divBdr>
        <w:top w:val="none" w:sz="0" w:space="0" w:color="auto"/>
        <w:left w:val="none" w:sz="0" w:space="0" w:color="auto"/>
        <w:bottom w:val="none" w:sz="0" w:space="0" w:color="auto"/>
        <w:right w:val="none" w:sz="0" w:space="0" w:color="auto"/>
      </w:divBdr>
    </w:div>
    <w:div w:id="1134981288">
      <w:bodyDiv w:val="1"/>
      <w:marLeft w:val="0"/>
      <w:marRight w:val="0"/>
      <w:marTop w:val="0"/>
      <w:marBottom w:val="0"/>
      <w:divBdr>
        <w:top w:val="none" w:sz="0" w:space="0" w:color="auto"/>
        <w:left w:val="none" w:sz="0" w:space="0" w:color="auto"/>
        <w:bottom w:val="none" w:sz="0" w:space="0" w:color="auto"/>
        <w:right w:val="none" w:sz="0" w:space="0" w:color="auto"/>
      </w:divBdr>
    </w:div>
    <w:div w:id="1136607102">
      <w:bodyDiv w:val="1"/>
      <w:marLeft w:val="0"/>
      <w:marRight w:val="0"/>
      <w:marTop w:val="0"/>
      <w:marBottom w:val="0"/>
      <w:divBdr>
        <w:top w:val="none" w:sz="0" w:space="0" w:color="auto"/>
        <w:left w:val="none" w:sz="0" w:space="0" w:color="auto"/>
        <w:bottom w:val="none" w:sz="0" w:space="0" w:color="auto"/>
        <w:right w:val="none" w:sz="0" w:space="0" w:color="auto"/>
      </w:divBdr>
    </w:div>
    <w:div w:id="1137257640">
      <w:bodyDiv w:val="1"/>
      <w:marLeft w:val="0"/>
      <w:marRight w:val="0"/>
      <w:marTop w:val="0"/>
      <w:marBottom w:val="0"/>
      <w:divBdr>
        <w:top w:val="none" w:sz="0" w:space="0" w:color="auto"/>
        <w:left w:val="none" w:sz="0" w:space="0" w:color="auto"/>
        <w:bottom w:val="none" w:sz="0" w:space="0" w:color="auto"/>
        <w:right w:val="none" w:sz="0" w:space="0" w:color="auto"/>
      </w:divBdr>
    </w:div>
    <w:div w:id="1142575532">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590232">
      <w:bodyDiv w:val="1"/>
      <w:marLeft w:val="0"/>
      <w:marRight w:val="0"/>
      <w:marTop w:val="0"/>
      <w:marBottom w:val="0"/>
      <w:divBdr>
        <w:top w:val="none" w:sz="0" w:space="0" w:color="auto"/>
        <w:left w:val="none" w:sz="0" w:space="0" w:color="auto"/>
        <w:bottom w:val="none" w:sz="0" w:space="0" w:color="auto"/>
        <w:right w:val="none" w:sz="0" w:space="0" w:color="auto"/>
      </w:divBdr>
    </w:div>
    <w:div w:id="1178693467">
      <w:bodyDiv w:val="1"/>
      <w:marLeft w:val="0"/>
      <w:marRight w:val="0"/>
      <w:marTop w:val="0"/>
      <w:marBottom w:val="0"/>
      <w:divBdr>
        <w:top w:val="none" w:sz="0" w:space="0" w:color="auto"/>
        <w:left w:val="none" w:sz="0" w:space="0" w:color="auto"/>
        <w:bottom w:val="none" w:sz="0" w:space="0" w:color="auto"/>
        <w:right w:val="none" w:sz="0" w:space="0" w:color="auto"/>
      </w:divBdr>
    </w:div>
    <w:div w:id="1180504108">
      <w:bodyDiv w:val="1"/>
      <w:marLeft w:val="0"/>
      <w:marRight w:val="0"/>
      <w:marTop w:val="0"/>
      <w:marBottom w:val="0"/>
      <w:divBdr>
        <w:top w:val="none" w:sz="0" w:space="0" w:color="auto"/>
        <w:left w:val="none" w:sz="0" w:space="0" w:color="auto"/>
        <w:bottom w:val="none" w:sz="0" w:space="0" w:color="auto"/>
        <w:right w:val="none" w:sz="0" w:space="0" w:color="auto"/>
      </w:divBdr>
    </w:div>
    <w:div w:id="1181237758">
      <w:bodyDiv w:val="1"/>
      <w:marLeft w:val="0"/>
      <w:marRight w:val="0"/>
      <w:marTop w:val="0"/>
      <w:marBottom w:val="0"/>
      <w:divBdr>
        <w:top w:val="none" w:sz="0" w:space="0" w:color="auto"/>
        <w:left w:val="none" w:sz="0" w:space="0" w:color="auto"/>
        <w:bottom w:val="none" w:sz="0" w:space="0" w:color="auto"/>
        <w:right w:val="none" w:sz="0" w:space="0" w:color="auto"/>
      </w:divBdr>
    </w:div>
    <w:div w:id="1198279446">
      <w:bodyDiv w:val="1"/>
      <w:marLeft w:val="0"/>
      <w:marRight w:val="0"/>
      <w:marTop w:val="0"/>
      <w:marBottom w:val="0"/>
      <w:divBdr>
        <w:top w:val="none" w:sz="0" w:space="0" w:color="auto"/>
        <w:left w:val="none" w:sz="0" w:space="0" w:color="auto"/>
        <w:bottom w:val="none" w:sz="0" w:space="0" w:color="auto"/>
        <w:right w:val="none" w:sz="0" w:space="0" w:color="auto"/>
      </w:divBdr>
    </w:div>
    <w:div w:id="1203906998">
      <w:bodyDiv w:val="1"/>
      <w:marLeft w:val="0"/>
      <w:marRight w:val="0"/>
      <w:marTop w:val="0"/>
      <w:marBottom w:val="0"/>
      <w:divBdr>
        <w:top w:val="none" w:sz="0" w:space="0" w:color="auto"/>
        <w:left w:val="none" w:sz="0" w:space="0" w:color="auto"/>
        <w:bottom w:val="none" w:sz="0" w:space="0" w:color="auto"/>
        <w:right w:val="none" w:sz="0" w:space="0" w:color="auto"/>
      </w:divBdr>
    </w:div>
    <w:div w:id="1215656152">
      <w:bodyDiv w:val="1"/>
      <w:marLeft w:val="0"/>
      <w:marRight w:val="0"/>
      <w:marTop w:val="0"/>
      <w:marBottom w:val="0"/>
      <w:divBdr>
        <w:top w:val="none" w:sz="0" w:space="0" w:color="auto"/>
        <w:left w:val="none" w:sz="0" w:space="0" w:color="auto"/>
        <w:bottom w:val="none" w:sz="0" w:space="0" w:color="auto"/>
        <w:right w:val="none" w:sz="0" w:space="0" w:color="auto"/>
      </w:divBdr>
    </w:div>
    <w:div w:id="1217933371">
      <w:bodyDiv w:val="1"/>
      <w:marLeft w:val="0"/>
      <w:marRight w:val="0"/>
      <w:marTop w:val="0"/>
      <w:marBottom w:val="0"/>
      <w:divBdr>
        <w:top w:val="none" w:sz="0" w:space="0" w:color="auto"/>
        <w:left w:val="none" w:sz="0" w:space="0" w:color="auto"/>
        <w:bottom w:val="none" w:sz="0" w:space="0" w:color="auto"/>
        <w:right w:val="none" w:sz="0" w:space="0" w:color="auto"/>
      </w:divBdr>
    </w:div>
    <w:div w:id="1222328238">
      <w:bodyDiv w:val="1"/>
      <w:marLeft w:val="0"/>
      <w:marRight w:val="0"/>
      <w:marTop w:val="0"/>
      <w:marBottom w:val="0"/>
      <w:divBdr>
        <w:top w:val="none" w:sz="0" w:space="0" w:color="auto"/>
        <w:left w:val="none" w:sz="0" w:space="0" w:color="auto"/>
        <w:bottom w:val="none" w:sz="0" w:space="0" w:color="auto"/>
        <w:right w:val="none" w:sz="0" w:space="0" w:color="auto"/>
      </w:divBdr>
    </w:div>
    <w:div w:id="1222909795">
      <w:bodyDiv w:val="1"/>
      <w:marLeft w:val="0"/>
      <w:marRight w:val="0"/>
      <w:marTop w:val="0"/>
      <w:marBottom w:val="0"/>
      <w:divBdr>
        <w:top w:val="none" w:sz="0" w:space="0" w:color="auto"/>
        <w:left w:val="none" w:sz="0" w:space="0" w:color="auto"/>
        <w:bottom w:val="none" w:sz="0" w:space="0" w:color="auto"/>
        <w:right w:val="none" w:sz="0" w:space="0" w:color="auto"/>
      </w:divBdr>
    </w:div>
    <w:div w:id="1223518018">
      <w:bodyDiv w:val="1"/>
      <w:marLeft w:val="0"/>
      <w:marRight w:val="0"/>
      <w:marTop w:val="0"/>
      <w:marBottom w:val="0"/>
      <w:divBdr>
        <w:top w:val="none" w:sz="0" w:space="0" w:color="auto"/>
        <w:left w:val="none" w:sz="0" w:space="0" w:color="auto"/>
        <w:bottom w:val="none" w:sz="0" w:space="0" w:color="auto"/>
        <w:right w:val="none" w:sz="0" w:space="0" w:color="auto"/>
      </w:divBdr>
    </w:div>
    <w:div w:id="1237939907">
      <w:bodyDiv w:val="1"/>
      <w:marLeft w:val="0"/>
      <w:marRight w:val="0"/>
      <w:marTop w:val="0"/>
      <w:marBottom w:val="0"/>
      <w:divBdr>
        <w:top w:val="none" w:sz="0" w:space="0" w:color="auto"/>
        <w:left w:val="none" w:sz="0" w:space="0" w:color="auto"/>
        <w:bottom w:val="none" w:sz="0" w:space="0" w:color="auto"/>
        <w:right w:val="none" w:sz="0" w:space="0" w:color="auto"/>
      </w:divBdr>
    </w:div>
    <w:div w:id="1247228624">
      <w:bodyDiv w:val="1"/>
      <w:marLeft w:val="0"/>
      <w:marRight w:val="0"/>
      <w:marTop w:val="0"/>
      <w:marBottom w:val="0"/>
      <w:divBdr>
        <w:top w:val="none" w:sz="0" w:space="0" w:color="auto"/>
        <w:left w:val="none" w:sz="0" w:space="0" w:color="auto"/>
        <w:bottom w:val="none" w:sz="0" w:space="0" w:color="auto"/>
        <w:right w:val="none" w:sz="0" w:space="0" w:color="auto"/>
      </w:divBdr>
    </w:div>
    <w:div w:id="1255626168">
      <w:bodyDiv w:val="1"/>
      <w:marLeft w:val="0"/>
      <w:marRight w:val="0"/>
      <w:marTop w:val="0"/>
      <w:marBottom w:val="0"/>
      <w:divBdr>
        <w:top w:val="none" w:sz="0" w:space="0" w:color="auto"/>
        <w:left w:val="none" w:sz="0" w:space="0" w:color="auto"/>
        <w:bottom w:val="none" w:sz="0" w:space="0" w:color="auto"/>
        <w:right w:val="none" w:sz="0" w:space="0" w:color="auto"/>
      </w:divBdr>
    </w:div>
    <w:div w:id="1255632098">
      <w:bodyDiv w:val="1"/>
      <w:marLeft w:val="0"/>
      <w:marRight w:val="0"/>
      <w:marTop w:val="0"/>
      <w:marBottom w:val="0"/>
      <w:divBdr>
        <w:top w:val="none" w:sz="0" w:space="0" w:color="auto"/>
        <w:left w:val="none" w:sz="0" w:space="0" w:color="auto"/>
        <w:bottom w:val="none" w:sz="0" w:space="0" w:color="auto"/>
        <w:right w:val="none" w:sz="0" w:space="0" w:color="auto"/>
      </w:divBdr>
    </w:div>
    <w:div w:id="1296137921">
      <w:bodyDiv w:val="1"/>
      <w:marLeft w:val="0"/>
      <w:marRight w:val="0"/>
      <w:marTop w:val="0"/>
      <w:marBottom w:val="0"/>
      <w:divBdr>
        <w:top w:val="none" w:sz="0" w:space="0" w:color="auto"/>
        <w:left w:val="none" w:sz="0" w:space="0" w:color="auto"/>
        <w:bottom w:val="none" w:sz="0" w:space="0" w:color="auto"/>
        <w:right w:val="none" w:sz="0" w:space="0" w:color="auto"/>
      </w:divBdr>
    </w:div>
    <w:div w:id="1298759025">
      <w:bodyDiv w:val="1"/>
      <w:marLeft w:val="0"/>
      <w:marRight w:val="0"/>
      <w:marTop w:val="0"/>
      <w:marBottom w:val="0"/>
      <w:divBdr>
        <w:top w:val="none" w:sz="0" w:space="0" w:color="auto"/>
        <w:left w:val="none" w:sz="0" w:space="0" w:color="auto"/>
        <w:bottom w:val="none" w:sz="0" w:space="0" w:color="auto"/>
        <w:right w:val="none" w:sz="0" w:space="0" w:color="auto"/>
      </w:divBdr>
    </w:div>
    <w:div w:id="1310012376">
      <w:bodyDiv w:val="1"/>
      <w:marLeft w:val="0"/>
      <w:marRight w:val="0"/>
      <w:marTop w:val="0"/>
      <w:marBottom w:val="0"/>
      <w:divBdr>
        <w:top w:val="none" w:sz="0" w:space="0" w:color="auto"/>
        <w:left w:val="none" w:sz="0" w:space="0" w:color="auto"/>
        <w:bottom w:val="none" w:sz="0" w:space="0" w:color="auto"/>
        <w:right w:val="none" w:sz="0" w:space="0" w:color="auto"/>
      </w:divBdr>
    </w:div>
    <w:div w:id="1317416138">
      <w:bodyDiv w:val="1"/>
      <w:marLeft w:val="0"/>
      <w:marRight w:val="0"/>
      <w:marTop w:val="0"/>
      <w:marBottom w:val="0"/>
      <w:divBdr>
        <w:top w:val="none" w:sz="0" w:space="0" w:color="auto"/>
        <w:left w:val="none" w:sz="0" w:space="0" w:color="auto"/>
        <w:bottom w:val="none" w:sz="0" w:space="0" w:color="auto"/>
        <w:right w:val="none" w:sz="0" w:space="0" w:color="auto"/>
      </w:divBdr>
    </w:div>
    <w:div w:id="1328827017">
      <w:bodyDiv w:val="1"/>
      <w:marLeft w:val="0"/>
      <w:marRight w:val="0"/>
      <w:marTop w:val="0"/>
      <w:marBottom w:val="0"/>
      <w:divBdr>
        <w:top w:val="none" w:sz="0" w:space="0" w:color="auto"/>
        <w:left w:val="none" w:sz="0" w:space="0" w:color="auto"/>
        <w:bottom w:val="none" w:sz="0" w:space="0" w:color="auto"/>
        <w:right w:val="none" w:sz="0" w:space="0" w:color="auto"/>
      </w:divBdr>
    </w:div>
    <w:div w:id="1331367468">
      <w:bodyDiv w:val="1"/>
      <w:marLeft w:val="0"/>
      <w:marRight w:val="0"/>
      <w:marTop w:val="0"/>
      <w:marBottom w:val="0"/>
      <w:divBdr>
        <w:top w:val="none" w:sz="0" w:space="0" w:color="auto"/>
        <w:left w:val="none" w:sz="0" w:space="0" w:color="auto"/>
        <w:bottom w:val="none" w:sz="0" w:space="0" w:color="auto"/>
        <w:right w:val="none" w:sz="0" w:space="0" w:color="auto"/>
      </w:divBdr>
    </w:div>
    <w:div w:id="1331759568">
      <w:bodyDiv w:val="1"/>
      <w:marLeft w:val="0"/>
      <w:marRight w:val="0"/>
      <w:marTop w:val="0"/>
      <w:marBottom w:val="0"/>
      <w:divBdr>
        <w:top w:val="none" w:sz="0" w:space="0" w:color="auto"/>
        <w:left w:val="none" w:sz="0" w:space="0" w:color="auto"/>
        <w:bottom w:val="none" w:sz="0" w:space="0" w:color="auto"/>
        <w:right w:val="none" w:sz="0" w:space="0" w:color="auto"/>
      </w:divBdr>
    </w:div>
    <w:div w:id="1333335331">
      <w:bodyDiv w:val="1"/>
      <w:marLeft w:val="0"/>
      <w:marRight w:val="0"/>
      <w:marTop w:val="0"/>
      <w:marBottom w:val="0"/>
      <w:divBdr>
        <w:top w:val="none" w:sz="0" w:space="0" w:color="auto"/>
        <w:left w:val="none" w:sz="0" w:space="0" w:color="auto"/>
        <w:bottom w:val="none" w:sz="0" w:space="0" w:color="auto"/>
        <w:right w:val="none" w:sz="0" w:space="0" w:color="auto"/>
      </w:divBdr>
    </w:div>
    <w:div w:id="1339964370">
      <w:bodyDiv w:val="1"/>
      <w:marLeft w:val="0"/>
      <w:marRight w:val="0"/>
      <w:marTop w:val="0"/>
      <w:marBottom w:val="0"/>
      <w:divBdr>
        <w:top w:val="none" w:sz="0" w:space="0" w:color="auto"/>
        <w:left w:val="none" w:sz="0" w:space="0" w:color="auto"/>
        <w:bottom w:val="none" w:sz="0" w:space="0" w:color="auto"/>
        <w:right w:val="none" w:sz="0" w:space="0" w:color="auto"/>
      </w:divBdr>
    </w:div>
    <w:div w:id="1348560035">
      <w:bodyDiv w:val="1"/>
      <w:marLeft w:val="0"/>
      <w:marRight w:val="0"/>
      <w:marTop w:val="0"/>
      <w:marBottom w:val="0"/>
      <w:divBdr>
        <w:top w:val="none" w:sz="0" w:space="0" w:color="auto"/>
        <w:left w:val="none" w:sz="0" w:space="0" w:color="auto"/>
        <w:bottom w:val="none" w:sz="0" w:space="0" w:color="auto"/>
        <w:right w:val="none" w:sz="0" w:space="0" w:color="auto"/>
      </w:divBdr>
    </w:div>
    <w:div w:id="1359544444">
      <w:bodyDiv w:val="1"/>
      <w:marLeft w:val="0"/>
      <w:marRight w:val="0"/>
      <w:marTop w:val="0"/>
      <w:marBottom w:val="0"/>
      <w:divBdr>
        <w:top w:val="none" w:sz="0" w:space="0" w:color="auto"/>
        <w:left w:val="none" w:sz="0" w:space="0" w:color="auto"/>
        <w:bottom w:val="none" w:sz="0" w:space="0" w:color="auto"/>
        <w:right w:val="none" w:sz="0" w:space="0" w:color="auto"/>
      </w:divBdr>
    </w:div>
    <w:div w:id="1366712710">
      <w:bodyDiv w:val="1"/>
      <w:marLeft w:val="0"/>
      <w:marRight w:val="0"/>
      <w:marTop w:val="0"/>
      <w:marBottom w:val="0"/>
      <w:divBdr>
        <w:top w:val="none" w:sz="0" w:space="0" w:color="auto"/>
        <w:left w:val="none" w:sz="0" w:space="0" w:color="auto"/>
        <w:bottom w:val="none" w:sz="0" w:space="0" w:color="auto"/>
        <w:right w:val="none" w:sz="0" w:space="0" w:color="auto"/>
      </w:divBdr>
    </w:div>
    <w:div w:id="1378511751">
      <w:bodyDiv w:val="1"/>
      <w:marLeft w:val="0"/>
      <w:marRight w:val="0"/>
      <w:marTop w:val="0"/>
      <w:marBottom w:val="0"/>
      <w:divBdr>
        <w:top w:val="none" w:sz="0" w:space="0" w:color="auto"/>
        <w:left w:val="none" w:sz="0" w:space="0" w:color="auto"/>
        <w:bottom w:val="none" w:sz="0" w:space="0" w:color="auto"/>
        <w:right w:val="none" w:sz="0" w:space="0" w:color="auto"/>
      </w:divBdr>
    </w:div>
    <w:div w:id="1382947893">
      <w:bodyDiv w:val="1"/>
      <w:marLeft w:val="0"/>
      <w:marRight w:val="0"/>
      <w:marTop w:val="0"/>
      <w:marBottom w:val="0"/>
      <w:divBdr>
        <w:top w:val="none" w:sz="0" w:space="0" w:color="auto"/>
        <w:left w:val="none" w:sz="0" w:space="0" w:color="auto"/>
        <w:bottom w:val="none" w:sz="0" w:space="0" w:color="auto"/>
        <w:right w:val="none" w:sz="0" w:space="0" w:color="auto"/>
      </w:divBdr>
    </w:div>
    <w:div w:id="1385526846">
      <w:bodyDiv w:val="1"/>
      <w:marLeft w:val="0"/>
      <w:marRight w:val="0"/>
      <w:marTop w:val="0"/>
      <w:marBottom w:val="0"/>
      <w:divBdr>
        <w:top w:val="none" w:sz="0" w:space="0" w:color="auto"/>
        <w:left w:val="none" w:sz="0" w:space="0" w:color="auto"/>
        <w:bottom w:val="none" w:sz="0" w:space="0" w:color="auto"/>
        <w:right w:val="none" w:sz="0" w:space="0" w:color="auto"/>
      </w:divBdr>
    </w:div>
    <w:div w:id="1389761027">
      <w:bodyDiv w:val="1"/>
      <w:marLeft w:val="0"/>
      <w:marRight w:val="0"/>
      <w:marTop w:val="0"/>
      <w:marBottom w:val="0"/>
      <w:divBdr>
        <w:top w:val="none" w:sz="0" w:space="0" w:color="auto"/>
        <w:left w:val="none" w:sz="0" w:space="0" w:color="auto"/>
        <w:bottom w:val="none" w:sz="0" w:space="0" w:color="auto"/>
        <w:right w:val="none" w:sz="0" w:space="0" w:color="auto"/>
      </w:divBdr>
      <w:divsChild>
        <w:div w:id="2126734308">
          <w:marLeft w:val="0"/>
          <w:marRight w:val="0"/>
          <w:marTop w:val="0"/>
          <w:marBottom w:val="0"/>
          <w:divBdr>
            <w:top w:val="none" w:sz="0" w:space="0" w:color="auto"/>
            <w:left w:val="none" w:sz="0" w:space="0" w:color="auto"/>
            <w:bottom w:val="none" w:sz="0" w:space="0" w:color="auto"/>
            <w:right w:val="none" w:sz="0" w:space="0" w:color="auto"/>
          </w:divBdr>
          <w:divsChild>
            <w:div w:id="1248002575">
              <w:marLeft w:val="0"/>
              <w:marRight w:val="0"/>
              <w:marTop w:val="0"/>
              <w:marBottom w:val="0"/>
              <w:divBdr>
                <w:top w:val="none" w:sz="0" w:space="0" w:color="auto"/>
                <w:left w:val="none" w:sz="0" w:space="0" w:color="auto"/>
                <w:bottom w:val="none" w:sz="0" w:space="0" w:color="auto"/>
                <w:right w:val="none" w:sz="0" w:space="0" w:color="auto"/>
              </w:divBdr>
              <w:divsChild>
                <w:div w:id="1516534264">
                  <w:marLeft w:val="0"/>
                  <w:marRight w:val="0"/>
                  <w:marTop w:val="0"/>
                  <w:marBottom w:val="0"/>
                  <w:divBdr>
                    <w:top w:val="none" w:sz="0" w:space="0" w:color="auto"/>
                    <w:left w:val="none" w:sz="0" w:space="0" w:color="auto"/>
                    <w:bottom w:val="none" w:sz="0" w:space="0" w:color="auto"/>
                    <w:right w:val="none" w:sz="0" w:space="0" w:color="auto"/>
                  </w:divBdr>
                  <w:divsChild>
                    <w:div w:id="1202667927">
                      <w:marLeft w:val="0"/>
                      <w:marRight w:val="0"/>
                      <w:marTop w:val="0"/>
                      <w:marBottom w:val="0"/>
                      <w:divBdr>
                        <w:top w:val="none" w:sz="0" w:space="0" w:color="auto"/>
                        <w:left w:val="none" w:sz="0" w:space="0" w:color="auto"/>
                        <w:bottom w:val="none" w:sz="0" w:space="0" w:color="auto"/>
                        <w:right w:val="none" w:sz="0" w:space="0" w:color="auto"/>
                      </w:divBdr>
                      <w:divsChild>
                        <w:div w:id="1331063310">
                          <w:marLeft w:val="0"/>
                          <w:marRight w:val="0"/>
                          <w:marTop w:val="0"/>
                          <w:marBottom w:val="0"/>
                          <w:divBdr>
                            <w:top w:val="none" w:sz="0" w:space="0" w:color="auto"/>
                            <w:left w:val="none" w:sz="0" w:space="0" w:color="auto"/>
                            <w:bottom w:val="none" w:sz="0" w:space="0" w:color="auto"/>
                            <w:right w:val="none" w:sz="0" w:space="0" w:color="auto"/>
                          </w:divBdr>
                          <w:divsChild>
                            <w:div w:id="1786270801">
                              <w:marLeft w:val="0"/>
                              <w:marRight w:val="0"/>
                              <w:marTop w:val="0"/>
                              <w:marBottom w:val="0"/>
                              <w:divBdr>
                                <w:top w:val="none" w:sz="0" w:space="0" w:color="auto"/>
                                <w:left w:val="none" w:sz="0" w:space="0" w:color="auto"/>
                                <w:bottom w:val="none" w:sz="0" w:space="0" w:color="auto"/>
                                <w:right w:val="none" w:sz="0" w:space="0" w:color="auto"/>
                              </w:divBdr>
                              <w:divsChild>
                                <w:div w:id="248199588">
                                  <w:marLeft w:val="0"/>
                                  <w:marRight w:val="0"/>
                                  <w:marTop w:val="0"/>
                                  <w:marBottom w:val="0"/>
                                  <w:divBdr>
                                    <w:top w:val="none" w:sz="0" w:space="0" w:color="auto"/>
                                    <w:left w:val="none" w:sz="0" w:space="0" w:color="auto"/>
                                    <w:bottom w:val="none" w:sz="0" w:space="0" w:color="auto"/>
                                    <w:right w:val="none" w:sz="0" w:space="0" w:color="auto"/>
                                  </w:divBdr>
                                  <w:divsChild>
                                    <w:div w:id="273682193">
                                      <w:marLeft w:val="0"/>
                                      <w:marRight w:val="0"/>
                                      <w:marTop w:val="0"/>
                                      <w:marBottom w:val="0"/>
                                      <w:divBdr>
                                        <w:top w:val="single" w:sz="6" w:space="0" w:color="F5F5F5"/>
                                        <w:left w:val="single" w:sz="6" w:space="0" w:color="F5F5F5"/>
                                        <w:bottom w:val="single" w:sz="6" w:space="0" w:color="F5F5F5"/>
                                        <w:right w:val="single" w:sz="6" w:space="0" w:color="F5F5F5"/>
                                      </w:divBdr>
                                      <w:divsChild>
                                        <w:div w:id="789399053">
                                          <w:marLeft w:val="0"/>
                                          <w:marRight w:val="0"/>
                                          <w:marTop w:val="0"/>
                                          <w:marBottom w:val="0"/>
                                          <w:divBdr>
                                            <w:top w:val="none" w:sz="0" w:space="0" w:color="auto"/>
                                            <w:left w:val="none" w:sz="0" w:space="0" w:color="auto"/>
                                            <w:bottom w:val="none" w:sz="0" w:space="0" w:color="auto"/>
                                            <w:right w:val="none" w:sz="0" w:space="0" w:color="auto"/>
                                          </w:divBdr>
                                          <w:divsChild>
                                            <w:div w:id="1407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64271">
      <w:bodyDiv w:val="1"/>
      <w:marLeft w:val="0"/>
      <w:marRight w:val="0"/>
      <w:marTop w:val="0"/>
      <w:marBottom w:val="0"/>
      <w:divBdr>
        <w:top w:val="none" w:sz="0" w:space="0" w:color="auto"/>
        <w:left w:val="none" w:sz="0" w:space="0" w:color="auto"/>
        <w:bottom w:val="none" w:sz="0" w:space="0" w:color="auto"/>
        <w:right w:val="none" w:sz="0" w:space="0" w:color="auto"/>
      </w:divBdr>
    </w:div>
    <w:div w:id="1405643075">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16781386">
      <w:bodyDiv w:val="1"/>
      <w:marLeft w:val="0"/>
      <w:marRight w:val="0"/>
      <w:marTop w:val="0"/>
      <w:marBottom w:val="0"/>
      <w:divBdr>
        <w:top w:val="none" w:sz="0" w:space="0" w:color="auto"/>
        <w:left w:val="none" w:sz="0" w:space="0" w:color="auto"/>
        <w:bottom w:val="none" w:sz="0" w:space="0" w:color="auto"/>
        <w:right w:val="none" w:sz="0" w:space="0" w:color="auto"/>
      </w:divBdr>
    </w:div>
    <w:div w:id="1447309414">
      <w:bodyDiv w:val="1"/>
      <w:marLeft w:val="0"/>
      <w:marRight w:val="0"/>
      <w:marTop w:val="0"/>
      <w:marBottom w:val="0"/>
      <w:divBdr>
        <w:top w:val="none" w:sz="0" w:space="0" w:color="auto"/>
        <w:left w:val="none" w:sz="0" w:space="0" w:color="auto"/>
        <w:bottom w:val="none" w:sz="0" w:space="0" w:color="auto"/>
        <w:right w:val="none" w:sz="0" w:space="0" w:color="auto"/>
      </w:divBdr>
    </w:div>
    <w:div w:id="1448083467">
      <w:bodyDiv w:val="1"/>
      <w:marLeft w:val="0"/>
      <w:marRight w:val="0"/>
      <w:marTop w:val="0"/>
      <w:marBottom w:val="0"/>
      <w:divBdr>
        <w:top w:val="none" w:sz="0" w:space="0" w:color="auto"/>
        <w:left w:val="none" w:sz="0" w:space="0" w:color="auto"/>
        <w:bottom w:val="none" w:sz="0" w:space="0" w:color="auto"/>
        <w:right w:val="none" w:sz="0" w:space="0" w:color="auto"/>
      </w:divBdr>
    </w:div>
    <w:div w:id="1451821951">
      <w:bodyDiv w:val="1"/>
      <w:marLeft w:val="0"/>
      <w:marRight w:val="0"/>
      <w:marTop w:val="0"/>
      <w:marBottom w:val="0"/>
      <w:divBdr>
        <w:top w:val="none" w:sz="0" w:space="0" w:color="auto"/>
        <w:left w:val="none" w:sz="0" w:space="0" w:color="auto"/>
        <w:bottom w:val="none" w:sz="0" w:space="0" w:color="auto"/>
        <w:right w:val="none" w:sz="0" w:space="0" w:color="auto"/>
      </w:divBdr>
    </w:div>
    <w:div w:id="1454791368">
      <w:bodyDiv w:val="1"/>
      <w:marLeft w:val="0"/>
      <w:marRight w:val="0"/>
      <w:marTop w:val="0"/>
      <w:marBottom w:val="0"/>
      <w:divBdr>
        <w:top w:val="none" w:sz="0" w:space="0" w:color="auto"/>
        <w:left w:val="none" w:sz="0" w:space="0" w:color="auto"/>
        <w:bottom w:val="none" w:sz="0" w:space="0" w:color="auto"/>
        <w:right w:val="none" w:sz="0" w:space="0" w:color="auto"/>
      </w:divBdr>
    </w:div>
    <w:div w:id="1459690485">
      <w:bodyDiv w:val="1"/>
      <w:marLeft w:val="0"/>
      <w:marRight w:val="0"/>
      <w:marTop w:val="0"/>
      <w:marBottom w:val="0"/>
      <w:divBdr>
        <w:top w:val="none" w:sz="0" w:space="0" w:color="auto"/>
        <w:left w:val="none" w:sz="0" w:space="0" w:color="auto"/>
        <w:bottom w:val="none" w:sz="0" w:space="0" w:color="auto"/>
        <w:right w:val="none" w:sz="0" w:space="0" w:color="auto"/>
      </w:divBdr>
    </w:div>
    <w:div w:id="1467237431">
      <w:bodyDiv w:val="1"/>
      <w:marLeft w:val="0"/>
      <w:marRight w:val="0"/>
      <w:marTop w:val="0"/>
      <w:marBottom w:val="0"/>
      <w:divBdr>
        <w:top w:val="none" w:sz="0" w:space="0" w:color="auto"/>
        <w:left w:val="none" w:sz="0" w:space="0" w:color="auto"/>
        <w:bottom w:val="none" w:sz="0" w:space="0" w:color="auto"/>
        <w:right w:val="none" w:sz="0" w:space="0" w:color="auto"/>
      </w:divBdr>
    </w:div>
    <w:div w:id="1467623844">
      <w:bodyDiv w:val="1"/>
      <w:marLeft w:val="0"/>
      <w:marRight w:val="0"/>
      <w:marTop w:val="0"/>
      <w:marBottom w:val="0"/>
      <w:divBdr>
        <w:top w:val="none" w:sz="0" w:space="0" w:color="auto"/>
        <w:left w:val="none" w:sz="0" w:space="0" w:color="auto"/>
        <w:bottom w:val="none" w:sz="0" w:space="0" w:color="auto"/>
        <w:right w:val="none" w:sz="0" w:space="0" w:color="auto"/>
      </w:divBdr>
    </w:div>
    <w:div w:id="1473713801">
      <w:bodyDiv w:val="1"/>
      <w:marLeft w:val="0"/>
      <w:marRight w:val="0"/>
      <w:marTop w:val="0"/>
      <w:marBottom w:val="0"/>
      <w:divBdr>
        <w:top w:val="none" w:sz="0" w:space="0" w:color="auto"/>
        <w:left w:val="none" w:sz="0" w:space="0" w:color="auto"/>
        <w:bottom w:val="none" w:sz="0" w:space="0" w:color="auto"/>
        <w:right w:val="none" w:sz="0" w:space="0" w:color="auto"/>
      </w:divBdr>
    </w:div>
    <w:div w:id="1473714280">
      <w:bodyDiv w:val="1"/>
      <w:marLeft w:val="0"/>
      <w:marRight w:val="0"/>
      <w:marTop w:val="0"/>
      <w:marBottom w:val="0"/>
      <w:divBdr>
        <w:top w:val="none" w:sz="0" w:space="0" w:color="auto"/>
        <w:left w:val="none" w:sz="0" w:space="0" w:color="auto"/>
        <w:bottom w:val="none" w:sz="0" w:space="0" w:color="auto"/>
        <w:right w:val="none" w:sz="0" w:space="0" w:color="auto"/>
      </w:divBdr>
    </w:div>
    <w:div w:id="1506630433">
      <w:bodyDiv w:val="1"/>
      <w:marLeft w:val="0"/>
      <w:marRight w:val="0"/>
      <w:marTop w:val="0"/>
      <w:marBottom w:val="0"/>
      <w:divBdr>
        <w:top w:val="none" w:sz="0" w:space="0" w:color="auto"/>
        <w:left w:val="none" w:sz="0" w:space="0" w:color="auto"/>
        <w:bottom w:val="none" w:sz="0" w:space="0" w:color="auto"/>
        <w:right w:val="none" w:sz="0" w:space="0" w:color="auto"/>
      </w:divBdr>
    </w:div>
    <w:div w:id="1521241355">
      <w:bodyDiv w:val="1"/>
      <w:marLeft w:val="0"/>
      <w:marRight w:val="0"/>
      <w:marTop w:val="0"/>
      <w:marBottom w:val="0"/>
      <w:divBdr>
        <w:top w:val="none" w:sz="0" w:space="0" w:color="auto"/>
        <w:left w:val="none" w:sz="0" w:space="0" w:color="auto"/>
        <w:bottom w:val="none" w:sz="0" w:space="0" w:color="auto"/>
        <w:right w:val="none" w:sz="0" w:space="0" w:color="auto"/>
      </w:divBdr>
    </w:div>
    <w:div w:id="1574780481">
      <w:bodyDiv w:val="1"/>
      <w:marLeft w:val="0"/>
      <w:marRight w:val="0"/>
      <w:marTop w:val="0"/>
      <w:marBottom w:val="0"/>
      <w:divBdr>
        <w:top w:val="none" w:sz="0" w:space="0" w:color="auto"/>
        <w:left w:val="none" w:sz="0" w:space="0" w:color="auto"/>
        <w:bottom w:val="none" w:sz="0" w:space="0" w:color="auto"/>
        <w:right w:val="none" w:sz="0" w:space="0" w:color="auto"/>
      </w:divBdr>
    </w:div>
    <w:div w:id="1576278318">
      <w:bodyDiv w:val="1"/>
      <w:marLeft w:val="0"/>
      <w:marRight w:val="0"/>
      <w:marTop w:val="0"/>
      <w:marBottom w:val="0"/>
      <w:divBdr>
        <w:top w:val="none" w:sz="0" w:space="0" w:color="auto"/>
        <w:left w:val="none" w:sz="0" w:space="0" w:color="auto"/>
        <w:bottom w:val="none" w:sz="0" w:space="0" w:color="auto"/>
        <w:right w:val="none" w:sz="0" w:space="0" w:color="auto"/>
      </w:divBdr>
    </w:div>
    <w:div w:id="1578054488">
      <w:bodyDiv w:val="1"/>
      <w:marLeft w:val="0"/>
      <w:marRight w:val="0"/>
      <w:marTop w:val="0"/>
      <w:marBottom w:val="0"/>
      <w:divBdr>
        <w:top w:val="none" w:sz="0" w:space="0" w:color="auto"/>
        <w:left w:val="none" w:sz="0" w:space="0" w:color="auto"/>
        <w:bottom w:val="none" w:sz="0" w:space="0" w:color="auto"/>
        <w:right w:val="none" w:sz="0" w:space="0" w:color="auto"/>
      </w:divBdr>
    </w:div>
    <w:div w:id="1587417267">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
    <w:div w:id="1601259921">
      <w:bodyDiv w:val="1"/>
      <w:marLeft w:val="0"/>
      <w:marRight w:val="0"/>
      <w:marTop w:val="0"/>
      <w:marBottom w:val="0"/>
      <w:divBdr>
        <w:top w:val="none" w:sz="0" w:space="0" w:color="auto"/>
        <w:left w:val="none" w:sz="0" w:space="0" w:color="auto"/>
        <w:bottom w:val="none" w:sz="0" w:space="0" w:color="auto"/>
        <w:right w:val="none" w:sz="0" w:space="0" w:color="auto"/>
      </w:divBdr>
    </w:div>
    <w:div w:id="1613828542">
      <w:bodyDiv w:val="1"/>
      <w:marLeft w:val="0"/>
      <w:marRight w:val="0"/>
      <w:marTop w:val="0"/>
      <w:marBottom w:val="0"/>
      <w:divBdr>
        <w:top w:val="none" w:sz="0" w:space="0" w:color="auto"/>
        <w:left w:val="none" w:sz="0" w:space="0" w:color="auto"/>
        <w:bottom w:val="none" w:sz="0" w:space="0" w:color="auto"/>
        <w:right w:val="none" w:sz="0" w:space="0" w:color="auto"/>
      </w:divBdr>
    </w:div>
    <w:div w:id="1624731918">
      <w:bodyDiv w:val="1"/>
      <w:marLeft w:val="0"/>
      <w:marRight w:val="0"/>
      <w:marTop w:val="0"/>
      <w:marBottom w:val="0"/>
      <w:divBdr>
        <w:top w:val="none" w:sz="0" w:space="0" w:color="auto"/>
        <w:left w:val="none" w:sz="0" w:space="0" w:color="auto"/>
        <w:bottom w:val="none" w:sz="0" w:space="0" w:color="auto"/>
        <w:right w:val="none" w:sz="0" w:space="0" w:color="auto"/>
      </w:divBdr>
    </w:div>
    <w:div w:id="1633559297">
      <w:bodyDiv w:val="1"/>
      <w:marLeft w:val="0"/>
      <w:marRight w:val="0"/>
      <w:marTop w:val="0"/>
      <w:marBottom w:val="0"/>
      <w:divBdr>
        <w:top w:val="none" w:sz="0" w:space="0" w:color="auto"/>
        <w:left w:val="none" w:sz="0" w:space="0" w:color="auto"/>
        <w:bottom w:val="none" w:sz="0" w:space="0" w:color="auto"/>
        <w:right w:val="none" w:sz="0" w:space="0" w:color="auto"/>
      </w:divBdr>
    </w:div>
    <w:div w:id="1634170188">
      <w:bodyDiv w:val="1"/>
      <w:marLeft w:val="0"/>
      <w:marRight w:val="0"/>
      <w:marTop w:val="0"/>
      <w:marBottom w:val="0"/>
      <w:divBdr>
        <w:top w:val="none" w:sz="0" w:space="0" w:color="auto"/>
        <w:left w:val="none" w:sz="0" w:space="0" w:color="auto"/>
        <w:bottom w:val="none" w:sz="0" w:space="0" w:color="auto"/>
        <w:right w:val="none" w:sz="0" w:space="0" w:color="auto"/>
      </w:divBdr>
    </w:div>
    <w:div w:id="1653366427">
      <w:bodyDiv w:val="1"/>
      <w:marLeft w:val="0"/>
      <w:marRight w:val="0"/>
      <w:marTop w:val="0"/>
      <w:marBottom w:val="0"/>
      <w:divBdr>
        <w:top w:val="none" w:sz="0" w:space="0" w:color="auto"/>
        <w:left w:val="none" w:sz="0" w:space="0" w:color="auto"/>
        <w:bottom w:val="none" w:sz="0" w:space="0" w:color="auto"/>
        <w:right w:val="none" w:sz="0" w:space="0" w:color="auto"/>
      </w:divBdr>
    </w:div>
    <w:div w:id="1656302296">
      <w:bodyDiv w:val="1"/>
      <w:marLeft w:val="0"/>
      <w:marRight w:val="0"/>
      <w:marTop w:val="0"/>
      <w:marBottom w:val="0"/>
      <w:divBdr>
        <w:top w:val="none" w:sz="0" w:space="0" w:color="auto"/>
        <w:left w:val="none" w:sz="0" w:space="0" w:color="auto"/>
        <w:bottom w:val="none" w:sz="0" w:space="0" w:color="auto"/>
        <w:right w:val="none" w:sz="0" w:space="0" w:color="auto"/>
      </w:divBdr>
    </w:div>
    <w:div w:id="1666979386">
      <w:bodyDiv w:val="1"/>
      <w:marLeft w:val="0"/>
      <w:marRight w:val="0"/>
      <w:marTop w:val="0"/>
      <w:marBottom w:val="0"/>
      <w:divBdr>
        <w:top w:val="none" w:sz="0" w:space="0" w:color="auto"/>
        <w:left w:val="none" w:sz="0" w:space="0" w:color="auto"/>
        <w:bottom w:val="none" w:sz="0" w:space="0" w:color="auto"/>
        <w:right w:val="none" w:sz="0" w:space="0" w:color="auto"/>
      </w:divBdr>
    </w:div>
    <w:div w:id="1674604036">
      <w:bodyDiv w:val="1"/>
      <w:marLeft w:val="0"/>
      <w:marRight w:val="0"/>
      <w:marTop w:val="0"/>
      <w:marBottom w:val="0"/>
      <w:divBdr>
        <w:top w:val="none" w:sz="0" w:space="0" w:color="auto"/>
        <w:left w:val="none" w:sz="0" w:space="0" w:color="auto"/>
        <w:bottom w:val="none" w:sz="0" w:space="0" w:color="auto"/>
        <w:right w:val="none" w:sz="0" w:space="0" w:color="auto"/>
      </w:divBdr>
    </w:div>
    <w:div w:id="1678532248">
      <w:bodyDiv w:val="1"/>
      <w:marLeft w:val="0"/>
      <w:marRight w:val="0"/>
      <w:marTop w:val="0"/>
      <w:marBottom w:val="0"/>
      <w:divBdr>
        <w:top w:val="none" w:sz="0" w:space="0" w:color="auto"/>
        <w:left w:val="none" w:sz="0" w:space="0" w:color="auto"/>
        <w:bottom w:val="none" w:sz="0" w:space="0" w:color="auto"/>
        <w:right w:val="none" w:sz="0" w:space="0" w:color="auto"/>
      </w:divBdr>
    </w:div>
    <w:div w:id="1683894946">
      <w:bodyDiv w:val="1"/>
      <w:marLeft w:val="0"/>
      <w:marRight w:val="0"/>
      <w:marTop w:val="0"/>
      <w:marBottom w:val="0"/>
      <w:divBdr>
        <w:top w:val="none" w:sz="0" w:space="0" w:color="auto"/>
        <w:left w:val="none" w:sz="0" w:space="0" w:color="auto"/>
        <w:bottom w:val="none" w:sz="0" w:space="0" w:color="auto"/>
        <w:right w:val="none" w:sz="0" w:space="0" w:color="auto"/>
      </w:divBdr>
    </w:div>
    <w:div w:id="1691645357">
      <w:bodyDiv w:val="1"/>
      <w:marLeft w:val="0"/>
      <w:marRight w:val="0"/>
      <w:marTop w:val="0"/>
      <w:marBottom w:val="0"/>
      <w:divBdr>
        <w:top w:val="none" w:sz="0" w:space="0" w:color="auto"/>
        <w:left w:val="none" w:sz="0" w:space="0" w:color="auto"/>
        <w:bottom w:val="none" w:sz="0" w:space="0" w:color="auto"/>
        <w:right w:val="none" w:sz="0" w:space="0" w:color="auto"/>
      </w:divBdr>
    </w:div>
    <w:div w:id="1695959832">
      <w:bodyDiv w:val="1"/>
      <w:marLeft w:val="0"/>
      <w:marRight w:val="0"/>
      <w:marTop w:val="0"/>
      <w:marBottom w:val="0"/>
      <w:divBdr>
        <w:top w:val="none" w:sz="0" w:space="0" w:color="auto"/>
        <w:left w:val="none" w:sz="0" w:space="0" w:color="auto"/>
        <w:bottom w:val="none" w:sz="0" w:space="0" w:color="auto"/>
        <w:right w:val="none" w:sz="0" w:space="0" w:color="auto"/>
      </w:divBdr>
    </w:div>
    <w:div w:id="1705399696">
      <w:bodyDiv w:val="1"/>
      <w:marLeft w:val="0"/>
      <w:marRight w:val="0"/>
      <w:marTop w:val="0"/>
      <w:marBottom w:val="0"/>
      <w:divBdr>
        <w:top w:val="none" w:sz="0" w:space="0" w:color="auto"/>
        <w:left w:val="none" w:sz="0" w:space="0" w:color="auto"/>
        <w:bottom w:val="none" w:sz="0" w:space="0" w:color="auto"/>
        <w:right w:val="none" w:sz="0" w:space="0" w:color="auto"/>
      </w:divBdr>
    </w:div>
    <w:div w:id="1708988594">
      <w:bodyDiv w:val="1"/>
      <w:marLeft w:val="0"/>
      <w:marRight w:val="0"/>
      <w:marTop w:val="0"/>
      <w:marBottom w:val="0"/>
      <w:divBdr>
        <w:top w:val="none" w:sz="0" w:space="0" w:color="auto"/>
        <w:left w:val="none" w:sz="0" w:space="0" w:color="auto"/>
        <w:bottom w:val="none" w:sz="0" w:space="0" w:color="auto"/>
        <w:right w:val="none" w:sz="0" w:space="0" w:color="auto"/>
      </w:divBdr>
    </w:div>
    <w:div w:id="1725716466">
      <w:bodyDiv w:val="1"/>
      <w:marLeft w:val="0"/>
      <w:marRight w:val="0"/>
      <w:marTop w:val="0"/>
      <w:marBottom w:val="0"/>
      <w:divBdr>
        <w:top w:val="none" w:sz="0" w:space="0" w:color="auto"/>
        <w:left w:val="none" w:sz="0" w:space="0" w:color="auto"/>
        <w:bottom w:val="none" w:sz="0" w:space="0" w:color="auto"/>
        <w:right w:val="none" w:sz="0" w:space="0" w:color="auto"/>
      </w:divBdr>
    </w:div>
    <w:div w:id="1726099273">
      <w:bodyDiv w:val="1"/>
      <w:marLeft w:val="0"/>
      <w:marRight w:val="0"/>
      <w:marTop w:val="0"/>
      <w:marBottom w:val="0"/>
      <w:divBdr>
        <w:top w:val="none" w:sz="0" w:space="0" w:color="auto"/>
        <w:left w:val="none" w:sz="0" w:space="0" w:color="auto"/>
        <w:bottom w:val="none" w:sz="0" w:space="0" w:color="auto"/>
        <w:right w:val="none" w:sz="0" w:space="0" w:color="auto"/>
      </w:divBdr>
    </w:div>
    <w:div w:id="1729305318">
      <w:bodyDiv w:val="1"/>
      <w:marLeft w:val="0"/>
      <w:marRight w:val="0"/>
      <w:marTop w:val="0"/>
      <w:marBottom w:val="0"/>
      <w:divBdr>
        <w:top w:val="none" w:sz="0" w:space="0" w:color="auto"/>
        <w:left w:val="none" w:sz="0" w:space="0" w:color="auto"/>
        <w:bottom w:val="none" w:sz="0" w:space="0" w:color="auto"/>
        <w:right w:val="none" w:sz="0" w:space="0" w:color="auto"/>
      </w:divBdr>
    </w:div>
    <w:div w:id="1745685146">
      <w:bodyDiv w:val="1"/>
      <w:marLeft w:val="0"/>
      <w:marRight w:val="0"/>
      <w:marTop w:val="0"/>
      <w:marBottom w:val="0"/>
      <w:divBdr>
        <w:top w:val="none" w:sz="0" w:space="0" w:color="auto"/>
        <w:left w:val="none" w:sz="0" w:space="0" w:color="auto"/>
        <w:bottom w:val="none" w:sz="0" w:space="0" w:color="auto"/>
        <w:right w:val="none" w:sz="0" w:space="0" w:color="auto"/>
      </w:divBdr>
    </w:div>
    <w:div w:id="1756440671">
      <w:bodyDiv w:val="1"/>
      <w:marLeft w:val="0"/>
      <w:marRight w:val="0"/>
      <w:marTop w:val="0"/>
      <w:marBottom w:val="0"/>
      <w:divBdr>
        <w:top w:val="none" w:sz="0" w:space="0" w:color="auto"/>
        <w:left w:val="none" w:sz="0" w:space="0" w:color="auto"/>
        <w:bottom w:val="none" w:sz="0" w:space="0" w:color="auto"/>
        <w:right w:val="none" w:sz="0" w:space="0" w:color="auto"/>
      </w:divBdr>
    </w:div>
    <w:div w:id="1764838286">
      <w:bodyDiv w:val="1"/>
      <w:marLeft w:val="0"/>
      <w:marRight w:val="0"/>
      <w:marTop w:val="0"/>
      <w:marBottom w:val="0"/>
      <w:divBdr>
        <w:top w:val="none" w:sz="0" w:space="0" w:color="auto"/>
        <w:left w:val="none" w:sz="0" w:space="0" w:color="auto"/>
        <w:bottom w:val="none" w:sz="0" w:space="0" w:color="auto"/>
        <w:right w:val="none" w:sz="0" w:space="0" w:color="auto"/>
      </w:divBdr>
    </w:div>
    <w:div w:id="1772050184">
      <w:bodyDiv w:val="1"/>
      <w:marLeft w:val="0"/>
      <w:marRight w:val="0"/>
      <w:marTop w:val="0"/>
      <w:marBottom w:val="0"/>
      <w:divBdr>
        <w:top w:val="none" w:sz="0" w:space="0" w:color="auto"/>
        <w:left w:val="none" w:sz="0" w:space="0" w:color="auto"/>
        <w:bottom w:val="none" w:sz="0" w:space="0" w:color="auto"/>
        <w:right w:val="none" w:sz="0" w:space="0" w:color="auto"/>
      </w:divBdr>
    </w:div>
    <w:div w:id="1783575193">
      <w:bodyDiv w:val="1"/>
      <w:marLeft w:val="0"/>
      <w:marRight w:val="0"/>
      <w:marTop w:val="0"/>
      <w:marBottom w:val="0"/>
      <w:divBdr>
        <w:top w:val="none" w:sz="0" w:space="0" w:color="auto"/>
        <w:left w:val="none" w:sz="0" w:space="0" w:color="auto"/>
        <w:bottom w:val="none" w:sz="0" w:space="0" w:color="auto"/>
        <w:right w:val="none" w:sz="0" w:space="0" w:color="auto"/>
      </w:divBdr>
    </w:div>
    <w:div w:id="1826966175">
      <w:bodyDiv w:val="1"/>
      <w:marLeft w:val="0"/>
      <w:marRight w:val="0"/>
      <w:marTop w:val="0"/>
      <w:marBottom w:val="0"/>
      <w:divBdr>
        <w:top w:val="none" w:sz="0" w:space="0" w:color="auto"/>
        <w:left w:val="none" w:sz="0" w:space="0" w:color="auto"/>
        <w:bottom w:val="none" w:sz="0" w:space="0" w:color="auto"/>
        <w:right w:val="none" w:sz="0" w:space="0" w:color="auto"/>
      </w:divBdr>
    </w:div>
    <w:div w:id="1831821634">
      <w:bodyDiv w:val="1"/>
      <w:marLeft w:val="0"/>
      <w:marRight w:val="0"/>
      <w:marTop w:val="0"/>
      <w:marBottom w:val="0"/>
      <w:divBdr>
        <w:top w:val="none" w:sz="0" w:space="0" w:color="auto"/>
        <w:left w:val="none" w:sz="0" w:space="0" w:color="auto"/>
        <w:bottom w:val="none" w:sz="0" w:space="0" w:color="auto"/>
        <w:right w:val="none" w:sz="0" w:space="0" w:color="auto"/>
      </w:divBdr>
    </w:div>
    <w:div w:id="1834763296">
      <w:bodyDiv w:val="1"/>
      <w:marLeft w:val="0"/>
      <w:marRight w:val="0"/>
      <w:marTop w:val="0"/>
      <w:marBottom w:val="0"/>
      <w:divBdr>
        <w:top w:val="none" w:sz="0" w:space="0" w:color="auto"/>
        <w:left w:val="none" w:sz="0" w:space="0" w:color="auto"/>
        <w:bottom w:val="none" w:sz="0" w:space="0" w:color="auto"/>
        <w:right w:val="none" w:sz="0" w:space="0" w:color="auto"/>
      </w:divBdr>
    </w:div>
    <w:div w:id="1842576741">
      <w:bodyDiv w:val="1"/>
      <w:marLeft w:val="0"/>
      <w:marRight w:val="0"/>
      <w:marTop w:val="0"/>
      <w:marBottom w:val="0"/>
      <w:divBdr>
        <w:top w:val="none" w:sz="0" w:space="0" w:color="auto"/>
        <w:left w:val="none" w:sz="0" w:space="0" w:color="auto"/>
        <w:bottom w:val="none" w:sz="0" w:space="0" w:color="auto"/>
        <w:right w:val="none" w:sz="0" w:space="0" w:color="auto"/>
      </w:divBdr>
    </w:div>
    <w:div w:id="1867600702">
      <w:bodyDiv w:val="1"/>
      <w:marLeft w:val="0"/>
      <w:marRight w:val="0"/>
      <w:marTop w:val="0"/>
      <w:marBottom w:val="0"/>
      <w:divBdr>
        <w:top w:val="none" w:sz="0" w:space="0" w:color="auto"/>
        <w:left w:val="none" w:sz="0" w:space="0" w:color="auto"/>
        <w:bottom w:val="none" w:sz="0" w:space="0" w:color="auto"/>
        <w:right w:val="none" w:sz="0" w:space="0" w:color="auto"/>
      </w:divBdr>
    </w:div>
    <w:div w:id="1877615790">
      <w:bodyDiv w:val="1"/>
      <w:marLeft w:val="0"/>
      <w:marRight w:val="0"/>
      <w:marTop w:val="0"/>
      <w:marBottom w:val="0"/>
      <w:divBdr>
        <w:top w:val="none" w:sz="0" w:space="0" w:color="auto"/>
        <w:left w:val="none" w:sz="0" w:space="0" w:color="auto"/>
        <w:bottom w:val="none" w:sz="0" w:space="0" w:color="auto"/>
        <w:right w:val="none" w:sz="0" w:space="0" w:color="auto"/>
      </w:divBdr>
    </w:div>
    <w:div w:id="1882210422">
      <w:bodyDiv w:val="1"/>
      <w:marLeft w:val="0"/>
      <w:marRight w:val="0"/>
      <w:marTop w:val="0"/>
      <w:marBottom w:val="0"/>
      <w:divBdr>
        <w:top w:val="none" w:sz="0" w:space="0" w:color="auto"/>
        <w:left w:val="none" w:sz="0" w:space="0" w:color="auto"/>
        <w:bottom w:val="none" w:sz="0" w:space="0" w:color="auto"/>
        <w:right w:val="none" w:sz="0" w:space="0" w:color="auto"/>
      </w:divBdr>
    </w:div>
    <w:div w:id="1882477651">
      <w:bodyDiv w:val="1"/>
      <w:marLeft w:val="0"/>
      <w:marRight w:val="0"/>
      <w:marTop w:val="0"/>
      <w:marBottom w:val="0"/>
      <w:divBdr>
        <w:top w:val="none" w:sz="0" w:space="0" w:color="auto"/>
        <w:left w:val="none" w:sz="0" w:space="0" w:color="auto"/>
        <w:bottom w:val="none" w:sz="0" w:space="0" w:color="auto"/>
        <w:right w:val="none" w:sz="0" w:space="0" w:color="auto"/>
      </w:divBdr>
    </w:div>
    <w:div w:id="1882980785">
      <w:bodyDiv w:val="1"/>
      <w:marLeft w:val="0"/>
      <w:marRight w:val="0"/>
      <w:marTop w:val="0"/>
      <w:marBottom w:val="0"/>
      <w:divBdr>
        <w:top w:val="none" w:sz="0" w:space="0" w:color="auto"/>
        <w:left w:val="none" w:sz="0" w:space="0" w:color="auto"/>
        <w:bottom w:val="none" w:sz="0" w:space="0" w:color="auto"/>
        <w:right w:val="none" w:sz="0" w:space="0" w:color="auto"/>
      </w:divBdr>
    </w:div>
    <w:div w:id="1897083621">
      <w:bodyDiv w:val="1"/>
      <w:marLeft w:val="0"/>
      <w:marRight w:val="0"/>
      <w:marTop w:val="0"/>
      <w:marBottom w:val="0"/>
      <w:divBdr>
        <w:top w:val="none" w:sz="0" w:space="0" w:color="auto"/>
        <w:left w:val="none" w:sz="0" w:space="0" w:color="auto"/>
        <w:bottom w:val="none" w:sz="0" w:space="0" w:color="auto"/>
        <w:right w:val="none" w:sz="0" w:space="0" w:color="auto"/>
      </w:divBdr>
    </w:div>
    <w:div w:id="1902208401">
      <w:bodyDiv w:val="1"/>
      <w:marLeft w:val="0"/>
      <w:marRight w:val="0"/>
      <w:marTop w:val="0"/>
      <w:marBottom w:val="0"/>
      <w:divBdr>
        <w:top w:val="none" w:sz="0" w:space="0" w:color="auto"/>
        <w:left w:val="none" w:sz="0" w:space="0" w:color="auto"/>
        <w:bottom w:val="none" w:sz="0" w:space="0" w:color="auto"/>
        <w:right w:val="none" w:sz="0" w:space="0" w:color="auto"/>
      </w:divBdr>
    </w:div>
    <w:div w:id="1912930975">
      <w:bodyDiv w:val="1"/>
      <w:marLeft w:val="0"/>
      <w:marRight w:val="0"/>
      <w:marTop w:val="0"/>
      <w:marBottom w:val="0"/>
      <w:divBdr>
        <w:top w:val="none" w:sz="0" w:space="0" w:color="auto"/>
        <w:left w:val="none" w:sz="0" w:space="0" w:color="auto"/>
        <w:bottom w:val="none" w:sz="0" w:space="0" w:color="auto"/>
        <w:right w:val="none" w:sz="0" w:space="0" w:color="auto"/>
      </w:divBdr>
    </w:div>
    <w:div w:id="1924022297">
      <w:bodyDiv w:val="1"/>
      <w:marLeft w:val="0"/>
      <w:marRight w:val="0"/>
      <w:marTop w:val="0"/>
      <w:marBottom w:val="0"/>
      <w:divBdr>
        <w:top w:val="none" w:sz="0" w:space="0" w:color="auto"/>
        <w:left w:val="none" w:sz="0" w:space="0" w:color="auto"/>
        <w:bottom w:val="none" w:sz="0" w:space="0" w:color="auto"/>
        <w:right w:val="none" w:sz="0" w:space="0" w:color="auto"/>
      </w:divBdr>
    </w:div>
    <w:div w:id="1925675528">
      <w:bodyDiv w:val="1"/>
      <w:marLeft w:val="0"/>
      <w:marRight w:val="0"/>
      <w:marTop w:val="0"/>
      <w:marBottom w:val="0"/>
      <w:divBdr>
        <w:top w:val="none" w:sz="0" w:space="0" w:color="auto"/>
        <w:left w:val="none" w:sz="0" w:space="0" w:color="auto"/>
        <w:bottom w:val="none" w:sz="0" w:space="0" w:color="auto"/>
        <w:right w:val="none" w:sz="0" w:space="0" w:color="auto"/>
      </w:divBdr>
    </w:div>
    <w:div w:id="1928687512">
      <w:bodyDiv w:val="1"/>
      <w:marLeft w:val="0"/>
      <w:marRight w:val="0"/>
      <w:marTop w:val="0"/>
      <w:marBottom w:val="0"/>
      <w:divBdr>
        <w:top w:val="none" w:sz="0" w:space="0" w:color="auto"/>
        <w:left w:val="none" w:sz="0" w:space="0" w:color="auto"/>
        <w:bottom w:val="none" w:sz="0" w:space="0" w:color="auto"/>
        <w:right w:val="none" w:sz="0" w:space="0" w:color="auto"/>
      </w:divBdr>
    </w:div>
    <w:div w:id="1956325906">
      <w:bodyDiv w:val="1"/>
      <w:marLeft w:val="0"/>
      <w:marRight w:val="0"/>
      <w:marTop w:val="0"/>
      <w:marBottom w:val="0"/>
      <w:divBdr>
        <w:top w:val="none" w:sz="0" w:space="0" w:color="auto"/>
        <w:left w:val="none" w:sz="0" w:space="0" w:color="auto"/>
        <w:bottom w:val="none" w:sz="0" w:space="0" w:color="auto"/>
        <w:right w:val="none" w:sz="0" w:space="0" w:color="auto"/>
      </w:divBdr>
    </w:div>
    <w:div w:id="1963994463">
      <w:bodyDiv w:val="1"/>
      <w:marLeft w:val="0"/>
      <w:marRight w:val="0"/>
      <w:marTop w:val="0"/>
      <w:marBottom w:val="0"/>
      <w:divBdr>
        <w:top w:val="none" w:sz="0" w:space="0" w:color="auto"/>
        <w:left w:val="none" w:sz="0" w:space="0" w:color="auto"/>
        <w:bottom w:val="none" w:sz="0" w:space="0" w:color="auto"/>
        <w:right w:val="none" w:sz="0" w:space="0" w:color="auto"/>
      </w:divBdr>
    </w:div>
    <w:div w:id="1981618562">
      <w:bodyDiv w:val="1"/>
      <w:marLeft w:val="0"/>
      <w:marRight w:val="0"/>
      <w:marTop w:val="0"/>
      <w:marBottom w:val="0"/>
      <w:divBdr>
        <w:top w:val="none" w:sz="0" w:space="0" w:color="auto"/>
        <w:left w:val="none" w:sz="0" w:space="0" w:color="auto"/>
        <w:bottom w:val="none" w:sz="0" w:space="0" w:color="auto"/>
        <w:right w:val="none" w:sz="0" w:space="0" w:color="auto"/>
      </w:divBdr>
    </w:div>
    <w:div w:id="1982228150">
      <w:bodyDiv w:val="1"/>
      <w:marLeft w:val="0"/>
      <w:marRight w:val="0"/>
      <w:marTop w:val="0"/>
      <w:marBottom w:val="0"/>
      <w:divBdr>
        <w:top w:val="none" w:sz="0" w:space="0" w:color="auto"/>
        <w:left w:val="none" w:sz="0" w:space="0" w:color="auto"/>
        <w:bottom w:val="none" w:sz="0" w:space="0" w:color="auto"/>
        <w:right w:val="none" w:sz="0" w:space="0" w:color="auto"/>
      </w:divBdr>
    </w:div>
    <w:div w:id="1992177002">
      <w:bodyDiv w:val="1"/>
      <w:marLeft w:val="0"/>
      <w:marRight w:val="0"/>
      <w:marTop w:val="0"/>
      <w:marBottom w:val="0"/>
      <w:divBdr>
        <w:top w:val="none" w:sz="0" w:space="0" w:color="auto"/>
        <w:left w:val="none" w:sz="0" w:space="0" w:color="auto"/>
        <w:bottom w:val="none" w:sz="0" w:space="0" w:color="auto"/>
        <w:right w:val="none" w:sz="0" w:space="0" w:color="auto"/>
      </w:divBdr>
    </w:div>
    <w:div w:id="1995639382">
      <w:bodyDiv w:val="1"/>
      <w:marLeft w:val="0"/>
      <w:marRight w:val="0"/>
      <w:marTop w:val="0"/>
      <w:marBottom w:val="0"/>
      <w:divBdr>
        <w:top w:val="none" w:sz="0" w:space="0" w:color="auto"/>
        <w:left w:val="none" w:sz="0" w:space="0" w:color="auto"/>
        <w:bottom w:val="none" w:sz="0" w:space="0" w:color="auto"/>
        <w:right w:val="none" w:sz="0" w:space="0" w:color="auto"/>
      </w:divBdr>
    </w:div>
    <w:div w:id="1996689847">
      <w:bodyDiv w:val="1"/>
      <w:marLeft w:val="0"/>
      <w:marRight w:val="0"/>
      <w:marTop w:val="0"/>
      <w:marBottom w:val="0"/>
      <w:divBdr>
        <w:top w:val="none" w:sz="0" w:space="0" w:color="auto"/>
        <w:left w:val="none" w:sz="0" w:space="0" w:color="auto"/>
        <w:bottom w:val="none" w:sz="0" w:space="0" w:color="auto"/>
        <w:right w:val="none" w:sz="0" w:space="0" w:color="auto"/>
      </w:divBdr>
    </w:div>
    <w:div w:id="2015254010">
      <w:bodyDiv w:val="1"/>
      <w:marLeft w:val="0"/>
      <w:marRight w:val="0"/>
      <w:marTop w:val="0"/>
      <w:marBottom w:val="0"/>
      <w:divBdr>
        <w:top w:val="none" w:sz="0" w:space="0" w:color="auto"/>
        <w:left w:val="none" w:sz="0" w:space="0" w:color="auto"/>
        <w:bottom w:val="none" w:sz="0" w:space="0" w:color="auto"/>
        <w:right w:val="none" w:sz="0" w:space="0" w:color="auto"/>
      </w:divBdr>
    </w:div>
    <w:div w:id="2027977711">
      <w:bodyDiv w:val="1"/>
      <w:marLeft w:val="0"/>
      <w:marRight w:val="0"/>
      <w:marTop w:val="0"/>
      <w:marBottom w:val="0"/>
      <w:divBdr>
        <w:top w:val="none" w:sz="0" w:space="0" w:color="auto"/>
        <w:left w:val="none" w:sz="0" w:space="0" w:color="auto"/>
        <w:bottom w:val="none" w:sz="0" w:space="0" w:color="auto"/>
        <w:right w:val="none" w:sz="0" w:space="0" w:color="auto"/>
      </w:divBdr>
    </w:div>
    <w:div w:id="2033067446">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39546258">
      <w:bodyDiv w:val="1"/>
      <w:marLeft w:val="0"/>
      <w:marRight w:val="0"/>
      <w:marTop w:val="0"/>
      <w:marBottom w:val="0"/>
      <w:divBdr>
        <w:top w:val="none" w:sz="0" w:space="0" w:color="auto"/>
        <w:left w:val="none" w:sz="0" w:space="0" w:color="auto"/>
        <w:bottom w:val="none" w:sz="0" w:space="0" w:color="auto"/>
        <w:right w:val="none" w:sz="0" w:space="0" w:color="auto"/>
      </w:divBdr>
    </w:div>
    <w:div w:id="2049258654">
      <w:bodyDiv w:val="1"/>
      <w:marLeft w:val="0"/>
      <w:marRight w:val="0"/>
      <w:marTop w:val="0"/>
      <w:marBottom w:val="0"/>
      <w:divBdr>
        <w:top w:val="none" w:sz="0" w:space="0" w:color="auto"/>
        <w:left w:val="none" w:sz="0" w:space="0" w:color="auto"/>
        <w:bottom w:val="none" w:sz="0" w:space="0" w:color="auto"/>
        <w:right w:val="none" w:sz="0" w:space="0" w:color="auto"/>
      </w:divBdr>
    </w:div>
    <w:div w:id="2053726285">
      <w:bodyDiv w:val="1"/>
      <w:marLeft w:val="0"/>
      <w:marRight w:val="0"/>
      <w:marTop w:val="0"/>
      <w:marBottom w:val="0"/>
      <w:divBdr>
        <w:top w:val="none" w:sz="0" w:space="0" w:color="auto"/>
        <w:left w:val="none" w:sz="0" w:space="0" w:color="auto"/>
        <w:bottom w:val="none" w:sz="0" w:space="0" w:color="auto"/>
        <w:right w:val="none" w:sz="0" w:space="0" w:color="auto"/>
      </w:divBdr>
    </w:div>
    <w:div w:id="2067676430">
      <w:bodyDiv w:val="1"/>
      <w:marLeft w:val="0"/>
      <w:marRight w:val="0"/>
      <w:marTop w:val="0"/>
      <w:marBottom w:val="0"/>
      <w:divBdr>
        <w:top w:val="none" w:sz="0" w:space="0" w:color="auto"/>
        <w:left w:val="none" w:sz="0" w:space="0" w:color="auto"/>
        <w:bottom w:val="none" w:sz="0" w:space="0" w:color="auto"/>
        <w:right w:val="none" w:sz="0" w:space="0" w:color="auto"/>
      </w:divBdr>
    </w:div>
    <w:div w:id="2074960085">
      <w:bodyDiv w:val="1"/>
      <w:marLeft w:val="0"/>
      <w:marRight w:val="0"/>
      <w:marTop w:val="0"/>
      <w:marBottom w:val="0"/>
      <w:divBdr>
        <w:top w:val="none" w:sz="0" w:space="0" w:color="auto"/>
        <w:left w:val="none" w:sz="0" w:space="0" w:color="auto"/>
        <w:bottom w:val="none" w:sz="0" w:space="0" w:color="auto"/>
        <w:right w:val="none" w:sz="0" w:space="0" w:color="auto"/>
      </w:divBdr>
    </w:div>
    <w:div w:id="2078478927">
      <w:bodyDiv w:val="1"/>
      <w:marLeft w:val="0"/>
      <w:marRight w:val="0"/>
      <w:marTop w:val="0"/>
      <w:marBottom w:val="0"/>
      <w:divBdr>
        <w:top w:val="none" w:sz="0" w:space="0" w:color="auto"/>
        <w:left w:val="none" w:sz="0" w:space="0" w:color="auto"/>
        <w:bottom w:val="none" w:sz="0" w:space="0" w:color="auto"/>
        <w:right w:val="none" w:sz="0" w:space="0" w:color="auto"/>
      </w:divBdr>
    </w:div>
    <w:div w:id="2114283093">
      <w:bodyDiv w:val="1"/>
      <w:marLeft w:val="0"/>
      <w:marRight w:val="0"/>
      <w:marTop w:val="0"/>
      <w:marBottom w:val="0"/>
      <w:divBdr>
        <w:top w:val="none" w:sz="0" w:space="0" w:color="auto"/>
        <w:left w:val="none" w:sz="0" w:space="0" w:color="auto"/>
        <w:bottom w:val="none" w:sz="0" w:space="0" w:color="auto"/>
        <w:right w:val="none" w:sz="0" w:space="0" w:color="auto"/>
      </w:divBdr>
    </w:div>
    <w:div w:id="2126848702">
      <w:bodyDiv w:val="1"/>
      <w:marLeft w:val="0"/>
      <w:marRight w:val="0"/>
      <w:marTop w:val="0"/>
      <w:marBottom w:val="0"/>
      <w:divBdr>
        <w:top w:val="none" w:sz="0" w:space="0" w:color="auto"/>
        <w:left w:val="none" w:sz="0" w:space="0" w:color="auto"/>
        <w:bottom w:val="none" w:sz="0" w:space="0" w:color="auto"/>
        <w:right w:val="none" w:sz="0" w:space="0" w:color="auto"/>
      </w:divBdr>
    </w:div>
    <w:div w:id="2127263138">
      <w:bodyDiv w:val="1"/>
      <w:marLeft w:val="0"/>
      <w:marRight w:val="0"/>
      <w:marTop w:val="0"/>
      <w:marBottom w:val="0"/>
      <w:divBdr>
        <w:top w:val="none" w:sz="0" w:space="0" w:color="auto"/>
        <w:left w:val="none" w:sz="0" w:space="0" w:color="auto"/>
        <w:bottom w:val="none" w:sz="0" w:space="0" w:color="auto"/>
        <w:right w:val="none" w:sz="0" w:space="0" w:color="auto"/>
      </w:divBdr>
    </w:div>
    <w:div w:id="2130929603">
      <w:bodyDiv w:val="1"/>
      <w:marLeft w:val="0"/>
      <w:marRight w:val="0"/>
      <w:marTop w:val="0"/>
      <w:marBottom w:val="0"/>
      <w:divBdr>
        <w:top w:val="none" w:sz="0" w:space="0" w:color="auto"/>
        <w:left w:val="none" w:sz="0" w:space="0" w:color="auto"/>
        <w:bottom w:val="none" w:sz="0" w:space="0" w:color="auto"/>
        <w:right w:val="none" w:sz="0" w:space="0" w:color="auto"/>
      </w:divBdr>
    </w:div>
    <w:div w:id="21337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inthtt" TargetMode="External"/><Relationship Id="rId18" Type="http://schemas.openxmlformats.org/officeDocument/2006/relationships/hyperlink" Target="mailto:pic@fao.org" TargetMode="External"/><Relationship Id="rId26" Type="http://schemas.openxmlformats.org/officeDocument/2006/relationships/header" Target="header5.xml"/><Relationship Id="rId39" Type="http://schemas.openxmlformats.org/officeDocument/2006/relationships/hyperlink" Target="http://www.pic.int/ElConvenio/ProductosQu&#237;micos/Recomendadosparainclusi&#243;n/Chrysotile/tabid/2065/language/es-CO/Default.aspx" TargetMode="External"/><Relationship Id="rId21" Type="http://schemas.openxmlformats.org/officeDocument/2006/relationships/header" Target="header1.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ic@brsmeas.org" TargetMode="External"/><Relationship Id="rId20" Type="http://schemas.openxmlformats.org/officeDocument/2006/relationships/hyperlink" Target="mailto:pic@brsmeas.org" TargetMode="External"/><Relationship Id="rId29" Type="http://schemas.openxmlformats.org/officeDocument/2006/relationships/header" Target="head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yperlink" Target="http://www.pic.int/ElConvenio/ProductosQu&#237;micos/Recomendadosparainclusi&#243;n/Chrysotile/tabid/2065/language/es-CO/Default.aspx" TargetMode="External"/><Relationship Id="rId5" Type="http://schemas.openxmlformats.org/officeDocument/2006/relationships/settings" Target="settings.xml"/><Relationship Id="rId15" Type="http://schemas.openxmlformats.org/officeDocument/2006/relationships/hyperlink" Target="mailto:pic@pic.int"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hyperlink" Target="mailto:pic@pic.int" TargetMode="External"/><Relationship Id="rId31" Type="http://schemas.openxmlformats.org/officeDocument/2006/relationships/hyperlink" Target="file:///C:\Users\kohno\Box%20Sync\04%20ROTTERDAM\PIC%20circular\PIC%20Circular%2045\Gamini\www.pic.int\tabid\2011\Default.aspx"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ic@fao.org"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footer" Target="footer3.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ic.int/tabid/2064/Default.aspx" TargetMode="External"/><Relationship Id="rId25" Type="http://schemas.openxmlformats.org/officeDocument/2006/relationships/header" Target="header4.xml"/><Relationship Id="rId33" Type="http://schemas.openxmlformats.org/officeDocument/2006/relationships/hyperlink" Target="http://www.pic.int" TargetMode="External"/><Relationship Id="rId38" Type="http://schemas.openxmlformats.org/officeDocument/2006/relationships/header" Target="header14.xml"/></Relationships>
</file>

<file path=word/_rels/footnotes.xml.rels><?xml version="1.0" encoding="UTF-8" standalone="yes"?>
<Relationships xmlns="http://schemas.openxmlformats.org/package/2006/relationships"><Relationship Id="rId1" Type="http://schemas.openxmlformats.org/officeDocument/2006/relationships/hyperlink" Target="http://www.pic.int/tabid/201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4C31-D5E0-4203-A600-AF6A4EFA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71</Pages>
  <Words>32647</Words>
  <Characters>186088</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PIC CIRCULAR XXVI– June December2007</vt:lpstr>
    </vt:vector>
  </TitlesOfParts>
  <Company>FAO of the UN</Company>
  <LinksUpToDate>false</LinksUpToDate>
  <CharactersWithSpaces>218299</CharactersWithSpaces>
  <SharedDoc>false</SharedDoc>
  <HLinks>
    <vt:vector size="582" baseType="variant">
      <vt:variant>
        <vt:i4>1245208</vt:i4>
      </vt:variant>
      <vt:variant>
        <vt:i4>351</vt:i4>
      </vt:variant>
      <vt:variant>
        <vt:i4>0</vt:i4>
      </vt:variant>
      <vt:variant>
        <vt:i4>5</vt:i4>
      </vt:variant>
      <vt:variant>
        <vt:lpwstr>http://www.pic.int/TheConvention/Chemicals/RecommendedtoCOP/Chrysotileasbestos/tabid/1186/language/en-US/Default.aspx</vt:lpwstr>
      </vt:variant>
      <vt:variant>
        <vt:lpwstr/>
      </vt:variant>
      <vt:variant>
        <vt:i4>1245208</vt:i4>
      </vt:variant>
      <vt:variant>
        <vt:i4>348</vt:i4>
      </vt:variant>
      <vt:variant>
        <vt:i4>0</vt:i4>
      </vt:variant>
      <vt:variant>
        <vt:i4>5</vt:i4>
      </vt:variant>
      <vt:variant>
        <vt:lpwstr>http://www.pic.int/TheConvention/Chemicals/RecommendedtoCOP/Chrysotileasbestos/tabid/1186/language/en-US/Default.aspx</vt:lpwstr>
      </vt:variant>
      <vt:variant>
        <vt:lpwstr/>
      </vt:variant>
      <vt:variant>
        <vt:i4>2424953</vt:i4>
      </vt:variant>
      <vt:variant>
        <vt:i4>345</vt:i4>
      </vt:variant>
      <vt:variant>
        <vt:i4>0</vt:i4>
      </vt:variant>
      <vt:variant>
        <vt:i4>5</vt:i4>
      </vt:variant>
      <vt:variant>
        <vt:lpwstr>http://www.pic.int/</vt:lpwstr>
      </vt:variant>
      <vt:variant>
        <vt:lpwstr/>
      </vt:variant>
      <vt:variant>
        <vt:i4>2424953</vt:i4>
      </vt:variant>
      <vt:variant>
        <vt:i4>342</vt:i4>
      </vt:variant>
      <vt:variant>
        <vt:i4>0</vt:i4>
      </vt:variant>
      <vt:variant>
        <vt:i4>5</vt:i4>
      </vt:variant>
      <vt:variant>
        <vt:lpwstr>http://www.pic.int/</vt:lpwstr>
      </vt:variant>
      <vt:variant>
        <vt:lpwstr/>
      </vt:variant>
      <vt:variant>
        <vt:i4>1048632</vt:i4>
      </vt:variant>
      <vt:variant>
        <vt:i4>338</vt:i4>
      </vt:variant>
      <vt:variant>
        <vt:i4>0</vt:i4>
      </vt:variant>
      <vt:variant>
        <vt:i4>5</vt:i4>
      </vt:variant>
      <vt:variant>
        <vt:lpwstr/>
      </vt:variant>
      <vt:variant>
        <vt:lpwstr>_Toc327357912</vt:lpwstr>
      </vt:variant>
      <vt:variant>
        <vt:i4>1048632</vt:i4>
      </vt:variant>
      <vt:variant>
        <vt:i4>335</vt:i4>
      </vt:variant>
      <vt:variant>
        <vt:i4>0</vt:i4>
      </vt:variant>
      <vt:variant>
        <vt:i4>5</vt:i4>
      </vt:variant>
      <vt:variant>
        <vt:lpwstr/>
      </vt:variant>
      <vt:variant>
        <vt:lpwstr>_Toc327357911</vt:lpwstr>
      </vt:variant>
      <vt:variant>
        <vt:i4>1048632</vt:i4>
      </vt:variant>
      <vt:variant>
        <vt:i4>332</vt:i4>
      </vt:variant>
      <vt:variant>
        <vt:i4>0</vt:i4>
      </vt:variant>
      <vt:variant>
        <vt:i4>5</vt:i4>
      </vt:variant>
      <vt:variant>
        <vt:lpwstr/>
      </vt:variant>
      <vt:variant>
        <vt:lpwstr>_Toc327357910</vt:lpwstr>
      </vt:variant>
      <vt:variant>
        <vt:i4>1114168</vt:i4>
      </vt:variant>
      <vt:variant>
        <vt:i4>329</vt:i4>
      </vt:variant>
      <vt:variant>
        <vt:i4>0</vt:i4>
      </vt:variant>
      <vt:variant>
        <vt:i4>5</vt:i4>
      </vt:variant>
      <vt:variant>
        <vt:lpwstr/>
      </vt:variant>
      <vt:variant>
        <vt:lpwstr>_Toc327357909</vt:lpwstr>
      </vt:variant>
      <vt:variant>
        <vt:i4>1114168</vt:i4>
      </vt:variant>
      <vt:variant>
        <vt:i4>326</vt:i4>
      </vt:variant>
      <vt:variant>
        <vt:i4>0</vt:i4>
      </vt:variant>
      <vt:variant>
        <vt:i4>5</vt:i4>
      </vt:variant>
      <vt:variant>
        <vt:lpwstr/>
      </vt:variant>
      <vt:variant>
        <vt:lpwstr>_Toc327357908</vt:lpwstr>
      </vt:variant>
      <vt:variant>
        <vt:i4>1114168</vt:i4>
      </vt:variant>
      <vt:variant>
        <vt:i4>323</vt:i4>
      </vt:variant>
      <vt:variant>
        <vt:i4>0</vt:i4>
      </vt:variant>
      <vt:variant>
        <vt:i4>5</vt:i4>
      </vt:variant>
      <vt:variant>
        <vt:lpwstr/>
      </vt:variant>
      <vt:variant>
        <vt:lpwstr>_Toc327357907</vt:lpwstr>
      </vt:variant>
      <vt:variant>
        <vt:i4>1114168</vt:i4>
      </vt:variant>
      <vt:variant>
        <vt:i4>320</vt:i4>
      </vt:variant>
      <vt:variant>
        <vt:i4>0</vt:i4>
      </vt:variant>
      <vt:variant>
        <vt:i4>5</vt:i4>
      </vt:variant>
      <vt:variant>
        <vt:lpwstr/>
      </vt:variant>
      <vt:variant>
        <vt:lpwstr>_Toc327357906</vt:lpwstr>
      </vt:variant>
      <vt:variant>
        <vt:i4>1114168</vt:i4>
      </vt:variant>
      <vt:variant>
        <vt:i4>317</vt:i4>
      </vt:variant>
      <vt:variant>
        <vt:i4>0</vt:i4>
      </vt:variant>
      <vt:variant>
        <vt:i4>5</vt:i4>
      </vt:variant>
      <vt:variant>
        <vt:lpwstr/>
      </vt:variant>
      <vt:variant>
        <vt:lpwstr>_Toc327357905</vt:lpwstr>
      </vt:variant>
      <vt:variant>
        <vt:i4>1114168</vt:i4>
      </vt:variant>
      <vt:variant>
        <vt:i4>314</vt:i4>
      </vt:variant>
      <vt:variant>
        <vt:i4>0</vt:i4>
      </vt:variant>
      <vt:variant>
        <vt:i4>5</vt:i4>
      </vt:variant>
      <vt:variant>
        <vt:lpwstr/>
      </vt:variant>
      <vt:variant>
        <vt:lpwstr>_Toc327357904</vt:lpwstr>
      </vt:variant>
      <vt:variant>
        <vt:i4>1114168</vt:i4>
      </vt:variant>
      <vt:variant>
        <vt:i4>311</vt:i4>
      </vt:variant>
      <vt:variant>
        <vt:i4>0</vt:i4>
      </vt:variant>
      <vt:variant>
        <vt:i4>5</vt:i4>
      </vt:variant>
      <vt:variant>
        <vt:lpwstr/>
      </vt:variant>
      <vt:variant>
        <vt:lpwstr>_Toc327357903</vt:lpwstr>
      </vt:variant>
      <vt:variant>
        <vt:i4>1114168</vt:i4>
      </vt:variant>
      <vt:variant>
        <vt:i4>308</vt:i4>
      </vt:variant>
      <vt:variant>
        <vt:i4>0</vt:i4>
      </vt:variant>
      <vt:variant>
        <vt:i4>5</vt:i4>
      </vt:variant>
      <vt:variant>
        <vt:lpwstr/>
      </vt:variant>
      <vt:variant>
        <vt:lpwstr>_Toc327357902</vt:lpwstr>
      </vt:variant>
      <vt:variant>
        <vt:i4>1114168</vt:i4>
      </vt:variant>
      <vt:variant>
        <vt:i4>305</vt:i4>
      </vt:variant>
      <vt:variant>
        <vt:i4>0</vt:i4>
      </vt:variant>
      <vt:variant>
        <vt:i4>5</vt:i4>
      </vt:variant>
      <vt:variant>
        <vt:lpwstr/>
      </vt:variant>
      <vt:variant>
        <vt:lpwstr>_Toc327357901</vt:lpwstr>
      </vt:variant>
      <vt:variant>
        <vt:i4>1114168</vt:i4>
      </vt:variant>
      <vt:variant>
        <vt:i4>302</vt:i4>
      </vt:variant>
      <vt:variant>
        <vt:i4>0</vt:i4>
      </vt:variant>
      <vt:variant>
        <vt:i4>5</vt:i4>
      </vt:variant>
      <vt:variant>
        <vt:lpwstr/>
      </vt:variant>
      <vt:variant>
        <vt:lpwstr>_Toc327357900</vt:lpwstr>
      </vt:variant>
      <vt:variant>
        <vt:i4>1572921</vt:i4>
      </vt:variant>
      <vt:variant>
        <vt:i4>299</vt:i4>
      </vt:variant>
      <vt:variant>
        <vt:i4>0</vt:i4>
      </vt:variant>
      <vt:variant>
        <vt:i4>5</vt:i4>
      </vt:variant>
      <vt:variant>
        <vt:lpwstr/>
      </vt:variant>
      <vt:variant>
        <vt:lpwstr>_Toc327357899</vt:lpwstr>
      </vt:variant>
      <vt:variant>
        <vt:i4>1572921</vt:i4>
      </vt:variant>
      <vt:variant>
        <vt:i4>296</vt:i4>
      </vt:variant>
      <vt:variant>
        <vt:i4>0</vt:i4>
      </vt:variant>
      <vt:variant>
        <vt:i4>5</vt:i4>
      </vt:variant>
      <vt:variant>
        <vt:lpwstr/>
      </vt:variant>
      <vt:variant>
        <vt:lpwstr>_Toc327357898</vt:lpwstr>
      </vt:variant>
      <vt:variant>
        <vt:i4>1572921</vt:i4>
      </vt:variant>
      <vt:variant>
        <vt:i4>293</vt:i4>
      </vt:variant>
      <vt:variant>
        <vt:i4>0</vt:i4>
      </vt:variant>
      <vt:variant>
        <vt:i4>5</vt:i4>
      </vt:variant>
      <vt:variant>
        <vt:lpwstr/>
      </vt:variant>
      <vt:variant>
        <vt:lpwstr>_Toc327357897</vt:lpwstr>
      </vt:variant>
      <vt:variant>
        <vt:i4>1572921</vt:i4>
      </vt:variant>
      <vt:variant>
        <vt:i4>290</vt:i4>
      </vt:variant>
      <vt:variant>
        <vt:i4>0</vt:i4>
      </vt:variant>
      <vt:variant>
        <vt:i4>5</vt:i4>
      </vt:variant>
      <vt:variant>
        <vt:lpwstr/>
      </vt:variant>
      <vt:variant>
        <vt:lpwstr>_Toc327357896</vt:lpwstr>
      </vt:variant>
      <vt:variant>
        <vt:i4>1572921</vt:i4>
      </vt:variant>
      <vt:variant>
        <vt:i4>287</vt:i4>
      </vt:variant>
      <vt:variant>
        <vt:i4>0</vt:i4>
      </vt:variant>
      <vt:variant>
        <vt:i4>5</vt:i4>
      </vt:variant>
      <vt:variant>
        <vt:lpwstr/>
      </vt:variant>
      <vt:variant>
        <vt:lpwstr>_Toc327357895</vt:lpwstr>
      </vt:variant>
      <vt:variant>
        <vt:i4>1572921</vt:i4>
      </vt:variant>
      <vt:variant>
        <vt:i4>284</vt:i4>
      </vt:variant>
      <vt:variant>
        <vt:i4>0</vt:i4>
      </vt:variant>
      <vt:variant>
        <vt:i4>5</vt:i4>
      </vt:variant>
      <vt:variant>
        <vt:lpwstr/>
      </vt:variant>
      <vt:variant>
        <vt:lpwstr>_Toc327357894</vt:lpwstr>
      </vt:variant>
      <vt:variant>
        <vt:i4>1572921</vt:i4>
      </vt:variant>
      <vt:variant>
        <vt:i4>281</vt:i4>
      </vt:variant>
      <vt:variant>
        <vt:i4>0</vt:i4>
      </vt:variant>
      <vt:variant>
        <vt:i4>5</vt:i4>
      </vt:variant>
      <vt:variant>
        <vt:lpwstr/>
      </vt:variant>
      <vt:variant>
        <vt:lpwstr>_Toc327357893</vt:lpwstr>
      </vt:variant>
      <vt:variant>
        <vt:i4>1572921</vt:i4>
      </vt:variant>
      <vt:variant>
        <vt:i4>278</vt:i4>
      </vt:variant>
      <vt:variant>
        <vt:i4>0</vt:i4>
      </vt:variant>
      <vt:variant>
        <vt:i4>5</vt:i4>
      </vt:variant>
      <vt:variant>
        <vt:lpwstr/>
      </vt:variant>
      <vt:variant>
        <vt:lpwstr>_Toc327357892</vt:lpwstr>
      </vt:variant>
      <vt:variant>
        <vt:i4>1572921</vt:i4>
      </vt:variant>
      <vt:variant>
        <vt:i4>275</vt:i4>
      </vt:variant>
      <vt:variant>
        <vt:i4>0</vt:i4>
      </vt:variant>
      <vt:variant>
        <vt:i4>5</vt:i4>
      </vt:variant>
      <vt:variant>
        <vt:lpwstr/>
      </vt:variant>
      <vt:variant>
        <vt:lpwstr>_Toc327357891</vt:lpwstr>
      </vt:variant>
      <vt:variant>
        <vt:i4>1572921</vt:i4>
      </vt:variant>
      <vt:variant>
        <vt:i4>272</vt:i4>
      </vt:variant>
      <vt:variant>
        <vt:i4>0</vt:i4>
      </vt:variant>
      <vt:variant>
        <vt:i4>5</vt:i4>
      </vt:variant>
      <vt:variant>
        <vt:lpwstr/>
      </vt:variant>
      <vt:variant>
        <vt:lpwstr>_Toc327357890</vt:lpwstr>
      </vt:variant>
      <vt:variant>
        <vt:i4>1638457</vt:i4>
      </vt:variant>
      <vt:variant>
        <vt:i4>269</vt:i4>
      </vt:variant>
      <vt:variant>
        <vt:i4>0</vt:i4>
      </vt:variant>
      <vt:variant>
        <vt:i4>5</vt:i4>
      </vt:variant>
      <vt:variant>
        <vt:lpwstr/>
      </vt:variant>
      <vt:variant>
        <vt:lpwstr>_Toc327357889</vt:lpwstr>
      </vt:variant>
      <vt:variant>
        <vt:i4>1638457</vt:i4>
      </vt:variant>
      <vt:variant>
        <vt:i4>266</vt:i4>
      </vt:variant>
      <vt:variant>
        <vt:i4>0</vt:i4>
      </vt:variant>
      <vt:variant>
        <vt:i4>5</vt:i4>
      </vt:variant>
      <vt:variant>
        <vt:lpwstr/>
      </vt:variant>
      <vt:variant>
        <vt:lpwstr>_Toc327357888</vt:lpwstr>
      </vt:variant>
      <vt:variant>
        <vt:i4>1638457</vt:i4>
      </vt:variant>
      <vt:variant>
        <vt:i4>263</vt:i4>
      </vt:variant>
      <vt:variant>
        <vt:i4>0</vt:i4>
      </vt:variant>
      <vt:variant>
        <vt:i4>5</vt:i4>
      </vt:variant>
      <vt:variant>
        <vt:lpwstr/>
      </vt:variant>
      <vt:variant>
        <vt:lpwstr>_Toc327357887</vt:lpwstr>
      </vt:variant>
      <vt:variant>
        <vt:i4>1638457</vt:i4>
      </vt:variant>
      <vt:variant>
        <vt:i4>260</vt:i4>
      </vt:variant>
      <vt:variant>
        <vt:i4>0</vt:i4>
      </vt:variant>
      <vt:variant>
        <vt:i4>5</vt:i4>
      </vt:variant>
      <vt:variant>
        <vt:lpwstr/>
      </vt:variant>
      <vt:variant>
        <vt:lpwstr>_Toc327357886</vt:lpwstr>
      </vt:variant>
      <vt:variant>
        <vt:i4>1638457</vt:i4>
      </vt:variant>
      <vt:variant>
        <vt:i4>257</vt:i4>
      </vt:variant>
      <vt:variant>
        <vt:i4>0</vt:i4>
      </vt:variant>
      <vt:variant>
        <vt:i4>5</vt:i4>
      </vt:variant>
      <vt:variant>
        <vt:lpwstr/>
      </vt:variant>
      <vt:variant>
        <vt:lpwstr>_Toc327357885</vt:lpwstr>
      </vt:variant>
      <vt:variant>
        <vt:i4>1638457</vt:i4>
      </vt:variant>
      <vt:variant>
        <vt:i4>254</vt:i4>
      </vt:variant>
      <vt:variant>
        <vt:i4>0</vt:i4>
      </vt:variant>
      <vt:variant>
        <vt:i4>5</vt:i4>
      </vt:variant>
      <vt:variant>
        <vt:lpwstr/>
      </vt:variant>
      <vt:variant>
        <vt:lpwstr>_Toc327357884</vt:lpwstr>
      </vt:variant>
      <vt:variant>
        <vt:i4>1638457</vt:i4>
      </vt:variant>
      <vt:variant>
        <vt:i4>251</vt:i4>
      </vt:variant>
      <vt:variant>
        <vt:i4>0</vt:i4>
      </vt:variant>
      <vt:variant>
        <vt:i4>5</vt:i4>
      </vt:variant>
      <vt:variant>
        <vt:lpwstr/>
      </vt:variant>
      <vt:variant>
        <vt:lpwstr>_Toc327357883</vt:lpwstr>
      </vt:variant>
      <vt:variant>
        <vt:i4>1638457</vt:i4>
      </vt:variant>
      <vt:variant>
        <vt:i4>248</vt:i4>
      </vt:variant>
      <vt:variant>
        <vt:i4>0</vt:i4>
      </vt:variant>
      <vt:variant>
        <vt:i4>5</vt:i4>
      </vt:variant>
      <vt:variant>
        <vt:lpwstr/>
      </vt:variant>
      <vt:variant>
        <vt:lpwstr>_Toc327357882</vt:lpwstr>
      </vt:variant>
      <vt:variant>
        <vt:i4>1638457</vt:i4>
      </vt:variant>
      <vt:variant>
        <vt:i4>245</vt:i4>
      </vt:variant>
      <vt:variant>
        <vt:i4>0</vt:i4>
      </vt:variant>
      <vt:variant>
        <vt:i4>5</vt:i4>
      </vt:variant>
      <vt:variant>
        <vt:lpwstr/>
      </vt:variant>
      <vt:variant>
        <vt:lpwstr>_Toc327357881</vt:lpwstr>
      </vt:variant>
      <vt:variant>
        <vt:i4>1638457</vt:i4>
      </vt:variant>
      <vt:variant>
        <vt:i4>242</vt:i4>
      </vt:variant>
      <vt:variant>
        <vt:i4>0</vt:i4>
      </vt:variant>
      <vt:variant>
        <vt:i4>5</vt:i4>
      </vt:variant>
      <vt:variant>
        <vt:lpwstr/>
      </vt:variant>
      <vt:variant>
        <vt:lpwstr>_Toc327357880</vt:lpwstr>
      </vt:variant>
      <vt:variant>
        <vt:i4>1441849</vt:i4>
      </vt:variant>
      <vt:variant>
        <vt:i4>239</vt:i4>
      </vt:variant>
      <vt:variant>
        <vt:i4>0</vt:i4>
      </vt:variant>
      <vt:variant>
        <vt:i4>5</vt:i4>
      </vt:variant>
      <vt:variant>
        <vt:lpwstr/>
      </vt:variant>
      <vt:variant>
        <vt:lpwstr>_Toc327357879</vt:lpwstr>
      </vt:variant>
      <vt:variant>
        <vt:i4>1441849</vt:i4>
      </vt:variant>
      <vt:variant>
        <vt:i4>236</vt:i4>
      </vt:variant>
      <vt:variant>
        <vt:i4>0</vt:i4>
      </vt:variant>
      <vt:variant>
        <vt:i4>5</vt:i4>
      </vt:variant>
      <vt:variant>
        <vt:lpwstr/>
      </vt:variant>
      <vt:variant>
        <vt:lpwstr>_Toc327357877</vt:lpwstr>
      </vt:variant>
      <vt:variant>
        <vt:i4>1441849</vt:i4>
      </vt:variant>
      <vt:variant>
        <vt:i4>233</vt:i4>
      </vt:variant>
      <vt:variant>
        <vt:i4>0</vt:i4>
      </vt:variant>
      <vt:variant>
        <vt:i4>5</vt:i4>
      </vt:variant>
      <vt:variant>
        <vt:lpwstr/>
      </vt:variant>
      <vt:variant>
        <vt:lpwstr>_Toc327357876</vt:lpwstr>
      </vt:variant>
      <vt:variant>
        <vt:i4>1441849</vt:i4>
      </vt:variant>
      <vt:variant>
        <vt:i4>230</vt:i4>
      </vt:variant>
      <vt:variant>
        <vt:i4>0</vt:i4>
      </vt:variant>
      <vt:variant>
        <vt:i4>5</vt:i4>
      </vt:variant>
      <vt:variant>
        <vt:lpwstr/>
      </vt:variant>
      <vt:variant>
        <vt:lpwstr>_Toc327357875</vt:lpwstr>
      </vt:variant>
      <vt:variant>
        <vt:i4>1441849</vt:i4>
      </vt:variant>
      <vt:variant>
        <vt:i4>227</vt:i4>
      </vt:variant>
      <vt:variant>
        <vt:i4>0</vt:i4>
      </vt:variant>
      <vt:variant>
        <vt:i4>5</vt:i4>
      </vt:variant>
      <vt:variant>
        <vt:lpwstr/>
      </vt:variant>
      <vt:variant>
        <vt:lpwstr>_Toc327357874</vt:lpwstr>
      </vt:variant>
      <vt:variant>
        <vt:i4>1441849</vt:i4>
      </vt:variant>
      <vt:variant>
        <vt:i4>224</vt:i4>
      </vt:variant>
      <vt:variant>
        <vt:i4>0</vt:i4>
      </vt:variant>
      <vt:variant>
        <vt:i4>5</vt:i4>
      </vt:variant>
      <vt:variant>
        <vt:lpwstr/>
      </vt:variant>
      <vt:variant>
        <vt:lpwstr>_Toc327357873</vt:lpwstr>
      </vt:variant>
      <vt:variant>
        <vt:i4>1441849</vt:i4>
      </vt:variant>
      <vt:variant>
        <vt:i4>221</vt:i4>
      </vt:variant>
      <vt:variant>
        <vt:i4>0</vt:i4>
      </vt:variant>
      <vt:variant>
        <vt:i4>5</vt:i4>
      </vt:variant>
      <vt:variant>
        <vt:lpwstr/>
      </vt:variant>
      <vt:variant>
        <vt:lpwstr>_Toc327357872</vt:lpwstr>
      </vt:variant>
      <vt:variant>
        <vt:i4>1441849</vt:i4>
      </vt:variant>
      <vt:variant>
        <vt:i4>218</vt:i4>
      </vt:variant>
      <vt:variant>
        <vt:i4>0</vt:i4>
      </vt:variant>
      <vt:variant>
        <vt:i4>5</vt:i4>
      </vt:variant>
      <vt:variant>
        <vt:lpwstr/>
      </vt:variant>
      <vt:variant>
        <vt:lpwstr>_Toc327357871</vt:lpwstr>
      </vt:variant>
      <vt:variant>
        <vt:i4>1441849</vt:i4>
      </vt:variant>
      <vt:variant>
        <vt:i4>215</vt:i4>
      </vt:variant>
      <vt:variant>
        <vt:i4>0</vt:i4>
      </vt:variant>
      <vt:variant>
        <vt:i4>5</vt:i4>
      </vt:variant>
      <vt:variant>
        <vt:lpwstr/>
      </vt:variant>
      <vt:variant>
        <vt:lpwstr>_Toc327357870</vt:lpwstr>
      </vt:variant>
      <vt:variant>
        <vt:i4>1507385</vt:i4>
      </vt:variant>
      <vt:variant>
        <vt:i4>212</vt:i4>
      </vt:variant>
      <vt:variant>
        <vt:i4>0</vt:i4>
      </vt:variant>
      <vt:variant>
        <vt:i4>5</vt:i4>
      </vt:variant>
      <vt:variant>
        <vt:lpwstr/>
      </vt:variant>
      <vt:variant>
        <vt:lpwstr>_Toc327357869</vt:lpwstr>
      </vt:variant>
      <vt:variant>
        <vt:i4>8323146</vt:i4>
      </vt:variant>
      <vt:variant>
        <vt:i4>207</vt:i4>
      </vt:variant>
      <vt:variant>
        <vt:i4>0</vt:i4>
      </vt:variant>
      <vt:variant>
        <vt:i4>5</vt:i4>
      </vt:variant>
      <vt:variant>
        <vt:lpwstr>mailto:pic@pic.int</vt:lpwstr>
      </vt:variant>
      <vt:variant>
        <vt:lpwstr/>
      </vt:variant>
      <vt:variant>
        <vt:i4>7340126</vt:i4>
      </vt:variant>
      <vt:variant>
        <vt:i4>204</vt:i4>
      </vt:variant>
      <vt:variant>
        <vt:i4>0</vt:i4>
      </vt:variant>
      <vt:variant>
        <vt:i4>5</vt:i4>
      </vt:variant>
      <vt:variant>
        <vt:lpwstr>mailto:pic@fao.org</vt:lpwstr>
      </vt:variant>
      <vt:variant>
        <vt:lpwstr/>
      </vt:variant>
      <vt:variant>
        <vt:i4>8323146</vt:i4>
      </vt:variant>
      <vt:variant>
        <vt:i4>201</vt:i4>
      </vt:variant>
      <vt:variant>
        <vt:i4>0</vt:i4>
      </vt:variant>
      <vt:variant>
        <vt:i4>5</vt:i4>
      </vt:variant>
      <vt:variant>
        <vt:lpwstr>mailto:pic@pic.int</vt:lpwstr>
      </vt:variant>
      <vt:variant>
        <vt:lpwstr/>
      </vt:variant>
      <vt:variant>
        <vt:i4>7340126</vt:i4>
      </vt:variant>
      <vt:variant>
        <vt:i4>198</vt:i4>
      </vt:variant>
      <vt:variant>
        <vt:i4>0</vt:i4>
      </vt:variant>
      <vt:variant>
        <vt:i4>5</vt:i4>
      </vt:variant>
      <vt:variant>
        <vt:lpwstr>mailto:pic@fao.org</vt:lpwstr>
      </vt:variant>
      <vt:variant>
        <vt:lpwstr/>
      </vt:variant>
      <vt:variant>
        <vt:i4>8323146</vt:i4>
      </vt:variant>
      <vt:variant>
        <vt:i4>195</vt:i4>
      </vt:variant>
      <vt:variant>
        <vt:i4>0</vt:i4>
      </vt:variant>
      <vt:variant>
        <vt:i4>5</vt:i4>
      </vt:variant>
      <vt:variant>
        <vt:lpwstr>mailto:pic@pic.int</vt:lpwstr>
      </vt:variant>
      <vt:variant>
        <vt:lpwstr/>
      </vt:variant>
      <vt:variant>
        <vt:i4>7340126</vt:i4>
      </vt:variant>
      <vt:variant>
        <vt:i4>192</vt:i4>
      </vt:variant>
      <vt:variant>
        <vt:i4>0</vt:i4>
      </vt:variant>
      <vt:variant>
        <vt:i4>5</vt:i4>
      </vt:variant>
      <vt:variant>
        <vt:lpwstr>mailto:pic@fao.org</vt:lpwstr>
      </vt:variant>
      <vt:variant>
        <vt:lpwstr/>
      </vt:variant>
      <vt:variant>
        <vt:i4>5570564</vt:i4>
      </vt:variant>
      <vt:variant>
        <vt:i4>189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Files/OLKD/www.pic.int</vt:lpwstr>
      </vt:variant>
      <vt:variant>
        <vt:lpwstr/>
      </vt:variant>
      <vt:variant>
        <vt:i4>3866625</vt:i4>
      </vt:variant>
      <vt:variant>
        <vt:i4>186</vt:i4>
      </vt:variant>
      <vt:variant>
        <vt:i4>0</vt:i4>
      </vt:variant>
      <vt:variant>
        <vt:i4>5</vt:i4>
      </vt:variant>
      <vt:variant>
        <vt:lpwstr>../../AppData/Local/Microsoft/Windows/Temporary Internet Files/AppData/Local/Microsoft/Windows/AppData/Local/Microsoft/Windows/AppData/Roaming/Microsoft/AppData/Local/Microsoft/Windows/Temporary Internet Files/2-Circular 31-XXXI/Final/pic@pic.int</vt:lpwstr>
      </vt:variant>
      <vt:variant>
        <vt:lpwstr/>
      </vt:variant>
      <vt:variant>
        <vt:i4>7340126</vt:i4>
      </vt:variant>
      <vt:variant>
        <vt:i4>183</vt:i4>
      </vt:variant>
      <vt:variant>
        <vt:i4>0</vt:i4>
      </vt:variant>
      <vt:variant>
        <vt:i4>5</vt:i4>
      </vt:variant>
      <vt:variant>
        <vt:lpwstr>mailto:pic@fao.org</vt:lpwstr>
      </vt:variant>
      <vt:variant>
        <vt:lpwstr/>
      </vt:variant>
      <vt:variant>
        <vt:i4>2424953</vt:i4>
      </vt:variant>
      <vt:variant>
        <vt:i4>180</vt:i4>
      </vt:variant>
      <vt:variant>
        <vt:i4>0</vt:i4>
      </vt:variant>
      <vt:variant>
        <vt:i4>5</vt:i4>
      </vt:variant>
      <vt:variant>
        <vt:lpwstr>http://www.pic.int/</vt:lpwstr>
      </vt:variant>
      <vt:variant>
        <vt:lpwstr/>
      </vt:variant>
      <vt:variant>
        <vt:i4>2424953</vt:i4>
      </vt:variant>
      <vt:variant>
        <vt:i4>177</vt:i4>
      </vt:variant>
      <vt:variant>
        <vt:i4>0</vt:i4>
      </vt:variant>
      <vt:variant>
        <vt:i4>5</vt:i4>
      </vt:variant>
      <vt:variant>
        <vt:lpwstr>http://www.pic.int/</vt:lpwstr>
      </vt:variant>
      <vt:variant>
        <vt:lpwstr/>
      </vt:variant>
      <vt:variant>
        <vt:i4>2424953</vt:i4>
      </vt:variant>
      <vt:variant>
        <vt:i4>174</vt:i4>
      </vt:variant>
      <vt:variant>
        <vt:i4>0</vt:i4>
      </vt:variant>
      <vt:variant>
        <vt:i4>5</vt:i4>
      </vt:variant>
      <vt:variant>
        <vt:lpwstr>http://www.pic.int/</vt:lpwstr>
      </vt:variant>
      <vt:variant>
        <vt:lpwstr/>
      </vt:variant>
      <vt:variant>
        <vt:i4>4587636</vt:i4>
      </vt:variant>
      <vt:variant>
        <vt:i4>171</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168</vt:i4>
      </vt:variant>
      <vt:variant>
        <vt:i4>0</vt:i4>
      </vt:variant>
      <vt:variant>
        <vt:i4>5</vt:i4>
      </vt:variant>
      <vt:variant>
        <vt:lpwstr>mailto:pic@fao.org</vt:lpwstr>
      </vt:variant>
      <vt:variant>
        <vt:lpwstr/>
      </vt:variant>
      <vt:variant>
        <vt:i4>2424953</vt:i4>
      </vt:variant>
      <vt:variant>
        <vt:i4>165</vt:i4>
      </vt:variant>
      <vt:variant>
        <vt:i4>0</vt:i4>
      </vt:variant>
      <vt:variant>
        <vt:i4>5</vt:i4>
      </vt:variant>
      <vt:variant>
        <vt:lpwstr>http://www.pic.int/</vt:lpwstr>
      </vt:variant>
      <vt:variant>
        <vt:lpwstr/>
      </vt:variant>
      <vt:variant>
        <vt:i4>2424953</vt:i4>
      </vt:variant>
      <vt:variant>
        <vt:i4>162</vt:i4>
      </vt:variant>
      <vt:variant>
        <vt:i4>0</vt:i4>
      </vt:variant>
      <vt:variant>
        <vt:i4>5</vt:i4>
      </vt:variant>
      <vt:variant>
        <vt:lpwstr>http://www.pic.int/</vt:lpwstr>
      </vt:variant>
      <vt:variant>
        <vt:lpwstr/>
      </vt:variant>
      <vt:variant>
        <vt:i4>4587636</vt:i4>
      </vt:variant>
      <vt:variant>
        <vt:i4>159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156</vt:i4>
      </vt:variant>
      <vt:variant>
        <vt:i4>0</vt:i4>
      </vt:variant>
      <vt:variant>
        <vt:i4>5</vt:i4>
      </vt:variant>
      <vt:variant>
        <vt:lpwstr>mailto:pic@fao.org</vt:lpwstr>
      </vt:variant>
      <vt:variant>
        <vt:lpwstr/>
      </vt:variant>
      <vt:variant>
        <vt:i4>2424953</vt:i4>
      </vt:variant>
      <vt:variant>
        <vt:i4>153</vt:i4>
      </vt:variant>
      <vt:variant>
        <vt:i4>0</vt:i4>
      </vt:variant>
      <vt:variant>
        <vt:i4>5</vt:i4>
      </vt:variant>
      <vt:variant>
        <vt:lpwstr>http://www.pic.int/</vt:lpwstr>
      </vt:variant>
      <vt:variant>
        <vt:lpwstr/>
      </vt:variant>
      <vt:variant>
        <vt:i4>4587636</vt:i4>
      </vt:variant>
      <vt:variant>
        <vt:i4>150</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147</vt:i4>
      </vt:variant>
      <vt:variant>
        <vt:i4>0</vt:i4>
      </vt:variant>
      <vt:variant>
        <vt:i4>5</vt:i4>
      </vt:variant>
      <vt:variant>
        <vt:lpwstr>mailto:pic@fao.org</vt:lpwstr>
      </vt:variant>
      <vt:variant>
        <vt:lpwstr/>
      </vt:variant>
      <vt:variant>
        <vt:i4>2424953</vt:i4>
      </vt:variant>
      <vt:variant>
        <vt:i4>144</vt:i4>
      </vt:variant>
      <vt:variant>
        <vt:i4>0</vt:i4>
      </vt:variant>
      <vt:variant>
        <vt:i4>5</vt:i4>
      </vt:variant>
      <vt:variant>
        <vt:lpwstr>http://www.pic.int/</vt:lpwstr>
      </vt:variant>
      <vt:variant>
        <vt:lpwstr/>
      </vt:variant>
      <vt:variant>
        <vt:i4>8323146</vt:i4>
      </vt:variant>
      <vt:variant>
        <vt:i4>141</vt:i4>
      </vt:variant>
      <vt:variant>
        <vt:i4>0</vt:i4>
      </vt:variant>
      <vt:variant>
        <vt:i4>5</vt:i4>
      </vt:variant>
      <vt:variant>
        <vt:lpwstr>mailto:pic@pic.int</vt:lpwstr>
      </vt:variant>
      <vt:variant>
        <vt:lpwstr/>
      </vt:variant>
      <vt:variant>
        <vt:i4>7340126</vt:i4>
      </vt:variant>
      <vt:variant>
        <vt:i4>138</vt:i4>
      </vt:variant>
      <vt:variant>
        <vt:i4>0</vt:i4>
      </vt:variant>
      <vt:variant>
        <vt:i4>5</vt:i4>
      </vt:variant>
      <vt:variant>
        <vt:lpwstr>mailto:pic@fao.org</vt:lpwstr>
      </vt:variant>
      <vt:variant>
        <vt:lpwstr/>
      </vt:variant>
      <vt:variant>
        <vt:i4>2424953</vt:i4>
      </vt:variant>
      <vt:variant>
        <vt:i4>135</vt:i4>
      </vt:variant>
      <vt:variant>
        <vt:i4>0</vt:i4>
      </vt:variant>
      <vt:variant>
        <vt:i4>5</vt:i4>
      </vt:variant>
      <vt:variant>
        <vt:lpwstr>http://www.pic.int/</vt:lpwstr>
      </vt:variant>
      <vt:variant>
        <vt:lpwstr/>
      </vt:variant>
      <vt:variant>
        <vt:i4>2424953</vt:i4>
      </vt:variant>
      <vt:variant>
        <vt:i4>132</vt:i4>
      </vt:variant>
      <vt:variant>
        <vt:i4>0</vt:i4>
      </vt:variant>
      <vt:variant>
        <vt:i4>5</vt:i4>
      </vt:variant>
      <vt:variant>
        <vt:lpwstr>http://www.pic.int/</vt:lpwstr>
      </vt:variant>
      <vt:variant>
        <vt:lpwstr/>
      </vt:variant>
      <vt:variant>
        <vt:i4>2424953</vt:i4>
      </vt:variant>
      <vt:variant>
        <vt:i4>129</vt:i4>
      </vt:variant>
      <vt:variant>
        <vt:i4>0</vt:i4>
      </vt:variant>
      <vt:variant>
        <vt:i4>5</vt:i4>
      </vt:variant>
      <vt:variant>
        <vt:lpwstr>http://www.pic.int/</vt:lpwstr>
      </vt:variant>
      <vt:variant>
        <vt:lpwstr/>
      </vt:variant>
      <vt:variant>
        <vt:i4>2424953</vt:i4>
      </vt:variant>
      <vt:variant>
        <vt:i4>126</vt:i4>
      </vt:variant>
      <vt:variant>
        <vt:i4>0</vt:i4>
      </vt:variant>
      <vt:variant>
        <vt:i4>5</vt:i4>
      </vt:variant>
      <vt:variant>
        <vt:lpwstr>http://www.pic.int/</vt:lpwstr>
      </vt:variant>
      <vt:variant>
        <vt:lpwstr/>
      </vt:variant>
      <vt:variant>
        <vt:i4>262269</vt:i4>
      </vt:variant>
      <vt:variant>
        <vt:i4>122</vt:i4>
      </vt:variant>
      <vt:variant>
        <vt:i4>0</vt:i4>
      </vt:variant>
      <vt:variant>
        <vt:i4>5</vt:i4>
      </vt:variant>
      <vt:variant>
        <vt:lpwstr>../../AppData/Local/Microsoft/Windows/AppData/Local/Microsoft/Windows/Temporary Internet Files/1-Circular 37-XXXVII-June 2013/Final/Circ37-EN.doc</vt:lpwstr>
      </vt:variant>
      <vt:variant>
        <vt:lpwstr>_Toc264537607</vt:lpwstr>
      </vt:variant>
      <vt:variant>
        <vt:i4>262269</vt:i4>
      </vt:variant>
      <vt:variant>
        <vt:i4>119</vt:i4>
      </vt:variant>
      <vt:variant>
        <vt:i4>0</vt:i4>
      </vt:variant>
      <vt:variant>
        <vt:i4>5</vt:i4>
      </vt:variant>
      <vt:variant>
        <vt:lpwstr>../../AppData/Local/Microsoft/Windows/AppData/Local/Microsoft/Windows/Temporary Internet Files/1-Circular 37-XXXVII-June 2013/Final/Circ37-EN.doc</vt:lpwstr>
      </vt:variant>
      <vt:variant>
        <vt:lpwstr>_Toc264537606</vt:lpwstr>
      </vt:variant>
      <vt:variant>
        <vt:i4>131198</vt:i4>
      </vt:variant>
      <vt:variant>
        <vt:i4>113</vt:i4>
      </vt:variant>
      <vt:variant>
        <vt:i4>0</vt:i4>
      </vt:variant>
      <vt:variant>
        <vt:i4>5</vt:i4>
      </vt:variant>
      <vt:variant>
        <vt:lpwstr>../../AppData/Local/Microsoft/Windows/AppData/Local/Microsoft/Windows/Temporary Internet Files/1-Circular 37-XXXVII-June 2013/Final/Circ37-EN.doc</vt:lpwstr>
      </vt:variant>
      <vt:variant>
        <vt:lpwstr>_Toc264537565</vt:lpwstr>
      </vt:variant>
      <vt:variant>
        <vt:i4>131198</vt:i4>
      </vt:variant>
      <vt:variant>
        <vt:i4>107</vt:i4>
      </vt:variant>
      <vt:variant>
        <vt:i4>0</vt:i4>
      </vt:variant>
      <vt:variant>
        <vt:i4>5</vt:i4>
      </vt:variant>
      <vt:variant>
        <vt:lpwstr>../../AppData/Local/Microsoft/Windows/AppData/Local/Microsoft/Windows/Temporary Internet Files/1-Circular 37-XXXVII-June 2013/Final/Circ37-EN.doc</vt:lpwstr>
      </vt:variant>
      <vt:variant>
        <vt:lpwstr>_Toc264537564</vt:lpwstr>
      </vt:variant>
      <vt:variant>
        <vt:i4>131198</vt:i4>
      </vt:variant>
      <vt:variant>
        <vt:i4>101</vt:i4>
      </vt:variant>
      <vt:variant>
        <vt:i4>0</vt:i4>
      </vt:variant>
      <vt:variant>
        <vt:i4>5</vt:i4>
      </vt:variant>
      <vt:variant>
        <vt:lpwstr>../../AppData/Local/Microsoft/Windows/AppData/Local/Microsoft/Windows/Temporary Internet Files/1-Circular 37-XXXVII-June 2013/Final/Circ37-EN.doc</vt:lpwstr>
      </vt:variant>
      <vt:variant>
        <vt:lpwstr>_Toc264537563</vt:lpwstr>
      </vt:variant>
      <vt:variant>
        <vt:i4>131198</vt:i4>
      </vt:variant>
      <vt:variant>
        <vt:i4>98</vt:i4>
      </vt:variant>
      <vt:variant>
        <vt:i4>0</vt:i4>
      </vt:variant>
      <vt:variant>
        <vt:i4>5</vt:i4>
      </vt:variant>
      <vt:variant>
        <vt:lpwstr>../../AppData/Local/Microsoft/Windows/AppData/Local/Microsoft/Windows/Temporary Internet Files/1-Circular 37-XXXVII-June 2013/Final/Circ37-EN.doc</vt:lpwstr>
      </vt:variant>
      <vt:variant>
        <vt:lpwstr>_Toc264537562</vt:lpwstr>
      </vt:variant>
      <vt:variant>
        <vt:i4>1441842</vt:i4>
      </vt:variant>
      <vt:variant>
        <vt:i4>92</vt:i4>
      </vt:variant>
      <vt:variant>
        <vt:i4>0</vt:i4>
      </vt:variant>
      <vt:variant>
        <vt:i4>5</vt:i4>
      </vt:variant>
      <vt:variant>
        <vt:lpwstr/>
      </vt:variant>
      <vt:variant>
        <vt:lpwstr>_Toc405375470</vt:lpwstr>
      </vt:variant>
      <vt:variant>
        <vt:i4>1507378</vt:i4>
      </vt:variant>
      <vt:variant>
        <vt:i4>86</vt:i4>
      </vt:variant>
      <vt:variant>
        <vt:i4>0</vt:i4>
      </vt:variant>
      <vt:variant>
        <vt:i4>5</vt:i4>
      </vt:variant>
      <vt:variant>
        <vt:lpwstr/>
      </vt:variant>
      <vt:variant>
        <vt:lpwstr>_Toc405375469</vt:lpwstr>
      </vt:variant>
      <vt:variant>
        <vt:i4>1507378</vt:i4>
      </vt:variant>
      <vt:variant>
        <vt:i4>80</vt:i4>
      </vt:variant>
      <vt:variant>
        <vt:i4>0</vt:i4>
      </vt:variant>
      <vt:variant>
        <vt:i4>5</vt:i4>
      </vt:variant>
      <vt:variant>
        <vt:lpwstr/>
      </vt:variant>
      <vt:variant>
        <vt:lpwstr>_Toc405375468</vt:lpwstr>
      </vt:variant>
      <vt:variant>
        <vt:i4>1507378</vt:i4>
      </vt:variant>
      <vt:variant>
        <vt:i4>74</vt:i4>
      </vt:variant>
      <vt:variant>
        <vt:i4>0</vt:i4>
      </vt:variant>
      <vt:variant>
        <vt:i4>5</vt:i4>
      </vt:variant>
      <vt:variant>
        <vt:lpwstr/>
      </vt:variant>
      <vt:variant>
        <vt:lpwstr>_Toc405375467</vt:lpwstr>
      </vt:variant>
      <vt:variant>
        <vt:i4>1507378</vt:i4>
      </vt:variant>
      <vt:variant>
        <vt:i4>68</vt:i4>
      </vt:variant>
      <vt:variant>
        <vt:i4>0</vt:i4>
      </vt:variant>
      <vt:variant>
        <vt:i4>5</vt:i4>
      </vt:variant>
      <vt:variant>
        <vt:lpwstr/>
      </vt:variant>
      <vt:variant>
        <vt:lpwstr>_Toc405375466</vt:lpwstr>
      </vt:variant>
      <vt:variant>
        <vt:i4>1507378</vt:i4>
      </vt:variant>
      <vt:variant>
        <vt:i4>62</vt:i4>
      </vt:variant>
      <vt:variant>
        <vt:i4>0</vt:i4>
      </vt:variant>
      <vt:variant>
        <vt:i4>5</vt:i4>
      </vt:variant>
      <vt:variant>
        <vt:lpwstr/>
      </vt:variant>
      <vt:variant>
        <vt:lpwstr>_Toc405375465</vt:lpwstr>
      </vt:variant>
      <vt:variant>
        <vt:i4>1507378</vt:i4>
      </vt:variant>
      <vt:variant>
        <vt:i4>56</vt:i4>
      </vt:variant>
      <vt:variant>
        <vt:i4>0</vt:i4>
      </vt:variant>
      <vt:variant>
        <vt:i4>5</vt:i4>
      </vt:variant>
      <vt:variant>
        <vt:lpwstr/>
      </vt:variant>
      <vt:variant>
        <vt:lpwstr>_Toc405375464</vt:lpwstr>
      </vt:variant>
      <vt:variant>
        <vt:i4>1507378</vt:i4>
      </vt:variant>
      <vt:variant>
        <vt:i4>50</vt:i4>
      </vt:variant>
      <vt:variant>
        <vt:i4>0</vt:i4>
      </vt:variant>
      <vt:variant>
        <vt:i4>5</vt:i4>
      </vt:variant>
      <vt:variant>
        <vt:lpwstr/>
      </vt:variant>
      <vt:variant>
        <vt:lpwstr>_Toc405375463</vt:lpwstr>
      </vt:variant>
      <vt:variant>
        <vt:i4>1507378</vt:i4>
      </vt:variant>
      <vt:variant>
        <vt:i4>44</vt:i4>
      </vt:variant>
      <vt:variant>
        <vt:i4>0</vt:i4>
      </vt:variant>
      <vt:variant>
        <vt:i4>5</vt:i4>
      </vt:variant>
      <vt:variant>
        <vt:lpwstr/>
      </vt:variant>
      <vt:variant>
        <vt:lpwstr>_Toc405375462</vt:lpwstr>
      </vt:variant>
      <vt:variant>
        <vt:i4>1507378</vt:i4>
      </vt:variant>
      <vt:variant>
        <vt:i4>38</vt:i4>
      </vt:variant>
      <vt:variant>
        <vt:i4>0</vt:i4>
      </vt:variant>
      <vt:variant>
        <vt:i4>5</vt:i4>
      </vt:variant>
      <vt:variant>
        <vt:lpwstr/>
      </vt:variant>
      <vt:variant>
        <vt:lpwstr>_Toc405375461</vt:lpwstr>
      </vt:variant>
      <vt:variant>
        <vt:i4>1507378</vt:i4>
      </vt:variant>
      <vt:variant>
        <vt:i4>32</vt:i4>
      </vt:variant>
      <vt:variant>
        <vt:i4>0</vt:i4>
      </vt:variant>
      <vt:variant>
        <vt:i4>5</vt:i4>
      </vt:variant>
      <vt:variant>
        <vt:lpwstr/>
      </vt:variant>
      <vt:variant>
        <vt:lpwstr>_Toc405375460</vt:lpwstr>
      </vt:variant>
      <vt:variant>
        <vt:i4>1310770</vt:i4>
      </vt:variant>
      <vt:variant>
        <vt:i4>26</vt:i4>
      </vt:variant>
      <vt:variant>
        <vt:i4>0</vt:i4>
      </vt:variant>
      <vt:variant>
        <vt:i4>5</vt:i4>
      </vt:variant>
      <vt:variant>
        <vt:lpwstr/>
      </vt:variant>
      <vt:variant>
        <vt:lpwstr>_Toc405375459</vt:lpwstr>
      </vt:variant>
      <vt:variant>
        <vt:i4>1310770</vt:i4>
      </vt:variant>
      <vt:variant>
        <vt:i4>20</vt:i4>
      </vt:variant>
      <vt:variant>
        <vt:i4>0</vt:i4>
      </vt:variant>
      <vt:variant>
        <vt:i4>5</vt:i4>
      </vt:variant>
      <vt:variant>
        <vt:lpwstr/>
      </vt:variant>
      <vt:variant>
        <vt:lpwstr>_Toc405375458</vt:lpwstr>
      </vt:variant>
      <vt:variant>
        <vt:i4>1310770</vt:i4>
      </vt:variant>
      <vt:variant>
        <vt:i4>14</vt:i4>
      </vt:variant>
      <vt:variant>
        <vt:i4>0</vt:i4>
      </vt:variant>
      <vt:variant>
        <vt:i4>5</vt:i4>
      </vt:variant>
      <vt:variant>
        <vt:lpwstr/>
      </vt:variant>
      <vt:variant>
        <vt:lpwstr>_Toc405375457</vt:lpwstr>
      </vt:variant>
      <vt:variant>
        <vt:i4>1310770</vt:i4>
      </vt:variant>
      <vt:variant>
        <vt:i4>8</vt:i4>
      </vt:variant>
      <vt:variant>
        <vt:i4>0</vt:i4>
      </vt:variant>
      <vt:variant>
        <vt:i4>5</vt:i4>
      </vt:variant>
      <vt:variant>
        <vt:lpwstr/>
      </vt:variant>
      <vt:variant>
        <vt:lpwstr>_Toc405375456</vt:lpwstr>
      </vt:variant>
      <vt:variant>
        <vt:i4>1310770</vt:i4>
      </vt:variant>
      <vt:variant>
        <vt:i4>2</vt:i4>
      </vt:variant>
      <vt:variant>
        <vt:i4>0</vt:i4>
      </vt:variant>
      <vt:variant>
        <vt:i4>5</vt:i4>
      </vt:variant>
      <vt:variant>
        <vt:lpwstr/>
      </vt:variant>
      <vt:variant>
        <vt:lpwstr>_Toc405375455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 CIRCULAR XXVI– June December2007</dc:title>
  <dc:creator>Tagliati, Elisabetta (AGPP)</dc:creator>
  <cp:lastModifiedBy>kei</cp:lastModifiedBy>
  <cp:revision>130</cp:revision>
  <cp:lastPrinted>2017-06-12T12:46:00Z</cp:lastPrinted>
  <dcterms:created xsi:type="dcterms:W3CDTF">2017-06-08T14:26:00Z</dcterms:created>
  <dcterms:modified xsi:type="dcterms:W3CDTF">2017-07-10T08:45:00Z</dcterms:modified>
</cp:coreProperties>
</file>