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0" w:rsidRPr="003478B3" w:rsidRDefault="00610910" w:rsidP="00610910">
      <w:pPr>
        <w:ind w:left="1247" w:right="284"/>
        <w:rPr>
          <w:b/>
          <w:sz w:val="28"/>
          <w:szCs w:val="28"/>
          <w:lang w:val="ru-RU"/>
        </w:rPr>
      </w:pPr>
      <w:r w:rsidRPr="003478B3">
        <w:rPr>
          <w:b/>
          <w:sz w:val="28"/>
          <w:szCs w:val="28"/>
          <w:lang w:val="ru-RU"/>
        </w:rPr>
        <w:t>РК-8/14: Синергия в деле предотвращения и пресечения незаконного оборота опасных химических веществ и отходов и торговли ими</w:t>
      </w:r>
    </w:p>
    <w:p w:rsidR="00610910" w:rsidRPr="003478B3" w:rsidRDefault="00610910" w:rsidP="00610910">
      <w:pPr>
        <w:ind w:left="1248" w:firstLine="624"/>
        <w:rPr>
          <w:i/>
          <w:lang w:val="ru-RU"/>
        </w:rPr>
      </w:pPr>
      <w:r w:rsidRPr="003478B3">
        <w:rPr>
          <w:i/>
          <w:lang w:val="ru-RU"/>
        </w:rPr>
        <w:t>Конференция Сторон,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i/>
          <w:lang w:val="ru-RU"/>
        </w:rPr>
        <w:t>отмечая</w:t>
      </w:r>
      <w:r w:rsidRPr="003478B3">
        <w:rPr>
          <w:lang w:val="ru-RU"/>
        </w:rPr>
        <w:t xml:space="preserve"> приоритетные области для принятия мер, признанные в решении СК-8/18 об оценке эффективности, в той части, в которой они касаются укрепления законодательства и регламентирующих актов для осуществления и обеспечения соблюдения Стокгольмской конвенции о стойких органических загрязнителях,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i/>
          <w:lang w:val="ru-RU"/>
        </w:rPr>
        <w:t>принимая во внимание</w:t>
      </w:r>
      <w:r w:rsidRPr="003478B3">
        <w:rPr>
          <w:lang w:val="ru-RU"/>
        </w:rPr>
        <w:t xml:space="preserve"> решение БК-13/10 о национальном законодательстве, уведомлениях, обеспечении соблюдения Базельской конвенции о контроле за трансграничной перевозкой опасных отходов и их удалением и усилиях по борьбе с незаконным оборотом в соответствии с Конвенцией,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1.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приветствует</w:t>
      </w:r>
      <w:r w:rsidRPr="003478B3">
        <w:rPr>
          <w:lang w:val="ru-RU"/>
        </w:rPr>
        <w:t xml:space="preserve"> анализ возможной синергии в деле предотвращения и пресечения незаконного оборота опасных химических веществ и отходов и торговли ими с учетом опыта, приобретенного в рамках Базельской конвенции о контроле за трансграничной перевозкой опасных отходов и их удалением</w:t>
      </w:r>
      <w:r w:rsidRPr="003478B3">
        <w:rPr>
          <w:vertAlign w:val="superscript"/>
          <w:lang w:val="ru-RU"/>
        </w:rPr>
        <w:footnoteReference w:id="1"/>
      </w:r>
      <w:r w:rsidRPr="003478B3">
        <w:rPr>
          <w:lang w:val="ru-RU"/>
        </w:rPr>
        <w:t>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2.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подчеркивает</w:t>
      </w:r>
      <w:r w:rsidRPr="003478B3">
        <w:rPr>
          <w:lang w:val="ru-RU"/>
        </w:rPr>
        <w:t xml:space="preserve"> важность эффективного осуществления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торговле, в частности – статьей 11 и 12, для предотвращения и пресечения незаконной торговли опасными химическими веществами;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3.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подчеркивает</w:t>
      </w:r>
      <w:r w:rsidRPr="003478B3">
        <w:rPr>
          <w:lang w:val="ru-RU"/>
        </w:rPr>
        <w:t xml:space="preserve"> важность надлежащих правовых и институциональных рамок на национальном уровне в деле предотвращения и пресечения незаконного оборота опасных химических веществ и отходов и торговли ими в рамках Базельской конвенции, Роттердамской конвенции и Стокгольмской конвенции;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4.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подчеркивает</w:t>
      </w:r>
      <w:r w:rsidRPr="003478B3">
        <w:rPr>
          <w:lang w:val="ru-RU"/>
        </w:rPr>
        <w:t xml:space="preserve"> необходимость обеспечивать взаимодополняемость и согласованность и избегать дублирования проводимой в рамках конвенций работы по вопросам незаконного оборота и торговли с аналогичной работой Программы Организации Объединенных Наций по окружающей среде и других соответствующих организаций;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5.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настоятельно призывает</w:t>
      </w:r>
      <w:r w:rsidRPr="003478B3">
        <w:rPr>
          <w:lang w:val="ru-RU"/>
        </w:rPr>
        <w:t xml:space="preserve"> Стороны усилить меры, предпринимаемые в рамках конвенций, включая сотрудничество с другими Сторонами, в целях пресечения незаконного оборота опасных химических веществ и отходов и торговли ими;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6.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 xml:space="preserve">подчеркивает </w:t>
      </w:r>
      <w:r w:rsidRPr="003478B3">
        <w:rPr>
          <w:lang w:val="ru-RU"/>
        </w:rPr>
        <w:t>важность информации, которая представляется секретариату Сторонами в рамках каждой конвенции, о принятых ими мерах для осуществления конвенций, и поручает секретариату размещать информацию, касающуюся незаконного оборота и торговли, если она не признана конфиденциальной соответствующими Сторонами, на веб-сайте конвенции, не дублируя аналогичные поручения в рамках других конвенций;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7.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призывает</w:t>
      </w:r>
      <w:r w:rsidRPr="003478B3">
        <w:rPr>
          <w:lang w:val="ru-RU"/>
        </w:rPr>
        <w:t xml:space="preserve"> Стороны, являющиеся Сторонами двух или более конвенций из числа Базельской, Роттердамской и Стокгольмской конвенций: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а)</w:t>
      </w:r>
      <w:r w:rsidRPr="003478B3">
        <w:rPr>
          <w:lang w:val="ru-RU"/>
        </w:rPr>
        <w:tab/>
        <w:t>учредить, если таковые отсутствуют, координационные механизмы на национальном уровне в целях содействия обмену информацией между соответствующими органами, ответственными за осуществление и обеспечение соблюдения положений конвенций, в целях обеспечения контроля за экспортом и импортом химических веществ и отходов, подпадающих под действие данных конвенций, и другими соответствующими учреждениями и частным сектором;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b)</w:t>
      </w:r>
      <w:r w:rsidRPr="003478B3">
        <w:rPr>
          <w:lang w:val="ru-RU"/>
        </w:rPr>
        <w:tab/>
        <w:t xml:space="preserve">изучить с использованием этих координационных механизмов опыт, приобретенный в рамках каждой конвенции, который может принести пользу в деле </w:t>
      </w:r>
      <w:r w:rsidRPr="003478B3">
        <w:rPr>
          <w:lang w:val="ru-RU"/>
        </w:rPr>
        <w:lastRenderedPageBreak/>
        <w:t>осуществления и обеспечения соблюдения других конвенций, и, по мере необходимости, соответствующим образом скорректировать свои правовые и институциональные механизмы;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8.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предлагает</w:t>
      </w:r>
      <w:r w:rsidRPr="003478B3">
        <w:rPr>
          <w:lang w:val="ru-RU"/>
        </w:rPr>
        <w:t xml:space="preserve"> Сторонам обмениваться через секретариат с другими Сторонами, избегая при этом дублирования: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а)</w:t>
      </w:r>
      <w:r w:rsidRPr="003478B3">
        <w:rPr>
          <w:lang w:val="ru-RU"/>
        </w:rPr>
        <w:tab/>
        <w:t>своим опытом в соответствии с пунктом 7 выше;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b)</w:t>
      </w:r>
      <w:r w:rsidRPr="003478B3">
        <w:rPr>
          <w:lang w:val="ru-RU"/>
        </w:rPr>
        <w:tab/>
        <w:t>информацией о случаях незаконной торговли опасными химическими веществами и отходами;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9.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предлагает</w:t>
      </w:r>
      <w:r w:rsidRPr="003478B3">
        <w:rPr>
          <w:lang w:val="ru-RU"/>
        </w:rPr>
        <w:t xml:space="preserve"> организациям – членам Межорганизационной программы по рациональному регулированию химических веществ, региональным центрам Базельской конвенции и Стокгольмской конвенции, Международной организации уголовной полиции, Всемирной таможенной организации, секретариату Монреальского протокола по веществам, разрушающим озоновый слой, и соответствующим глобальным и региональным сетям по обеспечению соблюдения представить через секретариат Конференции Сторон информацию о своей деятельности, направленной на предотвращение и пресечение незаконного оборота опасных химических веществ и отходов и торговли ими, а также об опыте, приобретенном в ходе этой деятельности, для рассмотрения Конференцией Сторон на ее следующем совещании;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10.</w:t>
      </w:r>
      <w:r w:rsidRPr="003478B3">
        <w:rPr>
          <w:lang w:val="ru-RU"/>
        </w:rPr>
        <w:tab/>
      </w:r>
      <w:r w:rsidRPr="003478B3">
        <w:rPr>
          <w:i/>
          <w:lang w:val="ru-RU"/>
        </w:rPr>
        <w:t>поручает</w:t>
      </w:r>
      <w:r w:rsidRPr="003478B3">
        <w:rPr>
          <w:lang w:val="ru-RU"/>
        </w:rPr>
        <w:t xml:space="preserve"> секретариату: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а)</w:t>
      </w:r>
      <w:r w:rsidRPr="003478B3">
        <w:rPr>
          <w:lang w:val="ru-RU"/>
        </w:rPr>
        <w:tab/>
        <w:t>запросить, при условии наличия ресурсов, от Сторон и других субъектов замечания в отношении других областей, включая общие для двух или трех конвенций области, в которых может быть повышена юридическая четкость в качестве одного из средств предотвращения и пресечения незаконного оборота опасных химических веществ и отходов и торговли ими, и подготовить на основании этих замечаний доклад, включающий рекомендации, для рассмотрения Конференцией Сторон на ее следующем совещании;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b)</w:t>
      </w:r>
      <w:r w:rsidRPr="003478B3">
        <w:rPr>
          <w:lang w:val="ru-RU"/>
        </w:rPr>
        <w:tab/>
        <w:t>оказывать Сторонам, по их запросу и в пределах имеющихся ресурсов, поддержку по вопросам, касающимся осуществления и обеспечения соблюдения положений Базельской, Роттердамской и Стокгольмской конвенций, направленную на обеспечение контроля за экспортом и импортом химических веществ и отходов, подпадающих под действие трех конвенций, включая подготовку и обновление национального законодательства или иные меры;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с)</w:t>
      </w:r>
      <w:r w:rsidRPr="003478B3">
        <w:rPr>
          <w:lang w:val="ru-RU"/>
        </w:rPr>
        <w:tab/>
        <w:t>подготовить примеры включения положений Базельской, Роттердамской и Стокгольмской конвенций в нормативно-правовую базу на национальном уровне и организовать мероприятия по профессиональной подготовке, при условии наличия ресурсов и в сотрудничестве с партнерами, для оказания содействия Сторонам, в частности – Сторонам, являющимся развивающимися странами, и Сторонам с переходной экономикой, в разработке национального законодательства и других мер по осуществлению и обеспечению соблюдения положений конвенций, направленных на обеспечение контроля за экспортом и импортом химических веществ и отходов, подпадающих под действие конвенций;</w:t>
      </w:r>
    </w:p>
    <w:p w:rsidR="00610910" w:rsidRPr="003478B3" w:rsidRDefault="00610910" w:rsidP="00610910">
      <w:pPr>
        <w:ind w:left="1248" w:firstLine="624"/>
        <w:rPr>
          <w:lang w:val="ru-RU"/>
        </w:rPr>
      </w:pPr>
      <w:r w:rsidRPr="003478B3">
        <w:rPr>
          <w:lang w:val="ru-RU"/>
        </w:rPr>
        <w:t>d)</w:t>
      </w:r>
      <w:r w:rsidRPr="003478B3">
        <w:rPr>
          <w:lang w:val="ru-RU"/>
        </w:rPr>
        <w:tab/>
        <w:t>представить доклад о выполнении настоящего решения Конференции Сторон на ее следующем совещании.</w:t>
      </w:r>
    </w:p>
    <w:p w:rsidR="006B304F" w:rsidRDefault="006B304F"/>
    <w:sectPr w:rsidR="006B304F" w:rsidSect="006B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B8" w:rsidRDefault="000E4CB8" w:rsidP="00610910">
      <w:pPr>
        <w:spacing w:after="0"/>
      </w:pPr>
      <w:r>
        <w:separator/>
      </w:r>
    </w:p>
  </w:endnote>
  <w:endnote w:type="continuationSeparator" w:id="0">
    <w:p w:rsidR="000E4CB8" w:rsidRDefault="000E4CB8" w:rsidP="00610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B8" w:rsidRDefault="000E4CB8" w:rsidP="00610910">
      <w:pPr>
        <w:spacing w:after="0"/>
      </w:pPr>
      <w:r>
        <w:separator/>
      </w:r>
    </w:p>
  </w:footnote>
  <w:footnote w:type="continuationSeparator" w:id="0">
    <w:p w:rsidR="000E4CB8" w:rsidRDefault="000E4CB8" w:rsidP="00610910">
      <w:pPr>
        <w:spacing w:after="0"/>
      </w:pPr>
      <w:r>
        <w:continuationSeparator/>
      </w:r>
    </w:p>
  </w:footnote>
  <w:footnote w:id="1">
    <w:p w:rsidR="00610910" w:rsidRPr="00BC3D09" w:rsidRDefault="00610910" w:rsidP="0061091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BC3D09">
        <w:rPr>
          <w:rStyle w:val="FootnoteReference"/>
          <w:rFonts w:eastAsiaTheme="majorEastAsia"/>
        </w:rPr>
        <w:footnoteRef/>
      </w:r>
      <w:r w:rsidRPr="00BC3D09">
        <w:rPr>
          <w:szCs w:val="18"/>
          <w:lang w:val="en-US"/>
        </w:rPr>
        <w:tab/>
        <w:t>UNEP/CHW.13/INF/49-UNEP/FAO/RC/COP.8/INF/34-UNEP/POPS/COP.8/INF/51.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910"/>
    <w:rsid w:val="000E4CB8"/>
    <w:rsid w:val="00610910"/>
    <w:rsid w:val="006B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9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number,SUPERS,Footnote Reference Superscript,(Ref. de nota al pie),Footnote Reference1,Ref,de nota al pie,註腳內容,de nota al pie + (Asian) MS Mincho,11 pt,Ref. de nota de rodapé1,stylish,Footnote symbol"/>
    <w:uiPriority w:val="99"/>
    <w:rsid w:val="0061091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n,Footnotes,Footnote ak,ft,fn cafc,Footnotes Char Char,Footnote Text Char Char,fn Char Char,footnote text Char Char Char Ch,Footnote Text Char1,footnote text Char Char Char Ch Char,-E Fußnotente"/>
    <w:basedOn w:val="Normal"/>
    <w:link w:val="FootnoteTextChar"/>
    <w:rsid w:val="0061091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 w:val="0"/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aliases w:val="Geneva 9 Char1,Font: Geneva 9 Char1,Boston 10 Char1,f Char1,DNV-FT Char,fn Char,Footnotes Char,Footnote ak Char,ft Char,fn cafc Char,Footnotes Char Char Char,Footnote Text Char Char Char,fn Char Char Char,Footnote Text Char1 Char"/>
    <w:basedOn w:val="DefaultParagraphFont"/>
    <w:link w:val="FootnoteText"/>
    <w:rsid w:val="00610910"/>
    <w:rPr>
      <w:rFonts w:ascii="Times New Roman" w:eastAsia="Times New Roman" w:hAnsi="Times New Roman" w:cs="Times New Roman"/>
      <w:sz w:val="18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5150</Characters>
  <Application>Microsoft Office Word</Application>
  <DocSecurity>0</DocSecurity>
  <Lines>42</Lines>
  <Paragraphs>12</Paragraphs>
  <ScaleCrop>false</ScaleCrop>
  <Company>BRS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achakwera</dc:creator>
  <cp:lastModifiedBy>achakwera</cp:lastModifiedBy>
  <cp:revision>1</cp:revision>
  <dcterms:created xsi:type="dcterms:W3CDTF">2018-01-29T16:05:00Z</dcterms:created>
  <dcterms:modified xsi:type="dcterms:W3CDTF">2018-01-29T16:05:00Z</dcterms:modified>
</cp:coreProperties>
</file>