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18" w:rsidRPr="00C62790" w:rsidRDefault="00C77518" w:rsidP="00263D77">
      <w:pPr>
        <w:pStyle w:val="CH1"/>
        <w:ind w:left="1253" w:right="288" w:hanging="1253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CRC-13/2 </w:t>
      </w:r>
      <w:r w:rsidRPr="00C62790">
        <w:rPr>
          <w:lang w:val="fr-FR"/>
        </w:rPr>
        <w:t xml:space="preserve">: 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</w:t>
      </w:r>
    </w:p>
    <w:p w:rsidR="00C77518" w:rsidRPr="00C62790" w:rsidRDefault="00C77518" w:rsidP="00C77518">
      <w:pPr>
        <w:tabs>
          <w:tab w:val="left" w:pos="4082"/>
        </w:tabs>
        <w:spacing w:after="120"/>
        <w:ind w:left="1247" w:firstLine="624"/>
        <w:rPr>
          <w:i/>
        </w:rPr>
      </w:pPr>
      <w:r w:rsidRPr="00C62790">
        <w:rPr>
          <w:i/>
        </w:rPr>
        <w:t>Le Comité d</w:t>
      </w:r>
      <w:r>
        <w:rPr>
          <w:i/>
        </w:rPr>
        <w:t>’</w:t>
      </w:r>
      <w:r w:rsidRPr="00C62790">
        <w:rPr>
          <w:i/>
        </w:rPr>
        <w:t>étude des produits chimiques</w:t>
      </w:r>
      <w:r w:rsidRPr="00C62790">
        <w:t>,</w:t>
      </w:r>
    </w:p>
    <w:p w:rsidR="00C77518" w:rsidRPr="00C62790" w:rsidRDefault="00C77518" w:rsidP="00C77518">
      <w:pPr>
        <w:tabs>
          <w:tab w:val="left" w:pos="624"/>
        </w:tabs>
        <w:spacing w:after="120"/>
        <w:ind w:left="1247" w:firstLine="624"/>
      </w:pPr>
      <w:r w:rsidRPr="00C62790">
        <w:rPr>
          <w:i/>
        </w:rPr>
        <w:t>Rappelant</w:t>
      </w:r>
      <w:r w:rsidRPr="00C62790">
        <w:t xml:space="preserve"> l</w:t>
      </w:r>
      <w:r>
        <w:t>’</w:t>
      </w:r>
      <w:r w:rsidRPr="00C62790">
        <w:t>article 5 de la Convention de Rotterdam sur la procédure de consentement préalable en connaissance de cause applicable à certains produits chimiques et pesticides dangereux qui font l</w:t>
      </w:r>
      <w:r>
        <w:t>’</w:t>
      </w:r>
      <w:r w:rsidRPr="00C62790">
        <w:t>objet d</w:t>
      </w:r>
      <w:r>
        <w:t>’</w:t>
      </w:r>
      <w:r w:rsidRPr="00C62790">
        <w:t>un commerce international,</w:t>
      </w:r>
    </w:p>
    <w:p w:rsidR="00C77518" w:rsidRPr="00C62790" w:rsidRDefault="00C77518" w:rsidP="00C77518">
      <w:pPr>
        <w:tabs>
          <w:tab w:val="left" w:pos="624"/>
          <w:tab w:val="left" w:pos="2520"/>
        </w:tabs>
        <w:spacing w:after="120"/>
        <w:ind w:left="1247" w:firstLine="624"/>
      </w:pPr>
      <w:r w:rsidRPr="00C62790">
        <w:rPr>
          <w:iCs/>
        </w:rPr>
        <w:t>1.</w:t>
      </w:r>
      <w:r w:rsidRPr="00C62790">
        <w:rPr>
          <w:iCs/>
        </w:rPr>
        <w:tab/>
      </w:r>
      <w:r w:rsidRPr="00C62790">
        <w:rPr>
          <w:i/>
          <w:iCs/>
        </w:rPr>
        <w:t>Conclut</w:t>
      </w:r>
      <w:r w:rsidRPr="00C62790">
        <w:t xml:space="preserve"> que les notifications de mesure de réglementation finale concernant l</w:t>
      </w:r>
      <w:r>
        <w:t>’</w:t>
      </w:r>
      <w:proofErr w:type="spellStart"/>
      <w:r w:rsidRPr="00C62790">
        <w:rPr>
          <w:lang w:eastAsia="en-GB"/>
        </w:rPr>
        <w:t>hexabromocyclododécane</w:t>
      </w:r>
      <w:proofErr w:type="spellEnd"/>
      <w:r w:rsidRPr="00C62790">
        <w:rPr>
          <w:lang w:eastAsia="en-GB"/>
        </w:rPr>
        <w:t xml:space="preserve"> </w:t>
      </w:r>
      <w:r>
        <w:rPr>
          <w:lang w:eastAsia="en-GB"/>
        </w:rPr>
        <w:t>soumises</w:t>
      </w:r>
      <w:r w:rsidRPr="00C62790">
        <w:rPr>
          <w:lang w:eastAsia="en-GB"/>
        </w:rPr>
        <w:t xml:space="preserve"> par le Japon et la Norvège</w:t>
      </w:r>
      <w:r w:rsidRPr="00C62790">
        <w:rPr>
          <w:rStyle w:val="FootnoteReference"/>
        </w:rPr>
        <w:footnoteReference w:id="1"/>
      </w:r>
      <w:r w:rsidRPr="00C62790">
        <w:t xml:space="preserve"> </w:t>
      </w:r>
      <w:r>
        <w:t>satisfont aux critères énoncés dans</w:t>
      </w:r>
      <w:r w:rsidRPr="00C62790">
        <w:t xml:space="preserve"> l</w:t>
      </w:r>
      <w:r>
        <w:t>’Annexe </w:t>
      </w:r>
      <w:r w:rsidRPr="00C62790">
        <w:t>II</w:t>
      </w:r>
      <w:r>
        <w:t xml:space="preserve"> de</w:t>
      </w:r>
      <w:r w:rsidRPr="00C62790">
        <w:t xml:space="preserve"> la Convention</w:t>
      </w:r>
      <w:r>
        <w:t> </w:t>
      </w:r>
      <w:r w:rsidRPr="00C62790">
        <w:t xml:space="preserve">; </w:t>
      </w:r>
    </w:p>
    <w:p w:rsidR="00C77518" w:rsidRPr="00C62790" w:rsidRDefault="00C77518" w:rsidP="00C7751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47" w:firstLine="624"/>
        <w:rPr>
          <w:lang w:val="fr-FR"/>
        </w:rPr>
      </w:pPr>
      <w:r w:rsidRPr="00C62790">
        <w:rPr>
          <w:iCs/>
          <w:lang w:val="fr-FR"/>
        </w:rPr>
        <w:t>2.</w:t>
      </w:r>
      <w:r w:rsidRPr="00C62790">
        <w:rPr>
          <w:i/>
          <w:iCs/>
          <w:lang w:val="fr-FR"/>
        </w:rPr>
        <w:tab/>
        <w:t>Adopte</w:t>
      </w:r>
      <w:r w:rsidRPr="00C62790">
        <w:rPr>
          <w:lang w:val="fr-FR"/>
        </w:rPr>
        <w:t xml:space="preserve"> la justification de la conclusion </w:t>
      </w:r>
      <w:r>
        <w:rPr>
          <w:lang w:val="fr-FR"/>
        </w:rPr>
        <w:t xml:space="preserve">du Comité figurant </w:t>
      </w:r>
      <w:r w:rsidRPr="00C62790">
        <w:rPr>
          <w:lang w:val="fr-FR"/>
        </w:rPr>
        <w:t>dans l</w:t>
      </w:r>
      <w:r>
        <w:rPr>
          <w:lang w:val="fr-FR"/>
        </w:rPr>
        <w:t>’</w:t>
      </w:r>
      <w:r w:rsidRPr="00C62790">
        <w:rPr>
          <w:lang w:val="fr-FR"/>
        </w:rPr>
        <w:t>annexe à la présente décision</w:t>
      </w:r>
      <w:r>
        <w:rPr>
          <w:lang w:val="fr-FR"/>
        </w:rPr>
        <w:t> </w:t>
      </w:r>
      <w:r w:rsidRPr="00C62790">
        <w:rPr>
          <w:lang w:val="fr-FR"/>
        </w:rPr>
        <w:t>;</w:t>
      </w:r>
    </w:p>
    <w:p w:rsidR="00C77518" w:rsidRPr="00C62790" w:rsidRDefault="00C77518" w:rsidP="00C77518">
      <w:pPr>
        <w:tabs>
          <w:tab w:val="left" w:pos="4082"/>
        </w:tabs>
        <w:spacing w:after="120"/>
        <w:ind w:left="1247" w:firstLine="624"/>
        <w:rPr>
          <w:bCs/>
          <w:i/>
          <w:iCs/>
        </w:rPr>
      </w:pPr>
      <w:r w:rsidRPr="00C62790">
        <w:rPr>
          <w:iCs/>
        </w:rPr>
        <w:t>3.</w:t>
      </w:r>
      <w:r w:rsidRPr="00C62790">
        <w:rPr>
          <w:iCs/>
        </w:rPr>
        <w:tab/>
      </w:r>
      <w:r w:rsidRPr="00C62790">
        <w:rPr>
          <w:i/>
        </w:rPr>
        <w:t xml:space="preserve">Recommande </w:t>
      </w:r>
      <w:r w:rsidRPr="00C62790">
        <w:t>à la Conférence des Parties, conformément au paragraphe 6 de l</w:t>
      </w:r>
      <w:r>
        <w:t>’</w:t>
      </w:r>
      <w:r w:rsidRPr="00C62790">
        <w:t>article 5 de la Convention, d</w:t>
      </w:r>
      <w:r>
        <w:t>’</w:t>
      </w:r>
      <w:r w:rsidRPr="00C62790">
        <w:t>inscrire l</w:t>
      </w:r>
      <w:r>
        <w:t>’</w:t>
      </w:r>
      <w:proofErr w:type="spellStart"/>
      <w:r w:rsidRPr="00C62790">
        <w:rPr>
          <w:lang w:eastAsia="en-GB"/>
        </w:rPr>
        <w:t>hexabromocyclododécane</w:t>
      </w:r>
      <w:proofErr w:type="spellEnd"/>
      <w:r w:rsidRPr="00C62790">
        <w:rPr>
          <w:lang w:eastAsia="en-GB"/>
        </w:rPr>
        <w:t xml:space="preserve"> </w:t>
      </w:r>
      <w:r w:rsidRPr="00C62790">
        <w:t>à l</w:t>
      </w:r>
      <w:r>
        <w:t>’</w:t>
      </w:r>
      <w:r w:rsidRPr="00C62790">
        <w:t>Annexe III de la Convention en tant que produit chimique à usage industriel ;</w:t>
      </w:r>
    </w:p>
    <w:p w:rsidR="00C77518" w:rsidRPr="00C62790" w:rsidRDefault="00C77518" w:rsidP="00C7751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47" w:firstLine="624"/>
        <w:rPr>
          <w:lang w:val="fr-FR"/>
        </w:rPr>
      </w:pPr>
      <w:r w:rsidRPr="00C62790">
        <w:rPr>
          <w:iCs/>
          <w:lang w:val="fr-FR"/>
        </w:rPr>
        <w:t>4.</w:t>
      </w:r>
      <w:r w:rsidRPr="00C62790">
        <w:rPr>
          <w:iCs/>
          <w:lang w:val="fr-FR"/>
        </w:rPr>
        <w:tab/>
      </w:r>
      <w:r w:rsidRPr="00C62790">
        <w:rPr>
          <w:i/>
          <w:lang w:val="fr-FR"/>
        </w:rPr>
        <w:t>Décide</w:t>
      </w:r>
      <w:r w:rsidRPr="00C62790">
        <w:rPr>
          <w:lang w:val="fr-FR"/>
        </w:rPr>
        <w:t>, conformément au paragraphe 1 de l</w:t>
      </w:r>
      <w:r>
        <w:rPr>
          <w:lang w:val="fr-FR"/>
        </w:rPr>
        <w:t>’</w:t>
      </w:r>
      <w:r w:rsidRPr="00C62790">
        <w:rPr>
          <w:lang w:val="fr-FR"/>
        </w:rPr>
        <w:t>article 7 de la Convention, de préparer un projet de document d</w:t>
      </w:r>
      <w:r>
        <w:rPr>
          <w:lang w:val="fr-FR"/>
        </w:rPr>
        <w:t>’</w:t>
      </w:r>
      <w:r w:rsidRPr="00C62790">
        <w:rPr>
          <w:lang w:val="fr-FR"/>
        </w:rPr>
        <w:t>orientation des décisions sur l</w:t>
      </w:r>
      <w:r>
        <w:rPr>
          <w:lang w:val="fr-FR"/>
        </w:rPr>
        <w:t>’</w:t>
      </w:r>
      <w:proofErr w:type="spellStart"/>
      <w:r w:rsidRPr="00C62790">
        <w:rPr>
          <w:lang w:val="fr-FR" w:eastAsia="en-GB"/>
        </w:rPr>
        <w:t>hexabromocyclododécane</w:t>
      </w:r>
      <w:proofErr w:type="spellEnd"/>
      <w:r w:rsidRPr="00C62790">
        <w:rPr>
          <w:lang w:val="fr-FR" w:eastAsia="en-GB"/>
        </w:rPr>
        <w:t xml:space="preserve"> </w:t>
      </w:r>
      <w:r w:rsidRPr="00C62790">
        <w:rPr>
          <w:lang w:val="fr-FR"/>
        </w:rPr>
        <w:t>;</w:t>
      </w:r>
    </w:p>
    <w:p w:rsidR="00C77518" w:rsidRPr="00C62790" w:rsidRDefault="00C77518" w:rsidP="00C77518">
      <w:pPr>
        <w:tabs>
          <w:tab w:val="left" w:pos="4082"/>
        </w:tabs>
        <w:spacing w:after="120"/>
        <w:ind w:left="1247" w:firstLine="624"/>
        <w:rPr>
          <w:bCs/>
          <w:iCs/>
        </w:rPr>
      </w:pPr>
      <w:r w:rsidRPr="00C62790">
        <w:t>5.</w:t>
      </w:r>
      <w:r w:rsidRPr="00C62790">
        <w:tab/>
      </w:r>
      <w:r>
        <w:rPr>
          <w:i/>
        </w:rPr>
        <w:t xml:space="preserve"> </w:t>
      </w:r>
      <w:r w:rsidRPr="00C62790">
        <w:rPr>
          <w:i/>
        </w:rPr>
        <w:t>Décide également</w:t>
      </w:r>
      <w:r w:rsidRPr="00C62790">
        <w:t>, conformément à la procédure à suivre pour l</w:t>
      </w:r>
      <w:r>
        <w:t>’</w:t>
      </w:r>
      <w:r w:rsidRPr="00C62790">
        <w:t>élaboration des documents d</w:t>
      </w:r>
      <w:r>
        <w:t>’</w:t>
      </w:r>
      <w:r w:rsidRPr="00C62790">
        <w:t>orientation des déc</w:t>
      </w:r>
      <w:r>
        <w:t>isions décrite dans la décision </w:t>
      </w:r>
      <w:r w:rsidRPr="00C62790">
        <w:t>RC-2/2, tel</w:t>
      </w:r>
      <w:r>
        <w:t>le que modifiée par la décision </w:t>
      </w:r>
      <w:r w:rsidRPr="00C62790">
        <w:t>RC-6/3, que la composition du groupe de rédaction intersessions chargé d</w:t>
      </w:r>
      <w:r>
        <w:t>’</w:t>
      </w:r>
      <w:r w:rsidRPr="00C62790">
        <w:t>élaborer le projet de document d</w:t>
      </w:r>
      <w:r>
        <w:t>’</w:t>
      </w:r>
      <w:r w:rsidRPr="00C62790">
        <w:t>orientation des décisions sur l</w:t>
      </w:r>
      <w:r>
        <w:t>’</w:t>
      </w:r>
      <w:proofErr w:type="spellStart"/>
      <w:r w:rsidRPr="00C62790">
        <w:rPr>
          <w:lang w:eastAsia="en-GB"/>
        </w:rPr>
        <w:t>hexabromocyclododécane</w:t>
      </w:r>
      <w:proofErr w:type="spellEnd"/>
      <w:r w:rsidRPr="00C62790">
        <w:t xml:space="preserve"> et que le plan de travail du groupe</w:t>
      </w:r>
      <w:r>
        <w:t xml:space="preserve"> seront, respectivement, </w:t>
      </w:r>
      <w:r w:rsidRPr="00C62790">
        <w:t xml:space="preserve">ceux </w:t>
      </w:r>
      <w:r>
        <w:t xml:space="preserve">figurant </w:t>
      </w:r>
      <w:r w:rsidRPr="00C62790">
        <w:t>dans les annexe</w:t>
      </w:r>
      <w:r>
        <w:t>s </w:t>
      </w:r>
      <w:r w:rsidRPr="00C62790">
        <w:t>II et</w:t>
      </w:r>
      <w:r>
        <w:t xml:space="preserve"> III a</w:t>
      </w:r>
      <w:r w:rsidRPr="00C62790">
        <w:t xml:space="preserve">u rapport du Comité sur les travaux </w:t>
      </w:r>
      <w:r>
        <w:t xml:space="preserve">de </w:t>
      </w:r>
      <w:r w:rsidRPr="00C62790">
        <w:t>sa treizième réunion.</w:t>
      </w:r>
    </w:p>
    <w:p w:rsidR="00C77518" w:rsidRPr="00C62790" w:rsidRDefault="00C77518" w:rsidP="00C77518">
      <w:pPr>
        <w:pStyle w:val="CH1"/>
        <w:rPr>
          <w:lang w:val="fr-FR"/>
        </w:rPr>
      </w:pPr>
      <w:r w:rsidRPr="00C62790">
        <w:rPr>
          <w:lang w:val="fr-FR"/>
        </w:rPr>
        <w:tab/>
      </w:r>
      <w:r w:rsidRPr="00C62790">
        <w:rPr>
          <w:lang w:val="fr-FR"/>
        </w:rPr>
        <w:tab/>
        <w:t>Annexe à la dé</w:t>
      </w:r>
      <w:r>
        <w:rPr>
          <w:lang w:val="fr-FR"/>
        </w:rPr>
        <w:t>cision </w:t>
      </w:r>
      <w:r w:rsidRPr="00C62790">
        <w:rPr>
          <w:lang w:val="fr-FR"/>
        </w:rPr>
        <w:t>CRC-13/2</w:t>
      </w:r>
    </w:p>
    <w:p w:rsidR="00C77518" w:rsidRPr="00C62790" w:rsidRDefault="00C77518" w:rsidP="00C77518">
      <w:pPr>
        <w:pStyle w:val="ZZAnxtitle"/>
        <w:keepNext/>
        <w:keepLines/>
        <w:spacing w:before="240"/>
        <w:ind w:left="1253"/>
        <w:rPr>
          <w:lang w:val="fr-FR"/>
        </w:rPr>
      </w:pPr>
      <w:r w:rsidRPr="00C62790">
        <w:rPr>
          <w:lang w:val="fr-FR"/>
        </w:rPr>
        <w:t>Justification de la conclusion du Comité d</w:t>
      </w:r>
      <w:r>
        <w:rPr>
          <w:lang w:val="fr-FR"/>
        </w:rPr>
        <w:t>’</w:t>
      </w:r>
      <w:r w:rsidRPr="00C62790">
        <w:rPr>
          <w:lang w:val="fr-FR"/>
        </w:rPr>
        <w:t>étude des produits chimiques selon laquelle</w:t>
      </w:r>
      <w:r>
        <w:rPr>
          <w:lang w:val="fr-FR"/>
        </w:rPr>
        <w:t xml:space="preserve"> les notifications de mesure de </w:t>
      </w:r>
      <w:r w:rsidRPr="00C62790">
        <w:rPr>
          <w:lang w:val="fr-FR"/>
        </w:rPr>
        <w:t>réglementation finale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</w:t>
      </w:r>
      <w:r>
        <w:rPr>
          <w:lang w:val="fr-FR"/>
        </w:rPr>
        <w:br/>
      </w:r>
      <w:r w:rsidRPr="00C62790">
        <w:rPr>
          <w:lang w:val="fr-FR"/>
        </w:rPr>
        <w:t>dans la catégorie des produits chimique</w:t>
      </w:r>
      <w:r>
        <w:rPr>
          <w:lang w:val="fr-FR"/>
        </w:rPr>
        <w:t xml:space="preserve">s à usage industriel soumises </w:t>
      </w:r>
      <w:r w:rsidRPr="00C62790">
        <w:rPr>
          <w:lang w:val="fr-FR"/>
        </w:rPr>
        <w:t>par le Japon et la Norvège satisfont aux critères de l</w:t>
      </w:r>
      <w:r>
        <w:rPr>
          <w:lang w:val="fr-FR"/>
        </w:rPr>
        <w:t>’</w:t>
      </w:r>
      <w:r w:rsidRPr="00C62790">
        <w:rPr>
          <w:lang w:val="fr-FR"/>
        </w:rPr>
        <w:t xml:space="preserve">Annexe II </w:t>
      </w:r>
      <w:r>
        <w:rPr>
          <w:lang w:val="fr-FR"/>
        </w:rPr>
        <w:br/>
        <w:t>de</w:t>
      </w:r>
      <w:r w:rsidRPr="00C62790">
        <w:rPr>
          <w:lang w:val="fr-FR"/>
        </w:rPr>
        <w:t xml:space="preserve"> la Convention de Rotterdam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Les notifications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soumises par le Japon et la Norvège ont été vérifiées par le Secrétariat, qui s</w:t>
      </w:r>
      <w:r>
        <w:rPr>
          <w:lang w:val="fr-FR"/>
        </w:rPr>
        <w:t>’</w:t>
      </w:r>
      <w:r w:rsidRPr="00C62790">
        <w:rPr>
          <w:lang w:val="fr-FR"/>
        </w:rPr>
        <w:t>est assuré qu</w:t>
      </w:r>
      <w:r>
        <w:rPr>
          <w:lang w:val="fr-FR"/>
        </w:rPr>
        <w:t>’</w:t>
      </w:r>
      <w:r w:rsidRPr="00C62790">
        <w:rPr>
          <w:lang w:val="fr-FR"/>
        </w:rPr>
        <w:t>elle</w:t>
      </w:r>
      <w:r>
        <w:rPr>
          <w:lang w:val="fr-FR"/>
        </w:rPr>
        <w:t>s</w:t>
      </w:r>
      <w:r w:rsidRPr="00C62790">
        <w:rPr>
          <w:lang w:val="fr-FR"/>
        </w:rPr>
        <w:t xml:space="preserve"> contenai</w:t>
      </w:r>
      <w:r>
        <w:rPr>
          <w:lang w:val="fr-FR"/>
        </w:rPr>
        <w:t>en</w:t>
      </w:r>
      <w:r w:rsidRPr="00C62790">
        <w:rPr>
          <w:lang w:val="fr-FR"/>
        </w:rPr>
        <w:t>t les informations demandées dans l</w:t>
      </w:r>
      <w:r>
        <w:rPr>
          <w:lang w:val="fr-FR"/>
        </w:rPr>
        <w:t>’Annexe </w:t>
      </w:r>
      <w:r w:rsidRPr="00C62790">
        <w:rPr>
          <w:lang w:val="fr-FR"/>
        </w:rPr>
        <w:t xml:space="preserve">I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de</w:t>
      </w:r>
      <w:proofErr w:type="spellEnd"/>
      <w:r w:rsidRPr="00C62790">
        <w:rPr>
          <w:lang w:val="fr-FR"/>
        </w:rPr>
        <w:t xml:space="preserve"> la Convention de Rotterdam. Ces notifications ont fait l</w:t>
      </w:r>
      <w:r>
        <w:rPr>
          <w:lang w:val="fr-FR"/>
        </w:rPr>
        <w:t>’</w:t>
      </w:r>
      <w:r w:rsidRPr="00C62790">
        <w:rPr>
          <w:lang w:val="fr-FR"/>
        </w:rPr>
        <w:t>objet d</w:t>
      </w:r>
      <w:r>
        <w:rPr>
          <w:lang w:val="fr-FR"/>
        </w:rPr>
        <w:t>’</w:t>
      </w:r>
      <w:r w:rsidRPr="00C62790">
        <w:rPr>
          <w:lang w:val="fr-FR"/>
        </w:rPr>
        <w:t>un examen préliminaire effectué par le</w:t>
      </w:r>
      <w:r>
        <w:rPr>
          <w:lang w:val="fr-FR"/>
        </w:rPr>
        <w:t xml:space="preserve"> </w:t>
      </w:r>
      <w:r w:rsidRPr="00C62790">
        <w:rPr>
          <w:lang w:val="fr-FR"/>
        </w:rPr>
        <w:t xml:space="preserve">Secrétariat et le Bureau, qui ont déterminé si les notifications semblaient ou non répondre aux exigences de la Convention.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Les notifications, la documentation à l</w:t>
      </w:r>
      <w:r>
        <w:rPr>
          <w:lang w:val="fr-FR"/>
        </w:rPr>
        <w:t>’</w:t>
      </w:r>
      <w:r w:rsidRPr="00C62790">
        <w:rPr>
          <w:lang w:val="fr-FR"/>
        </w:rPr>
        <w:t>appui et les résultats de l</w:t>
      </w:r>
      <w:r>
        <w:rPr>
          <w:lang w:val="fr-FR"/>
        </w:rPr>
        <w:t>’</w:t>
      </w:r>
      <w:r w:rsidRPr="00C62790">
        <w:rPr>
          <w:lang w:val="fr-FR"/>
        </w:rPr>
        <w:t>examen préliminaire ont</w:t>
      </w:r>
      <w:r>
        <w:rPr>
          <w:lang w:val="fr-FR"/>
        </w:rPr>
        <w:t> </w:t>
      </w:r>
      <w:r w:rsidRPr="00C62790">
        <w:rPr>
          <w:lang w:val="fr-FR"/>
        </w:rPr>
        <w:t>été</w:t>
      </w:r>
      <w:r>
        <w:rPr>
          <w:lang w:val="fr-FR"/>
        </w:rPr>
        <w:t> </w:t>
      </w:r>
      <w:r w:rsidRPr="00C62790">
        <w:rPr>
          <w:lang w:val="fr-FR"/>
        </w:rPr>
        <w:t>mis à la disposition du Comité d</w:t>
      </w:r>
      <w:r>
        <w:rPr>
          <w:lang w:val="fr-FR"/>
        </w:rPr>
        <w:t>’</w:t>
      </w:r>
      <w:r w:rsidRPr="00C62790">
        <w:rPr>
          <w:lang w:val="fr-FR"/>
        </w:rPr>
        <w:t>étude des produits chimiques pour examen (voir les</w:t>
      </w:r>
      <w:r>
        <w:rPr>
          <w:lang w:val="fr-FR"/>
        </w:rPr>
        <w:t> </w:t>
      </w:r>
      <w:r w:rsidRPr="00C62790">
        <w:rPr>
          <w:lang w:val="fr-FR"/>
        </w:rPr>
        <w:t>documents UNEP/FAO/RC/CRC.13/8, UNEP/FAO/RC/CRC.13/INF/16, UNEP/FAO/RC/CRC.13/INF/17/</w:t>
      </w:r>
      <w:proofErr w:type="spellStart"/>
      <w:r w:rsidRPr="00C62790">
        <w:rPr>
          <w:lang w:val="fr-FR"/>
        </w:rPr>
        <w:t>Rev</w:t>
      </w:r>
      <w:proofErr w:type="spellEnd"/>
      <w:r w:rsidRPr="00C62790">
        <w:rPr>
          <w:lang w:val="fr-FR"/>
        </w:rPr>
        <w:t>.2 et UNEP/FAO/RC/CRC.13/INF/18).</w:t>
      </w:r>
    </w:p>
    <w:p w:rsidR="00C77518" w:rsidRPr="00C62790" w:rsidRDefault="00C77518" w:rsidP="00C77518">
      <w:pPr>
        <w:pStyle w:val="CH2"/>
        <w:rPr>
          <w:sz w:val="20"/>
          <w:lang w:val="fr-FR"/>
        </w:rPr>
      </w:pPr>
      <w:r w:rsidRPr="00C62790">
        <w:rPr>
          <w:lang w:val="fr-FR"/>
        </w:rPr>
        <w:tab/>
        <w:t>I.</w:t>
      </w:r>
      <w:r w:rsidRPr="00C62790">
        <w:rPr>
          <w:lang w:val="fr-FR"/>
        </w:rPr>
        <w:tab/>
        <w:t>Japon</w:t>
      </w:r>
    </w:p>
    <w:p w:rsidR="00C77518" w:rsidRPr="00C62790" w:rsidRDefault="00C77518" w:rsidP="00C77518">
      <w:pPr>
        <w:pStyle w:val="CH3"/>
        <w:keepNext w:val="0"/>
        <w:keepLines w:val="0"/>
        <w:rPr>
          <w:snapToGrid w:val="0"/>
          <w:lang w:val="fr-FR"/>
        </w:rPr>
      </w:pPr>
      <w:r w:rsidRPr="00C62790">
        <w:rPr>
          <w:snapToGrid w:val="0"/>
          <w:lang w:val="fr-FR"/>
        </w:rPr>
        <w:tab/>
        <w:t>a)</w:t>
      </w:r>
      <w:r w:rsidRPr="00C62790">
        <w:rPr>
          <w:snapToGrid w:val="0"/>
          <w:lang w:val="fr-FR"/>
        </w:rPr>
        <w:tab/>
        <w:t>Portée de la</w:t>
      </w:r>
      <w:r>
        <w:rPr>
          <w:snapToGrid w:val="0"/>
          <w:lang w:val="fr-FR"/>
        </w:rPr>
        <w:t xml:space="preserve"> mesure de réglementation</w:t>
      </w:r>
      <w:r w:rsidRPr="00C62790">
        <w:rPr>
          <w:snapToGrid w:val="0"/>
          <w:lang w:val="fr-FR"/>
        </w:rPr>
        <w:t xml:space="preserve"> notifiée par le Japon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lastRenderedPageBreak/>
        <w:t>La mesure de réglementation finale notifiée par le Japon a trait aux utilisations industrielles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(</w:t>
      </w:r>
      <w:r>
        <w:rPr>
          <w:lang w:val="fr-FR"/>
        </w:rPr>
        <w:t>n° </w:t>
      </w:r>
      <w:r w:rsidRPr="00C62790">
        <w:rPr>
          <w:lang w:val="fr-FR"/>
        </w:rPr>
        <w:t>CAS 25637-99-4). La notification indique que la production, l</w:t>
      </w:r>
      <w:r>
        <w:rPr>
          <w:lang w:val="fr-FR"/>
        </w:rPr>
        <w:t>’</w:t>
      </w:r>
      <w:r w:rsidRPr="00C62790">
        <w:rPr>
          <w:lang w:val="fr-FR"/>
        </w:rPr>
        <w:t>importation et l</w:t>
      </w:r>
      <w:r>
        <w:rPr>
          <w:lang w:val="fr-FR"/>
        </w:rPr>
        <w:t>’</w:t>
      </w:r>
      <w:r w:rsidRPr="00C62790">
        <w:rPr>
          <w:lang w:val="fr-FR"/>
        </w:rPr>
        <w:t>utilisation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sont interdits.</w:t>
      </w:r>
      <w:r>
        <w:rPr>
          <w:lang w:val="fr-FR"/>
        </w:rPr>
        <w:t xml:space="preserve"> La réglementation citée est la Loi</w:t>
      </w:r>
      <w:r w:rsidRPr="00C62790">
        <w:rPr>
          <w:lang w:val="fr-FR"/>
        </w:rPr>
        <w:t xml:space="preserve"> sur la réglementation des substances chimiques et son décret d</w:t>
      </w:r>
      <w:r>
        <w:rPr>
          <w:lang w:val="fr-FR"/>
        </w:rPr>
        <w:t>’</w:t>
      </w:r>
      <w:r w:rsidRPr="00C62790">
        <w:rPr>
          <w:lang w:val="fr-FR"/>
        </w:rPr>
        <w:t xml:space="preserve">application. Cette loi est entrée en vigueur le </w:t>
      </w:r>
      <w:r>
        <w:rPr>
          <w:lang w:val="fr-FR"/>
        </w:rPr>
        <w:t>1</w:t>
      </w:r>
      <w:r w:rsidRPr="00E341A3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C62790">
        <w:rPr>
          <w:lang w:val="fr-FR"/>
        </w:rPr>
        <w:t>mai 2014.</w:t>
      </w:r>
    </w:p>
    <w:p w:rsidR="00C77518" w:rsidRPr="00C62790" w:rsidRDefault="00C77518" w:rsidP="00C77518">
      <w:pPr>
        <w:pStyle w:val="CH3"/>
        <w:rPr>
          <w:snapToGrid w:val="0"/>
          <w:lang w:val="fr-FR"/>
        </w:rPr>
      </w:pPr>
      <w:r w:rsidRPr="00C62790">
        <w:rPr>
          <w:snapToGrid w:val="0"/>
          <w:lang w:val="fr-FR"/>
        </w:rPr>
        <w:tab/>
        <w:t>b)</w:t>
      </w:r>
      <w:r w:rsidRPr="00C62790">
        <w:rPr>
          <w:snapToGrid w:val="0"/>
          <w:lang w:val="fr-FR"/>
        </w:rPr>
        <w:tab/>
        <w:t>Critère du paragraphe a)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 II</w:t>
      </w:r>
    </w:p>
    <w:p w:rsidR="00C77518" w:rsidRPr="00C62790" w:rsidRDefault="00C77518" w:rsidP="00C77518">
      <w:pPr>
        <w:keepNext/>
        <w:keepLines/>
        <w:tabs>
          <w:tab w:val="left" w:pos="624"/>
        </w:tabs>
        <w:spacing w:after="120"/>
        <w:ind w:left="1247" w:firstLine="624"/>
        <w:rPr>
          <w:i/>
          <w:lang w:eastAsia="ja-JP"/>
        </w:rPr>
      </w:pPr>
      <w:r w:rsidRPr="00C62790">
        <w:rPr>
          <w:i/>
        </w:rPr>
        <w:t>a)</w:t>
      </w:r>
      <w:r w:rsidRPr="00C62790">
        <w:rPr>
          <w:i/>
        </w:rPr>
        <w:tab/>
        <w:t>Confirme que la mesure de règlementation finale a été prise pour protéger la santé des personnes ou l</w:t>
      </w:r>
      <w:r>
        <w:rPr>
          <w:i/>
        </w:rPr>
        <w:t>’</w:t>
      </w:r>
      <w:r w:rsidRPr="00C62790">
        <w:rPr>
          <w:i/>
        </w:rPr>
        <w:t>environnement</w:t>
      </w:r>
      <w:r>
        <w:rPr>
          <w:i/>
        </w:rPr>
        <w:t> </w:t>
      </w:r>
      <w:r w:rsidRPr="00C62790">
        <w:rPr>
          <w:i/>
        </w:rPr>
        <w:t>;</w:t>
      </w:r>
      <w:r w:rsidRPr="00C62790">
        <w:rPr>
          <w:i/>
          <w:lang w:eastAsia="ja-JP"/>
        </w:rPr>
        <w:t xml:space="preserve">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 xml:space="preserve">Le Comité confirme que la mesure de réglementation finale a été prise pour protéger la santé humaine. La </w:t>
      </w:r>
      <w:r>
        <w:rPr>
          <w:lang w:val="fr-FR"/>
        </w:rPr>
        <w:t>notification citait l</w:t>
      </w:r>
      <w:r w:rsidRPr="00C62790">
        <w:rPr>
          <w:lang w:val="fr-FR"/>
        </w:rPr>
        <w:t xml:space="preserve">a persistance, </w:t>
      </w:r>
      <w:r>
        <w:rPr>
          <w:lang w:val="fr-FR"/>
        </w:rPr>
        <w:t>l</w:t>
      </w:r>
      <w:r w:rsidRPr="00C62790">
        <w:rPr>
          <w:lang w:val="fr-FR"/>
        </w:rPr>
        <w:t>a bioa</w:t>
      </w:r>
      <w:r>
        <w:rPr>
          <w:lang w:val="fr-FR"/>
        </w:rPr>
        <w:t>ccumulation et l</w:t>
      </w:r>
      <w:r w:rsidRPr="00C62790">
        <w:rPr>
          <w:lang w:val="fr-FR"/>
        </w:rPr>
        <w:t xml:space="preserve">a toxicité à long terme </w:t>
      </w:r>
      <w:r>
        <w:rPr>
          <w:lang w:val="fr-FR"/>
        </w:rPr>
        <w:t>de l’</w:t>
      </w:r>
      <w:proofErr w:type="spellStart"/>
      <w:r w:rsidRPr="00C62790">
        <w:rPr>
          <w:lang w:val="fr-FR"/>
        </w:rPr>
        <w:t>hexabromocyclododécane</w:t>
      </w:r>
      <w:proofErr w:type="spellEnd"/>
      <w:r>
        <w:rPr>
          <w:lang w:val="fr-FR"/>
        </w:rPr>
        <w:t xml:space="preserve"> </w:t>
      </w:r>
      <w:r w:rsidRPr="00C62790">
        <w:rPr>
          <w:lang w:val="fr-FR"/>
        </w:rPr>
        <w:t>pour l</w:t>
      </w:r>
      <w:r>
        <w:rPr>
          <w:lang w:val="fr-FR"/>
        </w:rPr>
        <w:t>’</w:t>
      </w:r>
      <w:r w:rsidRPr="00C62790">
        <w:rPr>
          <w:lang w:val="fr-FR"/>
        </w:rPr>
        <w:t>homme. La mesure de réglementation finale a été mise en place pour r</w:t>
      </w:r>
      <w:r>
        <w:rPr>
          <w:lang w:val="fr-FR"/>
        </w:rPr>
        <w:t xml:space="preserve">éduire l’exposition humaine à cette </w:t>
      </w:r>
      <w:r w:rsidRPr="00C62790">
        <w:rPr>
          <w:lang w:val="fr-FR"/>
        </w:rPr>
        <w:t>substance.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Au Japon,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était utilisé comme retardateur de flamme.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citait des informations sur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tirées du descriptif des</w:t>
      </w:r>
      <w:r>
        <w:rPr>
          <w:lang w:val="fr-FR"/>
        </w:rPr>
        <w:t> </w:t>
      </w:r>
      <w:r w:rsidRPr="00C62790">
        <w:rPr>
          <w:lang w:val="fr-FR"/>
        </w:rPr>
        <w:t>risques établi par le Comité d</w:t>
      </w:r>
      <w:r>
        <w:rPr>
          <w:lang w:val="fr-FR"/>
        </w:rPr>
        <w:t>’</w:t>
      </w:r>
      <w:r w:rsidRPr="00C62790">
        <w:rPr>
          <w:lang w:val="fr-FR"/>
        </w:rPr>
        <w:t>étude des polluants organiques persistants de la Convention de</w:t>
      </w:r>
      <w:r>
        <w:rPr>
          <w:lang w:val="fr-FR"/>
        </w:rPr>
        <w:t> </w:t>
      </w:r>
      <w:r w:rsidRPr="00C62790">
        <w:rPr>
          <w:lang w:val="fr-FR"/>
        </w:rPr>
        <w:t>Stockholm, soumis à titre de document d</w:t>
      </w:r>
      <w:r>
        <w:rPr>
          <w:lang w:val="fr-FR"/>
        </w:rPr>
        <w:t>’</w:t>
      </w:r>
      <w:r w:rsidRPr="00C62790">
        <w:rPr>
          <w:lang w:val="fr-FR"/>
        </w:rPr>
        <w:t>information (voir le document</w:t>
      </w:r>
      <w:r>
        <w:rPr>
          <w:lang w:val="fr-FR"/>
        </w:rPr>
        <w:t> </w:t>
      </w:r>
      <w:r w:rsidRPr="00C62790">
        <w:rPr>
          <w:lang w:val="fr-FR"/>
        </w:rPr>
        <w:t>UNEP/FAO/RC/CRC.13/INF/17). Le descriptif des risques résume les effets nocifs de la</w:t>
      </w:r>
      <w:r>
        <w:rPr>
          <w:lang w:val="fr-FR"/>
        </w:rPr>
        <w:t> </w:t>
      </w:r>
      <w:r w:rsidRPr="00C62790">
        <w:rPr>
          <w:lang w:val="fr-FR"/>
        </w:rPr>
        <w:t xml:space="preserve">substance sur la santé humaine, </w:t>
      </w:r>
      <w:r>
        <w:rPr>
          <w:lang w:val="fr-FR"/>
        </w:rPr>
        <w:t xml:space="preserve">à la lumière </w:t>
      </w:r>
      <w:r w:rsidRPr="00C62790">
        <w:rPr>
          <w:lang w:val="fr-FR"/>
        </w:rPr>
        <w:t>des données d</w:t>
      </w:r>
      <w:r>
        <w:rPr>
          <w:lang w:val="fr-FR"/>
        </w:rPr>
        <w:t>’</w:t>
      </w:r>
      <w:r w:rsidRPr="00C62790">
        <w:rPr>
          <w:lang w:val="fr-FR"/>
        </w:rPr>
        <w:t xml:space="preserve">exposition et de surveillance </w:t>
      </w:r>
      <w:r>
        <w:rPr>
          <w:lang w:val="fr-FR"/>
        </w:rPr>
        <w:t xml:space="preserve">provenant </w:t>
      </w:r>
      <w:r w:rsidRPr="00C62790">
        <w:rPr>
          <w:lang w:val="fr-FR"/>
        </w:rPr>
        <w:t xml:space="preserve">de diverses régions du monde, y compris des données de surveillance recueillies au Japon.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a)</w:t>
      </w:r>
      <w:r>
        <w:rPr>
          <w:lang w:val="fr-FR"/>
        </w:rPr>
        <w:t xml:space="preserve"> de l’Annexe II est satisfait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CH3"/>
        <w:keepNext w:val="0"/>
        <w:keepLines w:val="0"/>
        <w:rPr>
          <w:snapToGrid w:val="0"/>
          <w:lang w:val="fr-FR"/>
        </w:rPr>
      </w:pPr>
      <w:r w:rsidRPr="00C62790">
        <w:rPr>
          <w:snapToGrid w:val="0"/>
          <w:lang w:val="fr-FR"/>
        </w:rPr>
        <w:tab/>
        <w:t>c)</w:t>
      </w:r>
      <w:r w:rsidRPr="00C62790">
        <w:rPr>
          <w:snapToGrid w:val="0"/>
          <w:lang w:val="fr-FR"/>
        </w:rPr>
        <w:tab/>
      </w:r>
      <w:r>
        <w:rPr>
          <w:snapToGrid w:val="0"/>
          <w:lang w:val="fr-FR"/>
        </w:rPr>
        <w:t>Critères du paragraphe </w:t>
      </w:r>
      <w:r w:rsidRPr="00C62790">
        <w:rPr>
          <w:snapToGrid w:val="0"/>
          <w:lang w:val="fr-FR"/>
        </w:rPr>
        <w:t xml:space="preserve">b) </w:t>
      </w:r>
      <w:r>
        <w:rPr>
          <w:snapToGrid w:val="0"/>
          <w:lang w:val="fr-FR"/>
        </w:rPr>
        <w:t>de l’Annexe II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</w:tabs>
        <w:snapToGrid w:val="0"/>
        <w:spacing w:after="120"/>
        <w:ind w:left="1247" w:firstLine="619"/>
        <w:rPr>
          <w:i/>
        </w:rPr>
      </w:pPr>
      <w:r w:rsidRPr="00C62790">
        <w:rPr>
          <w:i/>
        </w:rPr>
        <w:t>b)</w:t>
      </w:r>
      <w:r w:rsidRPr="00C62790">
        <w:rPr>
          <w:i/>
        </w:rPr>
        <w:tab/>
        <w:t>Vérifie que la mesure de réglementation finale a été prise après une évaluation des risques. Cette évaluation doit s</w:t>
      </w:r>
      <w:r>
        <w:rPr>
          <w:i/>
        </w:rPr>
        <w:t>’</w:t>
      </w:r>
      <w:r w:rsidRPr="00C62790">
        <w:rPr>
          <w:i/>
        </w:rPr>
        <w:t>appuyer sur une analyse des données scientifiques effectuée en tenant compte du contexte propre à la Partie considérée. À cette fin, la document</w:t>
      </w:r>
      <w:r>
        <w:rPr>
          <w:i/>
        </w:rPr>
        <w:t>ation fournie doit attester que </w:t>
      </w:r>
      <w:r w:rsidRPr="00C62790">
        <w:rPr>
          <w:i/>
        </w:rPr>
        <w:t>:</w:t>
      </w:r>
    </w:p>
    <w:p w:rsidR="00C77518" w:rsidRPr="00C62790" w:rsidRDefault="00C77518" w:rsidP="00C77518">
      <w:pPr>
        <w:widowControl w:val="0"/>
        <w:tabs>
          <w:tab w:val="left" w:pos="624"/>
        </w:tabs>
        <w:snapToGrid w:val="0"/>
        <w:spacing w:after="120"/>
        <w:ind w:left="2381" w:hanging="510"/>
        <w:rPr>
          <w:i/>
        </w:rPr>
      </w:pPr>
      <w:r w:rsidRPr="00C62790">
        <w:rPr>
          <w:i/>
        </w:rPr>
        <w:t xml:space="preserve"> i)</w:t>
      </w:r>
      <w:r w:rsidRPr="00C62790">
        <w:rPr>
          <w:i/>
        </w:rPr>
        <w:tab/>
        <w:t>Les données ont été obtenues par des méthodes scientifiquement reconnues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ii)</w:t>
      </w:r>
      <w:r w:rsidRPr="00C62790">
        <w:rPr>
          <w:i/>
        </w:rPr>
        <w:tab/>
        <w:t>Ces données ont été analysées et étayées en respectant des principes et des méthodes scientifiquement reconnus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indique que la mesure de réglementation finale a été prise sur la base d</w:t>
      </w:r>
      <w:r>
        <w:rPr>
          <w:lang w:val="fr-FR"/>
        </w:rPr>
        <w:t>’</w:t>
      </w:r>
      <w:r w:rsidRPr="00C62790">
        <w:rPr>
          <w:lang w:val="fr-FR"/>
        </w:rPr>
        <w:t>une évaluation des dangers ou des risques. La notification fait référence au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établi par le Comité d</w:t>
      </w:r>
      <w:r>
        <w:rPr>
          <w:lang w:val="fr-FR"/>
        </w:rPr>
        <w:t>’</w:t>
      </w:r>
      <w:r w:rsidRPr="00C62790">
        <w:rPr>
          <w:lang w:val="fr-FR"/>
        </w:rPr>
        <w:t>étude des polluants organiques persistants de la Convention de Stockholm.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 xml:space="preserve">La Partie </w:t>
      </w:r>
      <w:proofErr w:type="spellStart"/>
      <w:r w:rsidRPr="00C62790">
        <w:rPr>
          <w:lang w:val="fr-FR"/>
        </w:rPr>
        <w:t>notifiante</w:t>
      </w:r>
      <w:proofErr w:type="spellEnd"/>
      <w:r w:rsidRPr="00C62790">
        <w:rPr>
          <w:lang w:val="fr-FR"/>
        </w:rPr>
        <w:t xml:space="preserve"> a aussi soumis le descriptif des risques comme document à l</w:t>
      </w:r>
      <w:r>
        <w:rPr>
          <w:lang w:val="fr-FR"/>
        </w:rPr>
        <w:t>’</w:t>
      </w:r>
      <w:r w:rsidRPr="00C62790">
        <w:rPr>
          <w:lang w:val="fr-FR"/>
        </w:rPr>
        <w:t>appui (voir</w:t>
      </w:r>
      <w:r>
        <w:rPr>
          <w:lang w:val="fr-FR"/>
        </w:rPr>
        <w:t> </w:t>
      </w:r>
      <w:r w:rsidRPr="00C62790">
        <w:rPr>
          <w:lang w:val="fr-FR"/>
        </w:rPr>
        <w:t>le</w:t>
      </w:r>
      <w:r>
        <w:rPr>
          <w:lang w:val="fr-FR"/>
        </w:rPr>
        <w:t> </w:t>
      </w:r>
      <w:r w:rsidRPr="00C62790">
        <w:rPr>
          <w:lang w:val="fr-FR"/>
        </w:rPr>
        <w:t>document UNEP/FAO/RC/CRC.13/INF/16).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À sa troisième réunion, la Conférence des Parties a approuvé l</w:t>
      </w:r>
      <w:r>
        <w:rPr>
          <w:lang w:val="fr-FR"/>
        </w:rPr>
        <w:t>’</w:t>
      </w:r>
      <w:r w:rsidRPr="00C62790">
        <w:rPr>
          <w:lang w:val="fr-FR"/>
        </w:rPr>
        <w:t>approche recommandée par le</w:t>
      </w:r>
      <w:r>
        <w:rPr>
          <w:lang w:val="fr-FR"/>
        </w:rPr>
        <w:t> </w:t>
      </w:r>
      <w:r w:rsidRPr="00C62790">
        <w:rPr>
          <w:lang w:val="fr-FR"/>
        </w:rPr>
        <w:t xml:space="preserve">Secrétariat, à savoir que le Comité considère les évaluations </w:t>
      </w:r>
      <w:r>
        <w:rPr>
          <w:lang w:val="fr-FR"/>
        </w:rPr>
        <w:t xml:space="preserve">des risques </w:t>
      </w:r>
      <w:r w:rsidRPr="00C62790">
        <w:rPr>
          <w:lang w:val="fr-FR"/>
        </w:rPr>
        <w:t>réalisées au titre du</w:t>
      </w:r>
      <w:r>
        <w:rPr>
          <w:lang w:val="fr-FR"/>
        </w:rPr>
        <w:t> </w:t>
      </w:r>
      <w:r w:rsidRPr="00C62790">
        <w:rPr>
          <w:lang w:val="fr-FR"/>
        </w:rPr>
        <w:t>Protocole de Montréal et de la Convention de Stockholm comme suffisantes pour répondre aux</w:t>
      </w:r>
      <w:r>
        <w:rPr>
          <w:lang w:val="fr-FR"/>
        </w:rPr>
        <w:t> </w:t>
      </w:r>
      <w:r w:rsidRPr="00C62790">
        <w:rPr>
          <w:lang w:val="fr-FR"/>
        </w:rPr>
        <w:t>critères des paragraph</w:t>
      </w:r>
      <w:r>
        <w:rPr>
          <w:lang w:val="fr-FR"/>
        </w:rPr>
        <w:t>es b) i)</w:t>
      </w:r>
      <w:r w:rsidRPr="00C62790">
        <w:rPr>
          <w:lang w:val="fr-FR"/>
        </w:rPr>
        <w:t xml:space="preserve"> et ii), </w:t>
      </w:r>
      <w:r>
        <w:rPr>
          <w:lang w:val="fr-FR"/>
        </w:rPr>
        <w:t xml:space="preserve">à condition qu’il se soit assuré </w:t>
      </w:r>
      <w:r w:rsidRPr="00C62790">
        <w:rPr>
          <w:lang w:val="fr-FR"/>
        </w:rPr>
        <w:t>qu</w:t>
      </w:r>
      <w:r>
        <w:rPr>
          <w:lang w:val="fr-FR"/>
        </w:rPr>
        <w:t>’</w:t>
      </w:r>
      <w:r w:rsidRPr="00C62790">
        <w:rPr>
          <w:lang w:val="fr-FR"/>
        </w:rPr>
        <w:t>une évaluation de</w:t>
      </w:r>
      <w:r>
        <w:rPr>
          <w:lang w:val="fr-FR"/>
        </w:rPr>
        <w:t>s</w:t>
      </w:r>
      <w:r w:rsidRPr="00C62790">
        <w:rPr>
          <w:lang w:val="fr-FR"/>
        </w:rPr>
        <w:t xml:space="preserve"> risques </w:t>
      </w:r>
      <w:r>
        <w:rPr>
          <w:lang w:val="fr-FR"/>
        </w:rPr>
        <w:t>tenant compte des</w:t>
      </w:r>
      <w:r w:rsidRPr="00C62790">
        <w:rPr>
          <w:lang w:val="fr-FR"/>
        </w:rPr>
        <w:t xml:space="preserve"> conditions d</w:t>
      </w:r>
      <w:r>
        <w:rPr>
          <w:lang w:val="fr-FR"/>
        </w:rPr>
        <w:t>’</w:t>
      </w:r>
      <w:r w:rsidRPr="00C62790">
        <w:rPr>
          <w:lang w:val="fr-FR"/>
        </w:rPr>
        <w:t>utilisa</w:t>
      </w:r>
      <w:r>
        <w:rPr>
          <w:lang w:val="fr-FR"/>
        </w:rPr>
        <w:t>tion dans la Partie concernée avai</w:t>
      </w:r>
      <w:r w:rsidRPr="00C62790">
        <w:rPr>
          <w:lang w:val="fr-FR"/>
        </w:rPr>
        <w:t>t été entreprise. La mesure de</w:t>
      </w:r>
      <w:r>
        <w:rPr>
          <w:lang w:val="fr-FR"/>
        </w:rPr>
        <w:t> </w:t>
      </w:r>
      <w:r w:rsidRPr="00C62790">
        <w:rPr>
          <w:lang w:val="fr-FR"/>
        </w:rPr>
        <w:t>réglementation du Japon reposait sur des données scientifiques tirées du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établi par le Comité d</w:t>
      </w:r>
      <w:r>
        <w:rPr>
          <w:lang w:val="fr-FR"/>
        </w:rPr>
        <w:t>’</w:t>
      </w:r>
      <w:r w:rsidRPr="00C62790">
        <w:rPr>
          <w:lang w:val="fr-FR"/>
        </w:rPr>
        <w:t xml:space="preserve">étude des polluants organiques persistants de la Convention de the Stockholm.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 q</w:t>
      </w:r>
      <w:r>
        <w:rPr>
          <w:lang w:val="fr-FR"/>
        </w:rPr>
        <w:t>ue les critères des paragraphes </w:t>
      </w:r>
      <w:r w:rsidRPr="00C62790">
        <w:rPr>
          <w:lang w:val="fr-FR"/>
        </w:rPr>
        <w:t>b)</w:t>
      </w:r>
      <w:r>
        <w:rPr>
          <w:lang w:val="fr-FR"/>
        </w:rPr>
        <w:t> </w:t>
      </w:r>
      <w:r w:rsidRPr="00C62790">
        <w:rPr>
          <w:lang w:val="fr-FR"/>
        </w:rPr>
        <w:t>i) et ii)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 xml:space="preserve">II </w:t>
      </w:r>
      <w:r>
        <w:rPr>
          <w:lang w:val="fr-FR"/>
        </w:rPr>
        <w:t>sont satisfaits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iii)</w:t>
      </w:r>
      <w:r w:rsidRPr="00C62790">
        <w:rPr>
          <w:i/>
        </w:rPr>
        <w:tab/>
        <w:t>La mesure de réglementation finale se fonde sur une évaluation des risques tenant compte du contexte propre à la Partie qui en est l</w:t>
      </w:r>
      <w:r>
        <w:rPr>
          <w:i/>
        </w:rPr>
        <w:t>’</w:t>
      </w:r>
      <w:r w:rsidRPr="00C62790">
        <w:rPr>
          <w:i/>
        </w:rPr>
        <w:t>auteur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du Japon indique que la mesure de réglement</w:t>
      </w:r>
      <w:r>
        <w:rPr>
          <w:lang w:val="fr-FR"/>
        </w:rPr>
        <w:t>ation finale repose</w:t>
      </w:r>
      <w:r w:rsidRPr="00C62790">
        <w:rPr>
          <w:lang w:val="fr-FR"/>
        </w:rPr>
        <w:t xml:space="preserve"> s</w:t>
      </w:r>
      <w:r>
        <w:rPr>
          <w:lang w:val="fr-FR"/>
        </w:rPr>
        <w:t>ur une évaluation des risques ou</w:t>
      </w:r>
      <w:r w:rsidRPr="00C62790">
        <w:rPr>
          <w:lang w:val="fr-FR"/>
        </w:rPr>
        <w:t xml:space="preserve"> des dangers. La notification, en japonais, est accompagnée d</w:t>
      </w:r>
      <w:r>
        <w:rPr>
          <w:lang w:val="fr-FR"/>
        </w:rPr>
        <w:t>’</w:t>
      </w:r>
      <w:r w:rsidRPr="00C62790">
        <w:rPr>
          <w:lang w:val="fr-FR"/>
        </w:rPr>
        <w:t xml:space="preserve">un résumé </w:t>
      </w:r>
      <w:r w:rsidRPr="00C62790">
        <w:rPr>
          <w:lang w:val="fr-FR"/>
        </w:rPr>
        <w:lastRenderedPageBreak/>
        <w:t>analytique en anglais ainsi que du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établi par le Comité d</w:t>
      </w:r>
      <w:r>
        <w:rPr>
          <w:lang w:val="fr-FR"/>
        </w:rPr>
        <w:t>’</w:t>
      </w:r>
      <w:r w:rsidRPr="00C62790">
        <w:rPr>
          <w:lang w:val="fr-FR"/>
        </w:rPr>
        <w:t xml:space="preserve">études des polluants persistants de la Convention de Stockholm.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>
        <w:rPr>
          <w:lang w:val="fr-FR"/>
        </w:rPr>
        <w:t>Au Japon, l</w:t>
      </w:r>
      <w:r w:rsidRPr="00C62790">
        <w:rPr>
          <w:lang w:val="fr-FR"/>
        </w:rPr>
        <w:t>orsqu</w:t>
      </w:r>
      <w:r>
        <w:rPr>
          <w:lang w:val="fr-FR"/>
        </w:rPr>
        <w:t>’</w:t>
      </w:r>
      <w:r w:rsidRPr="00C62790">
        <w:rPr>
          <w:lang w:val="fr-FR"/>
        </w:rPr>
        <w:t>une substance inscrite à la Convention de Stockholm est mise sur le marché, le Gouvernement japonais fait procéder à une évaluation des risques, réels et potentiels, associés à cette substance en vue de l</w:t>
      </w:r>
      <w:r>
        <w:rPr>
          <w:lang w:val="fr-FR"/>
        </w:rPr>
        <w:t>’</w:t>
      </w:r>
      <w:r w:rsidRPr="00C62790">
        <w:rPr>
          <w:lang w:val="fr-FR"/>
        </w:rPr>
        <w:t>adoption de mesures de réglementation en connaissance de cause. L</w:t>
      </w:r>
      <w:r>
        <w:rPr>
          <w:lang w:val="fr-FR"/>
        </w:rPr>
        <w:t>’</w:t>
      </w:r>
      <w:r w:rsidRPr="00C62790">
        <w:rPr>
          <w:lang w:val="fr-FR"/>
        </w:rPr>
        <w:t>évaluation interne des risques, ainsi que le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>, o</w:t>
      </w:r>
      <w:r>
        <w:rPr>
          <w:lang w:val="fr-FR"/>
        </w:rPr>
        <w:t>nt été soumis par le Japon dans la</w:t>
      </w:r>
      <w:r w:rsidRPr="00C62790">
        <w:rPr>
          <w:lang w:val="fr-FR"/>
        </w:rPr>
        <w:t xml:space="preserve"> documentation à l</w:t>
      </w:r>
      <w:r>
        <w:rPr>
          <w:lang w:val="fr-FR"/>
        </w:rPr>
        <w:t>’</w:t>
      </w:r>
      <w:r w:rsidRPr="00C62790">
        <w:rPr>
          <w:lang w:val="fr-FR"/>
        </w:rPr>
        <w:t>appui et sont reproduits dans le document UNEP/FAO/RC/CRC.13/INF/17/</w:t>
      </w:r>
      <w:proofErr w:type="spellStart"/>
      <w:r w:rsidRPr="00C62790">
        <w:rPr>
          <w:lang w:val="fr-FR"/>
        </w:rPr>
        <w:t>Rev</w:t>
      </w:r>
      <w:proofErr w:type="spellEnd"/>
      <w:r w:rsidRPr="00C62790">
        <w:rPr>
          <w:lang w:val="fr-FR"/>
        </w:rPr>
        <w:t>.2. Un bref résumé en anglais de</w:t>
      </w:r>
      <w:r>
        <w:rPr>
          <w:lang w:val="fr-FR"/>
        </w:rPr>
        <w:t> </w:t>
      </w:r>
      <w:r w:rsidRPr="00C62790">
        <w:rPr>
          <w:lang w:val="fr-FR"/>
        </w:rPr>
        <w:t>l</w:t>
      </w:r>
      <w:r>
        <w:rPr>
          <w:lang w:val="fr-FR"/>
        </w:rPr>
        <w:t>’</w:t>
      </w:r>
      <w:r w:rsidRPr="00C62790">
        <w:rPr>
          <w:lang w:val="fr-FR"/>
        </w:rPr>
        <w:t>évaluation des risques a été soumis en même temps qu</w:t>
      </w:r>
      <w:r>
        <w:rPr>
          <w:lang w:val="fr-FR"/>
        </w:rPr>
        <w:t>’</w:t>
      </w:r>
      <w:r w:rsidRPr="00C62790">
        <w:rPr>
          <w:lang w:val="fr-FR"/>
        </w:rPr>
        <w:t>un sommaire du contenu de l</w:t>
      </w:r>
      <w:r>
        <w:rPr>
          <w:lang w:val="fr-FR"/>
        </w:rPr>
        <w:t>’</w:t>
      </w:r>
      <w:r w:rsidRPr="00C62790">
        <w:rPr>
          <w:lang w:val="fr-FR"/>
        </w:rPr>
        <w:t xml:space="preserve">évaluation des risques. </w:t>
      </w:r>
    </w:p>
    <w:p w:rsidR="00C77518" w:rsidRPr="00C62790" w:rsidRDefault="00C77518" w:rsidP="00C77518">
      <w:pPr>
        <w:pStyle w:val="Normalnumber"/>
        <w:keepNext/>
        <w:keepLines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</w:t>
      </w:r>
      <w:r>
        <w:rPr>
          <w:lang w:val="fr-FR"/>
        </w:rPr>
        <w:t>’</w:t>
      </w:r>
      <w:r w:rsidRPr="00C62790">
        <w:rPr>
          <w:lang w:val="fr-FR"/>
        </w:rPr>
        <w:t>évalu</w:t>
      </w:r>
      <w:r>
        <w:rPr>
          <w:lang w:val="fr-FR"/>
        </w:rPr>
        <w:t>ation interne des risques reposait</w:t>
      </w:r>
      <w:r w:rsidRPr="00C62790">
        <w:rPr>
          <w:lang w:val="fr-FR"/>
        </w:rPr>
        <w:t xml:space="preserve"> sur des données de surveillance portant sur </w:t>
      </w:r>
      <w:r>
        <w:rPr>
          <w:lang w:val="fr-FR"/>
        </w:rPr>
        <w:t xml:space="preserve">les </w:t>
      </w:r>
      <w:r w:rsidRPr="00C62790">
        <w:rPr>
          <w:lang w:val="fr-FR"/>
        </w:rPr>
        <w:t>année</w:t>
      </w:r>
      <w:r>
        <w:rPr>
          <w:lang w:val="fr-FR"/>
        </w:rPr>
        <w:t>s</w:t>
      </w:r>
      <w:r w:rsidRPr="00C62790">
        <w:rPr>
          <w:lang w:val="fr-FR"/>
        </w:rPr>
        <w:t xml:space="preserve"> fiscale</w:t>
      </w:r>
      <w:r>
        <w:rPr>
          <w:lang w:val="fr-FR"/>
        </w:rPr>
        <w:t>s</w:t>
      </w:r>
      <w:r w:rsidRPr="00C62790">
        <w:rPr>
          <w:lang w:val="fr-FR"/>
        </w:rPr>
        <w:t xml:space="preserve"> 2009 à 2012</w:t>
      </w:r>
      <w:r>
        <w:rPr>
          <w:lang w:val="fr-FR"/>
        </w:rPr>
        <w:t xml:space="preserve"> et révélait</w:t>
      </w:r>
      <w:r w:rsidRPr="00C62790">
        <w:rPr>
          <w:lang w:val="fr-FR"/>
        </w:rPr>
        <w:t xml:space="preserve"> un certain nombre de sites à fort risque é</w:t>
      </w:r>
      <w:r>
        <w:rPr>
          <w:lang w:val="fr-FR"/>
        </w:rPr>
        <w:t>cologique, tandis qu’il n’existait</w:t>
      </w:r>
      <w:r w:rsidRPr="00C62790">
        <w:rPr>
          <w:lang w:val="fr-FR"/>
        </w:rPr>
        <w:t xml:space="preserve"> aucun site comportant un risque quelconque pour la santé humaine. L</w:t>
      </w:r>
      <w:r>
        <w:rPr>
          <w:lang w:val="fr-FR"/>
        </w:rPr>
        <w:t>’</w:t>
      </w:r>
      <w:r w:rsidRPr="00C62790">
        <w:rPr>
          <w:lang w:val="fr-FR"/>
        </w:rPr>
        <w:t xml:space="preserve">évaluation des </w:t>
      </w:r>
      <w:r>
        <w:rPr>
          <w:lang w:val="fr-FR"/>
        </w:rPr>
        <w:t>risques comportait</w:t>
      </w:r>
      <w:r w:rsidRPr="00C62790">
        <w:rPr>
          <w:lang w:val="fr-FR"/>
        </w:rPr>
        <w:t xml:space="preserve"> une évaluation des dange</w:t>
      </w:r>
      <w:r>
        <w:rPr>
          <w:lang w:val="fr-FR"/>
        </w:rPr>
        <w:t>rs, une évaluation de l’</w:t>
      </w:r>
      <w:r w:rsidRPr="00C62790">
        <w:rPr>
          <w:lang w:val="fr-FR"/>
        </w:rPr>
        <w:t>exposition et une estim</w:t>
      </w:r>
      <w:r>
        <w:rPr>
          <w:lang w:val="fr-FR"/>
        </w:rPr>
        <w:t>ation des risques à partir d</w:t>
      </w:r>
      <w:r w:rsidRPr="00C62790">
        <w:rPr>
          <w:lang w:val="fr-FR"/>
        </w:rPr>
        <w:t>es données de surveillance, ainsi qu</w:t>
      </w:r>
      <w:r>
        <w:rPr>
          <w:lang w:val="fr-FR"/>
        </w:rPr>
        <w:t>’</w:t>
      </w:r>
      <w:r w:rsidRPr="00C62790">
        <w:rPr>
          <w:lang w:val="fr-FR"/>
        </w:rPr>
        <w:t>une évaluation de l</w:t>
      </w:r>
      <w:r>
        <w:rPr>
          <w:lang w:val="fr-FR"/>
        </w:rPr>
        <w:t>’</w:t>
      </w:r>
      <w:r w:rsidRPr="00C62790">
        <w:rPr>
          <w:lang w:val="fr-FR"/>
        </w:rPr>
        <w:t>exposition et une estim</w:t>
      </w:r>
      <w:r>
        <w:rPr>
          <w:lang w:val="fr-FR"/>
        </w:rPr>
        <w:t>ation des risques tenant compte d</w:t>
      </w:r>
      <w:r w:rsidRPr="00C62790">
        <w:rPr>
          <w:lang w:val="fr-FR"/>
        </w:rPr>
        <w:t xml:space="preserve">es rejets dans </w:t>
      </w:r>
      <w:r>
        <w:rPr>
          <w:lang w:val="fr-FR"/>
        </w:rPr>
        <w:t>l’environnement extrapolés</w:t>
      </w:r>
      <w:r w:rsidRPr="00C62790">
        <w:rPr>
          <w:lang w:val="fr-FR"/>
        </w:rPr>
        <w:t xml:space="preserve"> à partir des données de production.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descriptif des risques établi par le Comité d</w:t>
      </w:r>
      <w:r>
        <w:rPr>
          <w:lang w:val="fr-FR"/>
        </w:rPr>
        <w:t>’</w:t>
      </w:r>
      <w:r w:rsidRPr="00C62790">
        <w:rPr>
          <w:lang w:val="fr-FR"/>
        </w:rPr>
        <w:t>étude des polluants organiques persistants</w:t>
      </w:r>
      <w:r w:rsidRPr="00C62790">
        <w:rPr>
          <w:vertAlign w:val="superscript"/>
          <w:lang w:val="fr-FR"/>
        </w:rPr>
        <w:footnoteReference w:id="2"/>
      </w:r>
      <w:r>
        <w:rPr>
          <w:lang w:val="fr-FR"/>
        </w:rPr>
        <w:t xml:space="preserve"> cite une étude japonaise </w:t>
      </w:r>
      <w:r w:rsidRPr="00C62790">
        <w:rPr>
          <w:lang w:val="fr-FR"/>
        </w:rPr>
        <w:t>d</w:t>
      </w:r>
      <w:r>
        <w:rPr>
          <w:lang w:val="fr-FR"/>
        </w:rPr>
        <w:t>’</w:t>
      </w:r>
      <w:r w:rsidRPr="00C62790">
        <w:rPr>
          <w:lang w:val="fr-FR"/>
        </w:rPr>
        <w:t>où il ressort que les concentrations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dans le lait maternel semblent être liées à la consommation de cette substance. Dans le lait de femmes japonaises âgées de 25 à 29</w:t>
      </w:r>
      <w:r>
        <w:rPr>
          <w:lang w:val="fr-FR"/>
        </w:rPr>
        <w:t> </w:t>
      </w:r>
      <w:r w:rsidRPr="00C62790">
        <w:rPr>
          <w:lang w:val="fr-FR"/>
        </w:rPr>
        <w:t>ans, les concentrations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étaient inférieures à la limite de détection dans tous les échantillons prélevés pendant la décennie 1973-1983, mais ont augmenté à partir de 1988.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descriptif des risques établi par le Comité d</w:t>
      </w:r>
      <w:r>
        <w:rPr>
          <w:lang w:val="fr-FR"/>
        </w:rPr>
        <w:t>’</w:t>
      </w:r>
      <w:r w:rsidRPr="00C62790">
        <w:rPr>
          <w:lang w:val="fr-FR"/>
        </w:rPr>
        <w:t>étude des polluants organiques persistan</w:t>
      </w:r>
      <w:r>
        <w:rPr>
          <w:lang w:val="fr-FR"/>
        </w:rPr>
        <w:t>t décrit les troubles</w:t>
      </w:r>
      <w:r w:rsidRPr="00C62790">
        <w:rPr>
          <w:lang w:val="fr-FR"/>
        </w:rPr>
        <w:t xml:space="preserve"> du développement et les troubles neurotoxiques causés par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>
        <w:rPr>
          <w:lang w:val="fr-FR"/>
        </w:rPr>
        <w:t xml:space="preserve"> et</w:t>
      </w:r>
      <w:r w:rsidRPr="00C62790">
        <w:rPr>
          <w:lang w:val="fr-FR"/>
        </w:rPr>
        <w:t xml:space="preserve"> </w:t>
      </w:r>
      <w:r>
        <w:rPr>
          <w:lang w:val="fr-FR"/>
        </w:rPr>
        <w:t xml:space="preserve">observés </w:t>
      </w:r>
      <w:r w:rsidRPr="00C62790">
        <w:rPr>
          <w:lang w:val="fr-FR"/>
        </w:rPr>
        <w:t>dans des expériences réalisées sur l</w:t>
      </w:r>
      <w:r>
        <w:rPr>
          <w:lang w:val="fr-FR"/>
        </w:rPr>
        <w:t xml:space="preserve">’animal, </w:t>
      </w:r>
      <w:r w:rsidRPr="00C62790">
        <w:rPr>
          <w:lang w:val="fr-FR"/>
        </w:rPr>
        <w:t>préoccupants si l</w:t>
      </w:r>
      <w:r>
        <w:rPr>
          <w:lang w:val="fr-FR"/>
        </w:rPr>
        <w:t>’</w:t>
      </w:r>
      <w:r w:rsidRPr="00C62790">
        <w:rPr>
          <w:lang w:val="fr-FR"/>
        </w:rPr>
        <w:t>on considère les risques pour la santé humaine, en particulier pour les fœtus et les jeunes enfants. Ces observations</w:t>
      </w:r>
      <w:r>
        <w:rPr>
          <w:lang w:val="fr-FR"/>
        </w:rPr>
        <w:t xml:space="preserve"> préoccupantes</w:t>
      </w:r>
      <w:r w:rsidRPr="00C62790">
        <w:rPr>
          <w:lang w:val="fr-FR"/>
        </w:rPr>
        <w:t>, ainsi que l</w:t>
      </w:r>
      <w:r>
        <w:rPr>
          <w:lang w:val="fr-FR"/>
        </w:rPr>
        <w:t>’</w:t>
      </w:r>
      <w:r w:rsidRPr="00C62790">
        <w:rPr>
          <w:lang w:val="fr-FR"/>
        </w:rPr>
        <w:t>étude de surveillance des concentrations dans le lait maternel et les résultats d</w:t>
      </w:r>
      <w:r>
        <w:rPr>
          <w:lang w:val="fr-FR"/>
        </w:rPr>
        <w:t>’autres analyses de</w:t>
      </w:r>
      <w:r w:rsidRPr="00C62790">
        <w:rPr>
          <w:lang w:val="fr-FR"/>
        </w:rPr>
        <w:t xml:space="preserve"> sérum de cordon ombilical mentionnées dans le descriptif des risques, donnent à penser qu</w:t>
      </w:r>
      <w:r>
        <w:rPr>
          <w:lang w:val="fr-FR"/>
        </w:rPr>
        <w:t>’</w:t>
      </w:r>
      <w:r w:rsidRPr="00C62790">
        <w:rPr>
          <w:lang w:val="fr-FR"/>
        </w:rPr>
        <w:t>il existe certains risques pour les fœtus et les enfants en bas âge au Japon. Bien qu</w:t>
      </w:r>
      <w:r>
        <w:rPr>
          <w:lang w:val="fr-FR"/>
        </w:rPr>
        <w:t>’</w:t>
      </w:r>
      <w:r w:rsidRPr="00C62790">
        <w:rPr>
          <w:lang w:val="fr-FR"/>
        </w:rPr>
        <w:t>aucune quantification des risques</w:t>
      </w:r>
      <w:r>
        <w:rPr>
          <w:lang w:val="fr-FR"/>
        </w:rPr>
        <w:t xml:space="preserve"> et des niveaux</w:t>
      </w:r>
      <w:r w:rsidRPr="00C62790">
        <w:rPr>
          <w:lang w:val="fr-FR"/>
        </w:rPr>
        <w:t xml:space="preserve"> d</w:t>
      </w:r>
      <w:r>
        <w:rPr>
          <w:lang w:val="fr-FR"/>
        </w:rPr>
        <w:t>’</w:t>
      </w:r>
      <w:r w:rsidRPr="00C62790">
        <w:rPr>
          <w:lang w:val="fr-FR"/>
        </w:rPr>
        <w:t>exposition n</w:t>
      </w:r>
      <w:r>
        <w:rPr>
          <w:lang w:val="fr-FR"/>
        </w:rPr>
        <w:t>’</w:t>
      </w:r>
      <w:r w:rsidRPr="00C62790">
        <w:rPr>
          <w:lang w:val="fr-FR"/>
        </w:rPr>
        <w:t>ait été fournie, les risques posés par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sont pertinents, compte tenu du potentiel de bioaccumulation et de bioamplification de cette substance</w:t>
      </w:r>
      <w:r>
        <w:rPr>
          <w:lang w:val="fr-FR"/>
        </w:rPr>
        <w:t>, confirmés par l’observation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confirme que le critère du paragraphe</w:t>
      </w:r>
      <w:r>
        <w:rPr>
          <w:lang w:val="fr-FR"/>
        </w:rPr>
        <w:t> </w:t>
      </w:r>
      <w:r w:rsidRPr="00C62790">
        <w:rPr>
          <w:lang w:val="fr-FR"/>
        </w:rPr>
        <w:t>b)</w:t>
      </w:r>
      <w:r>
        <w:rPr>
          <w:lang w:val="fr-FR"/>
        </w:rPr>
        <w:t> </w:t>
      </w:r>
      <w:r w:rsidRPr="00C62790">
        <w:rPr>
          <w:lang w:val="fr-FR"/>
        </w:rPr>
        <w:t>iii)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 xml:space="preserve">II est </w:t>
      </w:r>
      <w:r>
        <w:rPr>
          <w:lang w:val="fr-FR"/>
        </w:rPr>
        <w:t>satisfait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</w:t>
      </w:r>
      <w:r>
        <w:rPr>
          <w:lang w:val="fr-FR"/>
        </w:rPr>
        <w:t xml:space="preserve"> que les critères du paragraphe </w:t>
      </w:r>
      <w:r w:rsidRPr="00C62790">
        <w:rPr>
          <w:lang w:val="fr-FR"/>
        </w:rPr>
        <w:t>b)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 xml:space="preserve">II </w:t>
      </w:r>
      <w:r>
        <w:rPr>
          <w:lang w:val="fr-FR"/>
        </w:rPr>
        <w:t>sont satisfaits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>
        <w:rPr>
          <w:snapToGrid w:val="0"/>
          <w:lang w:val="fr-FR"/>
        </w:rPr>
        <w:tab/>
        <w:t>d)</w:t>
      </w:r>
      <w:r>
        <w:rPr>
          <w:snapToGrid w:val="0"/>
          <w:lang w:val="fr-FR"/>
        </w:rPr>
        <w:tab/>
        <w:t>Critères du paragraphe </w:t>
      </w:r>
      <w:r w:rsidRPr="00C62790">
        <w:rPr>
          <w:snapToGrid w:val="0"/>
          <w:lang w:val="fr-FR"/>
        </w:rPr>
        <w:t>c)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C62790">
        <w:rPr>
          <w:snapToGrid w:val="0"/>
          <w:lang w:val="fr-FR"/>
        </w:rPr>
        <w:t xml:space="preserve">II 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  <w:tab w:val="left" w:pos="2520"/>
        </w:tabs>
        <w:snapToGrid w:val="0"/>
        <w:spacing w:after="120"/>
        <w:ind w:left="1247" w:firstLine="624"/>
        <w:rPr>
          <w:i/>
        </w:rPr>
      </w:pPr>
      <w:r w:rsidRPr="00C62790">
        <w:rPr>
          <w:i/>
        </w:rPr>
        <w:t>c)</w:t>
      </w:r>
      <w:r w:rsidRPr="00C62790">
        <w:rPr>
          <w:i/>
        </w:rPr>
        <w:tab/>
        <w:t>Détermine si la mesure de réglementation finale suffit à justifier l</w:t>
      </w:r>
      <w:r>
        <w:rPr>
          <w:i/>
        </w:rPr>
        <w:t>’</w:t>
      </w:r>
      <w:r w:rsidRPr="00C62790">
        <w:rPr>
          <w:i/>
        </w:rPr>
        <w:t>inscription du produi</w:t>
      </w:r>
      <w:r>
        <w:rPr>
          <w:i/>
        </w:rPr>
        <w:t>t chimique considéré à l’Annexe III après avoir déterminé </w:t>
      </w:r>
      <w:r w:rsidRPr="00C62790">
        <w:rPr>
          <w:i/>
        </w:rPr>
        <w:t>:</w:t>
      </w:r>
    </w:p>
    <w:p w:rsidR="00C77518" w:rsidRPr="00C62790" w:rsidRDefault="00C77518" w:rsidP="00C77518">
      <w:pPr>
        <w:widowControl w:val="0"/>
        <w:tabs>
          <w:tab w:val="left" w:pos="624"/>
        </w:tabs>
        <w:snapToGrid w:val="0"/>
        <w:spacing w:after="120"/>
        <w:ind w:left="2381" w:hanging="510"/>
        <w:rPr>
          <w:i/>
        </w:rPr>
      </w:pPr>
      <w:r w:rsidRPr="00C62790">
        <w:rPr>
          <w:i/>
        </w:rPr>
        <w:t xml:space="preserve"> i)</w:t>
      </w:r>
      <w:r w:rsidRPr="00C62790">
        <w:rPr>
          <w:i/>
        </w:rPr>
        <w:tab/>
        <w:t>Si l</w:t>
      </w:r>
      <w:r>
        <w:rPr>
          <w:i/>
        </w:rPr>
        <w:t>’</w:t>
      </w:r>
      <w:r w:rsidRPr="00C62790">
        <w:rPr>
          <w:i/>
        </w:rPr>
        <w:t>application de la mesure de réglementation finale a entraîné, ou devrait entraîner, une diminution sensible de la consommation du produit chimique ou du nombre de ses emplois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du Japon n</w:t>
      </w:r>
      <w:r>
        <w:rPr>
          <w:lang w:val="fr-FR"/>
        </w:rPr>
        <w:t>’indique</w:t>
      </w:r>
      <w:r w:rsidRPr="00C62790">
        <w:rPr>
          <w:lang w:val="fr-FR"/>
        </w:rPr>
        <w:t xml:space="preserve"> pas les quantités</w:t>
      </w:r>
      <w:r>
        <w:rPr>
          <w:lang w:val="fr-FR"/>
        </w:rPr>
        <w:t xml:space="preserve"> estimatives </w:t>
      </w:r>
      <w:r w:rsidRPr="00C62790">
        <w:rPr>
          <w:lang w:val="fr-FR"/>
        </w:rPr>
        <w:t>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précédemment importées, produites ou utilisées. Elle cite </w:t>
      </w:r>
      <w:r>
        <w:rPr>
          <w:lang w:val="fr-FR"/>
        </w:rPr>
        <w:t xml:space="preserve">cependant </w:t>
      </w:r>
      <w:r w:rsidRPr="00C62790">
        <w:rPr>
          <w:lang w:val="fr-FR"/>
        </w:rPr>
        <w:t xml:space="preserve">de précédentes utilisations </w:t>
      </w:r>
      <w:r>
        <w:rPr>
          <w:lang w:val="fr-FR"/>
        </w:rPr>
        <w:t>de cette substance de</w:t>
      </w:r>
      <w:r w:rsidRPr="00C62790">
        <w:rPr>
          <w:lang w:val="fr-FR"/>
        </w:rPr>
        <w:t>s fins industrielles</w:t>
      </w:r>
      <w:r>
        <w:rPr>
          <w:lang w:val="fr-FR"/>
        </w:rPr>
        <w:t xml:space="preserve"> dans le pays</w:t>
      </w:r>
      <w:r w:rsidRPr="00C62790">
        <w:rPr>
          <w:lang w:val="fr-FR"/>
        </w:rPr>
        <w:t xml:space="preserve">. La mesure de réglementation finale du Japon vise à interdire toutes les utilisations de ce produit </w:t>
      </w:r>
      <w:r>
        <w:rPr>
          <w:lang w:val="fr-FR"/>
        </w:rPr>
        <w:t>de</w:t>
      </w:r>
      <w:r w:rsidRPr="00C62790">
        <w:rPr>
          <w:lang w:val="fr-FR"/>
        </w:rPr>
        <w:t xml:space="preserve">s fins industrielles.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lastRenderedPageBreak/>
        <w:t>Les échantillons prélevés au Japon, dont il est question dans le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>, mettent en évidence un recours accru à ce produit chimique depuis les années 90, mentionnant son utilisation dans les panneaux isolants et les textiles au Japon.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c)</w:t>
      </w:r>
      <w:r>
        <w:rPr>
          <w:lang w:val="fr-FR"/>
        </w:rPr>
        <w:t> </w:t>
      </w:r>
      <w:r w:rsidRPr="00C62790">
        <w:rPr>
          <w:lang w:val="fr-FR"/>
        </w:rPr>
        <w:t xml:space="preserve">i) </w:t>
      </w:r>
      <w:r>
        <w:rPr>
          <w:lang w:val="fr-FR"/>
        </w:rPr>
        <w:t>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ii)</w:t>
      </w:r>
      <w:r w:rsidRPr="00C62790">
        <w:rPr>
          <w:i/>
        </w:rPr>
        <w:tab/>
        <w:t>Si l</w:t>
      </w:r>
      <w:r>
        <w:rPr>
          <w:i/>
        </w:rPr>
        <w:t>’</w:t>
      </w:r>
      <w:r w:rsidRPr="00C62790">
        <w:rPr>
          <w:i/>
        </w:rPr>
        <w:t>application de la mesure de réglementation finale a effectivement entraîné, ou devrait entraîner, une diminution importante des risques pesant sur la santé des personnes ou sur l</w:t>
      </w:r>
      <w:r>
        <w:rPr>
          <w:i/>
        </w:rPr>
        <w:t>’</w:t>
      </w:r>
      <w:r w:rsidRPr="00C62790">
        <w:rPr>
          <w:i/>
        </w:rPr>
        <w:t>environnement dans la Partie qui a soumis la notification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Citant les dangers posés par cette substance pour la santé humaine, l</w:t>
      </w:r>
      <w:r>
        <w:rPr>
          <w:lang w:val="fr-FR"/>
        </w:rPr>
        <w:t>’</w:t>
      </w:r>
      <w:r w:rsidRPr="00C62790">
        <w:rPr>
          <w:lang w:val="fr-FR"/>
        </w:rPr>
        <w:t>interdiction notifiée par le</w:t>
      </w:r>
      <w:r>
        <w:rPr>
          <w:lang w:val="fr-FR"/>
        </w:rPr>
        <w:t> </w:t>
      </w:r>
      <w:r w:rsidRPr="00C62790">
        <w:rPr>
          <w:lang w:val="fr-FR"/>
        </w:rPr>
        <w:t>Japon devrait réduire sensiblement les risques qu</w:t>
      </w:r>
      <w:r>
        <w:rPr>
          <w:lang w:val="fr-FR"/>
        </w:rPr>
        <w:t>’</w:t>
      </w:r>
      <w:r w:rsidRPr="00C62790">
        <w:rPr>
          <w:lang w:val="fr-FR"/>
        </w:rPr>
        <w:t xml:space="preserve">elle comporte en interdisant ses utilisations </w:t>
      </w:r>
      <w:r>
        <w:rPr>
          <w:lang w:val="fr-FR"/>
        </w:rPr>
        <w:t>de</w:t>
      </w:r>
      <w:r w:rsidRPr="00C62790">
        <w:rPr>
          <w:lang w:val="fr-FR"/>
        </w:rPr>
        <w:t>s fins industrielles et en prévenant l</w:t>
      </w:r>
      <w:r>
        <w:rPr>
          <w:lang w:val="fr-FR"/>
        </w:rPr>
        <w:t>’</w:t>
      </w:r>
      <w:r w:rsidRPr="00C62790">
        <w:rPr>
          <w:lang w:val="fr-FR"/>
        </w:rPr>
        <w:t>introduction de nouvelles utilisations dans le pays. Les résultats de</w:t>
      </w:r>
      <w:r>
        <w:rPr>
          <w:lang w:val="fr-FR"/>
        </w:rPr>
        <w:t> </w:t>
      </w:r>
      <w:r w:rsidRPr="00C62790">
        <w:rPr>
          <w:lang w:val="fr-FR"/>
        </w:rPr>
        <w:t>l</w:t>
      </w:r>
      <w:r>
        <w:rPr>
          <w:lang w:val="fr-FR"/>
        </w:rPr>
        <w:t>’</w:t>
      </w:r>
      <w:r w:rsidRPr="00C62790">
        <w:rPr>
          <w:lang w:val="fr-FR"/>
        </w:rPr>
        <w:t>évaluation interne des risques pour l</w:t>
      </w:r>
      <w:r>
        <w:rPr>
          <w:lang w:val="fr-FR"/>
        </w:rPr>
        <w:t>’</w:t>
      </w:r>
      <w:r w:rsidRPr="00C62790">
        <w:rPr>
          <w:lang w:val="fr-FR"/>
        </w:rPr>
        <w:t>environnement montrent que ces risques seraient considérablement atténués par une interdiction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. La Partie </w:t>
      </w:r>
      <w:proofErr w:type="spellStart"/>
      <w:r w:rsidRPr="00C62790">
        <w:rPr>
          <w:lang w:val="fr-FR"/>
        </w:rPr>
        <w:t>notifiante</w:t>
      </w:r>
      <w:proofErr w:type="spellEnd"/>
      <w:r w:rsidRPr="00C62790">
        <w:rPr>
          <w:lang w:val="fr-FR"/>
        </w:rPr>
        <w:t xml:space="preserve"> indique qu</w:t>
      </w:r>
      <w:r>
        <w:rPr>
          <w:lang w:val="fr-FR"/>
        </w:rPr>
        <w:t>’</w:t>
      </w:r>
      <w:r w:rsidRPr="00C62790">
        <w:rPr>
          <w:lang w:val="fr-FR"/>
        </w:rPr>
        <w:t xml:space="preserve">une réduction de </w:t>
      </w:r>
      <w:r>
        <w:rPr>
          <w:lang w:val="fr-FR"/>
        </w:rPr>
        <w:t>l’exposition humaine est</w:t>
      </w:r>
      <w:r w:rsidRPr="00C62790">
        <w:rPr>
          <w:lang w:val="fr-FR"/>
        </w:rPr>
        <w:t xml:space="preserve"> attendu</w:t>
      </w:r>
      <w:r>
        <w:rPr>
          <w:lang w:val="fr-FR"/>
        </w:rPr>
        <w:t>e de la mesure de réglementation</w:t>
      </w:r>
      <w:r w:rsidRPr="00C62790">
        <w:rPr>
          <w:lang w:val="fr-FR"/>
        </w:rPr>
        <w:t xml:space="preserve"> </w:t>
      </w:r>
      <w:r>
        <w:rPr>
          <w:lang w:val="fr-FR"/>
        </w:rPr>
        <w:t xml:space="preserve">avec l’élimination progressive de cette </w:t>
      </w:r>
      <w:r w:rsidRPr="00C62790">
        <w:rPr>
          <w:lang w:val="fr-FR"/>
        </w:rPr>
        <w:t>substance.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c)</w:t>
      </w:r>
      <w:r>
        <w:rPr>
          <w:lang w:val="fr-FR"/>
        </w:rPr>
        <w:t> </w:t>
      </w:r>
      <w:r w:rsidRPr="00C62790">
        <w:rPr>
          <w:lang w:val="fr-FR"/>
        </w:rPr>
        <w:t>ii)</w:t>
      </w:r>
      <w:r>
        <w:rPr>
          <w:lang w:val="fr-FR"/>
        </w:rPr>
        <w:t xml:space="preserve">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iii)</w:t>
      </w:r>
      <w:r w:rsidRPr="00C62790">
        <w:rPr>
          <w:i/>
        </w:rPr>
        <w:tab/>
        <w:t>Si les considérations à l</w:t>
      </w:r>
      <w:r>
        <w:rPr>
          <w:i/>
        </w:rPr>
        <w:t>’</w:t>
      </w:r>
      <w:r w:rsidRPr="00C62790">
        <w:rPr>
          <w:i/>
        </w:rPr>
        <w:t>origine de la mesure de réglementation finale valent uniquement pour une zone géographique particulière ou pour d</w:t>
      </w:r>
      <w:r>
        <w:rPr>
          <w:i/>
        </w:rPr>
        <w:t>’</w:t>
      </w:r>
      <w:r w:rsidRPr="00C62790">
        <w:rPr>
          <w:i/>
        </w:rPr>
        <w:t>autres cas précis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Japon ne cite, dans sa notification, aucune information concernant l</w:t>
      </w:r>
      <w:r>
        <w:rPr>
          <w:lang w:val="fr-FR"/>
        </w:rPr>
        <w:t>’</w:t>
      </w:r>
      <w:r w:rsidRPr="00C62790">
        <w:rPr>
          <w:lang w:val="fr-FR"/>
        </w:rPr>
        <w:t xml:space="preserve">applicabilité </w:t>
      </w:r>
      <w:r w:rsidRPr="00E40099">
        <w:rPr>
          <w:lang w:val="fr-FR"/>
        </w:rPr>
        <w:t>à d</w:t>
      </w:r>
      <w:r>
        <w:rPr>
          <w:lang w:val="fr-FR"/>
        </w:rPr>
        <w:t>’</w:t>
      </w:r>
      <w:r w:rsidRPr="00E40099">
        <w:rPr>
          <w:lang w:val="fr-FR"/>
        </w:rPr>
        <w:t xml:space="preserve">autres régions </w:t>
      </w:r>
      <w:r w:rsidRPr="00C62790">
        <w:rPr>
          <w:lang w:val="fr-FR"/>
        </w:rPr>
        <w:t xml:space="preserve">des considérations qui ont conduit à la mesure de réglementation. Toutefois, la Partie </w:t>
      </w:r>
      <w:proofErr w:type="spellStart"/>
      <w:r w:rsidRPr="00C62790">
        <w:rPr>
          <w:lang w:val="fr-FR"/>
        </w:rPr>
        <w:t>notifiante</w:t>
      </w:r>
      <w:proofErr w:type="spellEnd"/>
      <w:r w:rsidRPr="00C62790">
        <w:rPr>
          <w:lang w:val="fr-FR"/>
        </w:rPr>
        <w:t xml:space="preserve"> a fourni le descriptif des risques concernant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établi par le Comité d</w:t>
      </w:r>
      <w:r>
        <w:rPr>
          <w:lang w:val="fr-FR"/>
        </w:rPr>
        <w:t>’</w:t>
      </w:r>
      <w:r w:rsidRPr="00C62790">
        <w:rPr>
          <w:lang w:val="fr-FR"/>
        </w:rPr>
        <w:t xml:space="preserve">étude des polluants organiques persistants, selon lequel des mesures internationales sont justifiées en raison de la propagation à longue distance de cette substance </w:t>
      </w:r>
      <w:r>
        <w:rPr>
          <w:lang w:val="fr-FR"/>
        </w:rPr>
        <w:t>dans l’environnement, entraînant</w:t>
      </w:r>
      <w:r w:rsidRPr="00C62790">
        <w:rPr>
          <w:lang w:val="fr-FR"/>
        </w:rPr>
        <w:t xml:space="preserve"> des effets nocifs </w:t>
      </w:r>
      <w:r>
        <w:rPr>
          <w:lang w:val="fr-FR"/>
        </w:rPr>
        <w:t xml:space="preserve">importants </w:t>
      </w:r>
      <w:r w:rsidRPr="00C62790">
        <w:rPr>
          <w:lang w:val="fr-FR"/>
        </w:rPr>
        <w:t>pour la santé humaine et l</w:t>
      </w:r>
      <w:r>
        <w:rPr>
          <w:lang w:val="fr-FR"/>
        </w:rPr>
        <w:t>’</w:t>
      </w:r>
      <w:r w:rsidRPr="00C62790">
        <w:rPr>
          <w:lang w:val="fr-FR"/>
        </w:rPr>
        <w:t xml:space="preserve">environnement.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Compte tenu des dangers associés à cette substance, du fait notamment de sa propagation à longue distance dans l</w:t>
      </w:r>
      <w:r>
        <w:rPr>
          <w:lang w:val="fr-FR"/>
        </w:rPr>
        <w:t>’</w:t>
      </w:r>
      <w:r w:rsidRPr="00C62790">
        <w:rPr>
          <w:lang w:val="fr-FR"/>
        </w:rPr>
        <w:t>environnem</w:t>
      </w:r>
      <w:r>
        <w:rPr>
          <w:lang w:val="fr-FR"/>
        </w:rPr>
        <w:t>ent, décrits dans le descriptif</w:t>
      </w:r>
      <w:r w:rsidRPr="00C62790">
        <w:rPr>
          <w:lang w:val="fr-FR"/>
        </w:rPr>
        <w:t xml:space="preserve"> des risques établi par le Comité d</w:t>
      </w:r>
      <w:r>
        <w:rPr>
          <w:lang w:val="fr-FR"/>
        </w:rPr>
        <w:t>’</w:t>
      </w:r>
      <w:r w:rsidRPr="00C62790">
        <w:rPr>
          <w:lang w:val="fr-FR"/>
        </w:rPr>
        <w:t xml:space="preserve">étude des polluants organiques persistants, tout État ou région où une exposition ou des rejets sont possibles pourraient trouver la mesure de réglementation pertinente.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c)</w:t>
      </w:r>
      <w:r>
        <w:rPr>
          <w:lang w:val="fr-FR"/>
        </w:rPr>
        <w:t> </w:t>
      </w:r>
      <w:r w:rsidRPr="00C62790">
        <w:rPr>
          <w:lang w:val="fr-FR"/>
        </w:rPr>
        <w:t xml:space="preserve">iii) </w:t>
      </w:r>
      <w:r>
        <w:rPr>
          <w:lang w:val="fr-FR"/>
        </w:rPr>
        <w:t>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iv)</w:t>
      </w:r>
      <w:r w:rsidRPr="00C62790">
        <w:rPr>
          <w:i/>
        </w:rPr>
        <w:tab/>
        <w:t>S</w:t>
      </w:r>
      <w:r>
        <w:rPr>
          <w:i/>
        </w:rPr>
        <w:t>’</w:t>
      </w:r>
      <w:r w:rsidRPr="00C62790">
        <w:rPr>
          <w:i/>
        </w:rPr>
        <w:t>il est prouvé que le produit chimique considéré fait l</w:t>
      </w:r>
      <w:r>
        <w:rPr>
          <w:i/>
        </w:rPr>
        <w:t>’</w:t>
      </w:r>
      <w:r w:rsidRPr="00C62790">
        <w:rPr>
          <w:i/>
        </w:rPr>
        <w:t>objet d</w:t>
      </w:r>
      <w:r>
        <w:rPr>
          <w:i/>
        </w:rPr>
        <w:t>’</w:t>
      </w:r>
      <w:r w:rsidRPr="00C62790">
        <w:rPr>
          <w:i/>
        </w:rPr>
        <w:t>échanges commerciaux internationaux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Aucune information sur le commerce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n</w:t>
      </w:r>
      <w:r>
        <w:rPr>
          <w:lang w:val="fr-FR"/>
        </w:rPr>
        <w:t>’</w:t>
      </w:r>
      <w:r w:rsidRPr="00C62790">
        <w:rPr>
          <w:lang w:val="fr-FR"/>
        </w:rPr>
        <w:t>apparaît dans les informations rassemblées par le Secrétariat. Toutefois,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est inscrit à l</w:t>
      </w:r>
      <w:r>
        <w:rPr>
          <w:lang w:val="fr-FR"/>
        </w:rPr>
        <w:t>’</w:t>
      </w:r>
      <w:r w:rsidRPr="00C62790">
        <w:rPr>
          <w:lang w:val="fr-FR"/>
        </w:rPr>
        <w:t>Annexe A de la Convention de Stockholm et les Parties sont convenues, dans le cadre de cette inscription, de prévoir des déroga</w:t>
      </w:r>
      <w:r>
        <w:rPr>
          <w:lang w:val="fr-FR"/>
        </w:rPr>
        <w:t>tions spécifiques pour son utilisation</w:t>
      </w:r>
      <w:r w:rsidRPr="00C62790">
        <w:rPr>
          <w:lang w:val="fr-FR"/>
        </w:rPr>
        <w:t xml:space="preserve"> et sa production. Il est donc probable que la production et l</w:t>
      </w:r>
      <w:r>
        <w:rPr>
          <w:lang w:val="fr-FR"/>
        </w:rPr>
        <w:t>’</w:t>
      </w:r>
      <w:r w:rsidRPr="00C62790">
        <w:rPr>
          <w:lang w:val="fr-FR"/>
        </w:rPr>
        <w:t>utilisation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</w:t>
      </w:r>
      <w:r>
        <w:rPr>
          <w:lang w:val="fr-FR"/>
        </w:rPr>
        <w:t xml:space="preserve">se poursuivent, de même que son commerce.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c)</w:t>
      </w:r>
      <w:r>
        <w:rPr>
          <w:lang w:val="fr-FR"/>
        </w:rPr>
        <w:t> i</w:t>
      </w:r>
      <w:r w:rsidRPr="00C62790">
        <w:rPr>
          <w:lang w:val="fr-FR"/>
        </w:rPr>
        <w:t xml:space="preserve">v) </w:t>
      </w:r>
      <w:r>
        <w:rPr>
          <w:lang w:val="fr-FR"/>
        </w:rPr>
        <w:t>est satisfait.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>
        <w:rPr>
          <w:snapToGrid w:val="0"/>
          <w:lang w:val="fr-FR"/>
        </w:rPr>
        <w:tab/>
        <w:t>e)</w:t>
      </w:r>
      <w:r>
        <w:rPr>
          <w:snapToGrid w:val="0"/>
          <w:lang w:val="fr-FR"/>
        </w:rPr>
        <w:tab/>
        <w:t>Critère du paragraphe </w:t>
      </w:r>
      <w:r w:rsidRPr="00C62790">
        <w:rPr>
          <w:snapToGrid w:val="0"/>
          <w:lang w:val="fr-FR"/>
        </w:rPr>
        <w:t>d)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C62790">
        <w:rPr>
          <w:snapToGrid w:val="0"/>
          <w:lang w:val="fr-FR"/>
        </w:rPr>
        <w:t>II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  <w:tab w:val="left" w:pos="2520"/>
        </w:tabs>
        <w:snapToGrid w:val="0"/>
        <w:spacing w:after="120"/>
        <w:ind w:left="1247" w:firstLine="624"/>
        <w:rPr>
          <w:i/>
        </w:rPr>
      </w:pPr>
      <w:r w:rsidRPr="00C62790">
        <w:rPr>
          <w:i/>
        </w:rPr>
        <w:t>d)</w:t>
      </w:r>
      <w:r w:rsidRPr="00C62790">
        <w:rPr>
          <w:i/>
        </w:rPr>
        <w:tab/>
        <w:t>Tient compte du fait qu</w:t>
      </w:r>
      <w:r>
        <w:rPr>
          <w:i/>
        </w:rPr>
        <w:t>’</w:t>
      </w:r>
      <w:r w:rsidRPr="00C62790">
        <w:rPr>
          <w:i/>
        </w:rPr>
        <w:t>un abus intentionnel ne constitue pas en soi une raison suffisante pour inscrire un produit chimique à l</w:t>
      </w:r>
      <w:r>
        <w:rPr>
          <w:i/>
        </w:rPr>
        <w:t>’</w:t>
      </w:r>
      <w:r w:rsidRPr="00C62790">
        <w:rPr>
          <w:i/>
        </w:rPr>
        <w:t>Annexe</w:t>
      </w:r>
      <w:r>
        <w:rPr>
          <w:i/>
        </w:rPr>
        <w:t> </w:t>
      </w:r>
      <w:r w:rsidRPr="00C62790">
        <w:rPr>
          <w:i/>
        </w:rPr>
        <w:t xml:space="preserve">III.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Aucun élément de la notification ou de la documentation à l</w:t>
      </w:r>
      <w:r>
        <w:rPr>
          <w:lang w:val="fr-FR"/>
        </w:rPr>
        <w:t>’</w:t>
      </w:r>
      <w:r w:rsidRPr="00C62790">
        <w:rPr>
          <w:lang w:val="fr-FR"/>
        </w:rPr>
        <w:t>appui n</w:t>
      </w:r>
      <w:r>
        <w:rPr>
          <w:lang w:val="fr-FR"/>
        </w:rPr>
        <w:t>’</w:t>
      </w:r>
      <w:r w:rsidRPr="00C62790">
        <w:rPr>
          <w:lang w:val="fr-FR"/>
        </w:rPr>
        <w:t>indique que la mesure de réglementation a été motivée par des préoccupations concernant l</w:t>
      </w:r>
      <w:r>
        <w:rPr>
          <w:lang w:val="fr-FR"/>
        </w:rPr>
        <w:t>’</w:t>
      </w:r>
      <w:r w:rsidRPr="00C62790">
        <w:rPr>
          <w:lang w:val="fr-FR"/>
        </w:rPr>
        <w:t>abus intentionnel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Compte tenu des considérations qui précèdent, le Comité confirme que le critère du paragraphe d)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II</w:t>
      </w:r>
      <w:r>
        <w:rPr>
          <w:lang w:val="fr-FR"/>
        </w:rPr>
        <w:t xml:space="preserve">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 w:rsidRPr="00C62790">
        <w:rPr>
          <w:snapToGrid w:val="0"/>
          <w:lang w:val="fr-FR"/>
        </w:rPr>
        <w:tab/>
        <w:t>f)</w:t>
      </w:r>
      <w:r w:rsidRPr="00C62790">
        <w:rPr>
          <w:snapToGrid w:val="0"/>
          <w:lang w:val="fr-FR"/>
        </w:rPr>
        <w:tab/>
        <w:t>Conclusion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lastRenderedPageBreak/>
        <w:t>Le Comité conclut que la notification de mesure de réglementa</w:t>
      </w:r>
      <w:r>
        <w:rPr>
          <w:lang w:val="fr-FR"/>
        </w:rPr>
        <w:t>tion finale du Japon répond aux</w:t>
      </w:r>
      <w:r w:rsidRPr="00C62790">
        <w:rPr>
          <w:lang w:val="fr-FR"/>
        </w:rPr>
        <w:t xml:space="preserve"> critères énoncés dans l</w:t>
      </w:r>
      <w:r>
        <w:rPr>
          <w:lang w:val="fr-FR"/>
        </w:rPr>
        <w:t>’Annexe </w:t>
      </w:r>
      <w:r w:rsidRPr="00C62790">
        <w:rPr>
          <w:lang w:val="fr-FR"/>
        </w:rPr>
        <w:t xml:space="preserve">II </w:t>
      </w:r>
      <w:r>
        <w:rPr>
          <w:lang w:val="fr-FR"/>
        </w:rPr>
        <w:t>de</w:t>
      </w:r>
      <w:r w:rsidRPr="00C62790">
        <w:rPr>
          <w:lang w:val="fr-FR"/>
        </w:rPr>
        <w:t xml:space="preserve"> la Convention. </w:t>
      </w:r>
    </w:p>
    <w:p w:rsidR="00C77518" w:rsidRPr="00C62790" w:rsidRDefault="00C77518" w:rsidP="00C77518">
      <w:pPr>
        <w:pStyle w:val="CH2"/>
        <w:rPr>
          <w:lang w:val="fr-FR"/>
        </w:rPr>
      </w:pPr>
      <w:r w:rsidRPr="00C62790">
        <w:rPr>
          <w:lang w:val="fr-FR"/>
        </w:rPr>
        <w:tab/>
        <w:t>II.</w:t>
      </w:r>
      <w:r w:rsidRPr="00C62790">
        <w:rPr>
          <w:lang w:val="fr-FR"/>
        </w:rPr>
        <w:tab/>
        <w:t>Norvège</w:t>
      </w:r>
    </w:p>
    <w:p w:rsidR="00C77518" w:rsidRPr="00C62790" w:rsidRDefault="00C77518" w:rsidP="00C77518">
      <w:pPr>
        <w:pStyle w:val="CH3"/>
        <w:keepNext w:val="0"/>
        <w:keepLines w:val="0"/>
        <w:rPr>
          <w:snapToGrid w:val="0"/>
          <w:lang w:val="fr-FR"/>
        </w:rPr>
      </w:pPr>
      <w:r w:rsidRPr="00C62790">
        <w:rPr>
          <w:snapToGrid w:val="0"/>
          <w:lang w:val="fr-FR"/>
        </w:rPr>
        <w:tab/>
        <w:t>a)</w:t>
      </w:r>
      <w:r w:rsidRPr="00C62790">
        <w:rPr>
          <w:snapToGrid w:val="0"/>
          <w:lang w:val="fr-FR"/>
        </w:rPr>
        <w:tab/>
        <w:t>Portée de la mesure de réglementation notifiée par la Norvège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mesure de réglementation notifiée par la Norvège a trait aux utilisations industrielles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(</w:t>
      </w:r>
      <w:r>
        <w:rPr>
          <w:lang w:val="fr-FR"/>
        </w:rPr>
        <w:t>n° </w:t>
      </w:r>
      <w:r w:rsidRPr="00C62790">
        <w:rPr>
          <w:lang w:val="fr-FR"/>
        </w:rPr>
        <w:t xml:space="preserve">CAS 23637-99-4, 3194-55-6, 134237-50-6, 134237-51-7, </w:t>
      </w:r>
      <w:r w:rsidRPr="00C62790">
        <w:rPr>
          <w:lang w:val="fr-FR"/>
        </w:rPr>
        <w:br/>
        <w:t>134237-52</w:t>
      </w:r>
      <w:r>
        <w:rPr>
          <w:lang w:val="fr-FR"/>
        </w:rPr>
        <w:t>-</w:t>
      </w:r>
      <w:r w:rsidRPr="00C62790">
        <w:rPr>
          <w:lang w:val="fr-FR"/>
        </w:rPr>
        <w:t>8). La notification indique que la production, l</w:t>
      </w:r>
      <w:r>
        <w:rPr>
          <w:lang w:val="fr-FR"/>
        </w:rPr>
        <w:t>’</w:t>
      </w:r>
      <w:r w:rsidRPr="00C62790">
        <w:rPr>
          <w:lang w:val="fr-FR"/>
        </w:rPr>
        <w:t>importation, l</w:t>
      </w:r>
      <w:r>
        <w:rPr>
          <w:lang w:val="fr-FR"/>
        </w:rPr>
        <w:t>’</w:t>
      </w:r>
      <w:r w:rsidRPr="00C62790">
        <w:rPr>
          <w:lang w:val="fr-FR"/>
        </w:rPr>
        <w:t>exportation et la vente de produits de consommation contenant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sont strictement réglementées. Cette substance est visée</w:t>
      </w:r>
      <w:r>
        <w:rPr>
          <w:lang w:val="fr-FR"/>
        </w:rPr>
        <w:t xml:space="preserve"> par le chapitre </w:t>
      </w:r>
      <w:r w:rsidRPr="00C62790">
        <w:rPr>
          <w:lang w:val="fr-FR"/>
        </w:rPr>
        <w:t>4 de la réglementation imposant des restrictions à la production, l</w:t>
      </w:r>
      <w:r>
        <w:rPr>
          <w:lang w:val="fr-FR"/>
        </w:rPr>
        <w:t>’</w:t>
      </w:r>
      <w:r w:rsidRPr="00C62790">
        <w:rPr>
          <w:lang w:val="fr-FR"/>
        </w:rPr>
        <w:t>importation et la mise sur le marché de produits chimiques et autres produits dangereux pour la santé humaine et l</w:t>
      </w:r>
      <w:r>
        <w:rPr>
          <w:lang w:val="fr-FR"/>
        </w:rPr>
        <w:t>’</w:t>
      </w:r>
      <w:r w:rsidRPr="00C62790">
        <w:rPr>
          <w:lang w:val="fr-FR"/>
        </w:rPr>
        <w:t>environnement (Règlementation sur les produits chimiques), en vertu de la Loi n°</w:t>
      </w:r>
      <w:r>
        <w:rPr>
          <w:lang w:val="fr-FR"/>
        </w:rPr>
        <w:t> </w:t>
      </w:r>
      <w:r w:rsidRPr="00C62790">
        <w:rPr>
          <w:lang w:val="fr-FR"/>
        </w:rPr>
        <w:t>922 de juin 2004, qui traduit en droit norvégien le Règlement (CE) n°</w:t>
      </w:r>
      <w:r>
        <w:rPr>
          <w:lang w:val="fr-FR"/>
        </w:rPr>
        <w:t> </w:t>
      </w:r>
      <w:r w:rsidRPr="00C62790">
        <w:rPr>
          <w:lang w:val="fr-FR"/>
        </w:rPr>
        <w:t>850/2004 du Parlement européen et du Conseil sur les polluants organiques persistants et l</w:t>
      </w:r>
      <w:r>
        <w:rPr>
          <w:lang w:val="fr-FR"/>
        </w:rPr>
        <w:t>’</w:t>
      </w:r>
      <w:r w:rsidRPr="00C62790">
        <w:rPr>
          <w:lang w:val="fr-FR"/>
        </w:rPr>
        <w:t>application de l</w:t>
      </w:r>
      <w:r>
        <w:rPr>
          <w:lang w:val="fr-FR"/>
        </w:rPr>
        <w:t>’</w:t>
      </w:r>
      <w:r w:rsidRPr="00C62790">
        <w:rPr>
          <w:lang w:val="fr-FR"/>
        </w:rPr>
        <w:t>amendement à l</w:t>
      </w:r>
      <w:r>
        <w:rPr>
          <w:lang w:val="fr-FR"/>
        </w:rPr>
        <w:t>’</w:t>
      </w:r>
      <w:r w:rsidRPr="00C62790">
        <w:rPr>
          <w:lang w:val="fr-FR"/>
        </w:rPr>
        <w:t>Annexe I du Règlement (UE) de la Commission 2016/293 du 1</w:t>
      </w:r>
      <w:r w:rsidRPr="00C62790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C62790">
        <w:rPr>
          <w:lang w:val="fr-FR"/>
        </w:rPr>
        <w:t>mars 2016. La mesure de réglementa</w:t>
      </w:r>
      <w:r>
        <w:rPr>
          <w:lang w:val="fr-FR"/>
        </w:rPr>
        <w:t>tion est entrée en vigueur le 9 </w:t>
      </w:r>
      <w:r w:rsidRPr="00C62790">
        <w:rPr>
          <w:lang w:val="fr-FR"/>
        </w:rPr>
        <w:t>juillet</w:t>
      </w:r>
      <w:r>
        <w:rPr>
          <w:lang w:val="fr-FR"/>
        </w:rPr>
        <w:t xml:space="preserve"> </w:t>
      </w:r>
      <w:r w:rsidRPr="00C62790">
        <w:rPr>
          <w:lang w:val="fr-FR"/>
        </w:rPr>
        <w:t>2016.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 w:rsidRPr="00C62790">
        <w:rPr>
          <w:snapToGrid w:val="0"/>
          <w:lang w:val="fr-FR"/>
        </w:rPr>
        <w:tab/>
        <w:t>b)</w:t>
      </w:r>
      <w:r w:rsidRPr="00C62790">
        <w:rPr>
          <w:snapToGrid w:val="0"/>
          <w:lang w:val="fr-FR"/>
        </w:rPr>
        <w:tab/>
        <w:t>Critère du paragraphe a)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 II</w:t>
      </w:r>
    </w:p>
    <w:p w:rsidR="00C77518" w:rsidRPr="00C62790" w:rsidRDefault="00C77518" w:rsidP="00C77518">
      <w:pPr>
        <w:keepNext/>
        <w:keepLines/>
        <w:tabs>
          <w:tab w:val="left" w:pos="624"/>
        </w:tabs>
        <w:spacing w:after="120"/>
        <w:ind w:left="1247" w:firstLine="624"/>
        <w:rPr>
          <w:i/>
        </w:rPr>
      </w:pPr>
      <w:r w:rsidRPr="00C62790">
        <w:rPr>
          <w:i/>
        </w:rPr>
        <w:t>a)</w:t>
      </w:r>
      <w:r w:rsidRPr="00C62790">
        <w:rPr>
          <w:i/>
        </w:rPr>
        <w:tab/>
        <w:t>Confirme que la mesure de règlementation finale a été prise pour protéger la santé des personnes ou l</w:t>
      </w:r>
      <w:r>
        <w:rPr>
          <w:i/>
        </w:rPr>
        <w:t>’</w:t>
      </w:r>
      <w:r w:rsidRPr="00C62790">
        <w:rPr>
          <w:i/>
        </w:rPr>
        <w:t>environnement</w:t>
      </w:r>
      <w:r>
        <w:rPr>
          <w:i/>
        </w:rPr>
        <w:t xml:space="preserve"> 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 que la mesure de réglementation finale a été prise pour protéger la santé humaine et l</w:t>
      </w:r>
      <w:r>
        <w:rPr>
          <w:lang w:val="fr-FR"/>
        </w:rPr>
        <w:t>’</w:t>
      </w:r>
      <w:r w:rsidRPr="00C62790">
        <w:rPr>
          <w:lang w:val="fr-FR"/>
        </w:rPr>
        <w:t>environnement. La notification cite l</w:t>
      </w:r>
      <w:r>
        <w:rPr>
          <w:lang w:val="fr-FR"/>
        </w:rPr>
        <w:t>’</w:t>
      </w:r>
      <w:r w:rsidRPr="00C62790">
        <w:rPr>
          <w:lang w:val="fr-FR"/>
        </w:rPr>
        <w:t>exposition des consommateurs par le biais des produits de consommation, et des nourrissons par le biais du lait maternel. La persistance et la bioaccumulation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et sa présence dans des échantillons prélevés en Norvège sont cités comme risques pour l</w:t>
      </w:r>
      <w:r>
        <w:rPr>
          <w:lang w:val="fr-FR"/>
        </w:rPr>
        <w:t>’</w:t>
      </w:r>
      <w:r w:rsidRPr="00C62790">
        <w:rPr>
          <w:lang w:val="fr-FR"/>
        </w:rPr>
        <w:t xml:space="preserve">environnement.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était autrefois utilisé comme retardateur de flamme dans la fabrication de polystyrène expansé et extrudé pour utilisations ultérieures dans le secteur du bâtiment à</w:t>
      </w:r>
      <w:r>
        <w:rPr>
          <w:lang w:val="fr-FR"/>
        </w:rPr>
        <w:t> </w:t>
      </w:r>
      <w:r w:rsidRPr="00C62790">
        <w:rPr>
          <w:lang w:val="fr-FR"/>
        </w:rPr>
        <w:t>l</w:t>
      </w:r>
      <w:r>
        <w:rPr>
          <w:lang w:val="fr-FR"/>
        </w:rPr>
        <w:t>’</w:t>
      </w:r>
      <w:r w:rsidRPr="00C62790">
        <w:rPr>
          <w:lang w:val="fr-FR"/>
        </w:rPr>
        <w:t>étranger, bien que cette activité n</w:t>
      </w:r>
      <w:r>
        <w:rPr>
          <w:lang w:val="fr-FR"/>
        </w:rPr>
        <w:t>’</w:t>
      </w:r>
      <w:r w:rsidRPr="00C62790">
        <w:rPr>
          <w:lang w:val="fr-FR"/>
        </w:rPr>
        <w:t xml:space="preserve">ait pas lieu en Norvège.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a)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 xml:space="preserve">II </w:t>
      </w:r>
      <w:r>
        <w:rPr>
          <w:lang w:val="fr-FR"/>
        </w:rPr>
        <w:t>est satisfait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 w:rsidRPr="00C62790">
        <w:rPr>
          <w:snapToGrid w:val="0"/>
          <w:lang w:val="fr-FR"/>
        </w:rPr>
        <w:tab/>
        <w:t>c)</w:t>
      </w:r>
      <w:r w:rsidRPr="00C62790">
        <w:rPr>
          <w:snapToGrid w:val="0"/>
          <w:lang w:val="fr-FR"/>
        </w:rPr>
        <w:tab/>
      </w:r>
      <w:r>
        <w:rPr>
          <w:snapToGrid w:val="0"/>
          <w:lang w:val="fr-FR"/>
        </w:rPr>
        <w:t>Critères du paragraphe </w:t>
      </w:r>
      <w:r w:rsidRPr="00C62790">
        <w:rPr>
          <w:snapToGrid w:val="0"/>
          <w:lang w:val="fr-FR"/>
        </w:rPr>
        <w:t xml:space="preserve">b) </w:t>
      </w:r>
      <w:r>
        <w:rPr>
          <w:snapToGrid w:val="0"/>
          <w:lang w:val="fr-FR"/>
        </w:rPr>
        <w:t>de l’Annexe </w:t>
      </w:r>
      <w:r w:rsidRPr="00C62790">
        <w:rPr>
          <w:snapToGrid w:val="0"/>
          <w:lang w:val="fr-FR"/>
        </w:rPr>
        <w:t xml:space="preserve">II 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</w:tabs>
        <w:snapToGrid w:val="0"/>
        <w:spacing w:after="120"/>
        <w:ind w:left="1247" w:firstLine="619"/>
        <w:rPr>
          <w:i/>
        </w:rPr>
      </w:pPr>
      <w:r w:rsidRPr="00C62790">
        <w:rPr>
          <w:i/>
        </w:rPr>
        <w:t>b)</w:t>
      </w:r>
      <w:r w:rsidRPr="00C62790">
        <w:rPr>
          <w:i/>
        </w:rPr>
        <w:tab/>
        <w:t>Vérifie que la mesure de réglementation finale a été prise après une évaluation des risques. Cette évaluation doit s</w:t>
      </w:r>
      <w:r>
        <w:rPr>
          <w:i/>
        </w:rPr>
        <w:t>’</w:t>
      </w:r>
      <w:r w:rsidRPr="00C62790">
        <w:rPr>
          <w:i/>
        </w:rPr>
        <w:t>appuyer sur une analyse des données scientifiques effectuée en tenant compte du contexte propre à la Partie considérée. À cette fin, la documentation fournie doit attester que :</w:t>
      </w:r>
    </w:p>
    <w:p w:rsidR="00C77518" w:rsidRPr="00C62790" w:rsidRDefault="00C77518" w:rsidP="00C77518">
      <w:pPr>
        <w:widowControl w:val="0"/>
        <w:tabs>
          <w:tab w:val="left" w:pos="624"/>
        </w:tabs>
        <w:snapToGrid w:val="0"/>
        <w:spacing w:after="120"/>
        <w:ind w:left="2381" w:hanging="510"/>
        <w:rPr>
          <w:i/>
        </w:rPr>
      </w:pPr>
      <w:r w:rsidRPr="00C62790">
        <w:rPr>
          <w:i/>
        </w:rPr>
        <w:t>i)</w:t>
      </w:r>
      <w:r w:rsidRPr="00C62790">
        <w:rPr>
          <w:i/>
        </w:rPr>
        <w:tab/>
        <w:t>Les données ont été obtenues par des méthodes scientifiquement reconnues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ii)</w:t>
      </w:r>
      <w:r w:rsidRPr="00C62790">
        <w:rPr>
          <w:i/>
        </w:rPr>
        <w:tab/>
        <w:t>Ces données ont été analysées et étayées en respectant des principes et des méthodes scientifiquement reconnus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indique que la mesure de réglementation finale repose sur une évaluation des risques et des dangers. Elle fait référence à l</w:t>
      </w:r>
      <w:r>
        <w:rPr>
          <w:lang w:val="fr-FR"/>
        </w:rPr>
        <w:t>’</w:t>
      </w:r>
      <w:r w:rsidRPr="00C62790">
        <w:rPr>
          <w:lang w:val="fr-FR"/>
        </w:rPr>
        <w:t>évaluation des risques associés à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réalisée par la Commission européenne. La section du rapport d</w:t>
      </w:r>
      <w:r>
        <w:rPr>
          <w:lang w:val="fr-FR"/>
        </w:rPr>
        <w:t>’</w:t>
      </w:r>
      <w:r w:rsidRPr="00C62790">
        <w:rPr>
          <w:lang w:val="fr-FR"/>
        </w:rPr>
        <w:t>évaluation présentant les conclusions et résultats globaux de l</w:t>
      </w:r>
      <w:r>
        <w:rPr>
          <w:lang w:val="fr-FR"/>
        </w:rPr>
        <w:t>’</w:t>
      </w:r>
      <w:r w:rsidRPr="00C62790">
        <w:rPr>
          <w:lang w:val="fr-FR"/>
        </w:rPr>
        <w:t>évaluation ont été soumis par la Norvège dans le cadre de la documentation à l</w:t>
      </w:r>
      <w:r>
        <w:rPr>
          <w:lang w:val="fr-FR"/>
        </w:rPr>
        <w:t>’</w:t>
      </w:r>
      <w:r w:rsidRPr="00C62790">
        <w:rPr>
          <w:lang w:val="fr-FR"/>
        </w:rPr>
        <w:t>appui. Celle-ci contient également des études et extraits d</w:t>
      </w:r>
      <w:r>
        <w:rPr>
          <w:lang w:val="fr-FR"/>
        </w:rPr>
        <w:t>’</w:t>
      </w:r>
      <w:r w:rsidRPr="00C62790">
        <w:rPr>
          <w:lang w:val="fr-FR"/>
        </w:rPr>
        <w:t>études, ou des résumés en anglais, pertinents pour la Norvège ou l</w:t>
      </w:r>
      <w:r>
        <w:rPr>
          <w:lang w:val="fr-FR"/>
        </w:rPr>
        <w:t>’</w:t>
      </w:r>
      <w:r w:rsidRPr="00C62790">
        <w:rPr>
          <w:lang w:val="fr-FR"/>
        </w:rPr>
        <w:t xml:space="preserve">ensemble de la région, ses citoyens, les espèces endémiques, et les solutions de remplacement pour les utilisations de la substance comme retardateur de flamme.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 xml:space="preserve">La documentation soumise par la Norvège décrit les propriétés toxicologiques et </w:t>
      </w:r>
      <w:proofErr w:type="spellStart"/>
      <w:r w:rsidRPr="00C62790">
        <w:rPr>
          <w:lang w:val="fr-FR"/>
        </w:rPr>
        <w:t>écotoxicologiques</w:t>
      </w:r>
      <w:proofErr w:type="spellEnd"/>
      <w:r w:rsidRPr="00C62790">
        <w:rPr>
          <w:lang w:val="fr-FR"/>
        </w:rPr>
        <w:t xml:space="preserve"> de la substance, en renvoyant à l</w:t>
      </w:r>
      <w:r>
        <w:rPr>
          <w:lang w:val="fr-FR"/>
        </w:rPr>
        <w:t>’</w:t>
      </w:r>
      <w:r w:rsidRPr="00C62790">
        <w:rPr>
          <w:lang w:val="fr-FR"/>
        </w:rPr>
        <w:t>évaluation des risques associés à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réalisée par la Commission européenne. Les seuils de danger sont indiqués dans le rapport final sur les solutions de remplacement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</w:t>
      </w:r>
      <w:r w:rsidRPr="00C62790">
        <w:rPr>
          <w:lang w:val="fr-FR"/>
        </w:rPr>
        <w:lastRenderedPageBreak/>
        <w:t>(</w:t>
      </w:r>
      <w:proofErr w:type="spellStart"/>
      <w:r w:rsidRPr="00C62790">
        <w:rPr>
          <w:lang w:val="fr-FR"/>
        </w:rPr>
        <w:t>Flame</w:t>
      </w:r>
      <w:proofErr w:type="spellEnd"/>
      <w:r w:rsidRPr="00C62790">
        <w:rPr>
          <w:lang w:val="fr-FR"/>
        </w:rPr>
        <w:t xml:space="preserve"> Retardant Alternatives For </w:t>
      </w:r>
      <w:proofErr w:type="spellStart"/>
      <w:r w:rsidRPr="00C62790">
        <w:rPr>
          <w:lang w:val="fr-FR"/>
        </w:rPr>
        <w:t>Hexabromocyclododecane</w:t>
      </w:r>
      <w:proofErr w:type="spellEnd"/>
      <w:r w:rsidRPr="00C62790">
        <w:rPr>
          <w:lang w:val="fr-FR"/>
        </w:rPr>
        <w:t xml:space="preserve"> Final Report) de juin 2014 publié par l</w:t>
      </w:r>
      <w:r>
        <w:rPr>
          <w:lang w:val="fr-FR"/>
        </w:rPr>
        <w:t>’</w:t>
      </w:r>
      <w:r w:rsidRPr="00C62790">
        <w:rPr>
          <w:lang w:val="fr-FR"/>
        </w:rPr>
        <w:t>USEPA.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documentation à l</w:t>
      </w:r>
      <w:r>
        <w:rPr>
          <w:lang w:val="fr-FR"/>
        </w:rPr>
        <w:t>’</w:t>
      </w:r>
      <w:r w:rsidRPr="00C62790">
        <w:rPr>
          <w:lang w:val="fr-FR"/>
        </w:rPr>
        <w:t>appui soumise par la Norvège comprend un certain nombre de citations et de rapports techniques, y compris les résultats d</w:t>
      </w:r>
      <w:r>
        <w:rPr>
          <w:lang w:val="fr-FR"/>
        </w:rPr>
        <w:t>’</w:t>
      </w:r>
      <w:r w:rsidRPr="00C62790">
        <w:rPr>
          <w:lang w:val="fr-FR"/>
        </w:rPr>
        <w:t>activités de surveillance menées dans le pays.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rapport d</w:t>
      </w:r>
      <w:r>
        <w:rPr>
          <w:lang w:val="fr-FR"/>
        </w:rPr>
        <w:t>’</w:t>
      </w:r>
      <w:r w:rsidRPr="00C62790">
        <w:rPr>
          <w:lang w:val="fr-FR"/>
        </w:rPr>
        <w:t xml:space="preserve">évaluation des risques de la Commission européenne a été revu par des experts du Comité scientifique des risques sanitaires et environnementaux, qui donne son avis à la Commission européenne sur la qualité des évaluations des risques.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Les rapports et publications fournis par la Norvège dans la documentation à l</w:t>
      </w:r>
      <w:r>
        <w:rPr>
          <w:lang w:val="fr-FR"/>
        </w:rPr>
        <w:t>’</w:t>
      </w:r>
      <w:r w:rsidRPr="00C62790">
        <w:rPr>
          <w:lang w:val="fr-FR"/>
        </w:rPr>
        <w:t xml:space="preserve">appui contiennent des matériaux, méthodes et références pertinents.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rapport de l</w:t>
      </w:r>
      <w:r>
        <w:rPr>
          <w:lang w:val="fr-FR"/>
        </w:rPr>
        <w:t>’</w:t>
      </w:r>
      <w:r w:rsidRPr="00C62790">
        <w:rPr>
          <w:lang w:val="fr-FR"/>
        </w:rPr>
        <w:t>USEPA sur les solutions de remplacement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>
        <w:rPr>
          <w:lang w:val="fr-FR"/>
        </w:rPr>
        <w:t xml:space="preserve"> cite des articles</w:t>
      </w:r>
      <w:r w:rsidRPr="00C62790">
        <w:rPr>
          <w:lang w:val="fr-FR"/>
        </w:rPr>
        <w:t xml:space="preserve"> publiés</w:t>
      </w:r>
      <w:r>
        <w:rPr>
          <w:lang w:val="fr-FR"/>
        </w:rPr>
        <w:t xml:space="preserve"> dans la littérature scientifique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 que les critères des paragraphes</w:t>
      </w:r>
      <w:r>
        <w:rPr>
          <w:lang w:val="fr-FR"/>
        </w:rPr>
        <w:t> </w:t>
      </w:r>
      <w:r w:rsidRPr="00C62790">
        <w:rPr>
          <w:lang w:val="fr-FR"/>
        </w:rPr>
        <w:t>b)</w:t>
      </w:r>
      <w:r>
        <w:rPr>
          <w:lang w:val="fr-FR"/>
        </w:rPr>
        <w:t> </w:t>
      </w:r>
      <w:r w:rsidRPr="00C62790">
        <w:rPr>
          <w:lang w:val="fr-FR"/>
        </w:rPr>
        <w:t>i) et ii)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II sont</w:t>
      </w:r>
      <w:r>
        <w:rPr>
          <w:lang w:val="fr-FR"/>
        </w:rPr>
        <w:t xml:space="preserve"> satisfaits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iii)</w:t>
      </w:r>
      <w:r w:rsidRPr="00C62790">
        <w:rPr>
          <w:i/>
        </w:rPr>
        <w:tab/>
        <w:t>La mesure de réglementation finale se fonde sur une évaluation des risques tenant compte du contexte propre à la Partie qui en est l</w:t>
      </w:r>
      <w:r>
        <w:rPr>
          <w:i/>
        </w:rPr>
        <w:t>’</w:t>
      </w:r>
      <w:r w:rsidRPr="00C62790">
        <w:rPr>
          <w:i/>
        </w:rPr>
        <w:t>auteur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de la Norvège indique que la mesure de réglementation finale repose sur</w:t>
      </w:r>
      <w:r>
        <w:rPr>
          <w:lang w:val="fr-FR"/>
        </w:rPr>
        <w:t> </w:t>
      </w:r>
      <w:r w:rsidRPr="00C62790">
        <w:rPr>
          <w:lang w:val="fr-FR"/>
        </w:rPr>
        <w:t>une</w:t>
      </w:r>
      <w:r>
        <w:rPr>
          <w:lang w:val="fr-FR"/>
        </w:rPr>
        <w:t> </w:t>
      </w:r>
      <w:r w:rsidRPr="00C62790">
        <w:rPr>
          <w:lang w:val="fr-FR"/>
        </w:rPr>
        <w:t>évaluation des risques ou des dangers et qu</w:t>
      </w:r>
      <w:r>
        <w:rPr>
          <w:lang w:val="fr-FR"/>
        </w:rPr>
        <w:t>’</w:t>
      </w:r>
      <w:r w:rsidRPr="00C62790">
        <w:rPr>
          <w:lang w:val="fr-FR"/>
        </w:rPr>
        <w:t>elle est pertinente pour la santé humaine et l</w:t>
      </w:r>
      <w:r>
        <w:rPr>
          <w:lang w:val="fr-FR"/>
        </w:rPr>
        <w:t>’</w:t>
      </w:r>
      <w:r w:rsidRPr="00C62790">
        <w:rPr>
          <w:lang w:val="fr-FR"/>
        </w:rPr>
        <w:t>environnement. La notification cite spécifiquement l</w:t>
      </w:r>
      <w:r>
        <w:rPr>
          <w:lang w:val="fr-FR"/>
        </w:rPr>
        <w:t>’</w:t>
      </w:r>
      <w:r w:rsidRPr="00C62790">
        <w:rPr>
          <w:lang w:val="fr-FR"/>
        </w:rPr>
        <w:t>évaluation des risques associés à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réalisée par le Commission européenne. Le texte de la notification de la</w:t>
      </w:r>
      <w:r>
        <w:rPr>
          <w:lang w:val="fr-FR"/>
        </w:rPr>
        <w:t> </w:t>
      </w:r>
      <w:r w:rsidRPr="00C62790">
        <w:rPr>
          <w:lang w:val="fr-FR"/>
        </w:rPr>
        <w:t>Norvège donne des preuves de l</w:t>
      </w:r>
      <w:r>
        <w:rPr>
          <w:lang w:val="fr-FR"/>
        </w:rPr>
        <w:t>’</w:t>
      </w:r>
      <w:r w:rsidRPr="00C62790">
        <w:rPr>
          <w:lang w:val="fr-FR"/>
        </w:rPr>
        <w:t>exposition des consommateurs dans le pays, sa présence dans le</w:t>
      </w:r>
      <w:r>
        <w:rPr>
          <w:lang w:val="fr-FR"/>
        </w:rPr>
        <w:t> </w:t>
      </w:r>
      <w:r w:rsidRPr="00C62790">
        <w:rPr>
          <w:lang w:val="fr-FR"/>
        </w:rPr>
        <w:t>milieu naturel (y compris dans des régions reculées de l</w:t>
      </w:r>
      <w:r>
        <w:rPr>
          <w:lang w:val="fr-FR"/>
        </w:rPr>
        <w:t>’</w:t>
      </w:r>
      <w:r w:rsidRPr="00C62790">
        <w:rPr>
          <w:lang w:val="fr-FR"/>
        </w:rPr>
        <w:t>Arctique), les biotes, les pois</w:t>
      </w:r>
      <w:r>
        <w:rPr>
          <w:lang w:val="fr-FR"/>
        </w:rPr>
        <w:t>s</w:t>
      </w:r>
      <w:r w:rsidRPr="00C62790">
        <w:rPr>
          <w:lang w:val="fr-FR"/>
        </w:rPr>
        <w:t>ons, la mousse, et la vésicule vitelline de poussins nouvellement éclos. Certaines tendances temporelles sont</w:t>
      </w:r>
      <w:r>
        <w:rPr>
          <w:lang w:val="fr-FR"/>
        </w:rPr>
        <w:t> </w:t>
      </w:r>
      <w:r w:rsidRPr="00C62790">
        <w:rPr>
          <w:lang w:val="fr-FR"/>
        </w:rPr>
        <w:t>dégagées.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Les seuils de danger sont indiqués dans la documentation à l</w:t>
      </w:r>
      <w:r>
        <w:rPr>
          <w:lang w:val="fr-FR"/>
        </w:rPr>
        <w:t>’</w:t>
      </w:r>
      <w:r w:rsidRPr="00C62790">
        <w:rPr>
          <w:lang w:val="fr-FR"/>
        </w:rPr>
        <w:t>appui soumise par la Norvège dans le contexte du rapport de l</w:t>
      </w:r>
      <w:r>
        <w:rPr>
          <w:lang w:val="fr-FR"/>
        </w:rPr>
        <w:t>’</w:t>
      </w:r>
      <w:r w:rsidRPr="00C62790">
        <w:rPr>
          <w:lang w:val="fr-FR"/>
        </w:rPr>
        <w:t>USEPA sur les solutions de remplacement des utilisations de la substance comme retardateur de flamme. Des dangers élevés ou très élevés ont été constatés s</w:t>
      </w:r>
      <w:r>
        <w:rPr>
          <w:lang w:val="fr-FR"/>
        </w:rPr>
        <w:t>’</w:t>
      </w:r>
      <w:r w:rsidRPr="00C62790">
        <w:rPr>
          <w:lang w:val="fr-FR"/>
        </w:rPr>
        <w:t>agissant des troubles du développement, de la toxicité aquatique aiguë et de la toxicité aquatique chronique.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est très persistant et son potentiel de bioaccumulation est très élevé.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Compte tenu des propriétés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et du fait que sa présence a été mise en évidence (</w:t>
      </w:r>
      <w:r>
        <w:rPr>
          <w:lang w:val="fr-FR"/>
        </w:rPr>
        <w:t>de</w:t>
      </w:r>
      <w:r w:rsidRPr="00C62790">
        <w:rPr>
          <w:lang w:val="fr-FR"/>
        </w:rPr>
        <w:t>s concentrations parfois croissantes avec le temps) par les données de surveillance de l</w:t>
      </w:r>
      <w:r>
        <w:rPr>
          <w:lang w:val="fr-FR"/>
        </w:rPr>
        <w:t>’</w:t>
      </w:r>
      <w:r w:rsidRPr="00C62790">
        <w:rPr>
          <w:lang w:val="fr-FR"/>
        </w:rPr>
        <w:t xml:space="preserve">environnement en Norvège, des études écologiques et des études de </w:t>
      </w:r>
      <w:proofErr w:type="spellStart"/>
      <w:r w:rsidRPr="00C62790">
        <w:rPr>
          <w:lang w:val="fr-FR"/>
        </w:rPr>
        <w:t>biosurveillance</w:t>
      </w:r>
      <w:proofErr w:type="spellEnd"/>
      <w:r w:rsidRPr="00C62790">
        <w:rPr>
          <w:lang w:val="fr-FR"/>
        </w:rPr>
        <w:t xml:space="preserve"> sur l</w:t>
      </w:r>
      <w:r>
        <w:rPr>
          <w:lang w:val="fr-FR"/>
        </w:rPr>
        <w:t>’</w:t>
      </w:r>
      <w:r w:rsidRPr="00C62790">
        <w:rPr>
          <w:lang w:val="fr-FR"/>
        </w:rPr>
        <w:t>homme, le</w:t>
      </w:r>
      <w:r>
        <w:rPr>
          <w:lang w:val="fr-FR"/>
        </w:rPr>
        <w:t> </w:t>
      </w:r>
      <w:r w:rsidRPr="00C62790">
        <w:rPr>
          <w:lang w:val="fr-FR"/>
        </w:rPr>
        <w:t>Comité conclut que la documentation à l</w:t>
      </w:r>
      <w:r>
        <w:rPr>
          <w:lang w:val="fr-FR"/>
        </w:rPr>
        <w:t>’</w:t>
      </w:r>
      <w:r w:rsidRPr="00C62790">
        <w:rPr>
          <w:lang w:val="fr-FR"/>
        </w:rPr>
        <w:t>appui soumise par la Norvège démontre qu</w:t>
      </w:r>
      <w:r>
        <w:rPr>
          <w:lang w:val="fr-FR"/>
        </w:rPr>
        <w:t>’</w:t>
      </w:r>
      <w:r w:rsidRPr="00C62790">
        <w:rPr>
          <w:lang w:val="fr-FR"/>
        </w:rPr>
        <w:t>une évaluation des risques pour l</w:t>
      </w:r>
      <w:r>
        <w:rPr>
          <w:lang w:val="fr-FR"/>
        </w:rPr>
        <w:t>’</w:t>
      </w:r>
      <w:r w:rsidRPr="00C62790">
        <w:rPr>
          <w:lang w:val="fr-FR"/>
        </w:rPr>
        <w:t xml:space="preserve">environnement et les citoyens norvégiens a été réalisée.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confirme que les critères du paragraphe</w:t>
      </w:r>
      <w:r>
        <w:rPr>
          <w:lang w:val="fr-FR"/>
        </w:rPr>
        <w:t> </w:t>
      </w:r>
      <w:r w:rsidRPr="00C62790">
        <w:rPr>
          <w:lang w:val="fr-FR"/>
        </w:rPr>
        <w:t>b)</w:t>
      </w:r>
      <w:r>
        <w:rPr>
          <w:lang w:val="fr-FR"/>
        </w:rPr>
        <w:t> </w:t>
      </w:r>
      <w:r w:rsidRPr="00C62790">
        <w:rPr>
          <w:lang w:val="fr-FR"/>
        </w:rPr>
        <w:t>iii)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 xml:space="preserve">II </w:t>
      </w:r>
      <w:r>
        <w:rPr>
          <w:lang w:val="fr-FR"/>
        </w:rPr>
        <w:t>sont satisfaits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</w:t>
      </w:r>
      <w:r>
        <w:rPr>
          <w:lang w:val="fr-FR"/>
        </w:rPr>
        <w:t xml:space="preserve"> que les critères du paragraphe </w:t>
      </w:r>
      <w:r w:rsidRPr="00C62790">
        <w:rPr>
          <w:lang w:val="fr-FR"/>
        </w:rPr>
        <w:t>b) de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II</w:t>
      </w:r>
      <w:r>
        <w:rPr>
          <w:lang w:val="fr-FR"/>
        </w:rPr>
        <w:t xml:space="preserve"> sont satisfaits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>
        <w:rPr>
          <w:snapToGrid w:val="0"/>
          <w:lang w:val="fr-FR"/>
        </w:rPr>
        <w:tab/>
        <w:t>d)</w:t>
      </w:r>
      <w:r>
        <w:rPr>
          <w:snapToGrid w:val="0"/>
          <w:lang w:val="fr-FR"/>
        </w:rPr>
        <w:tab/>
        <w:t>Critères du paragraphe </w:t>
      </w:r>
      <w:r w:rsidRPr="00C62790">
        <w:rPr>
          <w:snapToGrid w:val="0"/>
          <w:lang w:val="fr-FR"/>
        </w:rPr>
        <w:t>c)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C62790">
        <w:rPr>
          <w:snapToGrid w:val="0"/>
          <w:lang w:val="fr-FR"/>
        </w:rPr>
        <w:t>II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  <w:tab w:val="left" w:pos="2520"/>
        </w:tabs>
        <w:snapToGrid w:val="0"/>
        <w:spacing w:after="120"/>
        <w:ind w:left="1247" w:firstLine="624"/>
        <w:rPr>
          <w:i/>
        </w:rPr>
      </w:pPr>
      <w:r w:rsidRPr="00C62790">
        <w:rPr>
          <w:i/>
        </w:rPr>
        <w:t>c)</w:t>
      </w:r>
      <w:r w:rsidRPr="00C62790">
        <w:rPr>
          <w:i/>
        </w:rPr>
        <w:tab/>
        <w:t>Détermine si la mesure de réglementation finale suffit à justifier l</w:t>
      </w:r>
      <w:r>
        <w:rPr>
          <w:i/>
        </w:rPr>
        <w:t>’</w:t>
      </w:r>
      <w:r w:rsidRPr="00C62790">
        <w:rPr>
          <w:i/>
        </w:rPr>
        <w:t>inscription du produi</w:t>
      </w:r>
      <w:r>
        <w:rPr>
          <w:i/>
        </w:rPr>
        <w:t>t chimique considéré à l’Annexe III après avoir déterminé </w:t>
      </w:r>
      <w:r w:rsidRPr="00C62790">
        <w:rPr>
          <w:i/>
        </w:rPr>
        <w:t>: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i)</w:t>
      </w:r>
      <w:r w:rsidRPr="00C62790">
        <w:rPr>
          <w:i/>
        </w:rPr>
        <w:tab/>
        <w:t>Si l</w:t>
      </w:r>
      <w:r>
        <w:rPr>
          <w:i/>
        </w:rPr>
        <w:t>’</w:t>
      </w:r>
      <w:r w:rsidRPr="00C62790">
        <w:rPr>
          <w:i/>
        </w:rPr>
        <w:t>application de la mesure de réglementation finale a entraîné, ou devrait entraîner, une diminution sensible de la consommation du produit chimique ou du nombre de ses emplois</w:t>
      </w:r>
      <w:r>
        <w:rPr>
          <w:i/>
        </w:rPr>
        <w:t> </w:t>
      </w:r>
      <w:r w:rsidRPr="00C62790">
        <w:rPr>
          <w:i/>
        </w:rPr>
        <w:t>;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notification de la Norvège indique les quantités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importées et exportées en 2012 et 2013, respectivement. La notification cite les utilisations industrielles du produit comme retardateur de flamme dans la mise </w:t>
      </w:r>
      <w:proofErr w:type="gramStart"/>
      <w:r w:rsidRPr="00C62790">
        <w:rPr>
          <w:lang w:val="fr-FR"/>
        </w:rPr>
        <w:t>a</w:t>
      </w:r>
      <w:proofErr w:type="gramEnd"/>
      <w:r w:rsidRPr="00C62790">
        <w:rPr>
          <w:lang w:val="fr-FR"/>
        </w:rPr>
        <w:t xml:space="preserve"> point de préparations pour la fabrication de polystyrène expansé et extrudé, </w:t>
      </w:r>
      <w:r>
        <w:rPr>
          <w:lang w:val="fr-FR"/>
        </w:rPr>
        <w:t>bien que</w:t>
      </w:r>
      <w:r w:rsidRPr="00C62790">
        <w:rPr>
          <w:lang w:val="fr-FR"/>
        </w:rPr>
        <w:t xml:space="preserve"> la fabrication de polystyrène n</w:t>
      </w:r>
      <w:r>
        <w:rPr>
          <w:lang w:val="fr-FR"/>
        </w:rPr>
        <w:t>’</w:t>
      </w:r>
      <w:r w:rsidRPr="00C62790">
        <w:rPr>
          <w:lang w:val="fr-FR"/>
        </w:rPr>
        <w:t>a</w:t>
      </w:r>
      <w:r>
        <w:rPr>
          <w:lang w:val="fr-FR"/>
        </w:rPr>
        <w:t>it</w:t>
      </w:r>
      <w:r w:rsidRPr="00C62790">
        <w:rPr>
          <w:lang w:val="fr-FR"/>
        </w:rPr>
        <w:t xml:space="preserve"> pas lieu en Norvège.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mesure de réglementation notifiée par la Norvège règlemente strictement les utilisations industrielles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en interdisant la production, l</w:t>
      </w:r>
      <w:r>
        <w:rPr>
          <w:lang w:val="fr-FR"/>
        </w:rPr>
        <w:t>’</w:t>
      </w:r>
      <w:r w:rsidRPr="00C62790">
        <w:rPr>
          <w:lang w:val="fr-FR"/>
        </w:rPr>
        <w:t>importation, l</w:t>
      </w:r>
      <w:r>
        <w:rPr>
          <w:lang w:val="fr-FR"/>
        </w:rPr>
        <w:t>’</w:t>
      </w:r>
      <w:r w:rsidRPr="00C62790">
        <w:rPr>
          <w:lang w:val="fr-FR"/>
        </w:rPr>
        <w:t xml:space="preserve">exportation, </w:t>
      </w:r>
      <w:r w:rsidRPr="00C62790">
        <w:rPr>
          <w:lang w:val="fr-FR"/>
        </w:rPr>
        <w:lastRenderedPageBreak/>
        <w:t>la mise sur le marché et l</w:t>
      </w:r>
      <w:r>
        <w:rPr>
          <w:lang w:val="fr-FR"/>
        </w:rPr>
        <w:t>’</w:t>
      </w:r>
      <w:r w:rsidRPr="00C62790">
        <w:rPr>
          <w:lang w:val="fr-FR"/>
        </w:rPr>
        <w:t>utilisation des substances contenant 0,01</w:t>
      </w:r>
      <w:r>
        <w:rPr>
          <w:lang w:val="fr-FR"/>
        </w:rPr>
        <w:t> </w:t>
      </w:r>
      <w:r w:rsidRPr="00C62790">
        <w:rPr>
          <w:lang w:val="fr-FR"/>
        </w:rPr>
        <w:t>% en poids ou plus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>. Une dérogation temporaire a été autorisée pour l</w:t>
      </w:r>
      <w:r>
        <w:rPr>
          <w:lang w:val="fr-FR"/>
        </w:rPr>
        <w:t>’</w:t>
      </w:r>
      <w:r w:rsidRPr="00C62790">
        <w:rPr>
          <w:lang w:val="fr-FR"/>
        </w:rPr>
        <w:t>utilisation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dans la fabrication d</w:t>
      </w:r>
      <w:r>
        <w:rPr>
          <w:lang w:val="fr-FR"/>
        </w:rPr>
        <w:t>’</w:t>
      </w:r>
      <w:r w:rsidRPr="00C62790">
        <w:rPr>
          <w:lang w:val="fr-FR"/>
        </w:rPr>
        <w:t>articles en polystyrène expansé et dans la production et la mise sur le marché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pour ces usages.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</w:t>
      </w:r>
      <w:r>
        <w:rPr>
          <w:lang w:val="fr-FR"/>
        </w:rPr>
        <w:t>me que le critère du paragraphe </w:t>
      </w:r>
      <w:r w:rsidRPr="00C62790">
        <w:rPr>
          <w:lang w:val="fr-FR"/>
        </w:rPr>
        <w:t>c)</w:t>
      </w:r>
      <w:r>
        <w:rPr>
          <w:lang w:val="fr-FR"/>
        </w:rPr>
        <w:t> </w:t>
      </w:r>
      <w:r w:rsidRPr="00C62790">
        <w:rPr>
          <w:lang w:val="fr-FR"/>
        </w:rPr>
        <w:t>i)</w:t>
      </w:r>
      <w:r>
        <w:rPr>
          <w:lang w:val="fr-FR"/>
        </w:rPr>
        <w:t xml:space="preserve">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ii)</w:t>
      </w:r>
      <w:r w:rsidRPr="00C62790">
        <w:rPr>
          <w:i/>
        </w:rPr>
        <w:tab/>
        <w:t>Si l</w:t>
      </w:r>
      <w:r>
        <w:rPr>
          <w:i/>
        </w:rPr>
        <w:t>’</w:t>
      </w:r>
      <w:r w:rsidRPr="00C62790">
        <w:rPr>
          <w:i/>
        </w:rPr>
        <w:t>application de la mesure de réglementation finale a effectivement entraîné, ou devrait entraîner, une diminution importante des risques pesant sur la santé des personnes ou sur l</w:t>
      </w:r>
      <w:r>
        <w:rPr>
          <w:i/>
        </w:rPr>
        <w:t>’</w:t>
      </w:r>
      <w:r w:rsidRPr="00C62790">
        <w:rPr>
          <w:i/>
        </w:rPr>
        <w:t>environnement dans la Partie qui a soumis la notification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Citant les dangers posés par cette substance pour la santé humaine et l</w:t>
      </w:r>
      <w:r>
        <w:rPr>
          <w:lang w:val="fr-FR"/>
        </w:rPr>
        <w:t>’</w:t>
      </w:r>
      <w:r w:rsidRPr="00C62790">
        <w:rPr>
          <w:lang w:val="fr-FR"/>
        </w:rPr>
        <w:t xml:space="preserve">environnement, la mesure de réglementation stricte notifiée par la Norvège, </w:t>
      </w:r>
      <w:r>
        <w:rPr>
          <w:lang w:val="fr-FR"/>
        </w:rPr>
        <w:t xml:space="preserve">accompagnée de </w:t>
      </w:r>
      <w:r w:rsidRPr="00C62790">
        <w:rPr>
          <w:lang w:val="fr-FR"/>
        </w:rPr>
        <w:t>dérogations temporaires, devrait en réduire sensiblement les risques en limitant ses utilisations autorisées et en prévenant l</w:t>
      </w:r>
      <w:r>
        <w:rPr>
          <w:lang w:val="fr-FR"/>
        </w:rPr>
        <w:t>’</w:t>
      </w:r>
      <w:r w:rsidRPr="00C62790">
        <w:rPr>
          <w:lang w:val="fr-FR"/>
        </w:rPr>
        <w:t>introduction de nouvelles utilisations dans le pays.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confirme que le critère</w:t>
      </w:r>
      <w:r>
        <w:rPr>
          <w:lang w:val="fr-FR"/>
        </w:rPr>
        <w:t xml:space="preserve"> du paragraphe c) ii)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iii)</w:t>
      </w:r>
      <w:r w:rsidRPr="00C62790">
        <w:rPr>
          <w:i/>
        </w:rPr>
        <w:tab/>
        <w:t>Si les considérations à l</w:t>
      </w:r>
      <w:r>
        <w:rPr>
          <w:i/>
        </w:rPr>
        <w:t>’</w:t>
      </w:r>
      <w:r w:rsidRPr="00C62790">
        <w:rPr>
          <w:i/>
        </w:rPr>
        <w:t>origine de la mesure de réglementation finale valent uniquement pour une zone géographique particulière ou pour d</w:t>
      </w:r>
      <w:r>
        <w:rPr>
          <w:i/>
        </w:rPr>
        <w:t>’</w:t>
      </w:r>
      <w:r w:rsidRPr="00C62790">
        <w:rPr>
          <w:i/>
        </w:rPr>
        <w:t>autres cas précis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La Norvège a signalé que les Parties à la Convention de Stockholm étaient convenues que</w:t>
      </w:r>
      <w:r>
        <w:rPr>
          <w:lang w:val="fr-FR"/>
        </w:rPr>
        <w:t> </w:t>
      </w:r>
      <w:r w:rsidRPr="00C62790">
        <w:rPr>
          <w:lang w:val="fr-FR"/>
        </w:rPr>
        <w:t>l</w:t>
      </w:r>
      <w:r>
        <w:rPr>
          <w:lang w:val="fr-FR"/>
        </w:rPr>
        <w:t>’</w:t>
      </w:r>
      <w:r w:rsidRPr="00C62790">
        <w:rPr>
          <w:lang w:val="fr-FR"/>
        </w:rPr>
        <w:t>inscription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à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A s</w:t>
      </w:r>
      <w:r>
        <w:rPr>
          <w:lang w:val="fr-FR"/>
        </w:rPr>
        <w:t>’</w:t>
      </w:r>
      <w:r w:rsidRPr="00C62790">
        <w:rPr>
          <w:lang w:val="fr-FR"/>
        </w:rPr>
        <w:t>accompagnerait de dérogations spécifiques autorisant sa production et son utilisation. Les substances inscrites à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A de la Convention de Stockholm doivent être éliminées à terme. En tant que polluant organique persistant,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possède des propriétés qui en font une substance dangereuse et il peut se propager à longue distance dans l</w:t>
      </w:r>
      <w:r>
        <w:rPr>
          <w:lang w:val="fr-FR"/>
        </w:rPr>
        <w:t>’</w:t>
      </w:r>
      <w:r w:rsidRPr="00C62790">
        <w:rPr>
          <w:lang w:val="fr-FR"/>
        </w:rPr>
        <w:t>environnement. Tout État ou région susceptible d</w:t>
      </w:r>
      <w:r>
        <w:rPr>
          <w:lang w:val="fr-FR"/>
        </w:rPr>
        <w:t>’</w:t>
      </w:r>
      <w:r w:rsidRPr="00C62790">
        <w:rPr>
          <w:lang w:val="fr-FR"/>
        </w:rPr>
        <w:t>être concerné par une exposition ou des rejets pourrait juger cette mesure de réglementation utile.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 xml:space="preserve">Par conséquent, le Comité confirme que le critère </w:t>
      </w:r>
      <w:r>
        <w:rPr>
          <w:lang w:val="fr-FR"/>
        </w:rPr>
        <w:t>du paragraphe c) iii)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napToGrid w:val="0"/>
        <w:spacing w:after="120"/>
        <w:ind w:left="2495" w:hanging="624"/>
        <w:rPr>
          <w:i/>
        </w:rPr>
      </w:pPr>
      <w:r w:rsidRPr="00C62790">
        <w:rPr>
          <w:i/>
        </w:rPr>
        <w:t>iv)</w:t>
      </w:r>
      <w:r w:rsidRPr="00C62790">
        <w:rPr>
          <w:i/>
        </w:rPr>
        <w:tab/>
        <w:t>S</w:t>
      </w:r>
      <w:r>
        <w:rPr>
          <w:i/>
        </w:rPr>
        <w:t>’</w:t>
      </w:r>
      <w:r w:rsidRPr="00C62790">
        <w:rPr>
          <w:i/>
        </w:rPr>
        <w:t>il est prouvé que le produit chimique considéré fait l</w:t>
      </w:r>
      <w:r>
        <w:rPr>
          <w:i/>
        </w:rPr>
        <w:t>’</w:t>
      </w:r>
      <w:r w:rsidRPr="00C62790">
        <w:rPr>
          <w:i/>
        </w:rPr>
        <w:t>objet d</w:t>
      </w:r>
      <w:r>
        <w:rPr>
          <w:i/>
        </w:rPr>
        <w:t>’</w:t>
      </w:r>
      <w:r w:rsidRPr="00C62790">
        <w:rPr>
          <w:i/>
        </w:rPr>
        <w:t>échanges commerciaux internationaux</w:t>
      </w:r>
      <w:r>
        <w:rPr>
          <w:i/>
        </w:rPr>
        <w:t> </w:t>
      </w:r>
      <w:r w:rsidRPr="00C62790">
        <w:rPr>
          <w:i/>
        </w:rPr>
        <w:t xml:space="preserve">;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est inscrit à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A de la Convention de Stockholm ; les</w:t>
      </w:r>
      <w:r>
        <w:rPr>
          <w:lang w:val="fr-FR"/>
        </w:rPr>
        <w:t> </w:t>
      </w:r>
      <w:r w:rsidRPr="00C62790">
        <w:rPr>
          <w:lang w:val="fr-FR"/>
        </w:rPr>
        <w:t>Parties sont convenues de prévoir, dans le cadre de cette inscription, des dérogations spécifiques autorisant son utilisation et sa production. La notification de la Norvège vise à réglementer strictement cette substance, certaines utilisations temporaires étant autorisées. Ceci donne à penser que la</w:t>
      </w:r>
      <w:r>
        <w:rPr>
          <w:lang w:val="fr-FR"/>
        </w:rPr>
        <w:t> </w:t>
      </w:r>
      <w:r w:rsidRPr="00C62790">
        <w:rPr>
          <w:lang w:val="fr-FR"/>
        </w:rPr>
        <w:t>production et l</w:t>
      </w:r>
      <w:r>
        <w:rPr>
          <w:lang w:val="fr-FR"/>
        </w:rPr>
        <w:t>’</w:t>
      </w:r>
      <w:r w:rsidRPr="00C62790">
        <w:rPr>
          <w:lang w:val="fr-FR"/>
        </w:rPr>
        <w:t>utilisation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</w:t>
      </w:r>
      <w:r>
        <w:rPr>
          <w:lang w:val="fr-FR"/>
        </w:rPr>
        <w:t xml:space="preserve">se poursuivent, de même que son </w:t>
      </w:r>
      <w:r w:rsidRPr="00C62790">
        <w:rPr>
          <w:lang w:val="fr-FR"/>
        </w:rPr>
        <w:t xml:space="preserve">commerce.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Par conséquent, le Comité confirme que le critère</w:t>
      </w:r>
      <w:r>
        <w:rPr>
          <w:lang w:val="fr-FR"/>
        </w:rPr>
        <w:t xml:space="preserve"> du paragraphe c) iv) est satisfait</w:t>
      </w:r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CH3"/>
        <w:rPr>
          <w:b w:val="0"/>
          <w:snapToGrid w:val="0"/>
          <w:lang w:val="fr-FR"/>
        </w:rPr>
      </w:pPr>
      <w:r w:rsidRPr="00C62790">
        <w:rPr>
          <w:snapToGrid w:val="0"/>
          <w:lang w:val="fr-FR"/>
        </w:rPr>
        <w:tab/>
        <w:t>e)</w:t>
      </w:r>
      <w:r w:rsidRPr="00C62790">
        <w:rPr>
          <w:snapToGrid w:val="0"/>
          <w:lang w:val="fr-FR"/>
        </w:rPr>
        <w:tab/>
      </w:r>
      <w:r>
        <w:rPr>
          <w:snapToGrid w:val="0"/>
          <w:lang w:val="fr-FR"/>
        </w:rPr>
        <w:t>Critère du paragraphe </w:t>
      </w:r>
      <w:r w:rsidRPr="00C62790">
        <w:rPr>
          <w:snapToGrid w:val="0"/>
          <w:lang w:val="fr-FR"/>
        </w:rPr>
        <w:t>d) de l</w:t>
      </w:r>
      <w:r>
        <w:rPr>
          <w:snapToGrid w:val="0"/>
          <w:lang w:val="fr-FR"/>
        </w:rPr>
        <w:t>’</w:t>
      </w:r>
      <w:r w:rsidRPr="00C62790">
        <w:rPr>
          <w:snapToGrid w:val="0"/>
          <w:lang w:val="fr-FR"/>
        </w:rPr>
        <w:t>Annexe</w:t>
      </w:r>
      <w:r>
        <w:rPr>
          <w:snapToGrid w:val="0"/>
          <w:lang w:val="fr-FR"/>
        </w:rPr>
        <w:t> </w:t>
      </w:r>
      <w:r w:rsidRPr="00C62790">
        <w:rPr>
          <w:snapToGrid w:val="0"/>
          <w:lang w:val="fr-FR"/>
        </w:rPr>
        <w:t>II</w:t>
      </w:r>
    </w:p>
    <w:p w:rsidR="00C77518" w:rsidRPr="00C62790" w:rsidRDefault="00C77518" w:rsidP="00C77518">
      <w:pPr>
        <w:keepNext/>
        <w:keepLines/>
        <w:widowControl w:val="0"/>
        <w:tabs>
          <w:tab w:val="left" w:pos="624"/>
          <w:tab w:val="left" w:pos="2520"/>
        </w:tabs>
        <w:snapToGrid w:val="0"/>
        <w:spacing w:after="120"/>
        <w:ind w:left="1247" w:firstLine="624"/>
        <w:rPr>
          <w:i/>
        </w:rPr>
      </w:pPr>
      <w:r w:rsidRPr="00C62790">
        <w:rPr>
          <w:i/>
        </w:rPr>
        <w:t>d)</w:t>
      </w:r>
      <w:r w:rsidRPr="00C62790">
        <w:rPr>
          <w:i/>
        </w:rPr>
        <w:tab/>
        <w:t>Tient compte du fait qu</w:t>
      </w:r>
      <w:r>
        <w:rPr>
          <w:i/>
        </w:rPr>
        <w:t>’</w:t>
      </w:r>
      <w:r w:rsidRPr="00C62790">
        <w:rPr>
          <w:i/>
        </w:rPr>
        <w:t>un abus intentionnel ne constitue pas en soi une raison suffisante pour inscrire un produit chimique à l</w:t>
      </w:r>
      <w:r>
        <w:rPr>
          <w:i/>
        </w:rPr>
        <w:t>’</w:t>
      </w:r>
      <w:r w:rsidRPr="00C62790">
        <w:rPr>
          <w:i/>
        </w:rPr>
        <w:t>Annexe</w:t>
      </w:r>
      <w:r>
        <w:rPr>
          <w:i/>
        </w:rPr>
        <w:t> </w:t>
      </w:r>
      <w:r w:rsidRPr="00C62790">
        <w:rPr>
          <w:i/>
        </w:rPr>
        <w:t xml:space="preserve">III. 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Aucun élément de la notification ou de la documentation à l</w:t>
      </w:r>
      <w:r>
        <w:rPr>
          <w:lang w:val="fr-FR"/>
        </w:rPr>
        <w:t>’</w:t>
      </w:r>
      <w:r w:rsidRPr="00C62790">
        <w:rPr>
          <w:lang w:val="fr-FR"/>
        </w:rPr>
        <w:t>appui n</w:t>
      </w:r>
      <w:r>
        <w:rPr>
          <w:lang w:val="fr-FR"/>
        </w:rPr>
        <w:t>’</w:t>
      </w:r>
      <w:r w:rsidRPr="00C62790">
        <w:rPr>
          <w:lang w:val="fr-FR"/>
        </w:rPr>
        <w:t>indique que la</w:t>
      </w:r>
      <w:r>
        <w:rPr>
          <w:lang w:val="fr-FR"/>
        </w:rPr>
        <w:t> </w:t>
      </w:r>
      <w:r w:rsidRPr="00C62790">
        <w:rPr>
          <w:lang w:val="fr-FR"/>
        </w:rPr>
        <w:t>mesure</w:t>
      </w:r>
      <w:r>
        <w:rPr>
          <w:lang w:val="fr-FR"/>
        </w:rPr>
        <w:t> </w:t>
      </w:r>
      <w:r w:rsidRPr="00C62790">
        <w:rPr>
          <w:lang w:val="fr-FR"/>
        </w:rPr>
        <w:t>de</w:t>
      </w:r>
      <w:r>
        <w:rPr>
          <w:lang w:val="fr-FR"/>
        </w:rPr>
        <w:t> </w:t>
      </w:r>
      <w:r w:rsidRPr="00C62790">
        <w:rPr>
          <w:lang w:val="fr-FR"/>
        </w:rPr>
        <w:t>réglementation a été motivée par des préoccupations concernant l</w:t>
      </w:r>
      <w:r>
        <w:rPr>
          <w:lang w:val="fr-FR"/>
        </w:rPr>
        <w:t>’</w:t>
      </w:r>
      <w:r w:rsidRPr="00C62790">
        <w:rPr>
          <w:lang w:val="fr-FR"/>
        </w:rPr>
        <w:t>abus intentionnel d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>.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Compte tenu des considérations qui précèdent, le Comité confirme que le critère du</w:t>
      </w:r>
      <w:r>
        <w:rPr>
          <w:lang w:val="fr-FR"/>
        </w:rPr>
        <w:t> </w:t>
      </w:r>
      <w:r w:rsidRPr="00C62790">
        <w:rPr>
          <w:lang w:val="fr-FR"/>
        </w:rPr>
        <w:t>paragra</w:t>
      </w:r>
      <w:r>
        <w:rPr>
          <w:lang w:val="fr-FR"/>
        </w:rPr>
        <w:t>phe d) de l’Annexe II est satisfait</w:t>
      </w:r>
      <w:r w:rsidRPr="00C62790">
        <w:rPr>
          <w:lang w:val="fr-FR"/>
        </w:rPr>
        <w:t xml:space="preserve">. </w:t>
      </w:r>
    </w:p>
    <w:p w:rsidR="00C77518" w:rsidRPr="00C62790" w:rsidRDefault="00C77518" w:rsidP="00C77518">
      <w:pPr>
        <w:pStyle w:val="CH3"/>
        <w:keepNext w:val="0"/>
        <w:keepLines w:val="0"/>
        <w:rPr>
          <w:b w:val="0"/>
          <w:snapToGrid w:val="0"/>
          <w:lang w:val="fr-FR"/>
        </w:rPr>
      </w:pPr>
      <w:r w:rsidRPr="00C62790">
        <w:rPr>
          <w:snapToGrid w:val="0"/>
          <w:lang w:val="fr-FR"/>
        </w:rPr>
        <w:tab/>
        <w:t>f)</w:t>
      </w:r>
      <w:r w:rsidRPr="00C62790">
        <w:rPr>
          <w:snapToGrid w:val="0"/>
          <w:lang w:val="fr-FR"/>
        </w:rPr>
        <w:tab/>
        <w:t>Conclusion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conclut que la notification de mesure de réglementat</w:t>
      </w:r>
      <w:r>
        <w:rPr>
          <w:lang w:val="fr-FR"/>
        </w:rPr>
        <w:t xml:space="preserve">ion finale du Japon répond aux </w:t>
      </w:r>
      <w:r w:rsidRPr="00C62790">
        <w:rPr>
          <w:lang w:val="fr-FR"/>
        </w:rPr>
        <w:t>critères énoncés dans l</w:t>
      </w:r>
      <w:r>
        <w:rPr>
          <w:lang w:val="fr-FR"/>
        </w:rPr>
        <w:t>’Annexe </w:t>
      </w:r>
      <w:r w:rsidRPr="00C62790">
        <w:rPr>
          <w:lang w:val="fr-FR"/>
        </w:rPr>
        <w:t xml:space="preserve">II </w:t>
      </w:r>
      <w:r>
        <w:rPr>
          <w:lang w:val="fr-FR"/>
        </w:rPr>
        <w:t>de</w:t>
      </w:r>
      <w:r w:rsidRPr="00C62790">
        <w:rPr>
          <w:lang w:val="fr-FR"/>
        </w:rPr>
        <w:t xml:space="preserve"> la Convention. </w:t>
      </w:r>
    </w:p>
    <w:p w:rsidR="00C77518" w:rsidRPr="00C62790" w:rsidRDefault="00C77518" w:rsidP="00C77518">
      <w:pPr>
        <w:pStyle w:val="CH2"/>
        <w:rPr>
          <w:lang w:val="fr-FR"/>
        </w:rPr>
      </w:pPr>
      <w:r w:rsidRPr="00C62790">
        <w:rPr>
          <w:lang w:val="fr-FR"/>
        </w:rPr>
        <w:lastRenderedPageBreak/>
        <w:tab/>
        <w:t xml:space="preserve">III. </w:t>
      </w:r>
      <w:r w:rsidRPr="00C62790">
        <w:rPr>
          <w:lang w:val="fr-FR"/>
        </w:rPr>
        <w:tab/>
        <w:t>Conclusion</w:t>
      </w:r>
    </w:p>
    <w:p w:rsidR="00C77518" w:rsidRPr="00C62790" w:rsidRDefault="00C77518" w:rsidP="00C77518">
      <w:pPr>
        <w:pStyle w:val="Normalnumber"/>
        <w:numPr>
          <w:ilvl w:val="0"/>
          <w:numId w:val="8"/>
        </w:numPr>
        <w:ind w:left="1247" w:firstLine="0"/>
        <w:rPr>
          <w:lang w:val="fr-FR"/>
        </w:rPr>
      </w:pPr>
      <w:r w:rsidRPr="00C62790">
        <w:rPr>
          <w:lang w:val="fr-FR"/>
        </w:rPr>
        <w:t>Le Comité a conclu que les notifications de mesure de réglementation finale soumis</w:t>
      </w:r>
      <w:r>
        <w:rPr>
          <w:lang w:val="fr-FR"/>
        </w:rPr>
        <w:t>es</w:t>
      </w:r>
      <w:r w:rsidRPr="00C62790">
        <w:rPr>
          <w:lang w:val="fr-FR"/>
        </w:rPr>
        <w:t xml:space="preserve"> par</w:t>
      </w:r>
      <w:r>
        <w:rPr>
          <w:lang w:val="fr-FR"/>
        </w:rPr>
        <w:t> </w:t>
      </w:r>
      <w:r w:rsidRPr="00C62790">
        <w:rPr>
          <w:lang w:val="fr-FR"/>
        </w:rPr>
        <w:t>le</w:t>
      </w:r>
      <w:r>
        <w:rPr>
          <w:lang w:val="fr-FR"/>
        </w:rPr>
        <w:t> </w:t>
      </w:r>
      <w:r w:rsidRPr="00C62790">
        <w:rPr>
          <w:lang w:val="fr-FR"/>
        </w:rPr>
        <w:t>Japon et la Norvège contiennent les informations demandées dans l</w:t>
      </w:r>
      <w:r>
        <w:rPr>
          <w:lang w:val="fr-FR"/>
        </w:rPr>
        <w:t>’</w:t>
      </w:r>
      <w:r w:rsidRPr="00C62790">
        <w:rPr>
          <w:lang w:val="fr-FR"/>
        </w:rPr>
        <w:t>Annexe</w:t>
      </w:r>
      <w:r>
        <w:rPr>
          <w:lang w:val="fr-FR"/>
        </w:rPr>
        <w:t> </w:t>
      </w:r>
      <w:r w:rsidRPr="00C62790">
        <w:rPr>
          <w:lang w:val="fr-FR"/>
        </w:rPr>
        <w:t>I et que tous les</w:t>
      </w:r>
      <w:r>
        <w:rPr>
          <w:lang w:val="fr-FR"/>
        </w:rPr>
        <w:t> </w:t>
      </w:r>
      <w:r w:rsidRPr="00C62790">
        <w:rPr>
          <w:lang w:val="fr-FR"/>
        </w:rPr>
        <w:t>critères énoncés dans l</w:t>
      </w:r>
      <w:r>
        <w:rPr>
          <w:lang w:val="fr-FR"/>
        </w:rPr>
        <w:t>’Annexe </w:t>
      </w:r>
      <w:r w:rsidRPr="00C62790">
        <w:rPr>
          <w:lang w:val="fr-FR"/>
        </w:rPr>
        <w:t xml:space="preserve">II </w:t>
      </w:r>
      <w:r>
        <w:rPr>
          <w:lang w:val="fr-FR"/>
        </w:rPr>
        <w:t>de</w:t>
      </w:r>
      <w:r w:rsidRPr="00C62790">
        <w:rPr>
          <w:lang w:val="fr-FR"/>
        </w:rPr>
        <w:t xml:space="preserve"> la Convention sont satisfaits. </w:t>
      </w:r>
    </w:p>
    <w:p w:rsidR="00C77518" w:rsidRPr="00C77518" w:rsidRDefault="00C77518" w:rsidP="00C77518">
      <w:pPr>
        <w:pStyle w:val="Normalnumber"/>
        <w:keepNext/>
        <w:keepLines/>
        <w:numPr>
          <w:ilvl w:val="0"/>
          <w:numId w:val="8"/>
        </w:numPr>
        <w:ind w:left="1253" w:firstLine="0"/>
        <w:rPr>
          <w:lang w:val="fr-FR"/>
        </w:rPr>
      </w:pPr>
      <w:r w:rsidRPr="00C62790">
        <w:rPr>
          <w:lang w:val="fr-FR"/>
        </w:rPr>
        <w:t>Le Comité conclut également que la mesure de réglementation finale prise par le Japon et la</w:t>
      </w:r>
      <w:r>
        <w:rPr>
          <w:lang w:val="fr-FR"/>
        </w:rPr>
        <w:t> </w:t>
      </w:r>
      <w:r w:rsidRPr="00C62790">
        <w:rPr>
          <w:lang w:val="fr-FR"/>
        </w:rPr>
        <w:t>Norvège fournit des preuves suffisantes pour justifier l</w:t>
      </w:r>
      <w:r>
        <w:rPr>
          <w:lang w:val="fr-FR"/>
        </w:rPr>
        <w:t>’</w:t>
      </w:r>
      <w:r w:rsidRPr="00C62790">
        <w:rPr>
          <w:lang w:val="fr-FR"/>
        </w:rPr>
        <w:t>inscription de l</w:t>
      </w:r>
      <w:r>
        <w:rPr>
          <w:lang w:val="fr-FR"/>
        </w:rPr>
        <w:t>’</w:t>
      </w:r>
      <w:proofErr w:type="spellStart"/>
      <w:r w:rsidRPr="00C62790">
        <w:rPr>
          <w:lang w:val="fr-FR"/>
        </w:rPr>
        <w:t>hexabromocyclododécane</w:t>
      </w:r>
      <w:proofErr w:type="spellEnd"/>
      <w:r w:rsidRPr="00C62790">
        <w:rPr>
          <w:lang w:val="fr-FR"/>
        </w:rPr>
        <w:t xml:space="preserve"> à</w:t>
      </w:r>
      <w:r>
        <w:rPr>
          <w:lang w:val="fr-FR"/>
        </w:rPr>
        <w:t> l’Annexe </w:t>
      </w:r>
      <w:r w:rsidRPr="00C62790">
        <w:rPr>
          <w:lang w:val="fr-FR"/>
        </w:rPr>
        <w:t>III de la Convention dans la catégorie des produits chimiques à usage industriel et l</w:t>
      </w:r>
      <w:r>
        <w:rPr>
          <w:lang w:val="fr-FR"/>
        </w:rPr>
        <w:t>’</w:t>
      </w:r>
      <w:r w:rsidRPr="00C62790">
        <w:rPr>
          <w:lang w:val="fr-FR"/>
        </w:rPr>
        <w:t>adoption d</w:t>
      </w:r>
      <w:r>
        <w:rPr>
          <w:lang w:val="fr-FR"/>
        </w:rPr>
        <w:t>’</w:t>
      </w:r>
      <w:r w:rsidRPr="00C62790">
        <w:rPr>
          <w:lang w:val="fr-FR"/>
        </w:rPr>
        <w:t>une décision demandant l</w:t>
      </w:r>
      <w:r>
        <w:rPr>
          <w:lang w:val="fr-FR"/>
        </w:rPr>
        <w:t>’</w:t>
      </w:r>
      <w:r w:rsidRPr="00C62790">
        <w:rPr>
          <w:lang w:val="fr-FR"/>
        </w:rPr>
        <w:t>élaboration d</w:t>
      </w:r>
      <w:r>
        <w:rPr>
          <w:lang w:val="fr-FR"/>
        </w:rPr>
        <w:t>’</w:t>
      </w:r>
      <w:r w:rsidRPr="00C62790">
        <w:rPr>
          <w:lang w:val="fr-FR"/>
        </w:rPr>
        <w:t>un document d</w:t>
      </w:r>
      <w:r>
        <w:rPr>
          <w:lang w:val="fr-FR"/>
        </w:rPr>
        <w:t>’</w:t>
      </w:r>
      <w:r w:rsidRPr="00C62790">
        <w:rPr>
          <w:lang w:val="fr-FR"/>
        </w:rPr>
        <w:t>orientation des décisions sur la base de ces notifications.</w:t>
      </w:r>
    </w:p>
    <w:p w:rsidR="004B0315" w:rsidRDefault="004B0315"/>
    <w:sectPr w:rsidR="004B0315" w:rsidSect="004B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0C" w:rsidRDefault="00A27A0C" w:rsidP="00C77518">
      <w:r>
        <w:separator/>
      </w:r>
    </w:p>
  </w:endnote>
  <w:endnote w:type="continuationSeparator" w:id="0">
    <w:p w:rsidR="00A27A0C" w:rsidRDefault="00A27A0C" w:rsidP="00C7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0C" w:rsidRDefault="00A27A0C" w:rsidP="00C77518">
      <w:r>
        <w:separator/>
      </w:r>
    </w:p>
  </w:footnote>
  <w:footnote w:type="continuationSeparator" w:id="0">
    <w:p w:rsidR="00A27A0C" w:rsidRDefault="00A27A0C" w:rsidP="00C77518">
      <w:r>
        <w:continuationSeparator/>
      </w:r>
    </w:p>
  </w:footnote>
  <w:footnote w:id="1">
    <w:p w:rsidR="00C77518" w:rsidRPr="00515266" w:rsidRDefault="00C77518" w:rsidP="00C77518">
      <w:pPr>
        <w:pStyle w:val="FootnoteText"/>
        <w:rPr>
          <w:szCs w:val="18"/>
        </w:rPr>
      </w:pPr>
      <w:r w:rsidRPr="0029423A">
        <w:rPr>
          <w:rStyle w:val="FootnoteReference"/>
        </w:rPr>
        <w:footnoteRef/>
      </w:r>
      <w:r w:rsidRPr="00515266">
        <w:rPr>
          <w:szCs w:val="18"/>
        </w:rPr>
        <w:t xml:space="preserve"> Voir le document UNEP/FAO/RC/CRC.13/8.</w:t>
      </w:r>
    </w:p>
  </w:footnote>
  <w:footnote w:id="2">
    <w:p w:rsidR="00C77518" w:rsidRPr="00515266" w:rsidRDefault="00C77518" w:rsidP="00C77518">
      <w:pPr>
        <w:pStyle w:val="FootnoteText"/>
        <w:rPr>
          <w:szCs w:val="18"/>
        </w:rPr>
      </w:pPr>
      <w:r w:rsidRPr="00743109">
        <w:rPr>
          <w:rStyle w:val="FootnoteReference"/>
        </w:rPr>
        <w:footnoteRef/>
      </w:r>
      <w:r w:rsidRPr="00515266">
        <w:rPr>
          <w:szCs w:val="18"/>
        </w:rPr>
        <w:t xml:space="preserve"> Voir le document UNEP/FAO/RC/CRC.13/INF/16.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BB"/>
    <w:multiLevelType w:val="hybridMultilevel"/>
    <w:tmpl w:val="DDB8842E"/>
    <w:lvl w:ilvl="0" w:tplc="36D60914">
      <w:start w:val="1"/>
      <w:numFmt w:val="lowerLetter"/>
      <w:lvlText w:val="%1)"/>
      <w:lvlJc w:val="left"/>
      <w:pPr>
        <w:ind w:left="257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99" w:hanging="360"/>
      </w:pPr>
    </w:lvl>
    <w:lvl w:ilvl="2" w:tplc="0409001B" w:tentative="1">
      <w:start w:val="1"/>
      <w:numFmt w:val="lowerRoman"/>
      <w:lvlText w:val="%3."/>
      <w:lvlJc w:val="right"/>
      <w:pPr>
        <w:ind w:left="4019" w:hanging="180"/>
      </w:pPr>
    </w:lvl>
    <w:lvl w:ilvl="3" w:tplc="0409000F" w:tentative="1">
      <w:start w:val="1"/>
      <w:numFmt w:val="decimal"/>
      <w:lvlText w:val="%4."/>
      <w:lvlJc w:val="left"/>
      <w:pPr>
        <w:ind w:left="4739" w:hanging="360"/>
      </w:pPr>
    </w:lvl>
    <w:lvl w:ilvl="4" w:tplc="04090019" w:tentative="1">
      <w:start w:val="1"/>
      <w:numFmt w:val="lowerLetter"/>
      <w:lvlText w:val="%5."/>
      <w:lvlJc w:val="left"/>
      <w:pPr>
        <w:ind w:left="5459" w:hanging="360"/>
      </w:pPr>
    </w:lvl>
    <w:lvl w:ilvl="5" w:tplc="0409001B" w:tentative="1">
      <w:start w:val="1"/>
      <w:numFmt w:val="lowerRoman"/>
      <w:lvlText w:val="%6."/>
      <w:lvlJc w:val="right"/>
      <w:pPr>
        <w:ind w:left="6179" w:hanging="180"/>
      </w:pPr>
    </w:lvl>
    <w:lvl w:ilvl="6" w:tplc="0409000F" w:tentative="1">
      <w:start w:val="1"/>
      <w:numFmt w:val="decimal"/>
      <w:lvlText w:val="%7."/>
      <w:lvlJc w:val="left"/>
      <w:pPr>
        <w:ind w:left="6899" w:hanging="360"/>
      </w:pPr>
    </w:lvl>
    <w:lvl w:ilvl="7" w:tplc="04090019" w:tentative="1">
      <w:start w:val="1"/>
      <w:numFmt w:val="lowerLetter"/>
      <w:lvlText w:val="%8."/>
      <w:lvlJc w:val="left"/>
      <w:pPr>
        <w:ind w:left="7619" w:hanging="360"/>
      </w:pPr>
    </w:lvl>
    <w:lvl w:ilvl="8" w:tplc="0409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">
    <w:nsid w:val="10FA7BEB"/>
    <w:multiLevelType w:val="hybridMultilevel"/>
    <w:tmpl w:val="3F7A7DFC"/>
    <w:lvl w:ilvl="0" w:tplc="7F78959C">
      <w:start w:val="3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06"/>
        </w:tabs>
        <w:ind w:left="308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85449A"/>
    <w:multiLevelType w:val="hybridMultilevel"/>
    <w:tmpl w:val="2554937A"/>
    <w:lvl w:ilvl="0" w:tplc="0413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04" w:hanging="360"/>
      </w:pPr>
    </w:lvl>
    <w:lvl w:ilvl="2" w:tplc="0413001B" w:tentative="1">
      <w:start w:val="1"/>
      <w:numFmt w:val="lowerRoman"/>
      <w:lvlText w:val="%3."/>
      <w:lvlJc w:val="right"/>
      <w:pPr>
        <w:ind w:left="2424" w:hanging="180"/>
      </w:pPr>
    </w:lvl>
    <w:lvl w:ilvl="3" w:tplc="0413000F" w:tentative="1">
      <w:start w:val="1"/>
      <w:numFmt w:val="decimal"/>
      <w:lvlText w:val="%4."/>
      <w:lvlJc w:val="left"/>
      <w:pPr>
        <w:ind w:left="3144" w:hanging="360"/>
      </w:pPr>
    </w:lvl>
    <w:lvl w:ilvl="4" w:tplc="04130019" w:tentative="1">
      <w:start w:val="1"/>
      <w:numFmt w:val="lowerLetter"/>
      <w:lvlText w:val="%5."/>
      <w:lvlJc w:val="left"/>
      <w:pPr>
        <w:ind w:left="3864" w:hanging="360"/>
      </w:pPr>
    </w:lvl>
    <w:lvl w:ilvl="5" w:tplc="0413001B" w:tentative="1">
      <w:start w:val="1"/>
      <w:numFmt w:val="lowerRoman"/>
      <w:lvlText w:val="%6."/>
      <w:lvlJc w:val="right"/>
      <w:pPr>
        <w:ind w:left="4584" w:hanging="180"/>
      </w:pPr>
    </w:lvl>
    <w:lvl w:ilvl="6" w:tplc="0413000F" w:tentative="1">
      <w:start w:val="1"/>
      <w:numFmt w:val="decimal"/>
      <w:lvlText w:val="%7."/>
      <w:lvlJc w:val="left"/>
      <w:pPr>
        <w:ind w:left="5304" w:hanging="360"/>
      </w:pPr>
    </w:lvl>
    <w:lvl w:ilvl="7" w:tplc="04130019" w:tentative="1">
      <w:start w:val="1"/>
      <w:numFmt w:val="lowerLetter"/>
      <w:lvlText w:val="%8."/>
      <w:lvlJc w:val="left"/>
      <w:pPr>
        <w:ind w:left="6024" w:hanging="360"/>
      </w:pPr>
    </w:lvl>
    <w:lvl w:ilvl="8" w:tplc="0413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E611374"/>
    <w:multiLevelType w:val="hybridMultilevel"/>
    <w:tmpl w:val="DA80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620C4041"/>
    <w:multiLevelType w:val="hybridMultilevel"/>
    <w:tmpl w:val="5ACE28C8"/>
    <w:lvl w:ilvl="0" w:tplc="CEE476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67" w:hanging="360"/>
      </w:pPr>
    </w:lvl>
    <w:lvl w:ilvl="2" w:tplc="0809001B" w:tentative="1">
      <w:start w:val="1"/>
      <w:numFmt w:val="lowerRoman"/>
      <w:lvlText w:val="%3."/>
      <w:lvlJc w:val="right"/>
      <w:pPr>
        <w:ind w:left="887" w:hanging="180"/>
      </w:pPr>
    </w:lvl>
    <w:lvl w:ilvl="3" w:tplc="0809000F" w:tentative="1">
      <w:start w:val="1"/>
      <w:numFmt w:val="decimal"/>
      <w:lvlText w:val="%4."/>
      <w:lvlJc w:val="left"/>
      <w:pPr>
        <w:ind w:left="1607" w:hanging="360"/>
      </w:pPr>
    </w:lvl>
    <w:lvl w:ilvl="4" w:tplc="08090019" w:tentative="1">
      <w:start w:val="1"/>
      <w:numFmt w:val="lowerLetter"/>
      <w:lvlText w:val="%5."/>
      <w:lvlJc w:val="left"/>
      <w:pPr>
        <w:ind w:left="2327" w:hanging="360"/>
      </w:pPr>
    </w:lvl>
    <w:lvl w:ilvl="5" w:tplc="0809001B" w:tentative="1">
      <w:start w:val="1"/>
      <w:numFmt w:val="lowerRoman"/>
      <w:lvlText w:val="%6."/>
      <w:lvlJc w:val="right"/>
      <w:pPr>
        <w:ind w:left="3047" w:hanging="180"/>
      </w:pPr>
    </w:lvl>
    <w:lvl w:ilvl="6" w:tplc="0809000F" w:tentative="1">
      <w:start w:val="1"/>
      <w:numFmt w:val="decimal"/>
      <w:lvlText w:val="%7."/>
      <w:lvlJc w:val="left"/>
      <w:pPr>
        <w:ind w:left="3767" w:hanging="360"/>
      </w:pPr>
    </w:lvl>
    <w:lvl w:ilvl="7" w:tplc="08090019" w:tentative="1">
      <w:start w:val="1"/>
      <w:numFmt w:val="lowerLetter"/>
      <w:lvlText w:val="%8."/>
      <w:lvlJc w:val="left"/>
      <w:pPr>
        <w:ind w:left="4487" w:hanging="360"/>
      </w:pPr>
    </w:lvl>
    <w:lvl w:ilvl="8" w:tplc="0809001B" w:tentative="1">
      <w:start w:val="1"/>
      <w:numFmt w:val="lowerRoman"/>
      <w:lvlText w:val="%9."/>
      <w:lvlJc w:val="right"/>
      <w:pPr>
        <w:ind w:left="5207" w:hanging="180"/>
      </w:pPr>
    </w:lvl>
  </w:abstractNum>
  <w:abstractNum w:abstractNumId="9">
    <w:nsid w:val="62291BF8"/>
    <w:multiLevelType w:val="multilevel"/>
    <w:tmpl w:val="F4ACF36E"/>
    <w:numStyleLink w:val="Normallist"/>
  </w:abstractNum>
  <w:abstractNum w:abstractNumId="10">
    <w:nsid w:val="644572AE"/>
    <w:multiLevelType w:val="hybridMultilevel"/>
    <w:tmpl w:val="9894F196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73875614"/>
    <w:multiLevelType w:val="hybridMultilevel"/>
    <w:tmpl w:val="04C0A01C"/>
    <w:lvl w:ilvl="0" w:tplc="E8E2A658">
      <w:start w:val="1"/>
      <w:numFmt w:val="decimal"/>
      <w:lvlText w:val="%1."/>
      <w:lvlJc w:val="left"/>
      <w:pPr>
        <w:ind w:left="3150" w:hanging="360"/>
      </w:pPr>
      <w:rPr>
        <w:b w:val="0"/>
        <w:lang w:val="fr-FR"/>
      </w:rPr>
    </w:lvl>
    <w:lvl w:ilvl="1" w:tplc="08090019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18"/>
    <w:rsid w:val="00263D77"/>
    <w:rsid w:val="004B0315"/>
    <w:rsid w:val="00A27A0C"/>
    <w:rsid w:val="00C7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18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C7751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C7751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C7751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C7751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7751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7751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7751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C77518"/>
    <w:pPr>
      <w:keepNext/>
      <w:widowControl w:val="0"/>
      <w:numPr>
        <w:numId w:val="1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C77518"/>
    <w:pPr>
      <w:keepNext/>
      <w:widowControl w:val="0"/>
      <w:numPr>
        <w:numId w:val="1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518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C77518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C77518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C77518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C77518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77518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C77518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77518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77518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semiHidden/>
    <w:rsid w:val="00C7751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C77518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C7751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C7751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C7751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C7751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C7751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C77518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C7751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C7751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C7751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C7751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Footer-pool">
    <w:name w:val="Footer-pool"/>
    <w:basedOn w:val="Normal-pool"/>
    <w:next w:val="Normal-pool"/>
    <w:rsid w:val="00C7751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C7751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C7751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FootnoteReference">
    <w:name w:val="footnote reference"/>
    <w:rsid w:val="00C7751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C77518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77518"/>
    <w:rPr>
      <w:rFonts w:ascii="Times New Roman" w:eastAsia="Times New Roman" w:hAnsi="Times New Roman" w:cs="Times New Roman"/>
      <w:sz w:val="18"/>
      <w:szCs w:val="20"/>
      <w:lang w:val="fr-CA"/>
    </w:rPr>
  </w:style>
  <w:style w:type="table" w:customStyle="1" w:styleId="AATable">
    <w:name w:val="AA_Table"/>
    <w:basedOn w:val="TableNormal"/>
    <w:semiHidden/>
    <w:rsid w:val="00C7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C7751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7751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C7751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C77518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77518"/>
    <w:rPr>
      <w:rFonts w:ascii="Times New Roman" w:eastAsia="Times New Roman" w:hAnsi="Times New Roman" w:cs="Times New Roman"/>
      <w:sz w:val="18"/>
      <w:szCs w:val="20"/>
      <w:lang w:val="fr-FR"/>
    </w:rPr>
  </w:style>
  <w:style w:type="paragraph" w:styleId="Header">
    <w:name w:val="header"/>
    <w:basedOn w:val="Normal"/>
    <w:link w:val="HeaderChar"/>
    <w:rsid w:val="00C7751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rsid w:val="00C77518"/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styleId="Hyperlink">
    <w:name w:val="Hyperlink"/>
    <w:semiHidden/>
    <w:rsid w:val="00C7751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C77518"/>
    <w:pPr>
      <w:numPr>
        <w:numId w:val="9"/>
      </w:numPr>
    </w:pPr>
  </w:style>
  <w:style w:type="paragraph" w:customStyle="1" w:styleId="NormalNonumber">
    <w:name w:val="Normal_No_number"/>
    <w:basedOn w:val="Normalpool"/>
    <w:rsid w:val="00C7751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C77518"/>
    <w:pPr>
      <w:numPr>
        <w:numId w:val="14"/>
      </w:numPr>
      <w:spacing w:after="120"/>
    </w:pPr>
  </w:style>
  <w:style w:type="paragraph" w:customStyle="1" w:styleId="Titletable">
    <w:name w:val="Title_table"/>
    <w:basedOn w:val="Normalpool"/>
    <w:rsid w:val="00C7751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C7751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C7751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C7751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C7751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C7751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C7751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C77518"/>
    <w:pPr>
      <w:spacing w:before="360" w:after="120"/>
      <w:ind w:left="1247"/>
    </w:pPr>
    <w:rPr>
      <w:b/>
      <w:bCs/>
      <w:sz w:val="28"/>
      <w:szCs w:val="26"/>
    </w:rPr>
  </w:style>
  <w:style w:type="character" w:styleId="CommentReference">
    <w:name w:val="annotation reference"/>
    <w:basedOn w:val="DefaultParagraphFont"/>
    <w:rsid w:val="00C77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518"/>
  </w:style>
  <w:style w:type="character" w:customStyle="1" w:styleId="CommentTextChar">
    <w:name w:val="Comment Text Char"/>
    <w:basedOn w:val="DefaultParagraphFont"/>
    <w:link w:val="CommentText"/>
    <w:rsid w:val="00C7751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C77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518"/>
    <w:rPr>
      <w:b/>
      <w:bCs/>
    </w:rPr>
  </w:style>
  <w:style w:type="paragraph" w:styleId="Revision">
    <w:name w:val="Revision"/>
    <w:hidden/>
    <w:uiPriority w:val="99"/>
    <w:semiHidden/>
    <w:rsid w:val="00C7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C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518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39"/>
    <w:rsid w:val="00C7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locked/>
    <w:rsid w:val="00C77518"/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Spacer">
    <w:name w:val="Spacer"/>
    <w:basedOn w:val="Normal"/>
    <w:rsid w:val="00C77518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-720"/>
        <w:tab w:val="left" w:pos="0"/>
        <w:tab w:val="left" w:pos="720"/>
      </w:tabs>
      <w:suppressAutoHyphens/>
    </w:pPr>
    <w:rPr>
      <w:sz w:val="10"/>
      <w:szCs w:val="10"/>
    </w:rPr>
  </w:style>
  <w:style w:type="character" w:customStyle="1" w:styleId="CH2Char">
    <w:name w:val="CH2 Char"/>
    <w:link w:val="CH2"/>
    <w:rsid w:val="00C77518"/>
    <w:rPr>
      <w:rFonts w:ascii="Times New Roman" w:eastAsia="Times New Roman" w:hAnsi="Times New Roman" w:cs="Times New Roman"/>
      <w:b/>
      <w:sz w:val="24"/>
      <w:szCs w:val="24"/>
      <w:lang w:val="fr-CA"/>
    </w:rPr>
  </w:style>
  <w:style w:type="paragraph" w:customStyle="1" w:styleId="StyleParalevel110ptAfter6pt">
    <w:name w:val="Style Para level1 + 10 pt After:  6 pt"/>
    <w:basedOn w:val="Normal"/>
    <w:rsid w:val="00C775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  <w:style w:type="paragraph" w:customStyle="1" w:styleId="Default">
    <w:name w:val="Default"/>
    <w:rsid w:val="00C7751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</w:rPr>
  </w:style>
  <w:style w:type="paragraph" w:customStyle="1" w:styleId="Subtitle">
    <w:name w:val="Sub title"/>
    <w:basedOn w:val="Heading2"/>
    <w:rsid w:val="00C77518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before="0" w:after="0"/>
      <w:ind w:firstLine="0"/>
    </w:pPr>
  </w:style>
  <w:style w:type="character" w:customStyle="1" w:styleId="Normal-poolChar">
    <w:name w:val="Normal-pool Char"/>
    <w:link w:val="Normal-pool"/>
    <w:locked/>
    <w:rsid w:val="00C77518"/>
    <w:rPr>
      <w:rFonts w:ascii="Times New Roman" w:eastAsia="Times New Roman" w:hAnsi="Times New Roman" w:cs="Times New Roman"/>
      <w:sz w:val="20"/>
      <w:szCs w:val="20"/>
      <w:lang w:val="fr-CA"/>
    </w:rPr>
  </w:style>
  <w:style w:type="character" w:customStyle="1" w:styleId="ZZAnxtitleChar">
    <w:name w:val="ZZ_Anx_title Char"/>
    <w:link w:val="ZZAnxtitle"/>
    <w:rsid w:val="00C77518"/>
    <w:rPr>
      <w:rFonts w:ascii="Times New Roman" w:eastAsia="Times New Roman" w:hAnsi="Times New Roman" w:cs="Times New Roman"/>
      <w:b/>
      <w:bCs/>
      <w:sz w:val="28"/>
      <w:szCs w:val="26"/>
      <w:lang w:val="fr-CA"/>
    </w:rPr>
  </w:style>
  <w:style w:type="paragraph" w:customStyle="1" w:styleId="Paralevel1">
    <w:name w:val="Para level1"/>
    <w:basedOn w:val="Normal"/>
    <w:autoRedefine/>
    <w:rsid w:val="00C77518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800"/>
      </w:tabs>
      <w:spacing w:after="120"/>
      <w:ind w:left="1247"/>
    </w:pPr>
    <w:rPr>
      <w:snapToGrid w:val="0"/>
      <w:lang w:val="en-US"/>
    </w:rPr>
  </w:style>
  <w:style w:type="paragraph" w:customStyle="1" w:styleId="rednialista2akcent21">
    <w:name w:val="Średnia lista 2 — akcent 21"/>
    <w:hidden/>
    <w:uiPriority w:val="99"/>
    <w:semiHidden/>
    <w:rsid w:val="00C7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3834</Words>
  <Characters>21858</Characters>
  <Application>Microsoft Office Word</Application>
  <DocSecurity>0</DocSecurity>
  <Lines>182</Lines>
  <Paragraphs>51</Paragraphs>
  <ScaleCrop>false</ScaleCrop>
  <Company>BRS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2</cp:revision>
  <dcterms:created xsi:type="dcterms:W3CDTF">2018-02-28T16:38:00Z</dcterms:created>
  <dcterms:modified xsi:type="dcterms:W3CDTF">2018-02-28T16:39:00Z</dcterms:modified>
</cp:coreProperties>
</file>