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CA25" w14:textId="77777777" w:rsidR="00FD3651" w:rsidRDefault="00FD3651" w:rsidP="00FD3651">
      <w:pPr>
        <w:keepNext/>
        <w:keepLines/>
        <w:spacing w:after="120" w:line="360" w:lineRule="exact"/>
        <w:ind w:left="1134" w:firstLine="709"/>
        <w:jc w:val="both"/>
        <w:rPr>
          <w:rFonts w:eastAsia="SimSun"/>
          <w:b/>
          <w:bCs/>
          <w:sz w:val="26"/>
          <w:szCs w:val="26"/>
          <w:lang w:val="en-GB" w:eastAsia="zh-TW"/>
        </w:rPr>
      </w:pPr>
      <w:r>
        <w:rPr>
          <w:rFonts w:eastAsia="SimSun" w:hint="cs"/>
          <w:b/>
          <w:bCs/>
          <w:sz w:val="26"/>
          <w:szCs w:val="26"/>
          <w:rtl/>
          <w:lang w:val="en-GB" w:eastAsia="zh-TW"/>
        </w:rPr>
        <w:t>ل.ا.ك-17/2: التربوفوس</w:t>
      </w:r>
    </w:p>
    <w:p w14:paraId="7722D55D" w14:textId="77777777" w:rsidR="00FD3651" w:rsidRDefault="00FD3651" w:rsidP="00FD3651">
      <w:pPr>
        <w:spacing w:after="120" w:line="360" w:lineRule="exact"/>
        <w:ind w:left="1134" w:firstLine="708"/>
        <w:jc w:val="both"/>
        <w:rPr>
          <w:rFonts w:eastAsia="SimSun"/>
          <w:i/>
          <w:iCs/>
          <w:sz w:val="22"/>
          <w:szCs w:val="24"/>
          <w:lang w:val="en-GB" w:eastAsia="zh-TW"/>
        </w:rPr>
      </w:pPr>
      <w:r>
        <w:rPr>
          <w:rFonts w:eastAsia="SimSun" w:hint="cs"/>
          <w:i/>
          <w:iCs/>
          <w:sz w:val="22"/>
          <w:szCs w:val="24"/>
          <w:rtl/>
          <w:lang w:val="en-GB" w:eastAsia="zh-TW"/>
        </w:rPr>
        <w:t>إن لجنة استعراض المواد الكيميائية،</w:t>
      </w:r>
    </w:p>
    <w:p w14:paraId="0E604E85" w14:textId="77777777" w:rsidR="00FD3651" w:rsidRDefault="00FD3651" w:rsidP="00FD3651">
      <w:pPr>
        <w:spacing w:after="120" w:line="360" w:lineRule="exact"/>
        <w:ind w:left="1134" w:firstLine="708"/>
        <w:jc w:val="both"/>
        <w:rPr>
          <w:rFonts w:eastAsia="SimSun" w:hint="cs"/>
          <w:sz w:val="22"/>
          <w:szCs w:val="24"/>
          <w:rtl/>
          <w:lang w:val="en-GB" w:eastAsia="zh-TW"/>
        </w:rPr>
      </w:pPr>
      <w:r>
        <w:rPr>
          <w:rFonts w:eastAsia="SimSun" w:hint="cs"/>
          <w:i/>
          <w:iCs/>
          <w:sz w:val="22"/>
          <w:szCs w:val="24"/>
          <w:rtl/>
          <w:lang w:val="en-GB" w:eastAsia="zh-TW"/>
        </w:rPr>
        <w:t>إذ تشير إلى المادة 5 من اتفاقية روتردام المتعلقة بتطبيق إجراء الموافقة المسبقة عن علم على مواد كيميائية ومبيدات آفات خطرة معينة متداولة في التجارة الدولية</w:t>
      </w:r>
      <w:r>
        <w:rPr>
          <w:rFonts w:eastAsia="SimSun" w:hint="cs"/>
          <w:sz w:val="22"/>
          <w:szCs w:val="24"/>
          <w:rtl/>
          <w:lang w:val="en-GB" w:eastAsia="zh-TW"/>
        </w:rPr>
        <w:t>،</w:t>
      </w:r>
    </w:p>
    <w:p w14:paraId="1FB0F000" w14:textId="77777777" w:rsidR="00FD3651" w:rsidRDefault="00FD3651" w:rsidP="00FD3651">
      <w:pPr>
        <w:pStyle w:val="ListParagraph"/>
        <w:numPr>
          <w:ilvl w:val="0"/>
          <w:numId w:val="22"/>
        </w:numPr>
        <w:tabs>
          <w:tab w:val="left" w:pos="2551"/>
        </w:tabs>
        <w:bidi/>
        <w:spacing w:after="120" w:line="360" w:lineRule="exact"/>
        <w:ind w:left="1133" w:firstLine="709"/>
        <w:jc w:val="both"/>
        <w:rPr>
          <w:rFonts w:eastAsia="SimSun" w:hint="cs"/>
          <w:sz w:val="22"/>
          <w:szCs w:val="24"/>
          <w:rtl/>
          <w:lang w:eastAsia="zh-TW"/>
        </w:rPr>
      </w:pPr>
      <w:r>
        <w:rPr>
          <w:rFonts w:eastAsia="SimSun" w:hint="cs"/>
          <w:i/>
          <w:iCs/>
          <w:sz w:val="22"/>
          <w:szCs w:val="24"/>
          <w:rtl/>
          <w:lang w:eastAsia="zh-TW"/>
        </w:rPr>
        <w:t>تستنتج</w:t>
      </w:r>
      <w:r>
        <w:rPr>
          <w:rFonts w:eastAsia="SimSun" w:hint="cs"/>
          <w:sz w:val="22"/>
          <w:szCs w:val="24"/>
          <w:rtl/>
          <w:lang w:eastAsia="zh-TW"/>
        </w:rPr>
        <w:t xml:space="preserve"> أن إخطاري الإجراء التنظيمي النهائي بشأن التربوفوس المقدمين من كندا وموزامبيق</w:t>
      </w:r>
      <w:r>
        <w:rPr>
          <w:rFonts w:eastAsia="SimSun" w:hint="cs"/>
          <w:sz w:val="22"/>
          <w:szCs w:val="24"/>
          <w:vertAlign w:val="superscript"/>
          <w:rtl/>
          <w:lang w:eastAsia="zh-TW"/>
        </w:rPr>
        <w:t>(</w:t>
      </w:r>
      <w:r>
        <w:rPr>
          <w:rStyle w:val="FootnoteReference"/>
          <w:rFonts w:eastAsia="SimSun"/>
          <w:sz w:val="22"/>
          <w:szCs w:val="24"/>
          <w:rtl/>
          <w:lang w:eastAsia="zh-TW"/>
        </w:rPr>
        <w:footnoteReference w:id="1"/>
      </w:r>
      <w:r>
        <w:rPr>
          <w:rFonts w:eastAsia="SimSun" w:hint="cs"/>
          <w:sz w:val="22"/>
          <w:szCs w:val="24"/>
          <w:vertAlign w:val="superscript"/>
          <w:rtl/>
          <w:lang w:eastAsia="zh-TW"/>
        </w:rPr>
        <w:t>)</w:t>
      </w:r>
      <w:r>
        <w:rPr>
          <w:rFonts w:eastAsia="SimSun" w:hint="cs"/>
          <w:sz w:val="22"/>
          <w:szCs w:val="24"/>
          <w:rtl/>
          <w:lang w:eastAsia="zh-TW"/>
        </w:rPr>
        <w:t xml:space="preserve"> يستوفيان المعايير الواردة في المرفق الثاني للاتفاقية؛</w:t>
      </w:r>
    </w:p>
    <w:p w14:paraId="61F405DE" w14:textId="77777777" w:rsidR="00FD3651" w:rsidRDefault="00FD3651" w:rsidP="00FD3651">
      <w:pPr>
        <w:pStyle w:val="ListParagraph"/>
        <w:numPr>
          <w:ilvl w:val="0"/>
          <w:numId w:val="22"/>
        </w:numPr>
        <w:tabs>
          <w:tab w:val="left" w:pos="2551"/>
        </w:tabs>
        <w:bidi/>
        <w:spacing w:after="120" w:line="360" w:lineRule="exact"/>
        <w:ind w:left="1133" w:firstLine="709"/>
        <w:jc w:val="both"/>
        <w:rPr>
          <w:rFonts w:eastAsia="SimSun" w:hint="cs"/>
          <w:sz w:val="22"/>
          <w:szCs w:val="24"/>
          <w:rtl/>
          <w:lang w:eastAsia="zh-TW"/>
        </w:rPr>
      </w:pPr>
      <w:r>
        <w:rPr>
          <w:rFonts w:eastAsia="SimSun" w:hint="cs"/>
          <w:i/>
          <w:iCs/>
          <w:sz w:val="22"/>
          <w:szCs w:val="24"/>
          <w:rtl/>
          <w:lang w:eastAsia="zh-TW"/>
        </w:rPr>
        <w:t xml:space="preserve">تعتمد </w:t>
      </w:r>
      <w:r>
        <w:rPr>
          <w:rFonts w:eastAsia="SimSun" w:hint="cs"/>
          <w:sz w:val="22"/>
          <w:szCs w:val="24"/>
          <w:rtl/>
          <w:lang w:eastAsia="zh-TW"/>
        </w:rPr>
        <w:t>الأساس المنطقي لاستنتاج اللجنة الوارد في مرفق هذا المقرر؛</w:t>
      </w:r>
    </w:p>
    <w:p w14:paraId="6991F5A1" w14:textId="77777777" w:rsidR="00FD3651" w:rsidRDefault="00FD3651" w:rsidP="00FD3651">
      <w:pPr>
        <w:pStyle w:val="ListParagraph"/>
        <w:numPr>
          <w:ilvl w:val="0"/>
          <w:numId w:val="22"/>
        </w:numPr>
        <w:tabs>
          <w:tab w:val="left" w:pos="2551"/>
        </w:tabs>
        <w:bidi/>
        <w:spacing w:after="120" w:line="360" w:lineRule="exact"/>
        <w:ind w:left="1133" w:firstLine="709"/>
        <w:jc w:val="both"/>
        <w:rPr>
          <w:rFonts w:eastAsia="SimSun" w:hint="cs"/>
          <w:sz w:val="22"/>
          <w:szCs w:val="24"/>
          <w:rtl/>
          <w:lang w:eastAsia="zh-TW"/>
        </w:rPr>
      </w:pPr>
      <w:r>
        <w:rPr>
          <w:rFonts w:eastAsia="SimSun" w:hint="cs"/>
          <w:i/>
          <w:iCs/>
          <w:sz w:val="22"/>
          <w:szCs w:val="24"/>
          <w:rtl/>
          <w:lang w:eastAsia="zh-TW"/>
        </w:rPr>
        <w:t xml:space="preserve">توصي، </w:t>
      </w:r>
      <w:r>
        <w:rPr>
          <w:rFonts w:eastAsia="SimSun" w:hint="cs"/>
          <w:sz w:val="22"/>
          <w:szCs w:val="24"/>
          <w:rtl/>
          <w:lang w:eastAsia="zh-TW"/>
        </w:rPr>
        <w:t>وفقاً للفقرة 6 من المادة 5 من الاتفاقية، بأن يدرج مؤتمر الأطراف التربوفوس في المرفق الثالث للاتفاقية كمبيد للآفات؛</w:t>
      </w:r>
    </w:p>
    <w:p w14:paraId="1F89157B" w14:textId="77777777" w:rsidR="00FD3651" w:rsidRDefault="00FD3651" w:rsidP="00FD3651">
      <w:pPr>
        <w:pStyle w:val="ListParagraph"/>
        <w:numPr>
          <w:ilvl w:val="0"/>
          <w:numId w:val="22"/>
        </w:numPr>
        <w:tabs>
          <w:tab w:val="left" w:pos="2551"/>
        </w:tabs>
        <w:bidi/>
        <w:spacing w:after="120" w:line="360" w:lineRule="exact"/>
        <w:ind w:left="1133" w:firstLine="709"/>
        <w:jc w:val="both"/>
        <w:rPr>
          <w:rFonts w:eastAsia="SimSun" w:hint="cs"/>
          <w:sz w:val="22"/>
          <w:szCs w:val="24"/>
          <w:rtl/>
          <w:lang w:eastAsia="zh-TW"/>
        </w:rPr>
      </w:pPr>
      <w:r>
        <w:rPr>
          <w:rFonts w:eastAsia="SimSun" w:hint="cs"/>
          <w:i/>
          <w:iCs/>
          <w:sz w:val="22"/>
          <w:szCs w:val="24"/>
          <w:rtl/>
          <w:lang w:eastAsia="zh-TW"/>
        </w:rPr>
        <w:t>تقرر</w:t>
      </w:r>
      <w:r>
        <w:rPr>
          <w:rFonts w:eastAsia="SimSun" w:hint="cs"/>
          <w:sz w:val="22"/>
          <w:szCs w:val="24"/>
          <w:rtl/>
          <w:lang w:eastAsia="zh-TW"/>
        </w:rPr>
        <w:t>، وفقاً للفقرة 1 من المادة 7 من الاتفاقية، إعداد مشروع وثيقة توجيه قرارات بشأن التربوفوس؛</w:t>
      </w:r>
    </w:p>
    <w:p w14:paraId="6909CA0D" w14:textId="77777777" w:rsidR="00FD3651" w:rsidRDefault="00FD3651" w:rsidP="00FD3651">
      <w:pPr>
        <w:pStyle w:val="ListParagraph"/>
        <w:numPr>
          <w:ilvl w:val="0"/>
          <w:numId w:val="22"/>
        </w:numPr>
        <w:tabs>
          <w:tab w:val="left" w:pos="2551"/>
        </w:tabs>
        <w:bidi/>
        <w:spacing w:after="120" w:line="360" w:lineRule="exact"/>
        <w:ind w:left="1133" w:firstLine="709"/>
        <w:jc w:val="both"/>
        <w:rPr>
          <w:rFonts w:eastAsia="SimSun" w:hint="cs"/>
          <w:sz w:val="22"/>
          <w:szCs w:val="24"/>
          <w:rtl/>
          <w:lang w:eastAsia="zh-TW"/>
        </w:rPr>
      </w:pPr>
      <w:r>
        <w:rPr>
          <w:rFonts w:eastAsia="SimSun" w:hint="cs"/>
          <w:i/>
          <w:iCs/>
          <w:sz w:val="22"/>
          <w:szCs w:val="24"/>
          <w:rtl/>
          <w:lang w:eastAsia="zh-TW"/>
        </w:rPr>
        <w:t>تقرر</w:t>
      </w:r>
      <w:r>
        <w:rPr>
          <w:rFonts w:eastAsia="SimSun" w:hint="cs"/>
          <w:sz w:val="22"/>
          <w:szCs w:val="24"/>
          <w:rtl/>
          <w:lang w:eastAsia="zh-TW"/>
        </w:rPr>
        <w:t xml:space="preserve"> </w:t>
      </w:r>
      <w:r>
        <w:rPr>
          <w:rFonts w:eastAsia="SimSun" w:hint="cs"/>
          <w:i/>
          <w:iCs/>
          <w:sz w:val="22"/>
          <w:szCs w:val="24"/>
          <w:rtl/>
          <w:lang w:eastAsia="zh-TW"/>
        </w:rPr>
        <w:t>أيضاً</w:t>
      </w:r>
      <w:r>
        <w:rPr>
          <w:rFonts w:eastAsia="SimSun" w:hint="cs"/>
          <w:sz w:val="22"/>
          <w:szCs w:val="24"/>
          <w:rtl/>
          <w:lang w:eastAsia="zh-TW"/>
        </w:rPr>
        <w:t>، وفقاً لعملية صياغة وثائق توجيه القرارات الواردة في المقرر ا ر-2/2 المعدلة بموجب المقرر ا ر-6/3، أن يتم تشكيل فريق الصياغة العامل فيما بين الدورات المكلف بإعداد مشروع وثيقة توجيه القرارات بشأن التربوفوس وخطة عمل الفريق على النحو الوارد في المرفقين الثاني والثالث، على التوالي، لتقرير اللجنة عن أعمال اجتماعها السابع عشر.</w:t>
      </w:r>
    </w:p>
    <w:p w14:paraId="379941AB" w14:textId="77777777" w:rsidR="00FD3651" w:rsidRDefault="00FD3651" w:rsidP="00FD3651">
      <w:pPr>
        <w:keepNext/>
        <w:keepLines/>
        <w:spacing w:after="120" w:line="360" w:lineRule="exact"/>
        <w:ind w:left="1134"/>
        <w:jc w:val="both"/>
        <w:rPr>
          <w:rFonts w:eastAsia="SimSun" w:hint="cs"/>
          <w:b/>
          <w:bCs/>
          <w:sz w:val="26"/>
          <w:szCs w:val="26"/>
          <w:rtl/>
          <w:lang w:val="en-GB" w:eastAsia="zh-TW"/>
        </w:rPr>
      </w:pPr>
      <w:r>
        <w:rPr>
          <w:rFonts w:eastAsia="SimSun" w:hint="cs"/>
          <w:b/>
          <w:bCs/>
          <w:sz w:val="26"/>
          <w:szCs w:val="26"/>
          <w:rtl/>
          <w:lang w:val="en-GB" w:eastAsia="zh-TW"/>
        </w:rPr>
        <w:t>مرفق المقرر ل.ا.ك-17/2</w:t>
      </w:r>
    </w:p>
    <w:p w14:paraId="0D791B02" w14:textId="77777777" w:rsidR="00FD3651" w:rsidRDefault="00FD3651" w:rsidP="00FD3651">
      <w:pPr>
        <w:keepNext/>
        <w:keepLines/>
        <w:spacing w:after="120" w:line="360" w:lineRule="exact"/>
        <w:ind w:left="1134"/>
        <w:jc w:val="both"/>
        <w:rPr>
          <w:rFonts w:eastAsia="SimSun" w:hint="cs"/>
          <w:b/>
          <w:bCs/>
          <w:sz w:val="26"/>
          <w:szCs w:val="26"/>
          <w:rtl/>
          <w:lang w:val="en-GB" w:eastAsia="zh-TW"/>
        </w:rPr>
      </w:pPr>
      <w:r>
        <w:rPr>
          <w:rFonts w:eastAsia="SimSun" w:hint="cs"/>
          <w:b/>
          <w:bCs/>
          <w:sz w:val="26"/>
          <w:szCs w:val="26"/>
          <w:rtl/>
          <w:lang w:val="en-GB" w:eastAsia="zh-TW"/>
        </w:rPr>
        <w:t>الأساس المنطقي الذي استندت إليه لجنة استعراض المواد الكيميائية في استنتاجها بأن إخطاري الإجراء التنظيمي النهائي المقدمين من كندا وموزامبيق بشأن إدراج التربوفوس ضمن فئة مبيدات الآفات يستوفيان معايير المرفق الثاني لاتفاقية روتردام</w:t>
      </w:r>
    </w:p>
    <w:p w14:paraId="7A0DE60D"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تحققت الأمانة من أن الإخطارين المتعلقين بالتربوفوس المقدمين من كندا وموزامبيق يتضمنان المعلومات المطلوبة بموجب المرفق الأول لاتفاقية روتردام. وخضع هذين الإخطارين لاستعراض أولي أجرته الأمانة والمكتب لتقييم ما إذا كان يبدو أن الإخطارين يستوفيان متطلبات الاتفاقية.</w:t>
      </w:r>
    </w:p>
    <w:p w14:paraId="023F881F"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sz w:val="22"/>
          <w:szCs w:val="24"/>
          <w:lang w:eastAsia="zh-TW"/>
        </w:rPr>
      </w:pPr>
      <w:r>
        <w:rPr>
          <w:rFonts w:eastAsia="SimSun" w:hint="cs"/>
          <w:sz w:val="22"/>
          <w:szCs w:val="24"/>
          <w:rtl/>
          <w:lang w:eastAsia="zh-TW"/>
        </w:rPr>
        <w:t>وأتيح الإخطاران والوثائق الداعمة للجنة استعراض المواد الكيميائية لكي تنظر فيها (</w:t>
      </w:r>
      <w:r>
        <w:rPr>
          <w:rFonts w:eastAsia="SimSun"/>
          <w:sz w:val="18"/>
          <w:szCs w:val="18"/>
          <w:lang w:eastAsia="zh-TW"/>
        </w:rPr>
        <w:t>UNEP/FAO/RC/CRC.17/8/Rev.1</w:t>
      </w:r>
      <w:r>
        <w:rPr>
          <w:rFonts w:eastAsia="SimSun" w:hint="cs"/>
          <w:sz w:val="22"/>
          <w:szCs w:val="24"/>
          <w:rtl/>
          <w:lang w:eastAsia="zh-TW"/>
        </w:rPr>
        <w:t>، و</w:t>
      </w:r>
      <w:r>
        <w:rPr>
          <w:rFonts w:eastAsia="SimSun"/>
          <w:sz w:val="18"/>
          <w:szCs w:val="18"/>
          <w:lang w:eastAsia="zh-TW"/>
        </w:rPr>
        <w:t>UNEP/FAO/RC/CRC.17/INF/18</w:t>
      </w:r>
      <w:r>
        <w:rPr>
          <w:rFonts w:eastAsia="SimSun" w:hint="cs"/>
          <w:sz w:val="22"/>
          <w:szCs w:val="24"/>
          <w:rtl/>
          <w:lang w:eastAsia="zh-TW"/>
        </w:rPr>
        <w:t>، و</w:t>
      </w:r>
      <w:r>
        <w:rPr>
          <w:rFonts w:eastAsia="SimSun"/>
          <w:sz w:val="18"/>
          <w:szCs w:val="18"/>
          <w:lang w:eastAsia="zh-TW"/>
        </w:rPr>
        <w:t>UNEP/FAO/RC/CRC.17/INF/19/Rev.</w:t>
      </w:r>
      <w:r>
        <w:rPr>
          <w:rFonts w:eastAsia="SimSun"/>
          <w:szCs w:val="20"/>
          <w:lang w:eastAsia="zh-TW"/>
        </w:rPr>
        <w:t>1</w:t>
      </w:r>
      <w:r>
        <w:rPr>
          <w:rFonts w:eastAsia="SimSun" w:hint="cs"/>
          <w:sz w:val="22"/>
          <w:szCs w:val="24"/>
          <w:rtl/>
          <w:lang w:eastAsia="zh-TW"/>
        </w:rPr>
        <w:t xml:space="preserve">). وأتيحت المعلومات المتعلقة بالتجارة في الوثيقة </w:t>
      </w:r>
      <w:r>
        <w:rPr>
          <w:rFonts w:eastAsia="SimSun"/>
          <w:sz w:val="18"/>
          <w:szCs w:val="18"/>
          <w:lang w:eastAsia="zh-TW"/>
        </w:rPr>
        <w:t>UNEP/FAO/RC/CRC.17/INF/5</w:t>
      </w:r>
      <w:r>
        <w:rPr>
          <w:rFonts w:eastAsia="SimSun" w:hint="cs"/>
          <w:sz w:val="22"/>
          <w:szCs w:val="24"/>
          <w:rtl/>
          <w:lang w:eastAsia="zh-TW"/>
        </w:rPr>
        <w:t>.</w:t>
      </w:r>
    </w:p>
    <w:p w14:paraId="5A55C96E" w14:textId="77777777" w:rsidR="00FD3651" w:rsidRDefault="00FD3651" w:rsidP="00FD3651">
      <w:pPr>
        <w:pStyle w:val="Heading2"/>
        <w:rPr>
          <w:rFonts w:ascii="Times New Roman" w:hAnsi="Times New Roman" w:hint="cs"/>
          <w:b/>
          <w:bCs/>
          <w:sz w:val="26"/>
          <w:szCs w:val="26"/>
          <w:rtl/>
        </w:rPr>
      </w:pPr>
      <w:r>
        <w:rPr>
          <w:rFonts w:ascii="Times New Roman" w:hAnsi="Times New Roman" w:hint="cs"/>
          <w:b/>
          <w:bCs/>
          <w:sz w:val="26"/>
          <w:szCs w:val="26"/>
          <w:rtl/>
        </w:rPr>
        <w:t>أولاً-</w:t>
      </w:r>
      <w:r>
        <w:rPr>
          <w:rFonts w:ascii="Times New Roman" w:hAnsi="Times New Roman" w:hint="cs"/>
          <w:b/>
          <w:bCs/>
          <w:sz w:val="26"/>
          <w:szCs w:val="26"/>
          <w:rtl/>
        </w:rPr>
        <w:tab/>
        <w:t>كندا</w:t>
      </w:r>
    </w:p>
    <w:p w14:paraId="281D5556"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(أ)</w:t>
      </w:r>
      <w:r>
        <w:rPr>
          <w:rFonts w:ascii="Times New Roman" w:hAnsi="Times New Roman" w:hint="cs"/>
          <w:b/>
          <w:bCs/>
          <w:sz w:val="22"/>
          <w:rtl/>
        </w:rPr>
        <w:tab/>
        <w:t>نطاق الإجراء التنظيمي الذي أخطرت به كندا</w:t>
      </w:r>
    </w:p>
    <w:p w14:paraId="085F7C98"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الإجراء التنظيمي الذي أخطرت به كندا يتعلق بالتربوفوس (الرقم في سجل دائرة المستخلصات الكيميائية 13071-79-9) كمبيد للآفات. وقبل دخول الإجراء التنظيمي النهائي حيز التنفيذ، كان التربوفوس مسجلاً في كندا لاستخدامه على الكانولا والذرة والخردل واللفت السويدي وبنجر السكر (</w:t>
      </w:r>
      <w:r>
        <w:rPr>
          <w:rFonts w:eastAsia="SimSun"/>
          <w:sz w:val="18"/>
          <w:szCs w:val="18"/>
          <w:lang w:eastAsia="zh-TW"/>
        </w:rPr>
        <w:t>UNEP/FAO/RC/CRC.17/8/Rev.1</w:t>
      </w:r>
      <w:r>
        <w:rPr>
          <w:rFonts w:eastAsia="SimSun" w:hint="cs"/>
          <w:sz w:val="22"/>
          <w:szCs w:val="24"/>
          <w:rtl/>
          <w:lang w:eastAsia="zh-TW"/>
        </w:rPr>
        <w:t xml:space="preserve">، الفرع </w:t>
      </w:r>
      <w:r>
        <w:rPr>
          <w:rFonts w:eastAsia="SimSun" w:hint="cs"/>
          <w:sz w:val="22"/>
          <w:szCs w:val="24"/>
          <w:rtl/>
          <w:lang w:eastAsia="zh-TW"/>
        </w:rPr>
        <w:lastRenderedPageBreak/>
        <w:t>2-3-1 من الإخطار المقدم من كندا). وبناءً على الإجراء التنظيمي النهائي، لم يُسمح بأي استخدامات للتربوفوس بعد كانون الأول/ديسمبر 2004، باستثناء بنجر السكر الذي لم يعد استخدام التربوفوس مسموحاً به بعد</w:t>
      </w:r>
      <w:r>
        <w:rPr>
          <w:rFonts w:eastAsia="SimSun" w:hint="cs"/>
          <w:sz w:val="22"/>
          <w:szCs w:val="24"/>
          <w:rtl/>
          <w:lang w:eastAsia="zh-TW"/>
        </w:rPr>
        <w:br/>
        <w:t>1 آب/أغسطس 2012. وتم حظر بيع مبيدات الآفات المحتوية على التربوفوس في كندا اعتباراً من 1 أيار/مايو 2012. وحظر استخدام المنتجات المحتوية على التربوفوس اعتباراً من 1 آب/أغسطس 2012. واتُخذ الإجراء التنظيمي النهائي نتيجة للمخاطر غير المقبولة على البيئة التي تشكلها الاستخدامات المسجلة لمبيدات الآفات المحتوية على التربوفوس في كندا (</w:t>
      </w:r>
      <w:r>
        <w:rPr>
          <w:rFonts w:eastAsia="SimSun"/>
          <w:szCs w:val="20"/>
          <w:lang w:eastAsia="zh-TW"/>
        </w:rPr>
        <w:t>UNEP/FAO/RC/CRC.17/8/Rev.1</w:t>
      </w:r>
      <w:r>
        <w:rPr>
          <w:rFonts w:eastAsia="SimSun" w:hint="cs"/>
          <w:sz w:val="22"/>
          <w:szCs w:val="24"/>
          <w:rtl/>
          <w:lang w:eastAsia="zh-TW"/>
        </w:rPr>
        <w:t>، الفرعان 2-2-1 و2-2-3 من الإخطار المقدم من كندا).</w:t>
      </w:r>
    </w:p>
    <w:p w14:paraId="523B771C"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وخُلص إلى أن الإخطار يستوفي متطلبات المعلومات الواردة في المرفق الأول.</w:t>
      </w:r>
    </w:p>
    <w:p w14:paraId="4E55473C"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(ب)</w:t>
      </w:r>
      <w:r>
        <w:rPr>
          <w:rFonts w:ascii="Times New Roman" w:hAnsi="Times New Roman" w:hint="cs"/>
          <w:b/>
          <w:bCs/>
          <w:sz w:val="22"/>
          <w:rtl/>
        </w:rPr>
        <w:tab/>
        <w:t>المعيار الوارد في الفقرة (أ) من المرفق الثاني</w:t>
      </w:r>
    </w:p>
    <w:p w14:paraId="389AAF60"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(أ)</w:t>
      </w:r>
      <w:r>
        <w:rPr>
          <w:rFonts w:eastAsia="SimSun" w:hint="cs"/>
          <w:i/>
          <w:iCs/>
          <w:sz w:val="22"/>
          <w:szCs w:val="24"/>
          <w:rtl/>
          <w:lang w:val="en-GB" w:eastAsia="zh-TW"/>
        </w:rPr>
        <w:tab/>
        <w:t>التأكّد من أن الإجراء التنظيمي النهائي قد اتُخذ من أجل حماية صحة البشر أو البيئة؛</w:t>
      </w:r>
    </w:p>
    <w:p w14:paraId="2146C2E7" w14:textId="77777777" w:rsidR="00FD3651" w:rsidRDefault="00FD3651" w:rsidP="00FD3651">
      <w:pPr>
        <w:pStyle w:val="ListParagraph"/>
        <w:numPr>
          <w:ilvl w:val="0"/>
          <w:numId w:val="23"/>
        </w:numPr>
        <w:tabs>
          <w:tab w:val="left" w:pos="1842"/>
        </w:tabs>
        <w:bidi/>
        <w:spacing w:after="120" w:line="360" w:lineRule="exact"/>
        <w:ind w:left="1133" w:firstLine="0"/>
        <w:jc w:val="lowKashida"/>
        <w:rPr>
          <w:rFonts w:eastAsia="SimSun" w:hint="cs"/>
          <w:sz w:val="22"/>
          <w:szCs w:val="24"/>
          <w:rtl/>
          <w:lang w:eastAsia="zh-TW"/>
        </w:rPr>
      </w:pPr>
      <w:r>
        <w:rPr>
          <w:rFonts w:eastAsia="SimSun" w:hint="cs"/>
          <w:sz w:val="22"/>
          <w:szCs w:val="24"/>
          <w:rtl/>
          <w:lang w:eastAsia="zh-TW"/>
        </w:rPr>
        <w:t>تؤكد اللجنة أن الإجراء التنظيمي قد اتُخذ لتقليل مخاطر التربوفوس على البيئة (</w:t>
      </w:r>
      <w:r>
        <w:rPr>
          <w:rFonts w:eastAsia="SimSun"/>
          <w:szCs w:val="20"/>
          <w:lang w:eastAsia="zh-TW"/>
        </w:rPr>
        <w:t>UNEP/FAO/RC/CRC.17/8/Rev.1</w:t>
      </w:r>
      <w:r>
        <w:rPr>
          <w:rFonts w:eastAsia="SimSun" w:hint="cs"/>
          <w:sz w:val="22"/>
          <w:szCs w:val="24"/>
          <w:rtl/>
          <w:lang w:eastAsia="zh-TW"/>
        </w:rPr>
        <w:t>، الفرع 2-4-2-2 من الإخطار المقدم من كندا).</w:t>
      </w:r>
    </w:p>
    <w:p w14:paraId="32AFE74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ووفقاً للتقييم المتعلق بالبيئة والمستند إلى بيانات السمية المتاحة، تم تحديد الشواغل التالية:</w:t>
      </w:r>
    </w:p>
    <w:p w14:paraId="21480342" w14:textId="77777777" w:rsidR="00FD3651" w:rsidRDefault="00FD3651" w:rsidP="00FD3651">
      <w:pPr>
        <w:tabs>
          <w:tab w:val="left" w:pos="1842"/>
        </w:tabs>
        <w:spacing w:after="120" w:line="360" w:lineRule="exact"/>
        <w:ind w:left="1133" w:firstLine="709"/>
        <w:jc w:val="both"/>
        <w:rPr>
          <w:rFonts w:eastAsia="SimSun" w:hint="cs"/>
          <w:sz w:val="22"/>
          <w:szCs w:val="24"/>
          <w:rtl/>
          <w:lang w:val="en-GB" w:eastAsia="zh-TW"/>
        </w:rPr>
      </w:pPr>
      <w:r>
        <w:rPr>
          <w:rFonts w:eastAsia="SimSun" w:hint="cs"/>
          <w:sz w:val="22"/>
          <w:szCs w:val="24"/>
          <w:rtl/>
          <w:lang w:val="en-GB" w:eastAsia="zh-TW"/>
        </w:rPr>
        <w:t>(أ)</w:t>
      </w:r>
      <w:r>
        <w:rPr>
          <w:rFonts w:eastAsia="SimSun" w:hint="cs"/>
          <w:sz w:val="22"/>
          <w:szCs w:val="24"/>
          <w:rtl/>
          <w:lang w:val="en-GB" w:eastAsia="zh-TW"/>
        </w:rPr>
        <w:tab/>
        <w:t>تصنف مخاطر التعرض للتربوفوس على أنها عالية إلى عالية للغاية بالنسبة للكائنات المائية وفي معظم الحالات عالية إلى عالية للغاية بالنسبة للطيور؛</w:t>
      </w:r>
    </w:p>
    <w:p w14:paraId="62B1AF80" w14:textId="77777777" w:rsidR="00FD3651" w:rsidRDefault="00FD3651" w:rsidP="00FD3651">
      <w:pPr>
        <w:tabs>
          <w:tab w:val="left" w:pos="1842"/>
        </w:tabs>
        <w:spacing w:after="120" w:line="360" w:lineRule="exact"/>
        <w:ind w:left="1133" w:firstLine="709"/>
        <w:jc w:val="both"/>
        <w:rPr>
          <w:rFonts w:eastAsia="SimSun" w:hint="cs"/>
          <w:sz w:val="22"/>
          <w:szCs w:val="24"/>
          <w:rtl/>
          <w:lang w:val="en-GB" w:eastAsia="zh-TW"/>
        </w:rPr>
      </w:pPr>
      <w:r>
        <w:rPr>
          <w:rFonts w:eastAsia="SimSun" w:hint="cs"/>
          <w:sz w:val="22"/>
          <w:szCs w:val="24"/>
          <w:rtl/>
          <w:lang w:val="en-GB" w:eastAsia="zh-TW"/>
        </w:rPr>
        <w:t>(ب)</w:t>
      </w:r>
      <w:r>
        <w:rPr>
          <w:rFonts w:eastAsia="SimSun" w:hint="cs"/>
          <w:sz w:val="22"/>
          <w:szCs w:val="24"/>
          <w:rtl/>
          <w:lang w:val="en-GB" w:eastAsia="zh-TW"/>
        </w:rPr>
        <w:tab/>
        <w:t>تصنف المخاطر التي تتعرض لها الثدييات على أنها منخفضة بالنسبة للثدييات الكبيرة وعالية بالنسبة للثدييات الصغيرة؛</w:t>
      </w:r>
    </w:p>
    <w:p w14:paraId="55A6A800" w14:textId="77777777" w:rsidR="00FD3651" w:rsidRDefault="00FD3651" w:rsidP="00FD3651">
      <w:pPr>
        <w:tabs>
          <w:tab w:val="left" w:pos="1842"/>
        </w:tabs>
        <w:spacing w:after="120" w:line="360" w:lineRule="exact"/>
        <w:ind w:left="1133" w:firstLine="709"/>
        <w:jc w:val="both"/>
        <w:rPr>
          <w:rFonts w:eastAsia="SimSun" w:hint="cs"/>
          <w:sz w:val="22"/>
          <w:szCs w:val="24"/>
          <w:rtl/>
          <w:lang w:val="en-GB" w:eastAsia="zh-TW"/>
        </w:rPr>
      </w:pPr>
      <w:r>
        <w:rPr>
          <w:rFonts w:eastAsia="SimSun" w:hint="cs"/>
          <w:sz w:val="22"/>
          <w:szCs w:val="24"/>
          <w:rtl/>
          <w:lang w:val="en-GB" w:eastAsia="zh-TW"/>
        </w:rPr>
        <w:t>(ج)</w:t>
      </w:r>
      <w:r>
        <w:rPr>
          <w:rFonts w:eastAsia="SimSun" w:hint="cs"/>
          <w:sz w:val="22"/>
          <w:szCs w:val="24"/>
          <w:rtl/>
          <w:lang w:val="en-GB" w:eastAsia="zh-TW"/>
        </w:rPr>
        <w:tab/>
        <w:t>وثقت مخاطر عالية من التربوفوس على الأنواع غير المستهدفة من خلال تقارير الحوادث المتعلقة بالآثار الضارة.</w:t>
      </w:r>
    </w:p>
    <w:p w14:paraId="7587F46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وبناءً على ذلك، تستنتج اللجنة أن الإجراء التنظيمي النهائي قد اتُخذ لحماية البيئة وأن المعيار الوارد في المرفق الثاني الفقرة (أ) قد استوفي.</w:t>
      </w:r>
    </w:p>
    <w:p w14:paraId="7BB8A6B4"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(ج)</w:t>
      </w:r>
      <w:r>
        <w:rPr>
          <w:rFonts w:ascii="Times New Roman" w:hAnsi="Times New Roman" w:hint="cs"/>
          <w:b/>
          <w:bCs/>
          <w:sz w:val="22"/>
          <w:rtl/>
        </w:rPr>
        <w:tab/>
        <w:t>المعايير الواردة في الفقرة (ب) من المرفق الثاني</w:t>
      </w:r>
    </w:p>
    <w:p w14:paraId="75E02EB7"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(ب)</w:t>
      </w:r>
      <w:r>
        <w:rPr>
          <w:rFonts w:eastAsia="SimSun" w:hint="cs"/>
          <w:i/>
          <w:iCs/>
          <w:sz w:val="22"/>
          <w:szCs w:val="24"/>
          <w:rtl/>
          <w:lang w:val="en-GB" w:eastAsia="zh-TW"/>
        </w:rPr>
        <w:tab/>
        <w:t>التأكُّد من أن الإجراء التنظيمي النهائي قد اتُخذ نتيجة لتقييم المخاطر. وأن ذلك التقييم يستند إلى استعراض للبيانات العلمية ‏في إطار الظروف السائدة في الطرف المعني. ولهذا الغرض، تبيّن الوثائق المقدّمة ما يلي:</w:t>
      </w:r>
    </w:p>
    <w:p w14:paraId="346D0EE7"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’1‘</w:t>
      </w:r>
      <w:r>
        <w:rPr>
          <w:rFonts w:eastAsia="SimSun" w:hint="cs"/>
          <w:i/>
          <w:iCs/>
          <w:sz w:val="22"/>
          <w:szCs w:val="24"/>
          <w:rtl/>
          <w:lang w:val="en-GB" w:eastAsia="zh-TW"/>
        </w:rPr>
        <w:tab/>
        <w:t>أن البيانات استُخلصت وفقاً للأساليب المتعارف عليها علمياً؛</w:t>
      </w:r>
    </w:p>
    <w:p w14:paraId="56E18776"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’2‘</w:t>
      </w:r>
      <w:r>
        <w:rPr>
          <w:rFonts w:eastAsia="SimSun" w:hint="cs"/>
          <w:i/>
          <w:iCs/>
          <w:sz w:val="22"/>
          <w:szCs w:val="24"/>
          <w:rtl/>
          <w:lang w:val="en-GB" w:eastAsia="zh-TW"/>
        </w:rPr>
        <w:tab/>
        <w:t>أن استعراض البيانات أُجري وتم توثيقه وفقاً للمبادئ والإجراءات العلمية المتعارف عليها عموماً؛</w:t>
      </w:r>
    </w:p>
    <w:p w14:paraId="2516A804"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 xml:space="preserve">يشير الإخطار إلى أن الإجراء التنظيمي النهائي يستند إلى تقييم للمخاطر. ويشار في الإخطار إلى الوثائق التالية المقدمة كوثائق داعمة في </w:t>
      </w:r>
      <w:r>
        <w:rPr>
          <w:rFonts w:eastAsia="SimSun"/>
          <w:szCs w:val="20"/>
          <w:lang w:eastAsia="zh-TW"/>
        </w:rPr>
        <w:t>UNEP/FAO/RC/CRC.17/INF/19/Rev.1</w:t>
      </w:r>
      <w:r>
        <w:rPr>
          <w:rFonts w:eastAsia="SimSun" w:hint="cs"/>
          <w:sz w:val="22"/>
          <w:szCs w:val="24"/>
          <w:rtl/>
          <w:lang w:eastAsia="zh-TW"/>
        </w:rPr>
        <w:t>:</w:t>
      </w:r>
    </w:p>
    <w:p w14:paraId="71385560" w14:textId="77777777" w:rsidR="00FD3651" w:rsidRDefault="00FD3651" w:rsidP="00FD3651">
      <w:pPr>
        <w:tabs>
          <w:tab w:val="left" w:pos="1842"/>
        </w:tabs>
        <w:spacing w:after="120" w:line="360" w:lineRule="exact"/>
        <w:ind w:left="1133" w:firstLine="709"/>
        <w:jc w:val="both"/>
        <w:rPr>
          <w:rFonts w:eastAsia="SimSun" w:hint="cs"/>
          <w:sz w:val="22"/>
          <w:szCs w:val="24"/>
          <w:rtl/>
          <w:lang w:val="en-GB" w:eastAsia="zh-TW"/>
        </w:rPr>
      </w:pPr>
      <w:r>
        <w:rPr>
          <w:rFonts w:eastAsia="SimSun" w:hint="cs"/>
          <w:sz w:val="22"/>
          <w:szCs w:val="24"/>
          <w:rtl/>
          <w:lang w:val="en-GB" w:eastAsia="zh-TW"/>
        </w:rPr>
        <w:lastRenderedPageBreak/>
        <w:t>(أ)</w:t>
      </w:r>
      <w:r>
        <w:rPr>
          <w:rFonts w:eastAsia="SimSun" w:hint="cs"/>
          <w:sz w:val="22"/>
          <w:szCs w:val="24"/>
          <w:rtl/>
          <w:lang w:val="en-GB" w:eastAsia="zh-TW"/>
        </w:rPr>
        <w:tab/>
        <w:t>وكالة تنظيم إدارة الآفات، وزارة الصحة الكندية، ’’المقبولية المقترحة لمواصلة التسجيل (</w:t>
      </w:r>
      <w:r>
        <w:rPr>
          <w:rFonts w:eastAsia="SimSun"/>
          <w:sz w:val="22"/>
          <w:szCs w:val="24"/>
          <w:lang w:val="en-GB" w:eastAsia="zh-TW"/>
        </w:rPr>
        <w:t>PACR 2003-02</w:t>
      </w:r>
      <w:r>
        <w:rPr>
          <w:rFonts w:eastAsia="SimSun" w:hint="cs"/>
          <w:sz w:val="22"/>
          <w:szCs w:val="24"/>
          <w:rtl/>
          <w:lang w:val="en-GB" w:eastAsia="zh-TW"/>
        </w:rPr>
        <w:t>): إعادة تقييم التربوفوس‘‘ (24 كانون الثاني/يناير 2003)؛</w:t>
      </w:r>
    </w:p>
    <w:p w14:paraId="19303F5C" w14:textId="77777777" w:rsidR="00FD3651" w:rsidRDefault="00FD3651" w:rsidP="00FD3651">
      <w:pPr>
        <w:tabs>
          <w:tab w:val="left" w:pos="1842"/>
        </w:tabs>
        <w:spacing w:after="120" w:line="360" w:lineRule="exact"/>
        <w:ind w:left="1133" w:firstLine="709"/>
        <w:jc w:val="both"/>
        <w:rPr>
          <w:rFonts w:eastAsia="SimSun" w:hint="cs"/>
          <w:sz w:val="22"/>
          <w:szCs w:val="24"/>
          <w:rtl/>
          <w:lang w:val="en-GB" w:eastAsia="zh-TW"/>
        </w:rPr>
      </w:pPr>
      <w:r>
        <w:rPr>
          <w:rFonts w:eastAsia="SimSun" w:hint="cs"/>
          <w:sz w:val="22"/>
          <w:szCs w:val="24"/>
          <w:rtl/>
          <w:lang w:val="en-GB" w:eastAsia="zh-TW"/>
        </w:rPr>
        <w:t>(ب)</w:t>
      </w:r>
      <w:r>
        <w:rPr>
          <w:rFonts w:eastAsia="SimSun" w:hint="cs"/>
          <w:sz w:val="22"/>
          <w:szCs w:val="24"/>
          <w:rtl/>
          <w:lang w:val="en-GB" w:eastAsia="zh-TW"/>
        </w:rPr>
        <w:tab/>
        <w:t>وكالة تنظيم إدارة الآفات، وزارة الصحة الكندية، ’’وثيقة قرار إعادة التقييم (</w:t>
      </w:r>
      <w:r>
        <w:rPr>
          <w:rFonts w:eastAsia="SimSun"/>
          <w:sz w:val="22"/>
          <w:szCs w:val="24"/>
          <w:lang w:val="en-GB" w:eastAsia="zh-TW"/>
        </w:rPr>
        <w:t>RRD 2004-04</w:t>
      </w:r>
      <w:r>
        <w:rPr>
          <w:rFonts w:eastAsia="SimSun" w:hint="cs"/>
          <w:sz w:val="22"/>
          <w:szCs w:val="24"/>
          <w:rtl/>
          <w:lang w:val="en-GB" w:eastAsia="zh-TW"/>
        </w:rPr>
        <w:t>)، إعادة تقييم التربوفوس‘‘ (23 آذار/مارس 2004)؛</w:t>
      </w:r>
    </w:p>
    <w:p w14:paraId="6AFB6D15" w14:textId="77777777" w:rsidR="00FD3651" w:rsidRDefault="00FD3651" w:rsidP="00FD3651">
      <w:pPr>
        <w:tabs>
          <w:tab w:val="left" w:pos="1842"/>
        </w:tabs>
        <w:spacing w:after="120" w:line="360" w:lineRule="exact"/>
        <w:ind w:left="1133" w:firstLine="709"/>
        <w:jc w:val="both"/>
        <w:rPr>
          <w:rFonts w:eastAsia="SimSun" w:hint="cs"/>
          <w:sz w:val="22"/>
          <w:szCs w:val="24"/>
          <w:rtl/>
          <w:lang w:val="en-GB" w:eastAsia="zh-TW"/>
        </w:rPr>
      </w:pPr>
      <w:r>
        <w:rPr>
          <w:rFonts w:eastAsia="SimSun" w:hint="cs"/>
          <w:sz w:val="22"/>
          <w:szCs w:val="24"/>
          <w:rtl/>
          <w:lang w:val="en-GB" w:eastAsia="zh-TW"/>
        </w:rPr>
        <w:t>(ج)</w:t>
      </w:r>
      <w:r>
        <w:rPr>
          <w:rFonts w:eastAsia="SimSun" w:hint="cs"/>
          <w:sz w:val="22"/>
          <w:szCs w:val="24"/>
          <w:rtl/>
          <w:lang w:val="en-GB" w:eastAsia="zh-TW"/>
        </w:rPr>
        <w:tab/>
        <w:t xml:space="preserve">وكالة تنظيم إدارة الآفات، الصحة الكندية، ’’مذكرة إعادة التقييم </w:t>
      </w:r>
      <w:r>
        <w:rPr>
          <w:rFonts w:eastAsia="SimSun"/>
          <w:sz w:val="22"/>
          <w:szCs w:val="24"/>
          <w:lang w:val="en-GB" w:eastAsia="zh-TW"/>
        </w:rPr>
        <w:t>REV2008-06</w:t>
      </w:r>
      <w:r>
        <w:rPr>
          <w:rFonts w:eastAsia="SimSun" w:hint="cs"/>
          <w:sz w:val="22"/>
          <w:szCs w:val="24"/>
          <w:rtl/>
          <w:lang w:val="en-GB" w:eastAsia="zh-TW"/>
        </w:rPr>
        <w:t>: تحديث بشأن استخدام التربوفوس على بنجر السكر‘‘ (26 آذار/مارس 2008)؛</w:t>
      </w:r>
    </w:p>
    <w:p w14:paraId="4A94B577" w14:textId="77777777" w:rsidR="00FD3651" w:rsidRDefault="00FD3651" w:rsidP="00FD3651">
      <w:pPr>
        <w:spacing w:after="120" w:line="360" w:lineRule="exact"/>
        <w:ind w:left="1134" w:firstLine="708"/>
        <w:jc w:val="both"/>
        <w:rPr>
          <w:rFonts w:eastAsia="SimSun" w:hint="cs"/>
          <w:sz w:val="22"/>
          <w:szCs w:val="24"/>
          <w:rtl/>
          <w:lang w:val="en-GB" w:eastAsia="zh-TW"/>
        </w:rPr>
      </w:pPr>
      <w:r>
        <w:rPr>
          <w:rFonts w:eastAsia="SimSun" w:hint="cs"/>
          <w:sz w:val="22"/>
          <w:szCs w:val="24"/>
          <w:rtl/>
          <w:lang w:val="en-GB" w:eastAsia="zh-TW"/>
        </w:rPr>
        <w:t>(د)</w:t>
      </w:r>
      <w:r>
        <w:rPr>
          <w:rFonts w:eastAsia="SimSun" w:hint="cs"/>
          <w:sz w:val="22"/>
          <w:szCs w:val="24"/>
          <w:rtl/>
          <w:lang w:val="en-GB" w:eastAsia="zh-TW"/>
        </w:rPr>
        <w:tab/>
        <w:t>وكالة تنظيم إدارة الآفات، وزارة الصحة الكندية، ’’تقرير مبيعات منتجات مكافحة الآفات لعام 2011‘‘ (2011)؛</w:t>
      </w:r>
    </w:p>
    <w:p w14:paraId="4602735E" w14:textId="77777777" w:rsidR="00FD3651" w:rsidRDefault="00FD3651" w:rsidP="00FD3651">
      <w:pPr>
        <w:spacing w:after="120" w:line="360" w:lineRule="exact"/>
        <w:ind w:left="1134" w:firstLine="708"/>
        <w:jc w:val="both"/>
        <w:rPr>
          <w:rFonts w:eastAsia="SimSun" w:hint="cs"/>
          <w:sz w:val="22"/>
          <w:szCs w:val="24"/>
          <w:rtl/>
          <w:lang w:val="en-GB" w:eastAsia="zh-TW"/>
        </w:rPr>
      </w:pPr>
      <w:r>
        <w:rPr>
          <w:rFonts w:eastAsia="SimSun" w:hint="cs"/>
          <w:sz w:val="22"/>
          <w:szCs w:val="24"/>
          <w:rtl/>
          <w:lang w:val="en-GB" w:eastAsia="zh-TW"/>
        </w:rPr>
        <w:t>(هـ)</w:t>
      </w:r>
      <w:r>
        <w:rPr>
          <w:rFonts w:eastAsia="SimSun" w:hint="cs"/>
          <w:sz w:val="22"/>
          <w:szCs w:val="24"/>
          <w:rtl/>
          <w:lang w:val="en-GB" w:eastAsia="zh-TW"/>
        </w:rPr>
        <w:tab/>
      </w:r>
      <w:r>
        <w:rPr>
          <w:rFonts w:eastAsia="SimSun"/>
          <w:sz w:val="22"/>
          <w:szCs w:val="24"/>
          <w:lang w:val="en-GB" w:eastAsia="zh-TW"/>
        </w:rPr>
        <w:t xml:space="preserve">Colin </w:t>
      </w:r>
      <w:proofErr w:type="spellStart"/>
      <w:r>
        <w:rPr>
          <w:rFonts w:eastAsia="SimSun"/>
          <w:sz w:val="22"/>
          <w:szCs w:val="24"/>
          <w:lang w:val="en-GB" w:eastAsia="zh-TW"/>
        </w:rPr>
        <w:t>Macbean</w:t>
      </w:r>
      <w:proofErr w:type="spellEnd"/>
      <w:r>
        <w:rPr>
          <w:rFonts w:eastAsia="SimSun" w:hint="cs"/>
          <w:sz w:val="22"/>
          <w:szCs w:val="24"/>
          <w:rtl/>
          <w:lang w:val="en-GB" w:eastAsia="zh-TW"/>
        </w:rPr>
        <w:t xml:space="preserve">، </w:t>
      </w:r>
      <w:r>
        <w:rPr>
          <w:rFonts w:eastAsia="SimSun" w:hint="cs"/>
          <w:i/>
          <w:iCs/>
          <w:sz w:val="22"/>
          <w:szCs w:val="24"/>
          <w:rtl/>
          <w:lang w:val="en-GB" w:eastAsia="zh-TW"/>
        </w:rPr>
        <w:t>دليل مبيدات الآفات: تجميع عالمي</w:t>
      </w:r>
      <w:r>
        <w:rPr>
          <w:rFonts w:eastAsia="SimSun" w:hint="cs"/>
          <w:sz w:val="22"/>
          <w:szCs w:val="24"/>
          <w:rtl/>
          <w:lang w:val="en-GB" w:eastAsia="zh-TW"/>
        </w:rPr>
        <w:t>، الطبعة السادسة عشرة (مقتطف) (</w:t>
      </w:r>
      <w:r>
        <w:rPr>
          <w:rFonts w:eastAsia="MS Mincho"/>
          <w:iCs/>
          <w:lang w:val="en-GB"/>
        </w:rPr>
        <w:t>B</w:t>
      </w:r>
      <w:r>
        <w:rPr>
          <w:rFonts w:eastAsia="MS Mincho"/>
          <w:iCs/>
          <w:sz w:val="22"/>
          <w:szCs w:val="22"/>
          <w:lang w:val="en-GB"/>
        </w:rPr>
        <w:t>ritish Crop Protection Council, 2012</w:t>
      </w:r>
      <w:r>
        <w:rPr>
          <w:rFonts w:eastAsia="SimSun" w:hint="cs"/>
          <w:sz w:val="22"/>
          <w:szCs w:val="24"/>
          <w:rtl/>
          <w:lang w:val="en-GB" w:eastAsia="zh-TW"/>
        </w:rPr>
        <w:t>).</w:t>
      </w:r>
    </w:p>
    <w:p w14:paraId="6710AE8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وأُجري إعادة تقييم لمكون التربوفوس النشط ومنتجاته المعدة للاستخدام النهائي على الكانولا والذرة والخردل واللفت السويدي بموجب الفرع 19 من اللوائح الكندية المتعلقة بمنتجات مكافحة الآفات.</w:t>
      </w:r>
    </w:p>
    <w:p w14:paraId="06040833"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وتشتمل وثيقة المقبولية المقترحة لمواصلة التسجيل (</w:t>
      </w:r>
      <w:r>
        <w:rPr>
          <w:rFonts w:eastAsia="SimSun"/>
          <w:sz w:val="22"/>
          <w:szCs w:val="24"/>
          <w:lang w:eastAsia="zh-TW"/>
        </w:rPr>
        <w:t>PACR 2003-02</w:t>
      </w:r>
      <w:r>
        <w:rPr>
          <w:rFonts w:eastAsia="SimSun" w:hint="cs"/>
          <w:sz w:val="22"/>
          <w:szCs w:val="24"/>
          <w:rtl/>
          <w:lang w:eastAsia="zh-TW"/>
        </w:rPr>
        <w:t>) على تقييم لصحة البشر، وتقييم بيئي ومعلومات عن قيمة التربوفوس لإدارة الآفات في كندا. وتخلص هذه الوثيقة إلى أن قاعدة بيانات السمية المستخدمة في حالة التربوفوس تستند أساساً إلى الدراسات المتاحة من المسجل. وتشمل البيانات نقاط نهاية السمية، والمستوى الذي ليس له تأثير ضار ملاحظ، والجرعة المرجعية الحادة، وتحديدات المدخول اليومي المقبول والمقارنة بالتعرض المتوقع للبشر. ففيما يتعلق بصحة البشر، أجريت تقييمات للمخاطر المهنية والغذائية والإجمالية (التعرض من الأغذية ومياه الشرب). كما أُجري تقييم محدد للمخاطر البيئية لمنتجات مكافحة الآفات. وجرى توصيف المخاطر البيئية من خلال طريقة الحاصل، والتي تستخدم نسبة التركيزات البيئية المقدرة إلى نقطة النهاية المثيرة للقلق للتأثيرات على الكائنات غير المستهدفة. ويعتبر أن قيم الحاصل الأقل من واحد تشير إلى وجود خطر منخفض على الكائنات غير المستهدفة، بينما يعتبر أن القيم الأكبر من واحد تشير إلى وجود درجة ما من المخاطر للتأثيرات على الكائنات غير المستهدفة. كما خضعت تقييمات المخاطر إلى فترة مشاورات عامة مدتها 60 يوماً لإتاحة الفرصة للأطراف المهتمة لتقديم مدخلات في قرار إعادة التقييم.</w:t>
      </w:r>
    </w:p>
    <w:p w14:paraId="63BB44DF"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وتعتبر البيانات الواردة في الإخطار والوثائق الداعمة سليمة علمياً واستُخلصت وفقاً للأساليب المتعارف عليها علمياً، وتعتبر استعراضات البيانات قد أُجريت ووثقت وفقاً للمبادئ والإجراءات العلمية المتعارف عليها عموماً.</w:t>
      </w:r>
    </w:p>
    <w:p w14:paraId="224E0FA2"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وتؤكد اللجنة أن المعايير الواردة في الفقرة (ب) ’1‘ و’2‘ من المرفق الثاني قد استوفيت.</w:t>
      </w:r>
    </w:p>
    <w:p w14:paraId="27BA6D8E"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’3‘</w:t>
      </w:r>
      <w:r>
        <w:rPr>
          <w:rFonts w:eastAsia="SimSun" w:hint="cs"/>
          <w:i/>
          <w:iCs/>
          <w:sz w:val="22"/>
          <w:szCs w:val="24"/>
          <w:rtl/>
          <w:lang w:val="en-GB" w:eastAsia="zh-TW"/>
        </w:rPr>
        <w:tab/>
        <w:t>استند الإجراء التنظيمي النهائي إلى تقييم للمخاطر شمل الظروف السائدة لدى الطرف الذي اتخذ الإجراء؛</w:t>
      </w:r>
    </w:p>
    <w:p w14:paraId="3609A0CD"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استند الإجراء التنظيمي النهائي لحظر التربوفوس ومنتجات الاستخدام النهائي المرتبطة به في كندا إلى تقييم للمخاطر وهو وثيق الصلة بالبيئة. وأُخذت شروط الاستخدام داخل كندا، بما في ذلك الاستخدامات المسجلة ومعدلات الاستخدام والممارسات الزراعية، في الاعتبار في تقييمات المخاطر. واستند قرار إعادة التقييم الصادر عن الوكالة الكندية لتنظيم إدارة الآفات إلى تقييم الاستخدامات المسجلة في كندا.</w:t>
      </w:r>
    </w:p>
    <w:p w14:paraId="2A6AA58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lastRenderedPageBreak/>
        <w:t>وفي وقت اتخاذ الإجراء التنظيمي، كانت منتجات التربوفوس مسجلة في كندا وتباع كمبيد حشري للتربة المحببة ومبيد للديدان الخيطية لاستخدامها على الكانولا والذرة والخردل واللفت السويدي وبنجر السكر. والتربوفوس له نشاط منهجي وتلامسي على الحشرات. وشأنه شأن غيره من مواد الفوسفات العضوية، يثبط التربوفوس إنزيم أستيل الكولينستراز، ويقطع انتقال النبضات العصبية (</w:t>
      </w:r>
      <w:r>
        <w:rPr>
          <w:rFonts w:eastAsia="SimSun"/>
          <w:szCs w:val="20"/>
          <w:lang w:eastAsia="zh-TW"/>
        </w:rPr>
        <w:t>UNEP/FAO/RC/CRC.17/8/Rev.1</w:t>
      </w:r>
      <w:r>
        <w:rPr>
          <w:rFonts w:eastAsia="SimSun" w:hint="cs"/>
          <w:sz w:val="22"/>
          <w:szCs w:val="24"/>
          <w:rtl/>
          <w:lang w:eastAsia="zh-TW"/>
        </w:rPr>
        <w:t>، الفرع 2-3-1 من الإخطار المقدم من كندا، و</w:t>
      </w:r>
      <w:r>
        <w:rPr>
          <w:rFonts w:eastAsia="SimSun"/>
          <w:szCs w:val="20"/>
          <w:lang w:eastAsia="zh-TW"/>
        </w:rPr>
        <w:t>UNEP/FAO/RC/CRC.17/INF/19/Rev.1</w:t>
      </w:r>
      <w:r>
        <w:rPr>
          <w:rFonts w:eastAsia="SimSun" w:hint="cs"/>
          <w:sz w:val="22"/>
          <w:szCs w:val="24"/>
          <w:rtl/>
          <w:lang w:eastAsia="zh-TW"/>
        </w:rPr>
        <w:t xml:space="preserve">، المرفق، الفرع 1، ’’المقبولية المقترحة لمواصلة التسجيل </w:t>
      </w:r>
      <w:r>
        <w:rPr>
          <w:rFonts w:eastAsia="SimSun"/>
          <w:sz w:val="22"/>
          <w:szCs w:val="24"/>
          <w:lang w:eastAsia="zh-TW"/>
        </w:rPr>
        <w:t>(</w:t>
      </w:r>
      <w:r>
        <w:rPr>
          <w:rFonts w:eastAsia="SimSun"/>
          <w:szCs w:val="20"/>
          <w:lang w:eastAsia="zh-TW"/>
        </w:rPr>
        <w:t>PACR</w:t>
      </w:r>
      <w:r>
        <w:rPr>
          <w:rFonts w:eastAsia="SimSun"/>
          <w:sz w:val="22"/>
          <w:szCs w:val="24"/>
          <w:lang w:eastAsia="zh-TW"/>
        </w:rPr>
        <w:t xml:space="preserve"> 2003-02)</w:t>
      </w:r>
      <w:r>
        <w:rPr>
          <w:rFonts w:eastAsia="SimSun" w:hint="cs"/>
          <w:sz w:val="22"/>
          <w:szCs w:val="24"/>
          <w:rtl/>
          <w:lang w:eastAsia="zh-TW"/>
        </w:rPr>
        <w:t>‘‘).</w:t>
      </w:r>
    </w:p>
    <w:p w14:paraId="585BEED9"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وقابلية التربوفوس للذوبان في الماء منخفضة وله إمكانية تقلب معتدلة من التربة الرطبة أو الأسطح المائية. وتشير معاملات التفرق في الأوكتناول والماء إلى إمكانية التراكم البيولوجي للمركب الأصلي وإمكانية التراكم البيولوجي المحدودة لسلفون التربوفوس أو سلفوكسيد التربوفوس. وتشير دراسات التركيز البيولوجي في الأسماك إلى إمكانية التركيز البيولوجي.</w:t>
      </w:r>
    </w:p>
    <w:p w14:paraId="59E6E262"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والتربوفوس عرضة للتحول عن طريق كل من العمليات اللاأحيائية والأحيائية. ويبدو أن التحلل المائي هو طريق التحول اللاأحيائي الرئيسي للتربوفوس الأصلي. ويعتمد التحلل المائي لسلفوكسيد التربوفوس وسلفون التربوفوس على الرقم الهيدروجيني وهو أبطأ من تحلل المركب الأصلي. والطريق الرئيسي للتحول الأحيائي هو التحول البيولوجي الهوائي بسلفوكسيد التربوفوس وسلفون التربوفوس وثاني أكسيد الكربون بوصفها منتجات التحول الرئيسية. وبناءً على البيانات المتاحة، سيكون التربوفوس ثابتاً بشكل طفيف إلى متوسط في نظم التربة الأرضية حسب درجة الحرارة وظروف التربة.</w:t>
      </w:r>
    </w:p>
    <w:p w14:paraId="0987A47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وخلصت الوكالة الكندية لتنظيم إدارة الآفات إلى وجود أخطار بالغة الخطورة على الكائنات الأرضية ناتجة عن جميع الاستخدامات المسجلة حالياً للتربوفوس. وهذا التقييم تدعمه تقارير عن حوادث وقعت في كندا والولايات المتحدة.</w:t>
      </w:r>
    </w:p>
    <w:p w14:paraId="33BE35EA"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وخلصت الوكالة الكندية لتنظيم إدارة الآفات إلى وجود أخطار عالية للغاية على الكائنات المائية ناتجة عن جميع الاستخدامات المسجلة حالياً للتربوفوس. وهذا التقييم تدعمه تقارير عن حوادث الآثار السلبية في الولايات المتحدة. ويمكن أن تكون تأثيرات مماثلة قد حدثت في كندا، ولكن لا يوجد نظام إبلاغ مكافئ.</w:t>
      </w:r>
    </w:p>
    <w:p w14:paraId="23271811"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 xml:space="preserve">وتشير حصائل المخاطر المحددة لاستخدامات تركيبات تربوفوس للاستخدام النهائي، </w:t>
      </w:r>
      <w:r>
        <w:rPr>
          <w:rFonts w:eastAsia="SimSun"/>
          <w:sz w:val="22"/>
          <w:szCs w:val="24"/>
          <w:lang w:eastAsia="zh-TW"/>
        </w:rPr>
        <w:t>Counter 5-G</w:t>
      </w:r>
      <w:r>
        <w:rPr>
          <w:rFonts w:eastAsia="SimSun" w:hint="cs"/>
          <w:sz w:val="22"/>
          <w:szCs w:val="24"/>
          <w:rtl/>
          <w:lang w:eastAsia="zh-TW"/>
        </w:rPr>
        <w:t xml:space="preserve"> و</w:t>
      </w:r>
      <w:r>
        <w:rPr>
          <w:rFonts w:eastAsia="SimSun"/>
          <w:sz w:val="22"/>
          <w:szCs w:val="24"/>
          <w:lang w:eastAsia="zh-TW"/>
        </w:rPr>
        <w:t>Counter 15-G</w:t>
      </w:r>
      <w:r>
        <w:rPr>
          <w:rFonts w:eastAsia="SimSun" w:hint="cs"/>
          <w:sz w:val="22"/>
          <w:szCs w:val="24"/>
          <w:rtl/>
          <w:lang w:eastAsia="zh-TW"/>
        </w:rPr>
        <w:t>، إلى مخاطر بالنسبة لجميع مجموعات الكائنات الحية (مثل الطيور والثدييات والأسماك واللافقاريات المائية) لجميع سيناريوهات الاستخدام. وبناءً على بيانات السمية المتاحة، يتم تصنيف المخاطر على أنها عالية إلى عالية للغاية بالنسبة للكائنات المائية وفي معظم الحالات من عالية إلى عالية للغاية بالنسبة للطيور. وبالمثل، تُصنف المخاطر على الثدييات على أنها منخفضة بالنسبة للثدييات الكبيرة إلى مرتفعة بالنسبة للثدييات الصغيرة (</w:t>
      </w:r>
      <w:r>
        <w:rPr>
          <w:rFonts w:eastAsia="SimSun"/>
          <w:szCs w:val="20"/>
          <w:lang w:eastAsia="zh-TW"/>
        </w:rPr>
        <w:t>UNEP/FAO/RC/CRC.17/8/Rev.1</w:t>
      </w:r>
      <w:r>
        <w:rPr>
          <w:rFonts w:eastAsia="SimSun" w:hint="cs"/>
          <w:sz w:val="22"/>
          <w:szCs w:val="24"/>
          <w:rtl/>
          <w:lang w:eastAsia="zh-TW"/>
        </w:rPr>
        <w:t>، الفرع 3-2-3 من الإخطار المقدم من كندا).</w:t>
      </w:r>
    </w:p>
    <w:p w14:paraId="2DD317A6"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(ب) ’3‘ من المرفق الثاني قد استوفي.</w:t>
      </w:r>
    </w:p>
    <w:p w14:paraId="163EFC1F"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وتؤكد اللجنة أن المعايير الواردة في الفقرة (ب) من المرفق الثاني قد استوفيت.</w:t>
      </w:r>
    </w:p>
    <w:p w14:paraId="095AE950"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(د)</w:t>
      </w:r>
      <w:r>
        <w:rPr>
          <w:rFonts w:ascii="Times New Roman" w:hAnsi="Times New Roman" w:hint="cs"/>
          <w:b/>
          <w:bCs/>
          <w:sz w:val="22"/>
          <w:rtl/>
        </w:rPr>
        <w:tab/>
        <w:t>المعايير الواردة في الفقرة (ج) من المرفق الثاني</w:t>
      </w:r>
    </w:p>
    <w:p w14:paraId="7FB55071"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(ج)</w:t>
      </w:r>
      <w:r>
        <w:rPr>
          <w:rFonts w:eastAsia="SimSun" w:hint="cs"/>
          <w:i/>
          <w:iCs/>
          <w:sz w:val="22"/>
          <w:szCs w:val="24"/>
          <w:rtl/>
          <w:lang w:val="en-GB" w:eastAsia="zh-TW"/>
        </w:rPr>
        <w:tab/>
        <w:t>النظر فيما إذا كان الإجراء التنظيمي النهائي يوفر أساساً عريضاً بما يكفي لتبرير إدراج المادة الكيميائية في المرفق ‏الثالث، وذلك بمراعاة ما يلي:</w:t>
      </w:r>
    </w:p>
    <w:p w14:paraId="69DBE999"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lastRenderedPageBreak/>
        <w:t>’1‘</w:t>
      </w:r>
      <w:r>
        <w:rPr>
          <w:rFonts w:eastAsia="SimSun" w:hint="cs"/>
          <w:i/>
          <w:iCs/>
          <w:sz w:val="22"/>
          <w:szCs w:val="24"/>
          <w:rtl/>
          <w:lang w:val="en-GB" w:eastAsia="zh-TW"/>
        </w:rPr>
        <w:tab/>
        <w:t>ما إذا كان الإجراء التنظيمي النهائي قد أدى، أو من المتوقع أن يؤدي، إلى تخفيض كبير في كمية المادة ‏الكيميائية المستخدمة، أو عدد استخداماتها؛</w:t>
      </w:r>
    </w:p>
    <w:p w14:paraId="349D77D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لم تقدم تقديرات لكمية التربوفوس المنتج والمستورد والمصدر من كندا قبل الإجراء التنظيمي. وأُبلغ عن كمية مكون التربوفوس النشط المستخدم في عام 2011، وهو العام السابق لدخول حظر التربوفوس حيز التنفيذ، حيث بلغت أقل منت 000 50 كغم (</w:t>
      </w:r>
      <w:r>
        <w:rPr>
          <w:rFonts w:eastAsia="SimSun"/>
          <w:szCs w:val="20"/>
          <w:lang w:eastAsia="zh-TW"/>
        </w:rPr>
        <w:t>UNEP/FAO/RC/CRC.17/8/Rev.1</w:t>
      </w:r>
      <w:r>
        <w:rPr>
          <w:rFonts w:eastAsia="SimSun" w:hint="cs"/>
          <w:sz w:val="22"/>
          <w:szCs w:val="24"/>
          <w:rtl/>
          <w:lang w:eastAsia="zh-TW"/>
        </w:rPr>
        <w:t>، الفرع 2-5-1 من الإخطار المقدم من كندا).</w:t>
      </w:r>
    </w:p>
    <w:p w14:paraId="180A294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وأدى الإجراء التنظيمي النهائي إلى تخلص تدريجي من جميع استخدامات التربوفوس كمنتج لمكافحة الآفات في كندا في عام 2012 (</w:t>
      </w:r>
      <w:r>
        <w:rPr>
          <w:rFonts w:eastAsia="SimSun"/>
          <w:szCs w:val="20"/>
          <w:lang w:eastAsia="zh-TW"/>
        </w:rPr>
        <w:t>UNEP/FAO/RC/CRC.17/8/Rev.1</w:t>
      </w:r>
      <w:r>
        <w:rPr>
          <w:rFonts w:eastAsia="SimSun" w:hint="cs"/>
          <w:sz w:val="22"/>
          <w:szCs w:val="24"/>
          <w:rtl/>
          <w:lang w:eastAsia="zh-TW"/>
        </w:rPr>
        <w:t>، الفرع 2-2-1 من الإخطار المقدم من كندا) ولذلك من المتوقع أن تنخفض أي كمية تُستخدم كمنتج لمكافحة الآفات إلى الصفر.</w:t>
      </w:r>
    </w:p>
    <w:p w14:paraId="58DD490D" w14:textId="77777777" w:rsidR="00FD3651" w:rsidRDefault="00FD3651" w:rsidP="00FD3651">
      <w:pPr>
        <w:pStyle w:val="ListParagraph"/>
        <w:numPr>
          <w:ilvl w:val="0"/>
          <w:numId w:val="23"/>
        </w:numPr>
        <w:tabs>
          <w:tab w:val="left" w:pos="1842"/>
        </w:tabs>
        <w:bidi/>
        <w:spacing w:after="120" w:line="360" w:lineRule="exact"/>
        <w:ind w:left="1133" w:firstLine="0"/>
        <w:rPr>
          <w:rFonts w:eastAsia="SimSun" w:hint="cs"/>
          <w:sz w:val="22"/>
          <w:szCs w:val="24"/>
          <w:rtl/>
          <w:lang w:eastAsia="zh-TW"/>
        </w:rPr>
      </w:pPr>
      <w:r>
        <w:rPr>
          <w:rFonts w:eastAsia="SimSun" w:hint="cs"/>
          <w:sz w:val="22"/>
          <w:szCs w:val="24"/>
          <w:rtl/>
          <w:lang w:eastAsia="zh-TW"/>
        </w:rPr>
        <w:t>ولذلك تؤكد اللجنة أن المعيار الوارد في الفقرة (ج) ’1‘ قد استوفي.</w:t>
      </w:r>
    </w:p>
    <w:p w14:paraId="3C485888"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’2‘</w:t>
      </w:r>
      <w:r>
        <w:rPr>
          <w:rFonts w:eastAsia="SimSun" w:hint="cs"/>
          <w:i/>
          <w:iCs/>
          <w:sz w:val="22"/>
          <w:szCs w:val="24"/>
          <w:rtl/>
          <w:lang w:val="en-GB" w:eastAsia="zh-TW"/>
        </w:rPr>
        <w:tab/>
        <w:t>ما إذا كان الإجراء التنظيمي النهائي قد أدى إلى خفض فعلي للمخاطر، أو يتوقع أن يسفر عن خفض كبير ‏للمخاطر على صحة البشر أو البيئة لدى الطرف الذي قدم الإخطار؛</w:t>
      </w:r>
    </w:p>
    <w:p w14:paraId="3E7926F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وفقاً للإخطار، يؤدي منع استخدام التربوفوس إلى حماية البيئة والكائنات غير المستهدفة من مخاطر التعرض، وبالتالي فإن النتيجة المتوقعة للإجراء التنظيمي النهائي هي الحد من المخاطر على البيئة من استخدام منتجات وقاية النباتات المحتوية على التربوفوس (</w:t>
      </w:r>
      <w:r>
        <w:rPr>
          <w:rFonts w:eastAsia="SimSun"/>
          <w:szCs w:val="20"/>
          <w:lang w:eastAsia="zh-TW"/>
        </w:rPr>
        <w:t>UNEP/FAO/RC/CRC.17/8/Rev.1</w:t>
      </w:r>
      <w:r>
        <w:rPr>
          <w:rFonts w:eastAsia="SimSun" w:hint="cs"/>
          <w:sz w:val="22"/>
          <w:szCs w:val="24"/>
          <w:rtl/>
          <w:lang w:eastAsia="zh-TW"/>
        </w:rPr>
        <w:t>، الفرع 2-4-2-2 من الإخطار المقدم من كندا).</w:t>
      </w:r>
    </w:p>
    <w:p w14:paraId="48D85EC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ومن المتوقع أن يكون التخلص التدريجي من جميع استخدامات التربوفوس في 1 آب/أغسطس 2012 قد أدى إلى تخفيض كبير في كمية المادة الكيميائية المستخدمة في كندا، ومن المتوقع بالتالي أن تكون المخاطر على البيئة قد انخفضت بشكل كبير.</w:t>
      </w:r>
    </w:p>
    <w:p w14:paraId="2FB8764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وتؤكد اللجنة أن المعيار الوارد في الفقرة (ج) ’2‘ قد استوفي.</w:t>
      </w:r>
    </w:p>
    <w:p w14:paraId="529E1293"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’3‘</w:t>
      </w:r>
      <w:r>
        <w:rPr>
          <w:rFonts w:eastAsia="SimSun" w:hint="cs"/>
          <w:i/>
          <w:iCs/>
          <w:sz w:val="22"/>
          <w:szCs w:val="24"/>
          <w:rtl/>
          <w:lang w:val="en-GB" w:eastAsia="zh-TW"/>
        </w:rPr>
        <w:tab/>
        <w:t>ما إذا كانت الاعتبارات التي أدت إلى اتخاذ الإجراء التنظيمي النهائي غير منطبقة سوى على منطقة جغرافية ‏محدودة، أو في ظروف محدودة أخرى؛</w:t>
      </w:r>
    </w:p>
    <w:p w14:paraId="153B859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تم تحديد المخاطر المرتبطة بتركيبات التربوفوس للاستخدام النهائي لجميع مجموعات الكائنات (مثل الطيور والثدييات والأسماك واللافقاريات المائية) لجميع سيناريوهات الاستخدام.</w:t>
      </w:r>
    </w:p>
    <w:p w14:paraId="2781CDAD"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ويذكر الإخطار أن من المحتمل أن تكون المخاطر البيئية التي يشكلها التربوفوس ذات صلة في البلدان التي لها أنماط استخدام مماثلة للتربوفوس (</w:t>
      </w:r>
      <w:r>
        <w:rPr>
          <w:rFonts w:eastAsia="SimSun"/>
          <w:szCs w:val="20"/>
          <w:lang w:eastAsia="zh-TW"/>
        </w:rPr>
        <w:t>UNEP/FAO/RC/CRC.17/8/Rev.1</w:t>
      </w:r>
      <w:r>
        <w:rPr>
          <w:rFonts w:eastAsia="SimSun" w:hint="cs"/>
          <w:sz w:val="22"/>
          <w:szCs w:val="24"/>
          <w:rtl/>
          <w:lang w:eastAsia="zh-TW"/>
        </w:rPr>
        <w:t>، الفرع 2-5-2 من الإخطار المقدم من كندا).</w:t>
      </w:r>
    </w:p>
    <w:p w14:paraId="39BC2011"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(ج) ’3‘ قد استوفي.</w:t>
      </w:r>
    </w:p>
    <w:p w14:paraId="01270B30"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’4‘</w:t>
      </w:r>
      <w:r>
        <w:rPr>
          <w:rFonts w:eastAsia="SimSun" w:hint="cs"/>
          <w:i/>
          <w:iCs/>
          <w:sz w:val="22"/>
          <w:szCs w:val="24"/>
          <w:rtl/>
          <w:lang w:val="en-GB" w:eastAsia="zh-TW"/>
        </w:rPr>
        <w:tab/>
        <w:t>ما إذا كان هناك دليل على استمرار التداول التجاري في المادة الكيميائية على الصعيد الدولي؛</w:t>
      </w:r>
    </w:p>
    <w:p w14:paraId="51E4F033" w14:textId="77777777" w:rsidR="00FD3651" w:rsidRDefault="00FD3651" w:rsidP="00FD3651">
      <w:pPr>
        <w:pStyle w:val="ListParagraph"/>
        <w:numPr>
          <w:ilvl w:val="0"/>
          <w:numId w:val="23"/>
        </w:numPr>
        <w:tabs>
          <w:tab w:val="left" w:pos="1842"/>
        </w:tabs>
        <w:bidi/>
        <w:spacing w:after="120" w:line="360" w:lineRule="exact"/>
        <w:ind w:left="1133" w:firstLine="0"/>
        <w:jc w:val="lowKashida"/>
        <w:rPr>
          <w:rFonts w:eastAsia="SimSun" w:hint="cs"/>
          <w:sz w:val="22"/>
          <w:szCs w:val="24"/>
          <w:rtl/>
          <w:lang w:eastAsia="zh-TW"/>
        </w:rPr>
      </w:pPr>
      <w:r>
        <w:rPr>
          <w:rFonts w:hint="cs"/>
          <w:sz w:val="22"/>
          <w:szCs w:val="24"/>
          <w:rtl/>
          <w:lang w:eastAsia="zh-TW"/>
        </w:rPr>
        <w:t xml:space="preserve">واستجابة لطلب الأمانة تقديم معلومات عن استمرار التجارة الدولية في المواد الكيميائية المرشحة للإدراج إلى لجنة ‏استعراض المواد الكيميائية في اجتماعها السابع عشر، أكدت منظمة كروبلايف الدولية استمرار التجارة الدولية في </w:t>
      </w:r>
      <w:r>
        <w:rPr>
          <w:rFonts w:eastAsia="SimSun" w:hint="cs"/>
          <w:sz w:val="22"/>
          <w:szCs w:val="24"/>
          <w:rtl/>
          <w:lang w:eastAsia="zh-TW"/>
        </w:rPr>
        <w:t>التربوفوس من جانب شركات ليست أعضاء في منظمة كروبلايف الدولية (</w:t>
      </w:r>
      <w:r>
        <w:rPr>
          <w:rFonts w:eastAsia="MS Mincho"/>
          <w:iCs/>
          <w:szCs w:val="20"/>
        </w:rPr>
        <w:t>UNEP/FAO/RC/CRC.17/INF/5</w:t>
      </w:r>
      <w:r>
        <w:rPr>
          <w:rFonts w:eastAsia="SimSun" w:hint="cs"/>
          <w:sz w:val="22"/>
          <w:szCs w:val="24"/>
          <w:rtl/>
          <w:lang w:eastAsia="zh-TW"/>
        </w:rPr>
        <w:t>).</w:t>
      </w:r>
    </w:p>
    <w:p w14:paraId="56DFC478"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lastRenderedPageBreak/>
        <w:t>ولذلك تؤكد اللجنة أن المعيار الوارد في الفقرة (ج) ’4‘ قد استوفي.</w:t>
      </w:r>
    </w:p>
    <w:p w14:paraId="61812322"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وتؤكد اللجنة أن المعايير الواردة في الفقرة (ج) من المرفق الثاني قد استوفيت.</w:t>
      </w:r>
    </w:p>
    <w:p w14:paraId="322DACA3"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(هـ)</w:t>
      </w:r>
      <w:r>
        <w:rPr>
          <w:rFonts w:ascii="Times New Roman" w:hAnsi="Times New Roman" w:hint="cs"/>
          <w:b/>
          <w:bCs/>
          <w:sz w:val="22"/>
          <w:rtl/>
        </w:rPr>
        <w:tab/>
        <w:t>معيار الوارد في الفقرة (د) من المرفق الثاني</w:t>
      </w:r>
    </w:p>
    <w:p w14:paraId="1D44C887"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(د)</w:t>
      </w:r>
      <w:r>
        <w:rPr>
          <w:rFonts w:eastAsia="SimSun" w:hint="cs"/>
          <w:i/>
          <w:iCs/>
          <w:sz w:val="22"/>
          <w:szCs w:val="24"/>
          <w:rtl/>
          <w:lang w:val="en-GB" w:eastAsia="zh-TW"/>
        </w:rPr>
        <w:tab/>
        <w:t>أن يؤخذ في الاعتبار أن إساءة الاستخدام المتعمدة لا تشكل بحد ذاتها سبباً كافياً لإدراج المادة الكيميائية في المرفق الثالث.</w:t>
      </w:r>
    </w:p>
    <w:p w14:paraId="72CD985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ولا يوجد في الإخطار ما يشير إلى أن الإجراء التنظيمي اتُّخذ مخافة إساءة الاستخدام المتعمدة للمادة.</w:t>
      </w:r>
    </w:p>
    <w:p w14:paraId="54593AE2"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وعلى أساس النقطة المذكورة أعلاه، تؤكد اللجنة أن المعيار الوارد في الفقرة (د) من المرفق الثاني قد استوفي.</w:t>
      </w:r>
    </w:p>
    <w:p w14:paraId="7E34D9D2"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(و)</w:t>
      </w:r>
      <w:r>
        <w:rPr>
          <w:rFonts w:ascii="Times New Roman" w:hAnsi="Times New Roman" w:hint="cs"/>
          <w:b/>
          <w:bCs/>
          <w:sz w:val="22"/>
          <w:rtl/>
        </w:rPr>
        <w:tab/>
        <w:t>الاستنتاج</w:t>
      </w:r>
    </w:p>
    <w:p w14:paraId="4C9558C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تستنتج اللجنة أن الإخطار بالإجراء التنظيمي النهائي المقدم من كندا يستوفي المعايير الواردة في المرفق الثاني للاتفاقية.</w:t>
      </w:r>
    </w:p>
    <w:p w14:paraId="187CB912" w14:textId="77777777" w:rsidR="00FD3651" w:rsidRDefault="00FD3651" w:rsidP="00FD3651">
      <w:pPr>
        <w:rPr>
          <w:rFonts w:hint="cs"/>
          <w:sz w:val="26"/>
          <w:szCs w:val="26"/>
          <w:rtl/>
          <w:lang w:val="en-US"/>
        </w:rPr>
      </w:pPr>
      <w:r>
        <w:rPr>
          <w:rFonts w:hint="cs"/>
          <w:sz w:val="26"/>
          <w:szCs w:val="26"/>
          <w:rtl/>
        </w:rPr>
        <w:br w:type="page"/>
      </w:r>
    </w:p>
    <w:p w14:paraId="03D4A00A" w14:textId="77777777" w:rsidR="00FD3651" w:rsidRDefault="00FD3651" w:rsidP="00FD3651">
      <w:pPr>
        <w:pStyle w:val="Heading2"/>
        <w:keepNext/>
        <w:keepLines/>
        <w:rPr>
          <w:rFonts w:ascii="Times New Roman" w:hAnsi="Times New Roman" w:hint="cs"/>
          <w:b/>
          <w:bCs/>
          <w:sz w:val="26"/>
          <w:szCs w:val="26"/>
          <w:rtl/>
        </w:rPr>
      </w:pPr>
      <w:r>
        <w:rPr>
          <w:rFonts w:ascii="Times New Roman" w:hAnsi="Times New Roman" w:hint="cs"/>
          <w:b/>
          <w:bCs/>
          <w:sz w:val="26"/>
          <w:szCs w:val="26"/>
          <w:rtl/>
        </w:rPr>
        <w:lastRenderedPageBreak/>
        <w:t>ثانياً-</w:t>
      </w:r>
      <w:r>
        <w:rPr>
          <w:rFonts w:ascii="Times New Roman" w:hAnsi="Times New Roman" w:hint="cs"/>
          <w:b/>
          <w:bCs/>
          <w:sz w:val="26"/>
          <w:szCs w:val="26"/>
          <w:rtl/>
        </w:rPr>
        <w:tab/>
        <w:t>موزامبيق</w:t>
      </w:r>
    </w:p>
    <w:p w14:paraId="0F0C5177" w14:textId="77777777" w:rsidR="00FD3651" w:rsidRDefault="00FD3651" w:rsidP="00FD3651">
      <w:pPr>
        <w:pStyle w:val="Heading2"/>
        <w:keepNext/>
        <w:keepLines/>
        <w:rPr>
          <w:rFonts w:ascii="Times New Roman" w:hAnsi="Times New Roman" w:hint="cs"/>
          <w:b/>
          <w:bCs/>
          <w:sz w:val="22"/>
          <w:rtl/>
        </w:rPr>
      </w:pPr>
      <w:r>
        <w:rPr>
          <w:rFonts w:ascii="Times New Roman" w:hAnsi="Times New Roman" w:hint="cs"/>
          <w:b/>
          <w:bCs/>
          <w:sz w:val="22"/>
          <w:rtl/>
        </w:rPr>
        <w:t>(أ)</w:t>
      </w:r>
      <w:r>
        <w:rPr>
          <w:rFonts w:ascii="Times New Roman" w:hAnsi="Times New Roman" w:hint="cs"/>
          <w:b/>
          <w:bCs/>
          <w:sz w:val="22"/>
          <w:rtl/>
        </w:rPr>
        <w:tab/>
        <w:t>نطاق الإجراء التنظيمي الذي أخطرت به موزامبيق</w:t>
      </w:r>
    </w:p>
    <w:p w14:paraId="669DEDB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يتعلق الإجراء التنظيمي الذي أخطرت به موزامبيق بالتربوفوس (الرقم في سجل دائرة المستخلصات الكيميائية 13071-79-9) كمبيد للآفات. وقبل دخول الإجراء التنظيمي النهائي حيز التنفيذ، كان التربوفوس مسجلاً في موزامبيق كمبيد حشري لاستخدامه على الذرة والذرة الرفيعة والبطاطس والفول (</w:t>
      </w:r>
      <w:r>
        <w:rPr>
          <w:rFonts w:eastAsia="SimSun"/>
          <w:szCs w:val="20"/>
          <w:lang w:eastAsia="zh-TW"/>
        </w:rPr>
        <w:t>UNEP/FAO/RC/CRC.17/8/Rev.1</w:t>
      </w:r>
      <w:r>
        <w:rPr>
          <w:rFonts w:eastAsia="SimSun" w:hint="cs"/>
          <w:sz w:val="22"/>
          <w:szCs w:val="24"/>
          <w:rtl/>
          <w:lang w:eastAsia="zh-TW"/>
        </w:rPr>
        <w:t>، الفرع 2-3-1 من الإخطار المقدم من موزامبيق).</w:t>
      </w:r>
    </w:p>
    <w:p w14:paraId="53B46043"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 xml:space="preserve">وقد حظرت المديرية الوطنية للخدمات الزراعية مواصلة استيراد التربوفوس واستخدامه في موزامبيق بموجب القرار رقم </w:t>
      </w:r>
      <w:r>
        <w:rPr>
          <w:rFonts w:eastAsia="SimSun"/>
          <w:sz w:val="22"/>
          <w:szCs w:val="24"/>
          <w:lang w:val="en-CA" w:eastAsia="zh-TW"/>
        </w:rPr>
        <w:t>001/</w:t>
      </w:r>
      <w:r>
        <w:rPr>
          <w:rFonts w:eastAsia="SimSun"/>
          <w:sz w:val="22"/>
          <w:szCs w:val="24"/>
          <w:lang w:eastAsia="zh-TW"/>
        </w:rPr>
        <w:t>DNSA/2014</w:t>
      </w:r>
      <w:r>
        <w:rPr>
          <w:rFonts w:eastAsia="SimSun" w:hint="cs"/>
          <w:sz w:val="22"/>
          <w:szCs w:val="24"/>
          <w:rtl/>
          <w:lang w:eastAsia="zh-TW"/>
        </w:rPr>
        <w:t>. ودخل الإجراء التنظيمي حيز التنفيذ في 15 تموز/يولية 2014. وتقرر حظر جميع الاستخدامات وإلغاء المنتجات المحتوية على التربوفوس في البلد بسبب الطبيعة السامة والخواص الخطرة لهذه المادة النشطة التي يمكن أن تضر، إذا اقتُرنت بالاستخدام غير السليم في البلد بسبب ظروف الاستخدام المحلية المحددة، بصحة البشر والحيوان.</w:t>
      </w:r>
    </w:p>
    <w:p w14:paraId="49DDD6B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واتُخذ قرار حظر تسجيل التربوفوس بوصفه الخطوة الأخيرة في مشروع الحد من مخاطر مبيدات الآفات الشديدة الخطورة، والذي حدد مبيدات الآفات الشديدة الخطورة ومبيدات الآفات الأخرى المسجلة في موزامبيق. وبعد مشاورات مع جهات فاعلة مختلفة (القطاع العام والقطاع الخاص والمجتمع المدني وجهات أخرى) تمت الموافقة على إلغاء التسجيلات وما يترتب على ذلك من حظر استخدام وعدم الموافقة على التربوفوس في موزامبيق (</w:t>
      </w:r>
      <w:r>
        <w:rPr>
          <w:rFonts w:eastAsia="SimSun"/>
          <w:szCs w:val="20"/>
          <w:lang w:eastAsia="zh-TW"/>
        </w:rPr>
        <w:t>UNEP/FAO/RC/CRC.17/8/Rev.1</w:t>
      </w:r>
      <w:r>
        <w:rPr>
          <w:rFonts w:eastAsia="SimSun" w:hint="cs"/>
          <w:sz w:val="22"/>
          <w:szCs w:val="24"/>
          <w:rtl/>
          <w:lang w:eastAsia="zh-TW"/>
        </w:rPr>
        <w:t>، الفرعان 2-2-1 و2-2-3 من الإخطار المقدم من موزامبيق).</w:t>
      </w:r>
    </w:p>
    <w:p w14:paraId="5E81EA7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وخُلص إلى أن الإخطار يستوفي متطلبات المعلومات الواردة في المرفق الأول.</w:t>
      </w:r>
    </w:p>
    <w:p w14:paraId="390BB5FC"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(ب)</w:t>
      </w:r>
      <w:r>
        <w:rPr>
          <w:rFonts w:ascii="Times New Roman" w:hAnsi="Times New Roman" w:hint="cs"/>
          <w:b/>
          <w:bCs/>
          <w:sz w:val="22"/>
          <w:rtl/>
        </w:rPr>
        <w:tab/>
        <w:t>المعيار الوارد في الفقرة (أ) من المرفق الثاني</w:t>
      </w:r>
    </w:p>
    <w:p w14:paraId="11516296"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(أ)</w:t>
      </w:r>
      <w:r>
        <w:rPr>
          <w:rFonts w:eastAsia="SimSun" w:hint="cs"/>
          <w:i/>
          <w:iCs/>
          <w:sz w:val="22"/>
          <w:szCs w:val="24"/>
          <w:rtl/>
          <w:lang w:val="en-GB" w:eastAsia="zh-TW"/>
        </w:rPr>
        <w:tab/>
        <w:t>التأكّد من أن الإجراء التنظيمي النهائي قد اتُخذ من أجل حماية صحة البشر أو البيئة؛</w:t>
      </w:r>
    </w:p>
    <w:p w14:paraId="7A3FC664"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تؤكد اللجنة أن الإجراء التنظيمي قد اتُخذ للحد من مخاطر التربوفوس على صحة البشر (</w:t>
      </w:r>
      <w:r>
        <w:rPr>
          <w:rFonts w:eastAsia="SimSun"/>
          <w:szCs w:val="20"/>
          <w:lang w:eastAsia="zh-TW"/>
        </w:rPr>
        <w:t>UNEP/FAO/RC/CRC.17/8/Rev.1</w:t>
      </w:r>
      <w:r>
        <w:rPr>
          <w:rFonts w:eastAsia="SimSun" w:hint="cs"/>
          <w:sz w:val="22"/>
          <w:szCs w:val="24"/>
          <w:rtl/>
          <w:lang w:eastAsia="zh-TW"/>
        </w:rPr>
        <w:t>، الفرع 2-4-2-1 من الإخطار المقدم من موزامبيق).</w:t>
      </w:r>
    </w:p>
    <w:p w14:paraId="7BAAE97A"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ويذكر الإخطار أنه تقرر حظر جميع الاستخدامات وإلغاء المنتجات المحتوية على التربوفوس في البلد بسبب الطبيعة السامة والخواص الخطرة لهذه المادة النشطة التي يمكن أن تضر، إذا اقتُرنت بالاستخدام غير السليم في البلد بسبب ظروف الاستخدام المحلية المحددة، بصحة البشر والحيوان.</w:t>
      </w:r>
    </w:p>
    <w:p w14:paraId="66CBF6F6"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ويشير الإخطار إلى تقرير استشاري بعنوان ’’تقليل مخاطر مبيدات الآفات الشديدة الخطورة في موزامبيق: الخطوة 1 - وضع قائمة مختصرة لمبيدات الآفات الشديدة الخطورة‘‘ (</w:t>
      </w:r>
      <w:r>
        <w:rPr>
          <w:rFonts w:eastAsia="SimSun"/>
          <w:szCs w:val="20"/>
          <w:lang w:eastAsia="zh-TW"/>
        </w:rPr>
        <w:t xml:space="preserve">Come and van der </w:t>
      </w:r>
      <w:proofErr w:type="spellStart"/>
      <w:r>
        <w:rPr>
          <w:rFonts w:eastAsia="SimSun"/>
          <w:szCs w:val="20"/>
          <w:lang w:eastAsia="zh-TW"/>
        </w:rPr>
        <w:t>Valk</w:t>
      </w:r>
      <w:proofErr w:type="spellEnd"/>
      <w:r>
        <w:rPr>
          <w:rFonts w:eastAsia="SimSun"/>
          <w:szCs w:val="20"/>
          <w:lang w:eastAsia="zh-TW"/>
        </w:rPr>
        <w:t>, 2014</w:t>
      </w:r>
      <w:r>
        <w:rPr>
          <w:rFonts w:eastAsia="SimSun" w:hint="cs"/>
          <w:sz w:val="22"/>
          <w:szCs w:val="24"/>
          <w:rtl/>
          <w:lang w:eastAsia="zh-TW"/>
        </w:rPr>
        <w:t>)، والذي حدد تركيبة التربوفوس على أنه شديد الخطورة (الفئة 1 (أ)) وفقاً لمعايير الاجتماع المشترك بين منظمة الأغذية والزراعة ومنظمة الصحة العالمية بشأن إدارة مبيدات الآفات بشأن مبيدات الآفات الشديدة الخطورة استناداً إلى التصنيف الذي أوصت به منظمة الصحة العالمية لمبيدات الآفات حسب المخاطر.</w:t>
      </w:r>
    </w:p>
    <w:p w14:paraId="39CE2F22"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وكشفت نتائج دراسة استقصائية شملت 325 من مزارعي الكفاف في موزامبيق أن من المرجح أن يؤدي استخدام مبيدات الآفات بشكل عام، ومبيدات الآفات الشديدة الخطورة بشكل خاص، إلى تعرض المزارعين بشكل مفرط. ولذلك، فإن فرض تدابير تخفيف المخاطر التي تعتمد على ارتداء معدات الحماية الشخصية المناسبة فقط في ظل ظروف الاستخدام المحلية سيكون صعباً ومن غير المرجح أن يحقق نتائج.</w:t>
      </w:r>
    </w:p>
    <w:p w14:paraId="35F2F72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lastRenderedPageBreak/>
        <w:t>واعتبر التربوفوس والمنتجات المحتوية على هذا المكون النشط ضارة بصحة البشر في ظل الظروف المحلية للاستخدام في موزامبيق التي تتطلب تدابير تخفيف المخاطر. واتُخذ قرار إلغاء تسجيل التربوفوس بوصفه الخطوة الأخيرة في مشروع الحد من مخاطر مبيدات الآفات الشديدة الخطورة. وكان الأثر المتوقع للإجراء التنظيمي النهائي هو الحد من المخاطر التي يشكلها استخدام التربوفوس في موزامبيق في سياق صحة البشر (</w:t>
      </w:r>
      <w:r>
        <w:rPr>
          <w:rFonts w:eastAsia="SimSun"/>
          <w:szCs w:val="20"/>
          <w:lang w:eastAsia="zh-TW"/>
        </w:rPr>
        <w:t>UNEP/FAO/RC/CRC.17/8/Rev.1</w:t>
      </w:r>
      <w:r>
        <w:rPr>
          <w:rFonts w:eastAsia="SimSun" w:hint="cs"/>
          <w:sz w:val="22"/>
          <w:szCs w:val="24"/>
          <w:rtl/>
          <w:lang w:eastAsia="zh-TW"/>
        </w:rPr>
        <w:t>، الفرعان 2-2-1 و2-4-2-1 من الإخطار المقدم من موزامبيق).</w:t>
      </w:r>
    </w:p>
    <w:p w14:paraId="450172A8"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(أ) من المرفق الثاني قد استوفي.</w:t>
      </w:r>
    </w:p>
    <w:p w14:paraId="639873CA" w14:textId="77777777" w:rsidR="00FD3651" w:rsidRDefault="00FD3651" w:rsidP="00FD3651">
      <w:pPr>
        <w:pStyle w:val="Heading2"/>
        <w:keepNext/>
        <w:keepLines/>
        <w:rPr>
          <w:rFonts w:ascii="Times New Roman" w:hAnsi="Times New Roman" w:hint="cs"/>
          <w:b/>
          <w:bCs/>
          <w:sz w:val="22"/>
          <w:rtl/>
        </w:rPr>
      </w:pPr>
      <w:r>
        <w:rPr>
          <w:rFonts w:ascii="Times New Roman" w:hAnsi="Times New Roman" w:hint="cs"/>
          <w:b/>
          <w:bCs/>
          <w:sz w:val="22"/>
          <w:rtl/>
        </w:rPr>
        <w:t>(ج)</w:t>
      </w:r>
      <w:r>
        <w:rPr>
          <w:rFonts w:ascii="Times New Roman" w:hAnsi="Times New Roman" w:hint="cs"/>
          <w:b/>
          <w:bCs/>
          <w:sz w:val="22"/>
          <w:rtl/>
        </w:rPr>
        <w:tab/>
        <w:t>المعايير الواردة في الفقرة (ب) من المرفق الثاني</w:t>
      </w:r>
    </w:p>
    <w:p w14:paraId="6A9F07A3"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(ب)</w:t>
      </w:r>
      <w:r>
        <w:rPr>
          <w:rFonts w:eastAsia="SimSun" w:hint="cs"/>
          <w:i/>
          <w:iCs/>
          <w:sz w:val="22"/>
          <w:szCs w:val="24"/>
          <w:rtl/>
          <w:lang w:val="en-GB" w:eastAsia="zh-TW"/>
        </w:rPr>
        <w:tab/>
        <w:t>التأكُّد من أن الإجراء التنظيمي النهائي قد اتُخذ نتيجة لتقييم المخاطر. وأن ذلك التقييم يستند إلى استعراض للبيانات العلمية ‏في إطار الظروف السائدة في الطرف المعني. ولهذا الغرض، تبيّن الوثائق المقدّمة ما يلي:</w:t>
      </w:r>
    </w:p>
    <w:p w14:paraId="71F4F0B2"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’1‘</w:t>
      </w:r>
      <w:r>
        <w:rPr>
          <w:rFonts w:eastAsia="SimSun" w:hint="cs"/>
          <w:i/>
          <w:iCs/>
          <w:sz w:val="22"/>
          <w:szCs w:val="24"/>
          <w:rtl/>
          <w:lang w:val="en-GB" w:eastAsia="zh-TW"/>
        </w:rPr>
        <w:tab/>
        <w:t>أن البيانات استُخلصت وفقاً للأساليب المتعارف عليها علمياً؛</w:t>
      </w:r>
    </w:p>
    <w:p w14:paraId="5CC2DFDD"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’2‘</w:t>
      </w:r>
      <w:r>
        <w:rPr>
          <w:rFonts w:eastAsia="SimSun" w:hint="cs"/>
          <w:i/>
          <w:iCs/>
          <w:sz w:val="22"/>
          <w:szCs w:val="24"/>
          <w:rtl/>
          <w:lang w:val="en-GB" w:eastAsia="zh-TW"/>
        </w:rPr>
        <w:tab/>
        <w:t>أن استعراض البيانات أُجري وتم توثيقه وفقاً للمبادئ والإجراءات العلمية المتعارف عليها عموماً.</w:t>
      </w:r>
    </w:p>
    <w:p w14:paraId="3B12FD39"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يشير الإخطار إلى التقارير الاستشارية التالية، التي تستند إلى التقييمات الدولية وبيانات الخواص وتقرير الاجتماع التالي:</w:t>
      </w:r>
    </w:p>
    <w:p w14:paraId="628948AD" w14:textId="77777777" w:rsidR="00FD3651" w:rsidRDefault="00FD3651" w:rsidP="00FD3651">
      <w:pPr>
        <w:tabs>
          <w:tab w:val="left" w:pos="1842"/>
        </w:tabs>
        <w:spacing w:after="120" w:line="360" w:lineRule="exact"/>
        <w:ind w:left="1133"/>
        <w:jc w:val="both"/>
        <w:rPr>
          <w:rFonts w:eastAsia="SimSun" w:hint="cs"/>
          <w:sz w:val="22"/>
          <w:szCs w:val="24"/>
          <w:rtl/>
          <w:lang w:val="en-GB" w:eastAsia="zh-TW"/>
        </w:rPr>
      </w:pPr>
      <w:r>
        <w:rPr>
          <w:rFonts w:eastAsia="SimSun" w:hint="cs"/>
          <w:sz w:val="22"/>
          <w:szCs w:val="24"/>
          <w:rtl/>
          <w:lang w:val="en-GB" w:eastAsia="zh-TW"/>
        </w:rPr>
        <w:tab/>
        <w:t>(أ)</w:t>
      </w:r>
      <w:r>
        <w:rPr>
          <w:rFonts w:eastAsia="SimSun" w:hint="cs"/>
          <w:sz w:val="22"/>
          <w:szCs w:val="24"/>
          <w:rtl/>
          <w:lang w:val="en-GB" w:eastAsia="zh-TW"/>
        </w:rPr>
        <w:tab/>
      </w:r>
      <w:r>
        <w:rPr>
          <w:rFonts w:eastAsia="SimSun"/>
          <w:sz w:val="22"/>
          <w:szCs w:val="24"/>
          <w:lang w:val="en-CA" w:eastAsia="zh-TW"/>
        </w:rPr>
        <w:t xml:space="preserve">A. M. </w:t>
      </w:r>
      <w:r>
        <w:rPr>
          <w:rFonts w:eastAsia="SimSun"/>
          <w:sz w:val="22"/>
          <w:szCs w:val="24"/>
          <w:lang w:val="en-GB" w:eastAsia="zh-TW"/>
        </w:rPr>
        <w:t xml:space="preserve">Come and H. van der </w:t>
      </w:r>
      <w:proofErr w:type="spellStart"/>
      <w:r>
        <w:rPr>
          <w:rFonts w:eastAsia="SimSun"/>
          <w:sz w:val="22"/>
          <w:szCs w:val="24"/>
          <w:lang w:val="en-GB" w:eastAsia="zh-TW"/>
        </w:rPr>
        <w:t>Valk</w:t>
      </w:r>
      <w:proofErr w:type="spellEnd"/>
      <w:r>
        <w:rPr>
          <w:rFonts w:eastAsia="SimSun" w:hint="cs"/>
          <w:sz w:val="22"/>
          <w:szCs w:val="24"/>
          <w:rtl/>
          <w:lang w:val="en-GB" w:eastAsia="zh-TW"/>
        </w:rPr>
        <w:t xml:space="preserve">. ’’الحد من مخاطر مبيدات الآفات الشديدة الخطورة في موزامبيق: الخطوة 1 - وضع قائمة مختصرة لمبيدات الآفات الشديدة الخطورة‘‘، تقرير استشاري أُعد في إطار المشروع </w:t>
      </w:r>
      <w:r>
        <w:rPr>
          <w:rFonts w:eastAsia="SimSun"/>
          <w:lang w:val="en-GB" w:eastAsia="zh-TW"/>
        </w:rPr>
        <w:t>EP/MOZ/101/UEP</w:t>
      </w:r>
      <w:r>
        <w:rPr>
          <w:rFonts w:eastAsia="SimSun" w:hint="cs"/>
          <w:sz w:val="22"/>
          <w:szCs w:val="24"/>
          <w:rtl/>
          <w:lang w:val="en-GB" w:eastAsia="zh-TW"/>
        </w:rPr>
        <w:t xml:space="preserve"> (2014)؛</w:t>
      </w:r>
    </w:p>
    <w:p w14:paraId="47B5EDF0" w14:textId="77777777" w:rsidR="00FD3651" w:rsidRDefault="00FD3651" w:rsidP="00FD3651">
      <w:pPr>
        <w:tabs>
          <w:tab w:val="left" w:pos="1842"/>
        </w:tabs>
        <w:spacing w:after="120" w:line="360" w:lineRule="exact"/>
        <w:ind w:left="1133"/>
        <w:jc w:val="both"/>
        <w:rPr>
          <w:rFonts w:eastAsia="SimSun" w:hint="cs"/>
          <w:sz w:val="22"/>
          <w:szCs w:val="24"/>
          <w:rtl/>
          <w:lang w:val="en-GB" w:eastAsia="zh-TW"/>
        </w:rPr>
      </w:pPr>
      <w:r>
        <w:rPr>
          <w:rFonts w:eastAsia="SimSun" w:hint="cs"/>
          <w:sz w:val="22"/>
          <w:szCs w:val="24"/>
          <w:rtl/>
          <w:lang w:val="en-GB" w:eastAsia="zh-TW"/>
        </w:rPr>
        <w:tab/>
        <w:t>(ب)</w:t>
      </w:r>
      <w:r>
        <w:rPr>
          <w:rFonts w:eastAsia="SimSun" w:hint="cs"/>
          <w:sz w:val="22"/>
          <w:szCs w:val="24"/>
          <w:rtl/>
          <w:lang w:val="en-GB" w:eastAsia="zh-TW"/>
        </w:rPr>
        <w:tab/>
      </w:r>
      <w:r>
        <w:rPr>
          <w:rFonts w:eastAsia="SimSun"/>
          <w:sz w:val="22"/>
          <w:szCs w:val="24"/>
          <w:lang w:val="en-GB" w:eastAsia="zh-TW"/>
        </w:rPr>
        <w:t>A.M.</w:t>
      </w:r>
      <w:r>
        <w:rPr>
          <w:rFonts w:eastAsia="SimSun"/>
          <w:sz w:val="22"/>
          <w:szCs w:val="24"/>
          <w:lang w:val="en-CA" w:eastAsia="zh-TW"/>
        </w:rPr>
        <w:t xml:space="preserve"> </w:t>
      </w:r>
      <w:r>
        <w:rPr>
          <w:rFonts w:eastAsia="SimSun"/>
          <w:sz w:val="22"/>
          <w:szCs w:val="24"/>
          <w:lang w:val="en-GB" w:eastAsia="zh-TW"/>
        </w:rPr>
        <w:t>Come and others</w:t>
      </w:r>
      <w:r>
        <w:rPr>
          <w:rFonts w:eastAsia="SimSun" w:hint="cs"/>
          <w:sz w:val="22"/>
          <w:szCs w:val="24"/>
          <w:rtl/>
          <w:lang w:val="en-GB" w:eastAsia="zh-TW"/>
        </w:rPr>
        <w:t xml:space="preserve">. ’’الحد من مخاطر مبيدات الآفات الشديدة الخطورة في موزامبيق: الخطوة 2 - دراسة استقصائية بشأن ممارسات استخدام مبيدات الآفات في نظم محاصيل مختارة‘‘، تقرير استشاري أُعد في إطار المشروع </w:t>
      </w:r>
      <w:r>
        <w:rPr>
          <w:rFonts w:eastAsia="SimSun"/>
          <w:lang w:val="en-GB" w:eastAsia="zh-TW"/>
        </w:rPr>
        <w:t>EP/MOZ/101/UEP</w:t>
      </w:r>
      <w:r>
        <w:rPr>
          <w:rFonts w:eastAsia="SimSun" w:hint="cs"/>
          <w:sz w:val="22"/>
          <w:szCs w:val="24"/>
          <w:rtl/>
          <w:lang w:val="en-GB" w:eastAsia="zh-TW"/>
        </w:rPr>
        <w:t xml:space="preserve"> (2014)؛</w:t>
      </w:r>
    </w:p>
    <w:p w14:paraId="2975E8E8" w14:textId="77777777" w:rsidR="00FD3651" w:rsidRDefault="00FD3651" w:rsidP="00FD3651">
      <w:pPr>
        <w:tabs>
          <w:tab w:val="left" w:pos="1842"/>
        </w:tabs>
        <w:spacing w:after="120" w:line="360" w:lineRule="exact"/>
        <w:ind w:left="1133"/>
        <w:jc w:val="both"/>
        <w:rPr>
          <w:rFonts w:eastAsia="SimSun" w:hint="cs"/>
          <w:sz w:val="22"/>
          <w:szCs w:val="24"/>
          <w:rtl/>
          <w:lang w:val="en-GB" w:eastAsia="zh-TW"/>
        </w:rPr>
      </w:pPr>
      <w:r>
        <w:rPr>
          <w:rFonts w:eastAsia="SimSun" w:hint="cs"/>
          <w:sz w:val="22"/>
          <w:szCs w:val="24"/>
          <w:rtl/>
          <w:lang w:val="en-GB" w:eastAsia="zh-TW"/>
        </w:rPr>
        <w:tab/>
        <w:t>(ج)</w:t>
      </w:r>
      <w:r>
        <w:rPr>
          <w:rFonts w:eastAsia="SimSun" w:hint="cs"/>
          <w:sz w:val="22"/>
          <w:szCs w:val="24"/>
          <w:rtl/>
          <w:lang w:val="en-GB" w:eastAsia="zh-TW"/>
        </w:rPr>
        <w:tab/>
        <w:t>منظمة الأغذية والزراعة للأمم المتحدة/منظمة الصحة العالمية، ’’تقرير الاجتماع</w:t>
      </w:r>
      <w:r>
        <w:rPr>
          <w:rFonts w:eastAsia="SimSun" w:hint="cs"/>
          <w:sz w:val="22"/>
          <w:szCs w:val="24"/>
          <w:rtl/>
          <w:lang w:val="en-GB" w:eastAsia="zh-TW"/>
        </w:rPr>
        <w:br/>
        <w:t>المشترك الثاني بشأن إدارة مبيدات الآفات والدورة الرابعة لفريق خبراء منظمة الأغذية والزراعة المعني</w:t>
      </w:r>
      <w:r>
        <w:rPr>
          <w:rFonts w:eastAsia="SimSun" w:hint="cs"/>
          <w:sz w:val="22"/>
          <w:szCs w:val="24"/>
          <w:rtl/>
          <w:lang w:val="en-GB" w:eastAsia="zh-TW"/>
        </w:rPr>
        <w:br/>
        <w:t xml:space="preserve">بإدارة مبيدات الآفات‘‘ (الصفحات 14-18)، جنيف (2008). متاح على الموقع التالي: </w:t>
      </w:r>
      <w:r>
        <w:rPr>
          <w:rFonts w:eastAsia="SimSun"/>
          <w:sz w:val="21"/>
          <w:szCs w:val="21"/>
          <w:lang w:val="en-GB" w:eastAsia="zh-TW"/>
        </w:rPr>
        <w:t>www.fao.org/fileadmin/templates/agphome/documents/Pests_Pesticides/Code/Report.pdf</w:t>
      </w:r>
      <w:r>
        <w:rPr>
          <w:rFonts w:eastAsia="SimSun" w:hint="cs"/>
          <w:sz w:val="22"/>
          <w:szCs w:val="24"/>
          <w:rtl/>
          <w:lang w:val="en-GB" w:eastAsia="zh-TW"/>
        </w:rPr>
        <w:t>.</w:t>
      </w:r>
    </w:p>
    <w:p w14:paraId="2B74C228" w14:textId="77777777" w:rsidR="00FD3651" w:rsidRDefault="00FD3651" w:rsidP="00FD3651">
      <w:pPr>
        <w:spacing w:after="120" w:line="360" w:lineRule="exact"/>
        <w:ind w:left="1134" w:firstLine="708"/>
        <w:jc w:val="both"/>
        <w:rPr>
          <w:rFonts w:eastAsia="SimSun" w:hint="cs"/>
          <w:sz w:val="22"/>
          <w:szCs w:val="24"/>
          <w:rtl/>
          <w:lang w:val="en-GB" w:eastAsia="zh-TW"/>
        </w:rPr>
      </w:pPr>
      <w:r>
        <w:rPr>
          <w:rFonts w:eastAsia="SimSun" w:hint="cs"/>
          <w:sz w:val="22"/>
          <w:szCs w:val="24"/>
          <w:rtl/>
          <w:lang w:val="en-GB" w:eastAsia="zh-TW"/>
        </w:rPr>
        <w:t>(د)</w:t>
      </w:r>
      <w:r>
        <w:rPr>
          <w:rFonts w:eastAsia="SimSun" w:hint="cs"/>
          <w:sz w:val="22"/>
          <w:szCs w:val="24"/>
          <w:rtl/>
          <w:lang w:val="en-GB" w:eastAsia="zh-TW"/>
        </w:rPr>
        <w:tab/>
      </w:r>
      <w:r>
        <w:rPr>
          <w:rFonts w:eastAsia="SimSun"/>
          <w:sz w:val="22"/>
          <w:szCs w:val="24"/>
          <w:lang w:val="en-GB" w:eastAsia="zh-TW"/>
        </w:rPr>
        <w:t xml:space="preserve">J. Lahr, R. </w:t>
      </w:r>
      <w:proofErr w:type="spellStart"/>
      <w:r>
        <w:rPr>
          <w:rFonts w:eastAsia="SimSun"/>
          <w:sz w:val="22"/>
          <w:szCs w:val="24"/>
          <w:lang w:val="en-GB" w:eastAsia="zh-TW"/>
        </w:rPr>
        <w:t>Kruijne</w:t>
      </w:r>
      <w:proofErr w:type="spellEnd"/>
      <w:r>
        <w:rPr>
          <w:rFonts w:eastAsia="SimSun"/>
          <w:sz w:val="22"/>
          <w:szCs w:val="24"/>
          <w:lang w:val="en-GB" w:eastAsia="zh-TW"/>
        </w:rPr>
        <w:t xml:space="preserve"> and J. </w:t>
      </w:r>
      <w:proofErr w:type="spellStart"/>
      <w:r>
        <w:rPr>
          <w:rFonts w:eastAsia="SimSun"/>
          <w:sz w:val="22"/>
          <w:szCs w:val="24"/>
          <w:lang w:val="en-GB" w:eastAsia="zh-TW"/>
        </w:rPr>
        <w:t>Groenwold</w:t>
      </w:r>
      <w:proofErr w:type="spellEnd"/>
      <w:proofErr w:type="gramStart"/>
      <w:r>
        <w:rPr>
          <w:rFonts w:eastAsia="SimSun" w:hint="cs"/>
          <w:sz w:val="22"/>
          <w:szCs w:val="24"/>
          <w:rtl/>
          <w:lang w:val="en-GB" w:eastAsia="zh-TW"/>
        </w:rPr>
        <w:t>، ’</w:t>
      </w:r>
      <w:proofErr w:type="gramEnd"/>
      <w:r>
        <w:rPr>
          <w:rFonts w:eastAsia="SimSun" w:hint="cs"/>
          <w:sz w:val="22"/>
          <w:szCs w:val="24"/>
          <w:rtl/>
          <w:lang w:val="en-GB" w:eastAsia="zh-TW"/>
        </w:rPr>
        <w:t xml:space="preserve">’أخطار مبيدات الآفات المستوردة إلى موزامبيق، 2002-2011‘‘، </w:t>
      </w:r>
      <w:r>
        <w:rPr>
          <w:rFonts w:eastAsia="MS Mincho"/>
          <w:iCs/>
          <w:sz w:val="22"/>
          <w:szCs w:val="32"/>
          <w:lang w:val="en-GB"/>
        </w:rPr>
        <w:t>Alterra Wageningen University and Research Centre</w:t>
      </w:r>
      <w:r>
        <w:rPr>
          <w:rFonts w:eastAsia="SimSun" w:hint="cs"/>
          <w:sz w:val="24"/>
          <w:rtl/>
          <w:lang w:val="en-GB" w:eastAsia="zh-TW"/>
        </w:rPr>
        <w:t xml:space="preserve"> </w:t>
      </w:r>
      <w:r>
        <w:rPr>
          <w:rFonts w:eastAsia="SimSun" w:hint="cs"/>
          <w:sz w:val="22"/>
          <w:szCs w:val="24"/>
          <w:rtl/>
          <w:lang w:val="en-GB" w:eastAsia="zh-TW"/>
        </w:rPr>
        <w:t>(2014).</w:t>
      </w:r>
    </w:p>
    <w:p w14:paraId="39494303"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وكان الهدف النهائي للمشروع هو وضع وتنفيذ خطة عمل للحد من مخاطر مبيدات الآفات الشديدة الخطورة لمبيدات الآفات وحالات الاستخدام الأكثر خطورة، مما يؤدي بمرور الوقت إلى تنفيذ مجموعة متنوعة من تدابير الحد من المخاطر على أساس استعراض ظروف الاستخدام (</w:t>
      </w:r>
      <w:r>
        <w:rPr>
          <w:rFonts w:eastAsia="SimSun"/>
          <w:szCs w:val="20"/>
          <w:lang w:eastAsia="zh-TW"/>
        </w:rPr>
        <w:t>UNEP/FAO/RC/CRC.17/8/Rev.1</w:t>
      </w:r>
      <w:r>
        <w:rPr>
          <w:rFonts w:eastAsia="SimSun" w:hint="cs"/>
          <w:sz w:val="22"/>
          <w:szCs w:val="24"/>
          <w:rtl/>
          <w:lang w:eastAsia="zh-TW"/>
        </w:rPr>
        <w:t>، الفرعان 2-4 و2-4-1 من الإخطار المقدم من موزامبيق).</w:t>
      </w:r>
    </w:p>
    <w:p w14:paraId="4A9C92B2" w14:textId="77777777" w:rsidR="00FD3651" w:rsidRDefault="00FD3651" w:rsidP="00FD3651">
      <w:pPr>
        <w:pStyle w:val="ListParagraph"/>
        <w:numPr>
          <w:ilvl w:val="0"/>
          <w:numId w:val="23"/>
        </w:numPr>
        <w:tabs>
          <w:tab w:val="left" w:pos="1842"/>
        </w:tabs>
        <w:bidi/>
        <w:spacing w:after="120" w:line="340" w:lineRule="exact"/>
        <w:ind w:left="1133" w:firstLine="0"/>
        <w:jc w:val="both"/>
        <w:rPr>
          <w:rFonts w:eastAsia="SimSun" w:hint="cs"/>
          <w:sz w:val="22"/>
          <w:szCs w:val="24"/>
          <w:rtl/>
          <w:lang w:eastAsia="zh-TW"/>
        </w:rPr>
      </w:pPr>
      <w:r>
        <w:rPr>
          <w:rFonts w:eastAsia="SimSun" w:hint="cs"/>
          <w:sz w:val="22"/>
          <w:szCs w:val="24"/>
          <w:rtl/>
          <w:lang w:eastAsia="zh-TW"/>
        </w:rPr>
        <w:lastRenderedPageBreak/>
        <w:t xml:space="preserve">واتُخذ قرار إلغاء تسجيل التربوفوس بوصفه الخطوة الأخيرة في مشروع الحد من مخاطر مبيدات الآفات الشديدة الخطورة. وقد تقرر حظر جميع الاستخدامات وإلغاء المنتجات المحتوية على التربوفوس في البلد (القرار </w:t>
      </w:r>
      <w:r>
        <w:rPr>
          <w:rFonts w:eastAsia="SimSun" w:hint="cs"/>
          <w:sz w:val="22"/>
          <w:szCs w:val="24"/>
          <w:rtl/>
          <w:lang w:val="en-CA" w:eastAsia="zh-TW"/>
        </w:rPr>
        <w:t xml:space="preserve">رقم </w:t>
      </w:r>
      <w:r>
        <w:rPr>
          <w:rFonts w:eastAsia="SimSun"/>
          <w:sz w:val="22"/>
          <w:szCs w:val="24"/>
          <w:lang w:val="en-CA" w:eastAsia="zh-TW"/>
        </w:rPr>
        <w:t>001/DNSA/2014</w:t>
      </w:r>
      <w:r>
        <w:rPr>
          <w:rFonts w:eastAsia="SimSun" w:hint="cs"/>
          <w:sz w:val="22"/>
          <w:szCs w:val="24"/>
          <w:rtl/>
          <w:lang w:val="en-CA" w:eastAsia="zh-TW"/>
        </w:rPr>
        <w:t>)</w:t>
      </w:r>
      <w:r>
        <w:rPr>
          <w:rFonts w:eastAsia="SimSun" w:hint="cs"/>
          <w:sz w:val="22"/>
          <w:szCs w:val="24"/>
          <w:rtl/>
          <w:lang w:eastAsia="zh-TW"/>
        </w:rPr>
        <w:t xml:space="preserve"> بناء على الطبيعة السامة والخواص الخطرة لهذه المادة النشطة التي يمكن أن تضر، إذا اقتُرنت بالاستخدام غير السليم في البلد بسبب ظروف الاستخدام المحلية المحددة، بصحة البشر والحيوان (</w:t>
      </w:r>
      <w:r>
        <w:rPr>
          <w:rFonts w:eastAsia="SimSun"/>
          <w:szCs w:val="20"/>
          <w:lang w:eastAsia="zh-TW"/>
        </w:rPr>
        <w:t>UNEP/FAO/RC/CRC.17/8/Rev.1</w:t>
      </w:r>
      <w:r>
        <w:rPr>
          <w:rFonts w:eastAsia="SimSun" w:hint="cs"/>
          <w:sz w:val="22"/>
          <w:szCs w:val="24"/>
          <w:rtl/>
          <w:lang w:eastAsia="zh-TW"/>
        </w:rPr>
        <w:t>، الفرعان 2-2-1 و2-4-2-1 من الإخطار المقدم من موزامبيق).</w:t>
      </w:r>
    </w:p>
    <w:p w14:paraId="73B490E0" w14:textId="77777777" w:rsidR="00FD3651" w:rsidRDefault="00FD3651" w:rsidP="00FD3651">
      <w:pPr>
        <w:spacing w:after="120" w:line="340" w:lineRule="exact"/>
        <w:ind w:left="1134" w:firstLine="708"/>
        <w:jc w:val="both"/>
        <w:rPr>
          <w:rFonts w:eastAsia="SimSun" w:hint="cs"/>
          <w:sz w:val="22"/>
          <w:szCs w:val="24"/>
          <w:rtl/>
          <w:lang w:val="en-GB" w:eastAsia="zh-TW"/>
        </w:rPr>
      </w:pPr>
      <w:r>
        <w:rPr>
          <w:rFonts w:eastAsia="SimSun" w:hint="cs"/>
          <w:sz w:val="22"/>
          <w:szCs w:val="24"/>
          <w:rtl/>
          <w:lang w:val="en-GB" w:eastAsia="zh-TW"/>
        </w:rPr>
        <w:t>تشمل الوثائق الداعمة (</w:t>
      </w:r>
      <w:r>
        <w:rPr>
          <w:rFonts w:eastAsia="SimSun"/>
          <w:lang w:val="en-GB" w:eastAsia="zh-TW"/>
        </w:rPr>
        <w:t>UNEP/FAO/RC/CRC.17/INF/18</w:t>
      </w:r>
      <w:r>
        <w:rPr>
          <w:rFonts w:eastAsia="SimSun" w:hint="cs"/>
          <w:sz w:val="22"/>
          <w:szCs w:val="24"/>
          <w:rtl/>
          <w:lang w:val="en-GB" w:eastAsia="zh-TW"/>
        </w:rPr>
        <w:t>) أيضاً الوثائق التالية المشار إليها في الإخطار:</w:t>
      </w:r>
    </w:p>
    <w:p w14:paraId="7126D5E3" w14:textId="77777777" w:rsidR="00FD3651" w:rsidRDefault="00FD3651" w:rsidP="00FD3651">
      <w:pPr>
        <w:spacing w:line="340" w:lineRule="exact"/>
        <w:ind w:left="1134" w:firstLine="709"/>
        <w:jc w:val="both"/>
        <w:rPr>
          <w:rFonts w:eastAsia="SimSun" w:hint="cs"/>
          <w:sz w:val="22"/>
          <w:szCs w:val="24"/>
          <w:rtl/>
          <w:lang w:val="en-GB" w:eastAsia="zh-TW"/>
        </w:rPr>
      </w:pPr>
      <w:r>
        <w:rPr>
          <w:rFonts w:eastAsia="SimSun" w:hint="cs"/>
          <w:sz w:val="22"/>
          <w:szCs w:val="24"/>
          <w:rtl/>
          <w:lang w:val="en-GB" w:eastAsia="zh-TW"/>
        </w:rPr>
        <w:t>(أ)</w:t>
      </w:r>
      <w:r>
        <w:rPr>
          <w:rFonts w:eastAsia="SimSun" w:hint="cs"/>
          <w:sz w:val="22"/>
          <w:szCs w:val="24"/>
          <w:rtl/>
          <w:lang w:val="en-GB" w:eastAsia="zh-TW"/>
        </w:rPr>
        <w:tab/>
        <w:t xml:space="preserve">جامعة هرتفوردشاير ’’التربوفوس‘‘، قاعدة بيانات خواص مبيدات الآفات: متاحة على الموقع التالي: </w:t>
      </w:r>
      <w:r>
        <w:rPr>
          <w:rtl/>
        </w:rPr>
        <w:fldChar w:fldCharType="begin"/>
      </w:r>
      <w:r>
        <w:rPr>
          <w:rtl/>
        </w:rPr>
        <w:instrText xml:space="preserve"> </w:instrText>
      </w:r>
      <w:r>
        <w:instrText>HYPERLINK "https://sitem.herts.ac.uk/aeru/ppdb/en/Reports/621.htm</w:instrText>
      </w:r>
      <w:r>
        <w:rPr>
          <w:rtl/>
        </w:rPr>
        <w:instrText xml:space="preserve">" </w:instrText>
      </w:r>
      <w:r>
        <w:rPr>
          <w:rtl/>
        </w:rPr>
        <w:fldChar w:fldCharType="separate"/>
      </w:r>
      <w:r>
        <w:rPr>
          <w:rStyle w:val="Hyperlink"/>
          <w:rFonts w:eastAsia="MS Mincho"/>
        </w:rPr>
        <w:t>https://sitem.herts.ac.uk/aeru/ppdb/en/Reports/621.htm</w:t>
      </w:r>
      <w:r>
        <w:rPr>
          <w:rtl/>
        </w:rPr>
        <w:fldChar w:fldCharType="end"/>
      </w:r>
      <w:r>
        <w:rPr>
          <w:rFonts w:eastAsia="SimSun" w:hint="cs"/>
          <w:sz w:val="22"/>
          <w:szCs w:val="24"/>
          <w:rtl/>
          <w:lang w:val="en-GB" w:eastAsia="zh-TW"/>
        </w:rPr>
        <w:t>؛</w:t>
      </w:r>
    </w:p>
    <w:p w14:paraId="79E850AF" w14:textId="77777777" w:rsidR="00FD3651" w:rsidRDefault="00FD3651" w:rsidP="00FD3651">
      <w:pPr>
        <w:spacing w:line="360" w:lineRule="exact"/>
        <w:ind w:left="1134" w:firstLine="709"/>
        <w:jc w:val="both"/>
        <w:rPr>
          <w:rFonts w:eastAsia="SimSun" w:hint="cs"/>
          <w:sz w:val="22"/>
          <w:szCs w:val="24"/>
          <w:rtl/>
          <w:lang w:val="en-GB" w:eastAsia="zh-TW"/>
        </w:rPr>
      </w:pPr>
      <w:r>
        <w:rPr>
          <w:rFonts w:eastAsia="SimSun" w:hint="cs"/>
          <w:sz w:val="22"/>
          <w:szCs w:val="24"/>
          <w:rtl/>
          <w:lang w:val="en-GB" w:eastAsia="zh-TW"/>
        </w:rPr>
        <w:t>(ب)</w:t>
      </w:r>
      <w:r>
        <w:rPr>
          <w:rFonts w:eastAsia="SimSun" w:hint="cs"/>
          <w:sz w:val="22"/>
          <w:szCs w:val="24"/>
          <w:rtl/>
          <w:lang w:val="en-GB" w:eastAsia="zh-TW"/>
        </w:rPr>
        <w:tab/>
        <w:t>الاجتماع المشترك بين منظمة الأغذية والزراعة ومنظمة الصحة العالمية بشأن إدارة مبيدات الآفات تقييم التربوفوس (2005). متاح على الموقع التالي:</w:t>
      </w:r>
    </w:p>
    <w:p w14:paraId="606C4714" w14:textId="77777777" w:rsidR="00FD3651" w:rsidRDefault="00FD3651" w:rsidP="00FD3651">
      <w:pPr>
        <w:spacing w:after="120" w:line="340" w:lineRule="exact"/>
        <w:ind w:left="142" w:right="1134"/>
        <w:rPr>
          <w:rFonts w:eastAsia="SimSun"/>
          <w:sz w:val="22"/>
          <w:szCs w:val="24"/>
          <w:lang w:val="en-GB" w:eastAsia="zh-TW"/>
        </w:rPr>
      </w:pPr>
      <w:hyperlink r:id="rId7" w:history="1">
        <w:r>
          <w:rPr>
            <w:rStyle w:val="Hyperlink"/>
            <w:rFonts w:eastAsia="MS Mincho"/>
            <w:iCs/>
            <w:lang w:val="en-GB"/>
          </w:rPr>
          <w:t>www.fao.org/fileadmin/templates/agphome/documents/Pests_Pesticides/JMPR/Evaluation05/2005_Terbufos1.pdf</w:t>
        </w:r>
      </w:hyperlink>
      <w:r>
        <w:rPr>
          <w:rFonts w:eastAsia="SimSun" w:hint="cs"/>
          <w:sz w:val="22"/>
          <w:szCs w:val="24"/>
          <w:rtl/>
          <w:lang w:val="en-GB" w:eastAsia="zh-TW"/>
        </w:rPr>
        <w:t>؛</w:t>
      </w:r>
    </w:p>
    <w:p w14:paraId="34EFADB2" w14:textId="77777777" w:rsidR="00FD3651" w:rsidRDefault="00FD3651" w:rsidP="00FD3651">
      <w:pPr>
        <w:spacing w:after="120" w:line="360" w:lineRule="exact"/>
        <w:ind w:left="1134" w:firstLine="708"/>
        <w:jc w:val="both"/>
        <w:rPr>
          <w:rFonts w:eastAsia="SimSun" w:hint="cs"/>
          <w:sz w:val="22"/>
          <w:szCs w:val="24"/>
          <w:rtl/>
          <w:lang w:val="en-GB" w:eastAsia="zh-TW"/>
        </w:rPr>
      </w:pPr>
      <w:r>
        <w:rPr>
          <w:rFonts w:eastAsia="SimSun" w:hint="cs"/>
          <w:sz w:val="22"/>
          <w:szCs w:val="24"/>
          <w:rtl/>
          <w:lang w:val="en-GB" w:eastAsia="zh-TW"/>
        </w:rPr>
        <w:t>(ج)</w:t>
      </w:r>
      <w:r>
        <w:rPr>
          <w:rFonts w:eastAsia="SimSun" w:hint="cs"/>
          <w:sz w:val="22"/>
          <w:szCs w:val="24"/>
          <w:rtl/>
          <w:lang w:val="en-GB" w:eastAsia="zh-TW"/>
        </w:rPr>
        <w:tab/>
        <w:t xml:space="preserve">البرنامج الدولي لسلامة المواد الكيميائية – ’’مخلفات مبيدات الآفات في الأغذية -2003- الاجتماع المشترك بين منظمة الأغذية والزراعة ومنظمة الصحة العالمية بشأن إدارة مبيدات الآفات التربوفوس – ’’دراسات السمية‘‘ معلومات سلامة المواد الكيميائية التي خضعت لاستعراض الأقران على الصعيد الدولي: </w:t>
      </w:r>
      <w:r>
        <w:rPr>
          <w:rtl/>
        </w:rPr>
        <w:fldChar w:fldCharType="begin"/>
      </w:r>
      <w:r>
        <w:rPr>
          <w:rtl/>
        </w:rPr>
        <w:instrText xml:space="preserve"> </w:instrText>
      </w:r>
      <w:r w:rsidRPr="00FD3651">
        <w:rPr>
          <w:lang w:val="en-GB"/>
        </w:rPr>
        <w:instrText>HYPERLINK "http://www.inchem.org/documents/jmpr/jmpmono/v2003pr13.htm" \l "tox</w:instrText>
      </w:r>
      <w:r>
        <w:rPr>
          <w:rtl/>
        </w:rPr>
        <w:instrText xml:space="preserve">" </w:instrText>
      </w:r>
      <w:r>
        <w:rPr>
          <w:rtl/>
        </w:rPr>
        <w:fldChar w:fldCharType="separate"/>
      </w:r>
      <w:r>
        <w:rPr>
          <w:rStyle w:val="Hyperlink"/>
          <w:lang w:val="en-GB"/>
        </w:rPr>
        <w:t>www.inchem.org/documents/jmpr/jmpmono/v2003pr13.htm#tox</w:t>
      </w:r>
      <w:r>
        <w:rPr>
          <w:rtl/>
        </w:rPr>
        <w:fldChar w:fldCharType="end"/>
      </w:r>
      <w:r>
        <w:rPr>
          <w:rFonts w:eastAsia="SimSun" w:hint="cs"/>
          <w:sz w:val="22"/>
          <w:szCs w:val="24"/>
          <w:rtl/>
          <w:lang w:val="en-GB" w:eastAsia="zh-TW"/>
        </w:rPr>
        <w:t>.</w:t>
      </w:r>
    </w:p>
    <w:p w14:paraId="69E760ED"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وتعتبر التقارير الاستشارية المتاحة ومعايير تقييم الأخطار التي أعدها الفريق الدولي المشترك بين منظمة الأغذية والزراعة ومنظمة الصحة العالمية سليمة علمياً واستُخلصت وفقاً للأساليب المتعارف عليها علمياً ووثقت وفقاً للمبادئ والإجراءات العلمية المتعارف عليها عموماً.</w:t>
      </w:r>
    </w:p>
    <w:p w14:paraId="6C7E4713"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وتقدم التقارير المتاحة التي أُعدت في إطار المشروع المتعلق بالحد من مخاطر مبيدات الآفات الشديدة الخطورة في موزامبيق والمدرجة في الوثائق الداعمة منهجية مفصلة تشير إلى أن المعايير المتعارف عليها دولياً التي وضعها الاجتماع المشترك بين منظمة الأغذية والزراعة ومنظمة الصحة العالمية بشأن إدارة مبيدات الآفات لتحديد مبيدات الآفات الشديدة الخطورة قد استُخدمت لتحديد التربوفوس (</w:t>
      </w:r>
      <w:r>
        <w:rPr>
          <w:rFonts w:eastAsia="SimSun"/>
          <w:szCs w:val="20"/>
          <w:lang w:eastAsia="zh-TW"/>
        </w:rPr>
        <w:t>UNEP/FAO/RC/CRC.17/INF/18</w:t>
      </w:r>
      <w:r>
        <w:rPr>
          <w:rFonts w:eastAsia="SimSun" w:hint="cs"/>
          <w:sz w:val="22"/>
          <w:szCs w:val="24"/>
          <w:rtl/>
          <w:lang w:eastAsia="zh-TW"/>
        </w:rPr>
        <w:t>، الصفحة 15). كما يشير التقرير عن الدراسة الاستقصائية لممارسات استخدام مبيدات الآفات في نظم محاصيل مختارة إلى أن تصميم الدراسة الاستقصائية استُرشد باستعراضات لمختلف استخدامات مبيدات الآفات الحالية أو الدراسات الاستقصائية للتعرض التي أجريت في إطار منظمة الصحة العالمية واتفاقية روتردام، فضلاً عن التوجيه العام لمنظمة الأغذية والزراعة بشأن إعداد هذا النوع من الاستبيان. كما تم تدريب القائمين بالمقابلات على تقنيات الدراسات الاستقصائية (</w:t>
      </w:r>
      <w:r>
        <w:rPr>
          <w:rFonts w:eastAsia="SimSun"/>
          <w:szCs w:val="20"/>
          <w:lang w:eastAsia="zh-TW"/>
        </w:rPr>
        <w:t>UNEP/FAO/RC/CRC.17/INF/18</w:t>
      </w:r>
      <w:r>
        <w:rPr>
          <w:rFonts w:eastAsia="SimSun" w:hint="cs"/>
          <w:sz w:val="22"/>
          <w:szCs w:val="24"/>
          <w:rtl/>
          <w:lang w:eastAsia="zh-TW"/>
        </w:rPr>
        <w:t>، الصفحتان 57 و58).</w:t>
      </w:r>
    </w:p>
    <w:p w14:paraId="4379A21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وتعتبر البيانات الواردة في الإخطار والوثائق الداعمة سليمة علمياً واستُخلصت وفقاً للأساليب المتعارف عليها علمياً، ويعتبر أن استعراضات البيانات قد أُجريت ووثقت وفقاً للمبادئ والإجراءات العلمية المتعارف عليها عموماً.</w:t>
      </w:r>
    </w:p>
    <w:p w14:paraId="2C4BD4F9"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المعايير الواردة في الفقرة (ب) ’1‘ و’2‘ من المرفق الثاني قد استوفيت.</w:t>
      </w:r>
    </w:p>
    <w:p w14:paraId="74362A06"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lastRenderedPageBreak/>
        <w:t>’3‘</w:t>
      </w:r>
      <w:r>
        <w:rPr>
          <w:rFonts w:eastAsia="SimSun" w:hint="cs"/>
          <w:i/>
          <w:iCs/>
          <w:sz w:val="22"/>
          <w:szCs w:val="24"/>
          <w:rtl/>
          <w:lang w:val="en-GB" w:eastAsia="zh-TW"/>
        </w:rPr>
        <w:tab/>
        <w:t>استند الإجراء التنظيمي النهائي إلى تقييم للمخاطر شمل الظروف السائدة لدى الطرف الذي اتخذ الإجراء؛</w:t>
      </w:r>
    </w:p>
    <w:p w14:paraId="5CF712A7"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يذكر الإخطار أن الإجراء التنظيمي النهائي استند إلى تقييم للمخاطر أو الأخطار شمل الظروف السائدة لدى الطرف من أجل حماية صحة البشر (</w:t>
      </w:r>
      <w:r>
        <w:rPr>
          <w:rFonts w:eastAsia="SimSun"/>
          <w:szCs w:val="20"/>
          <w:lang w:eastAsia="zh-TW"/>
        </w:rPr>
        <w:t>UNEP/FAO/RC/CRC.17/8/Rev.1</w:t>
      </w:r>
      <w:r>
        <w:rPr>
          <w:rFonts w:eastAsia="SimSun" w:hint="cs"/>
          <w:sz w:val="22"/>
          <w:szCs w:val="24"/>
          <w:rtl/>
          <w:lang w:eastAsia="zh-TW"/>
        </w:rPr>
        <w:t>، الفرع 2-4 من الإخطار المقدم من موزامبيق). وبهدف الحد من أكبر المخاطر المرتبطة باستخدام مبيدات الآفات في موزامبيق، بدأت حكومة موزامبيق مشروع الحد من مخاطر مبيدات الآفات الشديدة الخطورة في موزامبيق، بدعم تقني من وحدة إدارة مبيدات الآفات في منظمة الأغذية والزراعة، وبتمويل من الصندوق الاستئماني لبرنامج البداية السريعة للنهج الاستراتيجي للإدارة الدولية للمواد الكيميائية. ويتمثل الهدف النهائي منه في وضع وتنفيذ ’’خطة عمل للحد من مخاطر مبيدات الآفات الشديدة الخطورة‘‘ في موزامبيق يغطي مبيدات الآفات وحالات الاستخدام الأكثر خطورة، مما يؤدي بمرور الوقت إلى تنفيذ مجموعة متنوعة من تدابير الحد من المخاطر على أساس استعراض لظروف الاستخدام. ويمكن أن يشمل ذلك إلغاء تسجيلات محددة لمبيدات الآفات الشديدة الخطورة، وتنفيذ تدابير تخفيف المخاطر، وفرض قيود الاستخدام المناسبة، ووضع استراتيجيات بديلة لإدارة الآفات، وتعزيز الممارسات الزراعية الجيدة، والتخلص التدريجي المحتمل من مبيدات آفات معينة (</w:t>
      </w:r>
      <w:r>
        <w:rPr>
          <w:rFonts w:eastAsia="SimSun"/>
          <w:szCs w:val="20"/>
          <w:lang w:eastAsia="zh-TW"/>
        </w:rPr>
        <w:t>UNEP/FAO/RC/CRC.17/INF/18</w:t>
      </w:r>
      <w:r>
        <w:rPr>
          <w:rFonts w:eastAsia="SimSun" w:hint="cs"/>
          <w:sz w:val="22"/>
          <w:szCs w:val="24"/>
          <w:rtl/>
          <w:lang w:eastAsia="zh-TW"/>
        </w:rPr>
        <w:t>، الصفحة 11).</w:t>
      </w:r>
    </w:p>
    <w:p w14:paraId="0D936ED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وتم تقسيم المشروع إلى ثلاث خطوات، تضمنت الخطوة أولى منه استعراض جميع مبيدات الآفات المسجلة في موزامبيق وإعداد قائمة مختصرة بمبيدات الآفات الشديدة الخطورة. واستندت هذه القائمة المختصرة إلى تقييم لأخطار مبيدات الآفات، بناءً على المعايير التي وضعها الاجتماع المشترك بين منظمة الأغذية والزراعة ومنظمة الصحة العالمية بشأن إدارة مبيدات الآفات (2008).</w:t>
      </w:r>
    </w:p>
    <w:p w14:paraId="6C10876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 xml:space="preserve">وشملت تركيبات التربوفوس المسجلة في ذلك الوقت في موزامبيق </w:t>
      </w:r>
      <w:proofErr w:type="spellStart"/>
      <w:r>
        <w:rPr>
          <w:rFonts w:eastAsia="SimSun"/>
          <w:sz w:val="22"/>
          <w:szCs w:val="24"/>
          <w:lang w:eastAsia="zh-TW"/>
        </w:rPr>
        <w:t>Moz</w:t>
      </w:r>
      <w:proofErr w:type="spellEnd"/>
      <w:r>
        <w:rPr>
          <w:rFonts w:eastAsia="SimSun"/>
          <w:sz w:val="22"/>
          <w:szCs w:val="24"/>
          <w:lang w:eastAsia="zh-TW"/>
        </w:rPr>
        <w:t xml:space="preserve"> </w:t>
      </w:r>
      <w:proofErr w:type="spellStart"/>
      <w:r>
        <w:rPr>
          <w:rFonts w:eastAsia="SimSun"/>
          <w:sz w:val="22"/>
          <w:szCs w:val="24"/>
          <w:lang w:eastAsia="zh-TW"/>
        </w:rPr>
        <w:t>Terbufos</w:t>
      </w:r>
      <w:proofErr w:type="spellEnd"/>
      <w:r>
        <w:rPr>
          <w:rFonts w:eastAsia="SimSun"/>
          <w:sz w:val="22"/>
          <w:szCs w:val="24"/>
          <w:lang w:eastAsia="zh-TW"/>
        </w:rPr>
        <w:t xml:space="preserve"> 15% GR</w:t>
      </w:r>
      <w:r>
        <w:rPr>
          <w:rFonts w:eastAsia="SimSun" w:hint="cs"/>
          <w:sz w:val="22"/>
          <w:szCs w:val="24"/>
          <w:rtl/>
          <w:lang w:eastAsia="zh-TW"/>
        </w:rPr>
        <w:t>، و</w:t>
      </w:r>
      <w:proofErr w:type="spellStart"/>
      <w:r>
        <w:rPr>
          <w:rFonts w:eastAsia="SimSun"/>
          <w:sz w:val="22"/>
          <w:szCs w:val="24"/>
          <w:lang w:eastAsia="zh-TW"/>
        </w:rPr>
        <w:t>Rotam</w:t>
      </w:r>
      <w:proofErr w:type="spellEnd"/>
      <w:r>
        <w:rPr>
          <w:rFonts w:eastAsia="SimSun"/>
          <w:sz w:val="22"/>
          <w:szCs w:val="24"/>
          <w:lang w:eastAsia="zh-TW"/>
        </w:rPr>
        <w:t xml:space="preserve"> </w:t>
      </w:r>
      <w:proofErr w:type="spellStart"/>
      <w:r>
        <w:rPr>
          <w:rFonts w:eastAsia="SimSun"/>
          <w:sz w:val="22"/>
          <w:szCs w:val="24"/>
          <w:lang w:eastAsia="zh-TW"/>
        </w:rPr>
        <w:t>Terbufos</w:t>
      </w:r>
      <w:proofErr w:type="spellEnd"/>
      <w:r>
        <w:rPr>
          <w:rFonts w:eastAsia="SimSun"/>
          <w:sz w:val="22"/>
          <w:szCs w:val="24"/>
          <w:lang w:eastAsia="zh-TW"/>
        </w:rPr>
        <w:t xml:space="preserve"> 15% GR</w:t>
      </w:r>
      <w:r>
        <w:rPr>
          <w:rFonts w:eastAsia="SimSun" w:hint="cs"/>
          <w:sz w:val="22"/>
          <w:szCs w:val="24"/>
          <w:rtl/>
          <w:lang w:eastAsia="zh-TW"/>
        </w:rPr>
        <w:t>، و</w:t>
      </w:r>
      <w:r>
        <w:rPr>
          <w:rFonts w:eastAsia="SimSun"/>
          <w:sz w:val="22"/>
          <w:szCs w:val="24"/>
          <w:lang w:eastAsia="zh-TW"/>
        </w:rPr>
        <w:t>Bongo</w:t>
      </w:r>
      <w:r>
        <w:rPr>
          <w:rFonts w:eastAsia="SimSun" w:hint="cs"/>
          <w:sz w:val="22"/>
          <w:szCs w:val="24"/>
          <w:rtl/>
          <w:lang w:eastAsia="zh-TW"/>
        </w:rPr>
        <w:t xml:space="preserve"> (</w:t>
      </w:r>
      <w:r>
        <w:rPr>
          <w:rFonts w:eastAsia="SimSun"/>
          <w:szCs w:val="20"/>
          <w:lang w:eastAsia="zh-TW"/>
        </w:rPr>
        <w:t>UNEP/FAO/RC/CRC.17/8/Rev.1</w:t>
      </w:r>
      <w:r>
        <w:rPr>
          <w:rFonts w:eastAsia="SimSun" w:hint="cs"/>
          <w:sz w:val="22"/>
          <w:szCs w:val="24"/>
          <w:rtl/>
          <w:lang w:eastAsia="zh-TW"/>
        </w:rPr>
        <w:t>، الفرع 1-3 من الإخطار المقدم من موزامبيق؛ و</w:t>
      </w:r>
      <w:r>
        <w:rPr>
          <w:rFonts w:eastAsia="SimSun"/>
          <w:szCs w:val="20"/>
          <w:lang w:eastAsia="zh-TW"/>
        </w:rPr>
        <w:t>UNEP/FAO/RC/CRC.17/INF/18</w:t>
      </w:r>
      <w:r>
        <w:rPr>
          <w:rFonts w:eastAsia="SimSun" w:hint="cs"/>
          <w:sz w:val="22"/>
          <w:szCs w:val="24"/>
          <w:rtl/>
          <w:lang w:eastAsia="zh-TW"/>
        </w:rPr>
        <w:t>، الصفحة 203). وتم تقييم هذه التركيبات وفقاً لمعيار الاجتماع المشترك بين منظمة الأغذية والزراعة ومنظمة الصحة العالمية بشأن إدارة مبيدات الآفات لتحديد مبيدات الآفات الشديدة الخطورة: تركيبات مبيدات الآفات التي تستوفي معايير الفئتين 1 (أ) أو 1 (ب) من التصنيف الذي أوصت به منظمة الصحة العالمية لمبيدات الآفات حسب المخاطر. وتم استخدام قيمة الجرعة المميتة لخمسين في المائة عن طريق الفم والجلد للتركيبات، على النحو المنصوص عليه في ملف التسجيل، كأساس للتصنيف. وكانت قيم الجرعة المميتة لخمسين في المائة للتركيبات متاحة أو كان بالإمكان تقديرها. وخلص إلى أن تركيبات التربوفوس شديدة الخطورة (الفئة 1 (أ)) وفقاً لمعايير الاجتماع المشترك بين منظمة الأغذية والزراعة ومنظمة الصحة العالمية بشأن إدارة مبيدات الآفات لمبيدات الآفات الشديدة الخطورة استناداً إلى التصنيف الذي أوصت به منظمة الصحة العالمية لمبيدات الآفات حسب المخاطر، وبالتالي تم اعتبارها على أنها مبيدات الآفات الشديدة الخطورة ووضعها في القائمة المختصرة.</w:t>
      </w:r>
    </w:p>
    <w:p w14:paraId="5127249A"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وخلال الخطوة الثانية من المشروع، أُجريت دراسة استقصائية للاستخدام في مناطق ونظم محاصيل مختارة في موزامبيق. وكان الهدف الرئيسي للدراسة استقصائية هو تحديد الظروف التي يجري فيها استخدام مبيدات الآفات في البلد ومساهمتها في المخاطر المحتملة على صحة البشر والبيئة.</w:t>
      </w:r>
    </w:p>
    <w:p w14:paraId="65B40BF9"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 xml:space="preserve">وكشفت الدراسات الاستقصائية (مقابلة مع 325 من مزارعي الكفاف) أن معظم المزارعين استخدموا مبيدات الآفات (95 في المائة)، وأن ظروف الاستخدام من المحتمل أن تؤدي إلى تعرض غير مبرر (مفرط). </w:t>
      </w:r>
      <w:r>
        <w:rPr>
          <w:rFonts w:eastAsia="SimSun" w:hint="cs"/>
          <w:sz w:val="22"/>
          <w:szCs w:val="24"/>
          <w:rtl/>
          <w:lang w:eastAsia="zh-TW"/>
        </w:rPr>
        <w:lastRenderedPageBreak/>
        <w:t>ولم يتلق نصف المزارعين الذين تمت مقابلتهم أي تدريب على استخدام مبيدات الآفات، وغالباً ما يفتقر النصف الآخر منهم، الذين تلقوا تدريباً، إلى فهم للمخاطر التي تنطوي عليها. وكان المزارعون يقومون برش محاصيل الخضروات 14 مرة على الأقل في كل موسم زراعة. واشتمل استخدام واحد من بين كل ثلاثة استخدامات على إحدى التركيبات المحتوية على مبيدات الآفات الشديدة الخطورة (استخدم ما يقرب من 30 في المائة من المزارعين الذين تمت مقابلتهم مبيدات الآفات الشديدة الخطورة).</w:t>
      </w:r>
    </w:p>
    <w:p w14:paraId="473C3C1A"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وبالإضافة إلى ذلك، لم يكن أي من المزارعين تقريباً (93 في المائة) يمتلكون أو يرتدون معدات حماية شخصية كافية، ولا يمتلكون سوى قطعة واحدة من معدات الحماية أو لا يمتلكون أي معدات حماية على الإطلاق. وكان 2 في المائة فقط من الذين يستخدمون مبيدات الآفات الشديدة الخطورة يرتدون معدات الحماية الشخصية المناسبة لحماية الجسم بالكامل. ولم يتلق حوالي نصف المزارعين أي تدريب على استخدام مبيدات الآفات. واستخدمت الغالبية العظمى من مستخدمي مبيدات الآفات الرشاشات اليدوية (36 في المائة)، وتلتها الرشاشات الكهربائية (التي تعمل بالبطاريات) (33 في المائة) والمعدات غير الملائمة مثل علب الري (13.5 في المائة) أو وسائل أخرى (غير معروفة) (12.5 في المائة). وأبلغ ما يقرب من نصف المزارعين الذين شملتهم الدراسة الاستقصائية أنهم لاحظوا وصول المبيدات الحشرية إلى ملابسهم أو جلدهم أو عيونهم أثناء الاستخدام. وكانت الأعراض الصحية الرئيسية المرتبطة باستخدام مبيدات الآفات من قبل المزارعين الذين لاحظوا الأعراض هي الصداع والطفح الجلدي وحرق العينين والقيء وحرق في الخياشيم وعدم وضوح الرؤية والدوخة والتعرق المفرط. وأعلن ما يقرب من نصف المزارعين أنهم لا يقرؤون الملصقات الموضوعة على المبيدات، بما في ذلك تعليمات الاستخدام مثل الجرعات السليمة وتدابير الحماية، ويرجع السبب الرئيسي في ذلك إلى الأمية. ولم يفهم واحد من كل أربعة مزارعين بشكل جيد نطاق ألوان الأخطار الموجودة على الملصقات الموضوعة على مبيدات الآفات التي تشير إلى السمية الحادة.</w:t>
      </w:r>
    </w:p>
    <w:p w14:paraId="6CDA99D1"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وأظهرت نتائج الدراسة الاستقصائية أن من المرجح أن يؤدي استخدام مبيدات الآفات بشكل عام، ومبيدات الآفات الشديدة الخطورة بشكل خاص، إلى تعرض المزارعين بشكل مفرط في موزامبيق. ولذلك، فإن فرض تدابير تخفيف المخاطر التي تعتمد على ارتداء معدات الحماية الشخصية المناسبة فقط في ظل ظروف الاستخدام المحلية سيكون صعباً ومن غير المرجح أن يحقق نتائج.</w:t>
      </w:r>
    </w:p>
    <w:p w14:paraId="194BE81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وتضمنت الخطوة الثالثة من المشروع التشاور مع أصحاب المصلحة لمواصلة مناقشة استخدام مبيدات الآفات الشديدة الخطورة ومخاطرها في موزامبيق وتحسين القائمة المختصرة بناءً على نتائج الدراسة الاستقصائية وخبرة وتجربة أصحاب المصلحة.</w:t>
      </w:r>
    </w:p>
    <w:p w14:paraId="10140CF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واعتبر التربوفوس والمنتجات المحتوية على هذا المكون النشط تؤدي إلى مخاطر غير مقبولة على صحة البشر في الظروف المحلية للاستخدام في موزامبيق التي تتطلب تدابير تخفيف المخاطر. ولذلك، قررت السلطات حظر استخدام مكون التربوفوس النشط في المستقبل في البلد وإلغاء تسجيل جميع المنتجات المحتوية عليه (</w:t>
      </w:r>
      <w:r>
        <w:rPr>
          <w:rFonts w:eastAsia="SimSun"/>
          <w:szCs w:val="20"/>
          <w:lang w:eastAsia="zh-TW"/>
        </w:rPr>
        <w:t>UNEP/FAO/RC/CRC.17/8/Rev.1</w:t>
      </w:r>
      <w:r>
        <w:rPr>
          <w:rFonts w:eastAsia="SimSun" w:hint="cs"/>
          <w:sz w:val="22"/>
          <w:szCs w:val="24"/>
          <w:rtl/>
          <w:lang w:eastAsia="zh-TW"/>
        </w:rPr>
        <w:t>، الفرعان 3-1 و2-4-2-1 من الإخطار المقدم من موزامبيق، مع التركيز على معلومات خاصة بالتربوفوس كما هو وارد في الوثائق الداعمة).</w:t>
      </w:r>
    </w:p>
    <w:p w14:paraId="6C42C35C"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sz w:val="22"/>
          <w:szCs w:val="24"/>
          <w:lang w:eastAsia="zh-TW"/>
        </w:rPr>
      </w:pPr>
      <w:r>
        <w:rPr>
          <w:rFonts w:eastAsia="SimSun" w:hint="cs"/>
          <w:sz w:val="22"/>
          <w:szCs w:val="24"/>
          <w:rtl/>
          <w:lang w:eastAsia="zh-TW"/>
        </w:rPr>
        <w:t>وعلى الرغم من أن المعلومات المحددة المتعلقة بالتعرض الفعلي أو المقاس للعمال الزراعيين للتربوفوس في موزامبيق لم تدرج كجزء من تقييم المخاطر، فإن الإخطار والوثائق الداعمة توفر تقييماً للظروف السائدة</w:t>
      </w:r>
      <w:r>
        <w:rPr>
          <w:rFonts w:eastAsia="SimSun" w:hint="cs"/>
          <w:sz w:val="22"/>
          <w:szCs w:val="24"/>
          <w:rtl/>
          <w:lang w:eastAsia="zh-TW"/>
        </w:rPr>
        <w:br/>
        <w:t>لاستخدام مبيدات الآفات في موزامبيق. وفي حين لم تُسجل واردات من التربوفوس إلى موزامبيق في فترة السنوات الأربع (2010-2013) السابقة للفترة التي غطتها الدراسة الاستقصائية للمستخدمين وخلال فترة الدراسة نفسها،</w:t>
      </w:r>
      <w:r>
        <w:rPr>
          <w:rFonts w:eastAsia="SimSun" w:hint="cs"/>
          <w:sz w:val="22"/>
          <w:szCs w:val="24"/>
          <w:rtl/>
          <w:lang w:eastAsia="zh-TW"/>
        </w:rPr>
        <w:br/>
      </w:r>
      <w:r>
        <w:rPr>
          <w:rFonts w:eastAsia="SimSun" w:hint="cs"/>
          <w:sz w:val="22"/>
          <w:szCs w:val="24"/>
          <w:rtl/>
          <w:lang w:eastAsia="zh-TW"/>
        </w:rPr>
        <w:lastRenderedPageBreak/>
        <w:t>فقد ظلت تسجيلات هذه للتركيبات قائمة ولذلك لا يمكن استبعاد استخدامها في المستقبل (</w:t>
      </w:r>
      <w:r>
        <w:rPr>
          <w:rFonts w:eastAsia="SimSun"/>
          <w:szCs w:val="20"/>
          <w:lang w:eastAsia="zh-TW"/>
        </w:rPr>
        <w:t>UNEP/FAO/RC/CRC.17/INF/18</w:t>
      </w:r>
      <w:r>
        <w:rPr>
          <w:rFonts w:eastAsia="SimSun" w:hint="cs"/>
          <w:sz w:val="22"/>
          <w:szCs w:val="24"/>
          <w:rtl/>
          <w:lang w:eastAsia="zh-TW"/>
        </w:rPr>
        <w:t>، الصفحة 33). وكانت الاستخدامات المسجلة لتركيبات التربوفوس هي للذرة والذرة الرفيعة والبطاطا والفاصولياء. وأُدرجت نظم هذه المحاصيل في دراسة استقصائية أجريت للمستخدمين، وشملت المحاصيل السائدة في ثلاث من مناطق موزامبيق التي شملتها الدراسة الاستقصائية. وبالإضافة إلى ذلك، تم الإبلاغ عن محاصيل الخضروات على أنها المحاصيل التي يتم رشها بشكل مفرط بمبيدات الآفات الشديدة الخطورة، مما يشكل خطراً على صحة البشر نظراً لظروف الاستخدام المحلية (يصل الاستخدام إلى 14 مرة لكل موسم زراعة) (</w:t>
      </w:r>
      <w:r>
        <w:rPr>
          <w:rFonts w:eastAsia="SimSun"/>
          <w:szCs w:val="20"/>
          <w:lang w:eastAsia="zh-TW"/>
        </w:rPr>
        <w:t>UNEP/FAO/RC/CRC.17/INF/18</w:t>
      </w:r>
      <w:r>
        <w:rPr>
          <w:rFonts w:eastAsia="SimSun" w:hint="cs"/>
          <w:sz w:val="22"/>
          <w:szCs w:val="24"/>
          <w:rtl/>
          <w:lang w:eastAsia="zh-TW"/>
        </w:rPr>
        <w:t>، الصفحات 52-77). ويشير الإخطار والوثائق الداعمة إلى أنه من المحتمل أن يؤدي استخدام مبيدات الآفات بشكل عام، ومبيدات الآفات الشديدة الخطورة (مثل التربوفوس) بشكل خاص، إلى التعرض المفرط للمزارعين بالنظر إلى عدم توافر معدات الحماية الشخصية والمعرفة بشأنها واستخدامها بين المزارعين، وثبت ذلك من خلال ارتفاع مستوى الإبلاغ عن الآثار الصحية الضارة. وقد اتُخذ الإجراء التنظيمي النهائي نتيجة لهدف موزامبيق الوطني المتمثل في الحد من أكبر المخاطر المرتبطة باستخدام مبيدات الآفات.</w:t>
      </w:r>
    </w:p>
    <w:p w14:paraId="584D99E1"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sz w:val="22"/>
          <w:szCs w:val="24"/>
          <w:lang w:eastAsia="zh-TW"/>
        </w:rPr>
      </w:pPr>
      <w:r>
        <w:rPr>
          <w:rFonts w:eastAsia="SimSun" w:hint="cs"/>
          <w:sz w:val="22"/>
          <w:szCs w:val="24"/>
          <w:rtl/>
          <w:lang w:eastAsia="zh-TW"/>
        </w:rPr>
        <w:t>ويمكن اعتبار هدف موزامبيق المتمثل في وضع وتنفيذ ’’خطة عمل للحد من مخاطر مبيدات الآفات الشديدة الخطورة‘‘ سياسة وطنية تقضي بعدم تسجيل مبيدات الآفات الشديدة الخطورة على أساس أن يكون مفهوماً أن ظروف الاستخدام السائدة في موزامبيق ستؤدي إلى مخاطر غير مقبولة على العمال الزراعيين. وحُدد التربوفوس وتركيبات التربوفوس المسجلة في موزامبيق على أنها مبيدات الآفات الشديدة الخطورة حيث تم تصنيفها على أنها من مواد الفئة 1ألف لمنظمة الصحة العالمية مبيدات الآفات الشديدة الخطورة. ولذلك، مع الأخذ في الاعتبار الهدف الوطني لموزامبيق المتمثل في الحد من مخاطر أخطر مبيدات الآفات بما في ذلك مبيدات الآفات الشديدة الخطورة، ونتائج الدراسة الاستقصائية لممارسات استخدام مبيدات الآفات في نظم محاصيل مختارة في موزامبيق، (بعضها ممثل لاستخدام محتمل للتربوفوس)، والتي تضمنت الخلوص إلى عدم توافر واستخدام معدات الحماية الشخصية بشكل كافٍ والسمية الحادة العالية للتربوفوس (تصنيف منظمة الصحة العالمية للمخاطر 1ألف - شديد الخطورة)، استنتج أن الإجراء التنظيمي النهائي استند إلى تقييم للمخاطر شمل الظروف السائدة لدى الطرف الذي اتخذ الإجراء.</w:t>
      </w:r>
    </w:p>
    <w:p w14:paraId="34153783"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(ب) ’3‘ من المرفق الثاني قد استوفي.</w:t>
      </w:r>
    </w:p>
    <w:p w14:paraId="2CFF7036"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وتؤكد اللجنة أن المعايير الواردة في الفقرة (ب) من المرفق الثاني قد استوفيت.</w:t>
      </w:r>
    </w:p>
    <w:p w14:paraId="5E80965E"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(د)</w:t>
      </w:r>
      <w:r>
        <w:rPr>
          <w:rFonts w:ascii="Times New Roman" w:hAnsi="Times New Roman" w:hint="cs"/>
          <w:b/>
          <w:bCs/>
          <w:sz w:val="22"/>
          <w:rtl/>
        </w:rPr>
        <w:tab/>
        <w:t>المعايير الواردة في الفقرة (ج) من المرفق الثاني</w:t>
      </w:r>
    </w:p>
    <w:p w14:paraId="06156A52"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(ج)</w:t>
      </w:r>
      <w:r>
        <w:rPr>
          <w:rFonts w:eastAsia="SimSun" w:hint="cs"/>
          <w:i/>
          <w:iCs/>
          <w:sz w:val="22"/>
          <w:szCs w:val="24"/>
          <w:rtl/>
          <w:lang w:val="en-GB" w:eastAsia="zh-TW"/>
        </w:rPr>
        <w:tab/>
        <w:t>النظر فيما إذا كان الإجراء التنظيمي النهائي يوفر أساساً عريضاً بما يكفي لتبرير إدراج المادة الكيميائية في المرفق ‏الثالث، وذلك بمراعاة ما يلي:</w:t>
      </w:r>
    </w:p>
    <w:p w14:paraId="7E9C7AEA"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’1‘</w:t>
      </w:r>
      <w:r>
        <w:rPr>
          <w:rFonts w:eastAsia="SimSun" w:hint="cs"/>
          <w:i/>
          <w:iCs/>
          <w:sz w:val="22"/>
          <w:szCs w:val="24"/>
          <w:rtl/>
          <w:lang w:val="en-GB" w:eastAsia="zh-TW"/>
        </w:rPr>
        <w:tab/>
        <w:t>ما إذا كان الإجراء التنظيمي النهائي قد أدى، أو من المتوقع أن يؤدي، إلى تخفيض كبير في كمية المادة ‏الكيميائية المستخدمة، أو عدد استخداماتها؛</w:t>
      </w:r>
    </w:p>
    <w:p w14:paraId="54246CE0"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يشير الإخطار إلى أنه قبل دخول الإجراء التنظيمي حيز التنفيذ في 15 تموز/تقييم شمل 2014، كان التربوفوس مسجلاً لاستخدامه كمبيد حشري على الذرة والذرة الرفيعة والبطاطا والفاصولياء. كما يقدم الإخطار كميات التركيبات المستوردة لعامي 2008 (650 4 كغم) و2009 (750 6 كغم) (</w:t>
      </w:r>
      <w:r>
        <w:rPr>
          <w:rFonts w:eastAsia="SimSun"/>
          <w:szCs w:val="20"/>
          <w:lang w:eastAsia="zh-TW"/>
        </w:rPr>
        <w:t>UNEP/FAO/RC/CRC.17/8/Rev.1</w:t>
      </w:r>
      <w:r>
        <w:rPr>
          <w:rFonts w:eastAsia="SimSun" w:hint="cs"/>
          <w:sz w:val="22"/>
          <w:szCs w:val="24"/>
          <w:rtl/>
          <w:lang w:eastAsia="zh-TW"/>
        </w:rPr>
        <w:t>، الفرعان 2-3-1 و2-5-1 من الإخطار المقدم من موزامبيق).</w:t>
      </w:r>
    </w:p>
    <w:p w14:paraId="1471AF9C"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lastRenderedPageBreak/>
        <w:t>وحظر الإجراء التنظيمي النهائي استيراد التربوفوس واستخدامه في موزامبيق وألغى تسجيل جميع المنتجات المحتوية على التربوفوس. ولذلك، من المتوقع أن يؤدي الإجراء التنظيمي إلى تخفيض كبير في كمية المادة الكيميائية المستخدمة في موزامبيق.</w:t>
      </w:r>
    </w:p>
    <w:p w14:paraId="686AAC2A"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(ج) ’1‘ قد استوفي.</w:t>
      </w:r>
    </w:p>
    <w:p w14:paraId="5F5BC5CF"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’2‘</w:t>
      </w:r>
      <w:r>
        <w:rPr>
          <w:rFonts w:eastAsia="SimSun" w:hint="cs"/>
          <w:i/>
          <w:iCs/>
          <w:sz w:val="22"/>
          <w:szCs w:val="24"/>
          <w:rtl/>
          <w:lang w:val="en-GB" w:eastAsia="zh-TW"/>
        </w:rPr>
        <w:tab/>
        <w:t>ما إذا كان الإجراء التنظيمي النهائي قد أدى إلى خفض فعلي للمخاطر، أو يتوقع أن يسفر عن خفض كبير ‏للمخاطر على صحة البشر أو البيئة لدى الطرف الذي قدم الإخطار؛</w:t>
      </w:r>
    </w:p>
    <w:p w14:paraId="5EC08E62"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بالنظر إلى أنه من المتوقع أن يؤدي حظر استيراد المنتجات المحتوية على التربوفوس واستخدامها وإلغاء تسجيلها إلى تخفيض كبير في كمية المادة الكيميائية المستخدمة في موزامبيق، فمن المتوقع أن تنخفض المخاطر على صحة البشر بشكل كبير.</w:t>
      </w:r>
    </w:p>
    <w:p w14:paraId="1C232CE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(ج) ’2‘ قد استوفي.</w:t>
      </w:r>
    </w:p>
    <w:p w14:paraId="0C7F6C73"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’3‘</w:t>
      </w:r>
      <w:r>
        <w:rPr>
          <w:rFonts w:eastAsia="SimSun" w:hint="cs"/>
          <w:i/>
          <w:iCs/>
          <w:sz w:val="22"/>
          <w:szCs w:val="24"/>
          <w:rtl/>
          <w:lang w:val="en-GB" w:eastAsia="zh-TW"/>
        </w:rPr>
        <w:tab/>
        <w:t>ما إذا كانت الاعتبارات التي أدت إلى اتخاذ الإجراء التنظيمي النهائي غير منطبقة سوى على منطقة جغرافية ‏محدودة، أو في ظروف محدودة أخرى؛</w:t>
      </w:r>
    </w:p>
    <w:p w14:paraId="0F701DE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يذكر الإخطار أن البلدان التي لديها ظروف مماثلة وكذلك تلك التي يستخدم فيها المزارعون مبيدات الآفات بدون معدات الحماية الشخصية يمكن أن تتخذ قراراً مماثلاً من أجل حماية صحة البشر (</w:t>
      </w:r>
      <w:r>
        <w:rPr>
          <w:rFonts w:eastAsia="SimSun"/>
          <w:szCs w:val="20"/>
          <w:lang w:eastAsia="zh-TW"/>
        </w:rPr>
        <w:t>UNEP/FAO/RC/CRC.17/8/Rev.1</w:t>
      </w:r>
      <w:r>
        <w:rPr>
          <w:rFonts w:eastAsia="SimSun" w:hint="cs"/>
          <w:sz w:val="22"/>
          <w:szCs w:val="24"/>
          <w:rtl/>
          <w:lang w:eastAsia="zh-TW"/>
        </w:rPr>
        <w:t>، الفرع 2-5-2 من الإخطار المقدم من موزامبيق). والاعتبارات التي أدت إلى الإجراء التنظيمي النهائي تنطبق بشكل عام على البلدان الأخرى وتتعلق بالاستخدام المقصود للتربوفوس كمبيد للآفات.</w:t>
      </w:r>
    </w:p>
    <w:p w14:paraId="5B38854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ولذلك تؤكد اللجنة أن المعيار الوارد في الفقرة (ج) ’3‘ قد استوفي.</w:t>
      </w:r>
    </w:p>
    <w:p w14:paraId="225EDF60" w14:textId="77777777" w:rsidR="00FD3651" w:rsidRDefault="00FD3651" w:rsidP="00FD3651">
      <w:pPr>
        <w:tabs>
          <w:tab w:val="left" w:pos="1842"/>
        </w:tabs>
        <w:spacing w:after="120" w:line="360" w:lineRule="exact"/>
        <w:ind w:left="2551" w:hanging="709"/>
        <w:jc w:val="both"/>
        <w:rPr>
          <w:rFonts w:eastAsia="SimSun" w:hint="cs"/>
          <w:i/>
          <w:iCs/>
          <w:sz w:val="22"/>
          <w:szCs w:val="24"/>
          <w:rtl/>
          <w:lang w:val="en-GB" w:eastAsia="zh-TW"/>
        </w:rPr>
      </w:pPr>
      <w:r>
        <w:rPr>
          <w:rFonts w:eastAsia="SimSun" w:hint="cs"/>
          <w:i/>
          <w:iCs/>
          <w:sz w:val="22"/>
          <w:szCs w:val="24"/>
          <w:rtl/>
          <w:lang w:val="en-GB" w:eastAsia="zh-TW"/>
        </w:rPr>
        <w:t>’4‘</w:t>
      </w:r>
      <w:r>
        <w:rPr>
          <w:rFonts w:eastAsia="SimSun" w:hint="cs"/>
          <w:i/>
          <w:iCs/>
          <w:sz w:val="22"/>
          <w:szCs w:val="24"/>
          <w:rtl/>
          <w:lang w:val="en-GB" w:eastAsia="zh-TW"/>
        </w:rPr>
        <w:tab/>
        <w:t>ما إذا كان هناك دليل على استمرار التداول التجاري في المادة الكيميائية على الصعيد الدولي؛</w:t>
      </w:r>
    </w:p>
    <w:p w14:paraId="2CAC17C7"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 xml:space="preserve">استجابة لطلب الأمانة تقديم معلومات عن استمرار التجارة الدولية الجارية للمواد الكيميائية المرشحة </w:t>
      </w:r>
      <w:r>
        <w:rPr>
          <w:rFonts w:hint="cs"/>
          <w:sz w:val="22"/>
          <w:szCs w:val="24"/>
          <w:rtl/>
          <w:lang w:eastAsia="zh-TW"/>
        </w:rPr>
        <w:t>إلى اللجنة ‏في اجتماعها السابع عشر</w:t>
      </w:r>
      <w:r>
        <w:rPr>
          <w:rFonts w:eastAsia="SimSun" w:hint="cs"/>
          <w:sz w:val="22"/>
          <w:szCs w:val="24"/>
          <w:rtl/>
          <w:lang w:eastAsia="zh-TW"/>
        </w:rPr>
        <w:t xml:space="preserve">، أكدت منظمة كروبلايف الدولية التجارة الدولية الجارية للتربوفوس من جانب شركات ليست أعضاء في منظمة كروبلايف الدولية </w:t>
      </w:r>
      <w:r>
        <w:rPr>
          <w:rFonts w:eastAsia="SimSun"/>
          <w:sz w:val="22"/>
          <w:szCs w:val="24"/>
          <w:lang w:eastAsia="zh-TW"/>
        </w:rPr>
        <w:t>(</w:t>
      </w:r>
      <w:r>
        <w:rPr>
          <w:rFonts w:eastAsia="SimSun"/>
          <w:szCs w:val="20"/>
          <w:lang w:eastAsia="zh-TW"/>
        </w:rPr>
        <w:t>UNEP/FAO/RC/CRC.17/INF/5</w:t>
      </w:r>
      <w:r>
        <w:rPr>
          <w:rFonts w:eastAsia="SimSun"/>
          <w:sz w:val="22"/>
          <w:szCs w:val="24"/>
          <w:lang w:eastAsia="zh-TW"/>
        </w:rPr>
        <w:t>)</w:t>
      </w:r>
      <w:r>
        <w:rPr>
          <w:rFonts w:eastAsia="SimSun" w:hint="cs"/>
          <w:sz w:val="22"/>
          <w:szCs w:val="24"/>
          <w:rtl/>
          <w:lang w:eastAsia="zh-TW"/>
        </w:rPr>
        <w:t>.</w:t>
      </w:r>
    </w:p>
    <w:p w14:paraId="61190615"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sz w:val="22"/>
          <w:szCs w:val="24"/>
          <w:lang w:eastAsia="zh-TW"/>
        </w:rPr>
      </w:pPr>
      <w:r>
        <w:rPr>
          <w:rFonts w:eastAsia="SimSun" w:hint="cs"/>
          <w:sz w:val="22"/>
          <w:szCs w:val="24"/>
          <w:rtl/>
          <w:lang w:eastAsia="zh-TW"/>
        </w:rPr>
        <w:t>ولذلك تؤكد اللجنة أن المعيار الوارد في الفقرة (ج) ’4‘ قد استوفي.</w:t>
      </w:r>
    </w:p>
    <w:p w14:paraId="180B36D6"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وتؤكد اللجنة أن المعايير الواردة في الفقرة (ج) من المرفق الثاني قد استوفيت.</w:t>
      </w:r>
    </w:p>
    <w:p w14:paraId="0143761B" w14:textId="77777777" w:rsidR="00FD3651" w:rsidRDefault="00FD3651" w:rsidP="00FD3651">
      <w:pPr>
        <w:pStyle w:val="Heading2"/>
        <w:keepNext/>
        <w:keepLines/>
        <w:rPr>
          <w:rFonts w:ascii="Times New Roman" w:hAnsi="Times New Roman" w:hint="cs"/>
          <w:b/>
          <w:bCs/>
          <w:sz w:val="22"/>
          <w:rtl/>
        </w:rPr>
      </w:pPr>
      <w:r>
        <w:rPr>
          <w:rFonts w:ascii="Times New Roman" w:hAnsi="Times New Roman" w:hint="cs"/>
          <w:b/>
          <w:bCs/>
          <w:sz w:val="22"/>
          <w:rtl/>
        </w:rPr>
        <w:t>(هـ)</w:t>
      </w:r>
      <w:r>
        <w:rPr>
          <w:rFonts w:ascii="Times New Roman" w:hAnsi="Times New Roman" w:hint="cs"/>
          <w:b/>
          <w:bCs/>
          <w:sz w:val="22"/>
          <w:rtl/>
        </w:rPr>
        <w:tab/>
        <w:t>معيار الوارد في الفقرة (د) من المرفق الثاني</w:t>
      </w:r>
    </w:p>
    <w:p w14:paraId="14168C6E" w14:textId="77777777" w:rsidR="00FD3651" w:rsidRDefault="00FD3651" w:rsidP="00FD3651">
      <w:pPr>
        <w:tabs>
          <w:tab w:val="left" w:pos="1842"/>
        </w:tabs>
        <w:spacing w:after="120" w:line="360" w:lineRule="exact"/>
        <w:ind w:left="1133" w:firstLine="709"/>
        <w:jc w:val="both"/>
        <w:rPr>
          <w:rFonts w:eastAsia="SimSun" w:hint="cs"/>
          <w:i/>
          <w:iCs/>
          <w:sz w:val="22"/>
          <w:szCs w:val="24"/>
          <w:rtl/>
          <w:lang w:val="en-GB" w:eastAsia="zh-TW"/>
        </w:rPr>
      </w:pPr>
      <w:r>
        <w:rPr>
          <w:rFonts w:eastAsia="SimSun" w:hint="cs"/>
          <w:i/>
          <w:iCs/>
          <w:sz w:val="22"/>
          <w:szCs w:val="24"/>
          <w:rtl/>
          <w:lang w:val="en-GB" w:eastAsia="zh-TW"/>
        </w:rPr>
        <w:t>(د)</w:t>
      </w:r>
      <w:r>
        <w:rPr>
          <w:rFonts w:eastAsia="SimSun" w:hint="cs"/>
          <w:i/>
          <w:iCs/>
          <w:sz w:val="22"/>
          <w:szCs w:val="24"/>
          <w:rtl/>
          <w:lang w:val="en-GB" w:eastAsia="zh-TW"/>
        </w:rPr>
        <w:tab/>
        <w:t>أن يؤخذ في الاعتبار أن إساءة الاستخدام المتعمدة لا تشكل بحد ذاتها سبباً كافياً لإدراج المادة الكيميائية في المرفق الثالث.</w:t>
      </w:r>
    </w:p>
    <w:p w14:paraId="4016084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لا يوجد في الإخطار ما يشير إلى أن الإجراء التنظيمي اتُّخذ مخافة إساءة الاستخدام المتعمدة للمادة.</w:t>
      </w:r>
    </w:p>
    <w:p w14:paraId="2848EA4B"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وعلى أساس النقطة المذكورة أعلاه، تؤكد اللجنة أن المعيار الوارد في الفقرة (د) من المرفق الثاني قد استوفي.</w:t>
      </w:r>
    </w:p>
    <w:p w14:paraId="10511485" w14:textId="77777777" w:rsidR="00FD3651" w:rsidRDefault="00FD3651" w:rsidP="00FD3651">
      <w:pPr>
        <w:pStyle w:val="Heading2"/>
        <w:rPr>
          <w:rFonts w:ascii="Times New Roman" w:hAnsi="Times New Roman" w:hint="cs"/>
          <w:b/>
          <w:bCs/>
          <w:sz w:val="22"/>
          <w:rtl/>
        </w:rPr>
      </w:pPr>
      <w:r>
        <w:rPr>
          <w:rFonts w:ascii="Times New Roman" w:hAnsi="Times New Roman" w:hint="cs"/>
          <w:b/>
          <w:bCs/>
          <w:sz w:val="22"/>
          <w:rtl/>
        </w:rPr>
        <w:t>(و)</w:t>
      </w:r>
      <w:r>
        <w:rPr>
          <w:rFonts w:ascii="Times New Roman" w:hAnsi="Times New Roman" w:hint="cs"/>
          <w:b/>
          <w:bCs/>
          <w:sz w:val="22"/>
          <w:rtl/>
        </w:rPr>
        <w:tab/>
        <w:t>الاستنتاج</w:t>
      </w:r>
    </w:p>
    <w:p w14:paraId="118CDA8E"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lastRenderedPageBreak/>
        <w:t>تستنتج اللجنة أن الإخطار بالإجراء التنظيمي النهائي المقدم من موزامبيق يستوفي المعايير الواردة في المرفق الثاني للاتفاقية.</w:t>
      </w:r>
    </w:p>
    <w:p w14:paraId="63A941D1" w14:textId="77777777" w:rsidR="00FD3651" w:rsidRDefault="00FD3651" w:rsidP="00FD3651">
      <w:pPr>
        <w:pStyle w:val="Heading2"/>
        <w:rPr>
          <w:rFonts w:ascii="Times New Roman" w:hAnsi="Times New Roman" w:hint="cs"/>
          <w:b/>
          <w:bCs/>
          <w:sz w:val="26"/>
          <w:szCs w:val="26"/>
          <w:rtl/>
        </w:rPr>
      </w:pPr>
      <w:r>
        <w:rPr>
          <w:rFonts w:ascii="Times New Roman" w:hAnsi="Times New Roman" w:hint="cs"/>
          <w:b/>
          <w:bCs/>
          <w:sz w:val="26"/>
          <w:szCs w:val="26"/>
          <w:rtl/>
        </w:rPr>
        <w:t>ثالثاً-</w:t>
      </w:r>
      <w:r>
        <w:rPr>
          <w:rFonts w:ascii="Times New Roman" w:hAnsi="Times New Roman" w:hint="cs"/>
          <w:b/>
          <w:bCs/>
          <w:sz w:val="26"/>
          <w:szCs w:val="26"/>
          <w:rtl/>
        </w:rPr>
        <w:tab/>
        <w:t>الاستنتاج</w:t>
      </w:r>
    </w:p>
    <w:p w14:paraId="6F4ECCA9" w14:textId="77777777" w:rsidR="00FD3651" w:rsidRDefault="00FD3651" w:rsidP="00FD3651">
      <w:pPr>
        <w:pStyle w:val="ListParagraph"/>
        <w:numPr>
          <w:ilvl w:val="0"/>
          <w:numId w:val="23"/>
        </w:numPr>
        <w:tabs>
          <w:tab w:val="left" w:pos="1842"/>
        </w:tabs>
        <w:bidi/>
        <w:spacing w:after="120" w:line="360" w:lineRule="exact"/>
        <w:ind w:left="1133" w:firstLine="0"/>
        <w:jc w:val="both"/>
        <w:rPr>
          <w:rFonts w:eastAsia="SimSun" w:hint="cs"/>
          <w:sz w:val="22"/>
          <w:szCs w:val="24"/>
          <w:rtl/>
          <w:lang w:eastAsia="zh-TW"/>
        </w:rPr>
      </w:pPr>
      <w:r>
        <w:rPr>
          <w:rFonts w:eastAsia="SimSun" w:hint="cs"/>
          <w:sz w:val="22"/>
          <w:szCs w:val="24"/>
          <w:rtl/>
          <w:lang w:eastAsia="zh-TW"/>
        </w:rPr>
        <w:t>تستنتج اللجنة أن إخطاري الإجراء التنظيمي النهائي المقدمين من كندا وموزامبيق يستوفيان جميع المعايير الواردة في المرفق الثاني للاتفاقية.</w:t>
      </w:r>
    </w:p>
    <w:p w14:paraId="5383B06E" w14:textId="0023525E" w:rsidR="00F935A6" w:rsidRPr="00FD3651" w:rsidRDefault="00FD3651" w:rsidP="009F4AC1">
      <w:pPr>
        <w:pStyle w:val="ListParagraph"/>
        <w:numPr>
          <w:ilvl w:val="0"/>
          <w:numId w:val="23"/>
        </w:numPr>
        <w:tabs>
          <w:tab w:val="left" w:pos="1842"/>
        </w:tabs>
        <w:bidi/>
        <w:spacing w:after="120" w:line="360" w:lineRule="exact"/>
        <w:ind w:left="1133" w:firstLine="0"/>
        <w:jc w:val="both"/>
      </w:pPr>
      <w:r w:rsidRPr="00FD3651">
        <w:rPr>
          <w:rFonts w:eastAsia="SimSun" w:hint="cs"/>
          <w:sz w:val="22"/>
          <w:szCs w:val="24"/>
          <w:rtl/>
          <w:lang w:eastAsia="zh-TW"/>
        </w:rPr>
        <w:t>وتستنج اللجنة أيضاً أن الإجراءات التنظيمية النهائية التي اتخذتها كندا وموزامبيق توفر أساساً كافياً لإدراج التربوفوس في المرفق الثالث للاتفاقية ضمن فئة مبيدات الآفات، وأنه ينبغي صياغة وثيقة توجيه القرارات على أساس الإخطارين.</w:t>
      </w:r>
    </w:p>
    <w:sectPr w:rsidR="00F935A6" w:rsidRPr="00FD3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606C" w14:textId="77777777" w:rsidR="00EE0475" w:rsidRDefault="00EE0475" w:rsidP="00A25AA2">
      <w:r>
        <w:separator/>
      </w:r>
    </w:p>
  </w:endnote>
  <w:endnote w:type="continuationSeparator" w:id="0">
    <w:p w14:paraId="0D8E39EA" w14:textId="77777777" w:rsidR="00EE0475" w:rsidRDefault="00EE0475" w:rsidP="00A2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2F2C" w14:textId="77777777" w:rsidR="00EE0475" w:rsidRDefault="00EE0475" w:rsidP="00A25AA2">
      <w:r>
        <w:separator/>
      </w:r>
    </w:p>
  </w:footnote>
  <w:footnote w:type="continuationSeparator" w:id="0">
    <w:p w14:paraId="1F61ACEB" w14:textId="77777777" w:rsidR="00EE0475" w:rsidRDefault="00EE0475" w:rsidP="00A25AA2">
      <w:r>
        <w:continuationSeparator/>
      </w:r>
    </w:p>
  </w:footnote>
  <w:footnote w:id="1">
    <w:p w14:paraId="64A251B6" w14:textId="77777777" w:rsidR="00FD3651" w:rsidRDefault="00FD3651" w:rsidP="00FD3651">
      <w:pPr>
        <w:pStyle w:val="FootnoteText"/>
        <w:spacing w:after="40" w:line="280" w:lineRule="exact"/>
        <w:ind w:left="1134"/>
        <w:jc w:val="both"/>
        <w:rPr>
          <w:rFonts w:eastAsia="Times New Roman"/>
          <w:sz w:val="20"/>
          <w:szCs w:val="20"/>
          <w:lang w:eastAsia="en-US"/>
        </w:rPr>
      </w:pPr>
      <w:r>
        <w:rPr>
          <w:rFonts w:hint="cs"/>
          <w:rtl/>
        </w:rPr>
        <w:t>(</w:t>
      </w:r>
      <w:r>
        <w:footnoteRef/>
      </w:r>
      <w:r>
        <w:rPr>
          <w:rFonts w:hint="cs"/>
          <w:rtl/>
        </w:rPr>
        <w:t xml:space="preserve">)  انظر </w:t>
      </w:r>
      <w:r>
        <w:rPr>
          <w:sz w:val="18"/>
          <w:szCs w:val="18"/>
        </w:rPr>
        <w:t>UNEP/FAO/RC/CRC.17/8/Rev.1</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D88"/>
    <w:multiLevelType w:val="hybridMultilevel"/>
    <w:tmpl w:val="C40C8690"/>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 w15:restartNumberingAfterBreak="0">
    <w:nsid w:val="0CE71CAB"/>
    <w:multiLevelType w:val="hybridMultilevel"/>
    <w:tmpl w:val="2ECA5CEE"/>
    <w:lvl w:ilvl="0" w:tplc="AB5EDC08">
      <w:start w:val="1"/>
      <w:numFmt w:val="decimal"/>
      <w:lvlText w:val="%1."/>
      <w:lvlJc w:val="left"/>
      <w:pPr>
        <w:ind w:left="1967" w:hanging="360"/>
      </w:pPr>
      <w:rPr>
        <w:rFonts w:hint="default"/>
        <w:strike w:val="0"/>
        <w:color w:val="auto"/>
      </w:rPr>
    </w:lvl>
    <w:lvl w:ilvl="1" w:tplc="87706EE4">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0F0D24D7"/>
    <w:multiLevelType w:val="hybridMultilevel"/>
    <w:tmpl w:val="C59C8F7E"/>
    <w:lvl w:ilvl="0" w:tplc="38DA5732">
      <w:start w:val="1"/>
      <w:numFmt w:val="lowerLetter"/>
      <w:lvlText w:val="(%1)"/>
      <w:lvlJc w:val="left"/>
      <w:pPr>
        <w:ind w:left="2160" w:hanging="360"/>
      </w:pPr>
      <w:rPr>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8B45855"/>
    <w:multiLevelType w:val="hybridMultilevel"/>
    <w:tmpl w:val="BF50D1B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1B571273"/>
    <w:multiLevelType w:val="hybridMultilevel"/>
    <w:tmpl w:val="E6865D98"/>
    <w:lvl w:ilvl="0" w:tplc="0FD842EC">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1D527706"/>
    <w:multiLevelType w:val="hybridMultilevel"/>
    <w:tmpl w:val="4F561DB8"/>
    <w:lvl w:ilvl="0" w:tplc="FFFFFFFF">
      <w:start w:val="1"/>
      <w:numFmt w:val="decimal"/>
      <w:lvlText w:val="%1-"/>
      <w:lvlJc w:val="left"/>
      <w:pPr>
        <w:ind w:left="1854" w:hanging="360"/>
      </w:pPr>
      <w:rPr>
        <w:rFonts w:ascii="Simplified Arabic" w:hAnsi="Simplified Arabic" w:cs="Simplified Arabic" w:hint="cs"/>
        <w:i w:val="0"/>
        <w:iCs w:val="0"/>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6" w15:restartNumberingAfterBreak="0">
    <w:nsid w:val="1E5C7876"/>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15:restartNumberingAfterBreak="0">
    <w:nsid w:val="2D4D18C2"/>
    <w:multiLevelType w:val="hybridMultilevel"/>
    <w:tmpl w:val="005E4DB2"/>
    <w:lvl w:ilvl="0" w:tplc="19F057C6">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E551F"/>
    <w:multiLevelType w:val="hybridMultilevel"/>
    <w:tmpl w:val="B37652F2"/>
    <w:lvl w:ilvl="0" w:tplc="7808369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B6A1608"/>
    <w:multiLevelType w:val="hybridMultilevel"/>
    <w:tmpl w:val="3ABCA136"/>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0" w15:restartNumberingAfterBreak="0">
    <w:nsid w:val="403D363E"/>
    <w:multiLevelType w:val="hybridMultilevel"/>
    <w:tmpl w:val="E6865D98"/>
    <w:lvl w:ilvl="0" w:tplc="0FD842EC">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48966CE4"/>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49145AEB"/>
    <w:multiLevelType w:val="hybridMultilevel"/>
    <w:tmpl w:val="3D88ECB2"/>
    <w:lvl w:ilvl="0" w:tplc="3AE4B722">
      <w:start w:val="1"/>
      <w:numFmt w:val="decimal"/>
      <w:lvlText w:val="%1-"/>
      <w:lvlJc w:val="left"/>
      <w:pPr>
        <w:ind w:left="1853" w:hanging="360"/>
      </w:pPr>
      <w:rPr>
        <w:rFonts w:cs="Traditional Arabic"/>
        <w:i w:val="0"/>
        <w:iCs w:val="0"/>
      </w:rPr>
    </w:lvl>
    <w:lvl w:ilvl="1" w:tplc="F4585394">
      <w:start w:val="1"/>
      <w:numFmt w:val="decimal"/>
      <w:lvlText w:val="%2-"/>
      <w:lvlJc w:val="left"/>
      <w:pPr>
        <w:ind w:left="2573" w:hanging="360"/>
      </w:pPr>
      <w:rPr>
        <w:rFonts w:ascii="Simplified Arabic" w:hAnsi="Simplified Arabic" w:cs="Simplified Arabic" w:hint="cs"/>
        <w:i w:val="0"/>
        <w:iCs w:val="0"/>
        <w:sz w:val="22"/>
        <w:szCs w:val="22"/>
      </w:rPr>
    </w:lvl>
    <w:lvl w:ilvl="2" w:tplc="1009001B">
      <w:start w:val="1"/>
      <w:numFmt w:val="lowerRoman"/>
      <w:lvlText w:val="%3."/>
      <w:lvlJc w:val="right"/>
      <w:pPr>
        <w:ind w:left="3293" w:hanging="180"/>
      </w:pPr>
    </w:lvl>
    <w:lvl w:ilvl="3" w:tplc="1009000F">
      <w:start w:val="1"/>
      <w:numFmt w:val="decimal"/>
      <w:lvlText w:val="%4."/>
      <w:lvlJc w:val="left"/>
      <w:pPr>
        <w:ind w:left="4013" w:hanging="360"/>
      </w:pPr>
    </w:lvl>
    <w:lvl w:ilvl="4" w:tplc="10090019">
      <w:start w:val="1"/>
      <w:numFmt w:val="lowerLetter"/>
      <w:lvlText w:val="%5."/>
      <w:lvlJc w:val="left"/>
      <w:pPr>
        <w:ind w:left="4733" w:hanging="360"/>
      </w:pPr>
    </w:lvl>
    <w:lvl w:ilvl="5" w:tplc="1009001B">
      <w:start w:val="1"/>
      <w:numFmt w:val="lowerRoman"/>
      <w:lvlText w:val="%6."/>
      <w:lvlJc w:val="right"/>
      <w:pPr>
        <w:ind w:left="5453" w:hanging="180"/>
      </w:pPr>
    </w:lvl>
    <w:lvl w:ilvl="6" w:tplc="1009000F">
      <w:start w:val="1"/>
      <w:numFmt w:val="decimal"/>
      <w:lvlText w:val="%7."/>
      <w:lvlJc w:val="left"/>
      <w:pPr>
        <w:ind w:left="6173" w:hanging="360"/>
      </w:pPr>
    </w:lvl>
    <w:lvl w:ilvl="7" w:tplc="10090019">
      <w:start w:val="1"/>
      <w:numFmt w:val="lowerLetter"/>
      <w:lvlText w:val="%8."/>
      <w:lvlJc w:val="left"/>
      <w:pPr>
        <w:ind w:left="6893" w:hanging="360"/>
      </w:pPr>
    </w:lvl>
    <w:lvl w:ilvl="8" w:tplc="1009001B">
      <w:start w:val="1"/>
      <w:numFmt w:val="lowerRoman"/>
      <w:lvlText w:val="%9."/>
      <w:lvlJc w:val="right"/>
      <w:pPr>
        <w:ind w:left="7613" w:hanging="180"/>
      </w:pPr>
    </w:lvl>
  </w:abstractNum>
  <w:abstractNum w:abstractNumId="13" w15:restartNumberingAfterBreak="0">
    <w:nsid w:val="49A165E2"/>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4B4A22E1"/>
    <w:multiLevelType w:val="hybridMultilevel"/>
    <w:tmpl w:val="9FF0696A"/>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5" w15:restartNumberingAfterBreak="0">
    <w:nsid w:val="4D3D5759"/>
    <w:multiLevelType w:val="hybridMultilevel"/>
    <w:tmpl w:val="4F561DB8"/>
    <w:lvl w:ilvl="0" w:tplc="9620DE9C">
      <w:start w:val="1"/>
      <w:numFmt w:val="decimal"/>
      <w:lvlText w:val="%1-"/>
      <w:lvlJc w:val="left"/>
      <w:pPr>
        <w:ind w:left="1854" w:hanging="360"/>
      </w:pPr>
      <w:rPr>
        <w:rFonts w:ascii="Simplified Arabic" w:hAnsi="Simplified Arabic" w:cs="Simplified Arabic" w:hint="cs"/>
        <w:i w:val="0"/>
        <w:iCs w:val="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start w:val="1"/>
      <w:numFmt w:val="decimal"/>
      <w:lvlText w:val="%4."/>
      <w:lvlJc w:val="left"/>
      <w:pPr>
        <w:ind w:left="4014" w:hanging="360"/>
      </w:pPr>
    </w:lvl>
    <w:lvl w:ilvl="4" w:tplc="10090019">
      <w:start w:val="1"/>
      <w:numFmt w:val="lowerLetter"/>
      <w:lvlText w:val="%5."/>
      <w:lvlJc w:val="left"/>
      <w:pPr>
        <w:ind w:left="4734" w:hanging="360"/>
      </w:pPr>
    </w:lvl>
    <w:lvl w:ilvl="5" w:tplc="1009001B">
      <w:start w:val="1"/>
      <w:numFmt w:val="lowerRoman"/>
      <w:lvlText w:val="%6."/>
      <w:lvlJc w:val="right"/>
      <w:pPr>
        <w:ind w:left="5454" w:hanging="180"/>
      </w:pPr>
    </w:lvl>
    <w:lvl w:ilvl="6" w:tplc="1009000F">
      <w:start w:val="1"/>
      <w:numFmt w:val="decimal"/>
      <w:lvlText w:val="%7."/>
      <w:lvlJc w:val="left"/>
      <w:pPr>
        <w:ind w:left="6174" w:hanging="360"/>
      </w:pPr>
    </w:lvl>
    <w:lvl w:ilvl="7" w:tplc="10090019">
      <w:start w:val="1"/>
      <w:numFmt w:val="lowerLetter"/>
      <w:lvlText w:val="%8."/>
      <w:lvlJc w:val="left"/>
      <w:pPr>
        <w:ind w:left="6894" w:hanging="360"/>
      </w:pPr>
    </w:lvl>
    <w:lvl w:ilvl="8" w:tplc="1009001B">
      <w:start w:val="1"/>
      <w:numFmt w:val="lowerRoman"/>
      <w:lvlText w:val="%9."/>
      <w:lvlJc w:val="right"/>
      <w:pPr>
        <w:ind w:left="7614" w:hanging="180"/>
      </w:pPr>
    </w:lvl>
  </w:abstractNum>
  <w:abstractNum w:abstractNumId="16" w15:restartNumberingAfterBreak="0">
    <w:nsid w:val="4F856FEE"/>
    <w:multiLevelType w:val="hybridMultilevel"/>
    <w:tmpl w:val="2D22DCE6"/>
    <w:lvl w:ilvl="0" w:tplc="31BA09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044099A"/>
    <w:multiLevelType w:val="hybridMultilevel"/>
    <w:tmpl w:val="9894F19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5AE97182"/>
    <w:multiLevelType w:val="hybridMultilevel"/>
    <w:tmpl w:val="34A2AF64"/>
    <w:lvl w:ilvl="0" w:tplc="0010D958">
      <w:start w:val="1"/>
      <w:numFmt w:val="decimal"/>
      <w:lvlText w:val="%1-"/>
      <w:lvlJc w:val="left"/>
      <w:pPr>
        <w:ind w:left="2573" w:hanging="360"/>
      </w:pPr>
      <w:rPr>
        <w:rFonts w:ascii="Simplified Arabic" w:hAnsi="Simplified Arabic" w:cs="Simplified Arabic" w:hint="cs"/>
        <w:i w:val="0"/>
        <w:iCs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C1E2499"/>
    <w:multiLevelType w:val="hybridMultilevel"/>
    <w:tmpl w:val="6A8A93E4"/>
    <w:lvl w:ilvl="0" w:tplc="0809000F">
      <w:start w:val="1"/>
      <w:numFmt w:val="decimal"/>
      <w:lvlText w:val="%1."/>
      <w:lvlJc w:val="left"/>
      <w:pPr>
        <w:ind w:left="6911" w:hanging="360"/>
      </w:pPr>
    </w:lvl>
    <w:lvl w:ilvl="1" w:tplc="08090019" w:tentative="1">
      <w:start w:val="1"/>
      <w:numFmt w:val="lowerLetter"/>
      <w:lvlText w:val="%2."/>
      <w:lvlJc w:val="left"/>
      <w:pPr>
        <w:ind w:left="7631" w:hanging="360"/>
      </w:pPr>
    </w:lvl>
    <w:lvl w:ilvl="2" w:tplc="0809001B" w:tentative="1">
      <w:start w:val="1"/>
      <w:numFmt w:val="lowerRoman"/>
      <w:lvlText w:val="%3."/>
      <w:lvlJc w:val="right"/>
      <w:pPr>
        <w:ind w:left="8351" w:hanging="180"/>
      </w:pPr>
    </w:lvl>
    <w:lvl w:ilvl="3" w:tplc="0809000F" w:tentative="1">
      <w:start w:val="1"/>
      <w:numFmt w:val="decimal"/>
      <w:lvlText w:val="%4."/>
      <w:lvlJc w:val="left"/>
      <w:pPr>
        <w:ind w:left="9071" w:hanging="360"/>
      </w:pPr>
    </w:lvl>
    <w:lvl w:ilvl="4" w:tplc="08090019" w:tentative="1">
      <w:start w:val="1"/>
      <w:numFmt w:val="lowerLetter"/>
      <w:lvlText w:val="%5."/>
      <w:lvlJc w:val="left"/>
      <w:pPr>
        <w:ind w:left="9791" w:hanging="360"/>
      </w:pPr>
    </w:lvl>
    <w:lvl w:ilvl="5" w:tplc="0809001B" w:tentative="1">
      <w:start w:val="1"/>
      <w:numFmt w:val="lowerRoman"/>
      <w:lvlText w:val="%6."/>
      <w:lvlJc w:val="right"/>
      <w:pPr>
        <w:ind w:left="10511" w:hanging="180"/>
      </w:pPr>
    </w:lvl>
    <w:lvl w:ilvl="6" w:tplc="0809000F" w:tentative="1">
      <w:start w:val="1"/>
      <w:numFmt w:val="decimal"/>
      <w:lvlText w:val="%7."/>
      <w:lvlJc w:val="left"/>
      <w:pPr>
        <w:ind w:left="11231" w:hanging="360"/>
      </w:pPr>
    </w:lvl>
    <w:lvl w:ilvl="7" w:tplc="08090019" w:tentative="1">
      <w:start w:val="1"/>
      <w:numFmt w:val="lowerLetter"/>
      <w:lvlText w:val="%8."/>
      <w:lvlJc w:val="left"/>
      <w:pPr>
        <w:ind w:left="11951" w:hanging="360"/>
      </w:pPr>
    </w:lvl>
    <w:lvl w:ilvl="8" w:tplc="0809001B" w:tentative="1">
      <w:start w:val="1"/>
      <w:numFmt w:val="lowerRoman"/>
      <w:lvlText w:val="%9."/>
      <w:lvlJc w:val="right"/>
      <w:pPr>
        <w:ind w:left="12671" w:hanging="180"/>
      </w:pPr>
    </w:lvl>
  </w:abstractNum>
  <w:abstractNum w:abstractNumId="20" w15:restartNumberingAfterBreak="0">
    <w:nsid w:val="74814038"/>
    <w:multiLevelType w:val="hybridMultilevel"/>
    <w:tmpl w:val="D8A4A978"/>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1" w15:restartNumberingAfterBreak="0">
    <w:nsid w:val="74AD701C"/>
    <w:multiLevelType w:val="hybridMultilevel"/>
    <w:tmpl w:val="F928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46477"/>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4"/>
  </w:num>
  <w:num w:numId="10">
    <w:abstractNumId w:val="16"/>
  </w:num>
  <w:num w:numId="11">
    <w:abstractNumId w:val="9"/>
  </w:num>
  <w:num w:numId="12">
    <w:abstractNumId w:val="10"/>
  </w:num>
  <w:num w:numId="13">
    <w:abstractNumId w:val="19"/>
  </w:num>
  <w:num w:numId="14">
    <w:abstractNumId w:val="21"/>
  </w:num>
  <w:num w:numId="15">
    <w:abstractNumId w:val="7"/>
  </w:num>
  <w:num w:numId="16">
    <w:abstractNumId w:val="11"/>
  </w:num>
  <w:num w:numId="17">
    <w:abstractNumId w:val="22"/>
  </w:num>
  <w:num w:numId="18">
    <w:abstractNumId w:val="13"/>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A2"/>
    <w:rsid w:val="003D6524"/>
    <w:rsid w:val="00836B73"/>
    <w:rsid w:val="00A25AA2"/>
    <w:rsid w:val="00B90344"/>
    <w:rsid w:val="00C84536"/>
    <w:rsid w:val="00CA4745"/>
    <w:rsid w:val="00EA4EF9"/>
    <w:rsid w:val="00EE0475"/>
    <w:rsid w:val="00F935A6"/>
    <w:rsid w:val="00FA6F08"/>
    <w:rsid w:val="00FD3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0F3F"/>
  <w15:chartTrackingRefBased/>
  <w15:docId w15:val="{CD6F3044-87ED-453C-A280-6B8F2318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A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paragraph" w:styleId="Heading2">
    <w:name w:val="heading 2"/>
    <w:aliases w:val="Chpt"/>
    <w:basedOn w:val="Normal"/>
    <w:next w:val="Normal"/>
    <w:link w:val="Heading2Char"/>
    <w:semiHidden/>
    <w:unhideWhenUsed/>
    <w:qFormat/>
    <w:rsid w:val="00CA4745"/>
    <w:pPr>
      <w:tabs>
        <w:tab w:val="clear" w:pos="1247"/>
        <w:tab w:val="clear" w:pos="1814"/>
        <w:tab w:val="clear" w:pos="2381"/>
        <w:tab w:val="clear" w:pos="2948"/>
        <w:tab w:val="clear" w:pos="3515"/>
      </w:tabs>
      <w:bidi/>
      <w:spacing w:after="120" w:line="360" w:lineRule="exact"/>
      <w:ind w:left="1135" w:hanging="851"/>
      <w:jc w:val="both"/>
      <w:outlineLvl w:val="1"/>
    </w:pPr>
    <w:rPr>
      <w:rFonts w:ascii="Simplified Arabic" w:hAnsi="Simplified Arabic" w:cs="Simplified Arabic"/>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next w:val="Normal"/>
    <w:qFormat/>
    <w:rsid w:val="00A25AA2"/>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8"/>
      <w:szCs w:val="28"/>
      <w:lang w:val="en-GB" w:eastAsia="en-US"/>
    </w:rPr>
  </w:style>
  <w:style w:type="paragraph" w:customStyle="1" w:styleId="CH3">
    <w:name w:val="CH3"/>
    <w:next w:val="Normal"/>
    <w:qFormat/>
    <w:rsid w:val="00A25AA2"/>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0"/>
      <w:szCs w:val="20"/>
      <w:lang w:val="en-GB" w:eastAsia="en-US"/>
    </w:rPr>
  </w:style>
  <w:style w:type="paragraph" w:customStyle="1" w:styleId="Normalpool">
    <w:name w:val="Normal_pool"/>
    <w:link w:val="NormalpoolChar"/>
    <w:rsid w:val="00A25AA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character" w:styleId="FootnoteReference">
    <w:name w:val="footnote reference"/>
    <w:aliases w:val="16 Point,Superscript 6 Point,ftref,(Ref. de nota al pie),number,SUPERS,Footnote Reference Superscript,Footnote text,Footnote Text1,Footnote Text2,Footnote reference number,Footnote symbol,note TESI,-E Fußnotenzeichen,stylish,fr,Ref"/>
    <w:basedOn w:val="DefaultParagraphFont"/>
    <w:uiPriority w:val="99"/>
    <w:rsid w:val="00A25AA2"/>
    <w:rPr>
      <w:rFonts w:ascii="Times New Roman" w:hAnsi="Times New Roman"/>
      <w:color w:val="auto"/>
      <w:sz w:val="20"/>
      <w:szCs w:val="18"/>
      <w:vertAlign w:val="superscript"/>
    </w:rPr>
  </w:style>
  <w:style w:type="paragraph" w:customStyle="1" w:styleId="Normal-pool">
    <w:name w:val="Normal-pool"/>
    <w:link w:val="Normal-poolChar"/>
    <w:qFormat/>
    <w:rsid w:val="00A25AA2"/>
    <w:pPr>
      <w:tabs>
        <w:tab w:val="left" w:pos="624"/>
      </w:tabs>
      <w:spacing w:after="0" w:line="240" w:lineRule="auto"/>
    </w:pPr>
    <w:rPr>
      <w:rFonts w:ascii="Times New Roman" w:eastAsia="Times New Roman" w:hAnsi="Times New Roman" w:cs="Times New Roman"/>
      <w:sz w:val="20"/>
      <w:szCs w:val="20"/>
      <w:lang w:val="en-GB" w:eastAsia="en-US"/>
    </w:rPr>
  </w:style>
  <w:style w:type="paragraph" w:customStyle="1" w:styleId="BBTitle">
    <w:name w:val="BB_Title"/>
    <w:link w:val="BBTitleChar"/>
    <w:qFormat/>
    <w:rsid w:val="00A25AA2"/>
    <w:pPr>
      <w:keepNext/>
      <w:keepLines/>
      <w:tabs>
        <w:tab w:val="left" w:pos="851"/>
        <w:tab w:val="left" w:pos="1247"/>
      </w:tabs>
      <w:suppressAutoHyphens/>
      <w:spacing w:before="320" w:after="240" w:line="240" w:lineRule="auto"/>
      <w:ind w:left="1247" w:right="567"/>
    </w:pPr>
    <w:rPr>
      <w:rFonts w:ascii="Times New Roman" w:eastAsia="Times New Roman" w:hAnsi="Times New Roman" w:cs="Times New Roman"/>
      <w:b/>
      <w:sz w:val="28"/>
      <w:szCs w:val="28"/>
      <w:lang w:val="en-GB" w:eastAsia="en-US"/>
    </w:rPr>
  </w:style>
  <w:style w:type="character" w:styleId="Hyperlink">
    <w:name w:val="Hyperlink"/>
    <w:basedOn w:val="DefaultParagraphFont"/>
    <w:semiHidden/>
    <w:rsid w:val="00A25AA2"/>
    <w:rPr>
      <w:rFonts w:ascii="Times New Roman" w:hAnsi="Times New Roman"/>
      <w:color w:val="auto"/>
      <w:sz w:val="20"/>
      <w:szCs w:val="20"/>
      <w:u w:val="none"/>
      <w:lang w:val="fr-FR"/>
    </w:rPr>
  </w:style>
  <w:style w:type="paragraph" w:customStyle="1" w:styleId="Normalnumber">
    <w:name w:val="Normal_number"/>
    <w:link w:val="NormalnumberChar"/>
    <w:rsid w:val="00A25AA2"/>
    <w:pPr>
      <w:tabs>
        <w:tab w:val="left" w:pos="624"/>
      </w:tabs>
      <w:spacing w:after="120" w:line="240" w:lineRule="auto"/>
      <w:ind w:left="1247"/>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A25AA2"/>
    <w:rPr>
      <w:rFonts w:ascii="Times New Roman" w:eastAsia="Times New Roman" w:hAnsi="Times New Roman" w:cs="Times New Roman"/>
      <w:sz w:val="20"/>
      <w:szCs w:val="20"/>
      <w:lang w:val="en-GB" w:eastAsia="en-US"/>
    </w:rPr>
  </w:style>
  <w:style w:type="character" w:customStyle="1" w:styleId="NormalnumberChar">
    <w:name w:val="Normal_number Char"/>
    <w:link w:val="Normalnumber"/>
    <w:rsid w:val="00A25AA2"/>
    <w:rPr>
      <w:rFonts w:ascii="Times New Roman" w:eastAsia="Times New Roman" w:hAnsi="Times New Roman" w:cs="Times New Roman"/>
      <w:sz w:val="20"/>
      <w:szCs w:val="20"/>
      <w:lang w:val="en-GB" w:eastAsia="en-US"/>
    </w:rPr>
  </w:style>
  <w:style w:type="character" w:customStyle="1" w:styleId="BBTitleChar">
    <w:name w:val="BB_Title Char"/>
    <w:link w:val="BBTitle"/>
    <w:rsid w:val="00A25AA2"/>
    <w:rPr>
      <w:rFonts w:ascii="Times New Roman" w:eastAsia="Times New Roman" w:hAnsi="Times New Roman" w:cs="Times New Roman"/>
      <w:b/>
      <w:sz w:val="28"/>
      <w:szCs w:val="28"/>
      <w:lang w:val="en-GB" w:eastAsia="en-US"/>
    </w:rPr>
  </w:style>
  <w:style w:type="paragraph" w:styleId="ListParagraph">
    <w:name w:val="List Paragraph"/>
    <w:basedOn w:val="Normal"/>
    <w:link w:val="ListParagraphChar"/>
    <w:uiPriority w:val="34"/>
    <w:qFormat/>
    <w:rsid w:val="00A25AA2"/>
    <w:pPr>
      <w:tabs>
        <w:tab w:val="clear" w:pos="1247"/>
        <w:tab w:val="clear" w:pos="1814"/>
        <w:tab w:val="clear" w:pos="2381"/>
        <w:tab w:val="clear" w:pos="2948"/>
        <w:tab w:val="clear" w:pos="3515"/>
      </w:tabs>
      <w:spacing w:after="200" w:line="276" w:lineRule="auto"/>
      <w:ind w:left="720"/>
      <w:contextualSpacing/>
    </w:pPr>
    <w:rPr>
      <w:rFonts w:eastAsia="Calibri"/>
      <w:sz w:val="24"/>
      <w:szCs w:val="22"/>
      <w:lang w:val="en-GB"/>
    </w:rPr>
  </w:style>
  <w:style w:type="character" w:customStyle="1" w:styleId="ListParagraphChar">
    <w:name w:val="List Paragraph Char"/>
    <w:link w:val="ListParagraph"/>
    <w:uiPriority w:val="34"/>
    <w:locked/>
    <w:rsid w:val="00A25AA2"/>
    <w:rPr>
      <w:rFonts w:ascii="Times New Roman" w:eastAsia="Calibri" w:hAnsi="Times New Roman" w:cs="Times New Roman"/>
      <w:sz w:val="24"/>
      <w:lang w:val="en-GB" w:eastAsia="en-US"/>
    </w:rPr>
  </w:style>
  <w:style w:type="character" w:customStyle="1" w:styleId="NormalpoolChar">
    <w:name w:val="Normal_pool Char"/>
    <w:link w:val="Normalpool"/>
    <w:locked/>
    <w:rsid w:val="00A25AA2"/>
    <w:rPr>
      <w:rFonts w:ascii="Times New Roman" w:eastAsia="Times New Roman" w:hAnsi="Times New Roman" w:cs="Times New Roman"/>
      <w:sz w:val="20"/>
      <w:szCs w:val="20"/>
      <w:lang w:val="fr-FR" w:eastAsia="en-US"/>
    </w:rPr>
  </w:style>
  <w:style w:type="character" w:customStyle="1" w:styleId="Heading2Char">
    <w:name w:val="Heading 2 Char"/>
    <w:aliases w:val="Chpt Char"/>
    <w:basedOn w:val="DefaultParagraphFont"/>
    <w:link w:val="Heading2"/>
    <w:semiHidden/>
    <w:rsid w:val="00CA4745"/>
    <w:rPr>
      <w:rFonts w:ascii="Simplified Arabic" w:eastAsia="Times New Roman" w:hAnsi="Simplified Arabic" w:cs="Simplified Arabic"/>
      <w:sz w:val="24"/>
      <w:szCs w:val="24"/>
      <w:lang w:eastAsia="en-US"/>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C Char"/>
    <w:basedOn w:val="DefaultParagraphFont"/>
    <w:link w:val="FootnoteText"/>
    <w:semiHidden/>
    <w:locked/>
    <w:rsid w:val="00CA4745"/>
    <w:rPr>
      <w:rFonts w:ascii="Times" w:hAnsi="Times" w:cs="Simplified Arabic"/>
      <w:noProof/>
    </w:rPr>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
    <w:basedOn w:val="Normal"/>
    <w:link w:val="FootnoteTextChar"/>
    <w:semiHidden/>
    <w:unhideWhenUsed/>
    <w:qFormat/>
    <w:rsid w:val="00CA4745"/>
    <w:pPr>
      <w:tabs>
        <w:tab w:val="clear" w:pos="1247"/>
        <w:tab w:val="clear" w:pos="1814"/>
        <w:tab w:val="clear" w:pos="2381"/>
        <w:tab w:val="clear" w:pos="2948"/>
        <w:tab w:val="clear" w:pos="3515"/>
      </w:tabs>
      <w:bidi/>
    </w:pPr>
    <w:rPr>
      <w:rFonts w:ascii="Times" w:eastAsiaTheme="minorEastAsia" w:hAnsi="Times" w:cs="Simplified Arabic"/>
      <w:noProof/>
      <w:sz w:val="22"/>
      <w:szCs w:val="22"/>
      <w:lang w:val="en-US" w:eastAsia="zh-CN"/>
    </w:rPr>
  </w:style>
  <w:style w:type="character" w:customStyle="1" w:styleId="FootnoteTextChar1">
    <w:name w:val="Footnote Text Char1"/>
    <w:basedOn w:val="DefaultParagraphFont"/>
    <w:uiPriority w:val="99"/>
    <w:semiHidden/>
    <w:rsid w:val="00CA4745"/>
    <w:rPr>
      <w:rFonts w:ascii="Times New Roman" w:eastAsia="Times New Roma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4092">
      <w:bodyDiv w:val="1"/>
      <w:marLeft w:val="0"/>
      <w:marRight w:val="0"/>
      <w:marTop w:val="0"/>
      <w:marBottom w:val="0"/>
      <w:divBdr>
        <w:top w:val="none" w:sz="0" w:space="0" w:color="auto"/>
        <w:left w:val="none" w:sz="0" w:space="0" w:color="auto"/>
        <w:bottom w:val="none" w:sz="0" w:space="0" w:color="auto"/>
        <w:right w:val="none" w:sz="0" w:space="0" w:color="auto"/>
      </w:divBdr>
    </w:div>
    <w:div w:id="11936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fileadmin/templates/agphome/documents/Pests_Pesticides/JMPR/Evaluation05/2005_Terbufo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4906</Words>
  <Characters>27966</Characters>
  <Application>Microsoft Office Word</Application>
  <DocSecurity>0</DocSecurity>
  <Lines>233</Lines>
  <Paragraphs>65</Paragraphs>
  <ScaleCrop>false</ScaleCrop>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2022-05-17T09:48:00Z</dcterms:created>
  <dcterms:modified xsi:type="dcterms:W3CDTF">2022-05-17T09:48:00Z</dcterms:modified>
</cp:coreProperties>
</file>