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BC06" w14:textId="77777777" w:rsidR="00507B12" w:rsidRPr="003C48A8" w:rsidRDefault="00507B12" w:rsidP="00507B12">
      <w:pPr>
        <w:spacing w:after="120"/>
        <w:ind w:left="1247"/>
        <w:rPr>
          <w:rFonts w:eastAsia="HGMaruGothicMPRO"/>
          <w:b/>
          <w:bCs/>
          <w:sz w:val="28"/>
          <w:szCs w:val="28"/>
          <w:lang w:val="ru-RU" w:eastAsia="en-US"/>
        </w:rPr>
      </w:pPr>
      <w:r w:rsidRPr="003C48A8">
        <w:rPr>
          <w:rFonts w:eastAsia="Times New Roman"/>
          <w:b/>
          <w:bCs/>
          <w:sz w:val="28"/>
          <w:szCs w:val="28"/>
          <w:lang w:val="ru-RU" w:eastAsia="en-US"/>
        </w:rPr>
        <w:t>КРХВ-17/3: Тиодикарб</w:t>
      </w:r>
    </w:p>
    <w:p w14:paraId="045EFC23" w14:textId="77777777" w:rsidR="00507B12" w:rsidRPr="003C48A8" w:rsidRDefault="00507B12" w:rsidP="00507B12">
      <w:pPr>
        <w:spacing w:after="120"/>
        <w:ind w:left="1247" w:firstLine="624"/>
        <w:rPr>
          <w:rFonts w:eastAsia="Times New Roman"/>
          <w:i/>
          <w:iCs/>
          <w:sz w:val="20"/>
          <w:szCs w:val="20"/>
          <w:lang w:val="ru-RU" w:eastAsia="en-US"/>
        </w:rPr>
      </w:pPr>
      <w:r w:rsidRPr="003C48A8">
        <w:rPr>
          <w:rFonts w:eastAsia="Times New Roman"/>
          <w:i/>
          <w:iCs/>
          <w:sz w:val="20"/>
          <w:szCs w:val="20"/>
          <w:lang w:val="ru-RU" w:eastAsia="en-US"/>
        </w:rPr>
        <w:t>Комитет по рассмотрению химических веществ,</w:t>
      </w:r>
    </w:p>
    <w:p w14:paraId="4AFB88E8"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i/>
          <w:iCs/>
          <w:sz w:val="20"/>
          <w:szCs w:val="20"/>
          <w:lang w:val="ru-RU" w:eastAsia="en-US"/>
        </w:rPr>
        <w:t>ссылаясь</w:t>
      </w:r>
      <w:r w:rsidRPr="003C48A8">
        <w:rPr>
          <w:rFonts w:eastAsia="Times New Roman"/>
          <w:sz w:val="20"/>
          <w:szCs w:val="20"/>
          <w:lang w:val="ru-RU" w:eastAsia="en-US"/>
        </w:rPr>
        <w:t xml:space="preserve"> на статью 5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w:t>
      </w:r>
    </w:p>
    <w:p w14:paraId="2EBFFCFB"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1.</w:t>
      </w:r>
      <w:r w:rsidRPr="003C48A8">
        <w:rPr>
          <w:rFonts w:eastAsia="Times New Roman"/>
          <w:sz w:val="20"/>
          <w:szCs w:val="20"/>
          <w:lang w:val="ru-RU" w:eastAsia="en-US"/>
        </w:rPr>
        <w:tab/>
      </w:r>
      <w:r w:rsidRPr="003C48A8">
        <w:rPr>
          <w:rFonts w:eastAsia="Times New Roman"/>
          <w:i/>
          <w:iCs/>
          <w:sz w:val="20"/>
          <w:szCs w:val="20"/>
          <w:lang w:val="ru-RU" w:eastAsia="en-US"/>
        </w:rPr>
        <w:t>делает</w:t>
      </w:r>
      <w:r w:rsidRPr="003C48A8">
        <w:rPr>
          <w:rFonts w:eastAsia="Times New Roman"/>
          <w:sz w:val="20"/>
          <w:szCs w:val="20"/>
          <w:lang w:val="ru-RU" w:eastAsia="en-US"/>
        </w:rPr>
        <w:t xml:space="preserve"> заключение, что представленное Европейским союзом уведомление об окончательном регламентационном постановлении</w:t>
      </w:r>
      <w:r w:rsidRPr="003C48A8">
        <w:rPr>
          <w:rFonts w:eastAsia="Times New Roman"/>
          <w:sz w:val="20"/>
          <w:szCs w:val="20"/>
          <w:vertAlign w:val="superscript"/>
          <w:lang w:val="ru-RU" w:eastAsia="en-US"/>
        </w:rPr>
        <w:footnoteReference w:id="1"/>
      </w:r>
      <w:r w:rsidRPr="003C48A8">
        <w:rPr>
          <w:rFonts w:eastAsia="Times New Roman"/>
          <w:sz w:val="20"/>
          <w:szCs w:val="20"/>
          <w:lang w:val="ru-RU" w:eastAsia="en-US"/>
        </w:rPr>
        <w:t xml:space="preserve"> в отношении тиодикарба отвечает критериям, изложенным в приложении II к Конвенции;</w:t>
      </w:r>
    </w:p>
    <w:p w14:paraId="1658F4B7"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2.</w:t>
      </w:r>
      <w:r w:rsidRPr="003C48A8">
        <w:rPr>
          <w:rFonts w:eastAsia="Times New Roman"/>
          <w:sz w:val="20"/>
          <w:szCs w:val="20"/>
          <w:lang w:val="ru-RU" w:eastAsia="en-US"/>
        </w:rPr>
        <w:tab/>
      </w:r>
      <w:r w:rsidRPr="003C48A8">
        <w:rPr>
          <w:rFonts w:eastAsia="Times New Roman"/>
          <w:i/>
          <w:iCs/>
          <w:sz w:val="20"/>
          <w:szCs w:val="20"/>
          <w:lang w:val="ru-RU" w:eastAsia="en-US"/>
        </w:rPr>
        <w:t>принимает</w:t>
      </w:r>
      <w:r w:rsidRPr="003C48A8">
        <w:rPr>
          <w:rFonts w:eastAsia="Times New Roman"/>
          <w:sz w:val="20"/>
          <w:szCs w:val="20"/>
          <w:lang w:val="ru-RU" w:eastAsia="en-US"/>
        </w:rPr>
        <w:t xml:space="preserve"> обоснование для вывода Комитета, изложенное в приложении к настоящему решению;</w:t>
      </w:r>
    </w:p>
    <w:p w14:paraId="6DB0C78D" w14:textId="77777777" w:rsidR="00507B12" w:rsidRPr="003C48A8" w:rsidRDefault="00507B12" w:rsidP="00507B12">
      <w:pPr>
        <w:spacing w:after="240"/>
        <w:ind w:left="1247" w:firstLine="624"/>
        <w:rPr>
          <w:rFonts w:eastAsia="Times New Roman"/>
          <w:sz w:val="20"/>
          <w:szCs w:val="20"/>
          <w:lang w:val="ru-RU" w:eastAsia="en-US"/>
        </w:rPr>
      </w:pPr>
      <w:r w:rsidRPr="003C48A8">
        <w:rPr>
          <w:rFonts w:eastAsia="Times New Roman"/>
          <w:sz w:val="20"/>
          <w:szCs w:val="20"/>
          <w:lang w:val="ru-RU" w:eastAsia="en-US"/>
        </w:rPr>
        <w:t>3.</w:t>
      </w:r>
      <w:r w:rsidRPr="003C48A8">
        <w:rPr>
          <w:rFonts w:eastAsia="Times New Roman"/>
          <w:sz w:val="20"/>
          <w:szCs w:val="20"/>
          <w:lang w:val="ru-RU" w:eastAsia="en-US"/>
        </w:rPr>
        <w:tab/>
      </w:r>
      <w:r w:rsidRPr="003C48A8">
        <w:rPr>
          <w:rFonts w:eastAsia="Times New Roman"/>
          <w:i/>
          <w:iCs/>
          <w:sz w:val="20"/>
          <w:szCs w:val="20"/>
          <w:lang w:val="ru-RU" w:eastAsia="en-US"/>
        </w:rPr>
        <w:t>отмечает,</w:t>
      </w:r>
      <w:r w:rsidRPr="003C48A8">
        <w:rPr>
          <w:rFonts w:eastAsia="Times New Roman"/>
          <w:sz w:val="20"/>
          <w:szCs w:val="20"/>
          <w:lang w:val="ru-RU" w:eastAsia="en-US"/>
        </w:rPr>
        <w:t xml:space="preserve"> что, поскольку только уведомление об окончательном регламентационном постановлении в отношении тиодикарба из одного региона, охватываемого процедурой предварительного обоснованного согласия, отвечает критериям, изложенным в приложении II к Конвенции, Комитет в настоящее время не будет принимать дополнительные меры в отношении этого химического вещества.</w:t>
      </w:r>
    </w:p>
    <w:p w14:paraId="31E45978" w14:textId="77777777" w:rsidR="00507B12" w:rsidRPr="003C48A8" w:rsidRDefault="00507B12" w:rsidP="00507B12">
      <w:pPr>
        <w:spacing w:after="120"/>
        <w:ind w:left="1247"/>
        <w:rPr>
          <w:rFonts w:eastAsia="HGMaruGothicMPRO"/>
          <w:b/>
          <w:bCs/>
          <w:lang w:val="ru-RU" w:eastAsia="en-US"/>
        </w:rPr>
      </w:pPr>
      <w:r w:rsidRPr="003C48A8">
        <w:rPr>
          <w:rFonts w:eastAsia="Times New Roman"/>
          <w:b/>
          <w:bCs/>
          <w:lang w:val="ru-RU" w:eastAsia="en-US"/>
        </w:rPr>
        <w:t>Приложение к решению КРХВ-17/3</w:t>
      </w:r>
    </w:p>
    <w:p w14:paraId="20492424" w14:textId="77777777" w:rsidR="00507B12" w:rsidRPr="003C48A8" w:rsidRDefault="00507B12" w:rsidP="00507B12">
      <w:pPr>
        <w:spacing w:after="120"/>
        <w:ind w:left="1247"/>
        <w:rPr>
          <w:rFonts w:eastAsia="Times New Roman"/>
          <w:b/>
          <w:bCs/>
          <w:lang w:val="ru-RU" w:eastAsia="en-US"/>
        </w:rPr>
      </w:pPr>
      <w:r w:rsidRPr="003C48A8">
        <w:rPr>
          <w:rFonts w:eastAsia="Times New Roman"/>
          <w:b/>
          <w:bCs/>
          <w:lang w:val="ru-RU" w:eastAsia="en-US"/>
        </w:rPr>
        <w:t>Обоснование для заключения Комитета по рассмотрению химических веществ о том, что представленное Европейским союзом уведомление об окончательном регламентационном постановлении в отношении тиодикарба в категории «пестициды» отвечает критериям, изложенным в приложении II к Роттердамской конвенции</w:t>
      </w:r>
    </w:p>
    <w:p w14:paraId="30FC40DC"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1.</w:t>
      </w:r>
      <w:r w:rsidRPr="003C48A8">
        <w:rPr>
          <w:rFonts w:eastAsia="Times New Roman"/>
          <w:sz w:val="20"/>
          <w:szCs w:val="20"/>
          <w:lang w:val="ru-RU" w:eastAsia="en-US"/>
        </w:rPr>
        <w:tab/>
        <w:t>Проведенная секретариатом проверка показала, что в полученном от Европейского союза уведомлении по тиодикарбу содержится информация, требуемая в соответствии с приложением I к Роттердамской конвенции. Предварительное рассмотрение данного уведомления было проведено секретариатом и Бюро, которые оценили данное уведомление на предмет соответствия требованиям Конвенции.</w:t>
      </w:r>
    </w:p>
    <w:p w14:paraId="58511236"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2.</w:t>
      </w:r>
      <w:r w:rsidRPr="003C48A8">
        <w:rPr>
          <w:rFonts w:eastAsia="Times New Roman"/>
          <w:sz w:val="20"/>
          <w:szCs w:val="20"/>
          <w:lang w:val="ru-RU" w:eastAsia="en-US"/>
        </w:rPr>
        <w:tab/>
        <w:t>Уведомление и вспомогательная документация были представлены на рассмотрение Комитета по рассмотрению химических веществ в документах UNEP/FAO/RC/CRC.17/9 и UNEP/FAO/RC/CRC.17/INF/21. Информация о торговле была представлена в документе UNEP/FAO/RC/CRC.17/INF/5.</w:t>
      </w:r>
    </w:p>
    <w:p w14:paraId="393476BD" w14:textId="77777777" w:rsidR="00507B12" w:rsidRPr="003C48A8" w:rsidRDefault="00507B12" w:rsidP="00507B12">
      <w:pPr>
        <w:tabs>
          <w:tab w:val="right" w:pos="851"/>
        </w:tabs>
        <w:spacing w:after="120"/>
        <w:ind w:left="1247" w:right="284" w:hanging="1247"/>
        <w:rPr>
          <w:rFonts w:eastAsia="Times New Roman"/>
          <w:b/>
          <w:bCs/>
          <w:sz w:val="20"/>
          <w:szCs w:val="20"/>
          <w:lang w:val="ru-RU" w:eastAsia="en-US"/>
        </w:rPr>
      </w:pPr>
      <w:r w:rsidRPr="003C48A8">
        <w:rPr>
          <w:rFonts w:eastAsia="Times New Roman"/>
          <w:b/>
          <w:bCs/>
          <w:sz w:val="20"/>
          <w:szCs w:val="20"/>
          <w:lang w:val="ru-RU" w:eastAsia="en-US"/>
        </w:rPr>
        <w:tab/>
        <w:t>a)</w:t>
      </w:r>
      <w:r w:rsidRPr="003C48A8">
        <w:rPr>
          <w:rFonts w:eastAsia="Times New Roman"/>
          <w:b/>
          <w:bCs/>
          <w:sz w:val="20"/>
          <w:szCs w:val="20"/>
          <w:lang w:val="ru-RU" w:eastAsia="en-US"/>
        </w:rPr>
        <w:tab/>
        <w:t>Сфера охвата регламентационного постановления, в отношении которого направлено уведомление</w:t>
      </w:r>
    </w:p>
    <w:p w14:paraId="2CBBF153"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3.</w:t>
      </w:r>
      <w:r w:rsidRPr="003C48A8">
        <w:rPr>
          <w:rFonts w:eastAsia="Times New Roman"/>
          <w:sz w:val="20"/>
          <w:szCs w:val="20"/>
          <w:lang w:val="ru-RU" w:eastAsia="en-US"/>
        </w:rPr>
        <w:tab/>
        <w:t>Регламентационное постановление, в отношении которого Европейским союзом направлено уведомление, относится к применению тиодикарба (КАС № 59669-26-0) в качестве пестицида. Маркетинг или применение тиодикарба запрещены данным окончательным регламентационным постановлением, которое гласит, что запрещено размещать на рынке или применять средства защиты растений, содержащие тиодикарб. Тиодикарб больше не включен в список разрешенных активных ингредиентов, содержащийся в приложении I к Директиве 91/414/ЕЕС. С 31 мая 2007 года не могут выдаваться или продлеваться какие бы то ни было разрешения на применение средств защиты растений, содержащих тиодикарб. Разрешения на применение средств защиты растений, содержащих тиодикарб, должны были быть отозваны к 25 ноября 2007 года (UNEP/FAO/RC/CRC.17/9, раздел 2.2.1 уведомления Европейского союза).</w:t>
      </w:r>
    </w:p>
    <w:p w14:paraId="4125CDA0"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4.</w:t>
      </w:r>
      <w:r w:rsidRPr="003C48A8">
        <w:rPr>
          <w:rFonts w:eastAsia="Times New Roman"/>
          <w:sz w:val="20"/>
          <w:szCs w:val="20"/>
          <w:lang w:val="ru-RU" w:eastAsia="en-US"/>
        </w:rPr>
        <w:tab/>
        <w:t>Установлено, что данное уведомление соответствует предъявляемым к информации требованиям, изложенным в приложении I.</w:t>
      </w:r>
    </w:p>
    <w:p w14:paraId="624E501C" w14:textId="77777777" w:rsidR="00507B12" w:rsidRPr="003C48A8" w:rsidRDefault="00507B12" w:rsidP="00507B12">
      <w:pPr>
        <w:tabs>
          <w:tab w:val="right" w:pos="851"/>
        </w:tabs>
        <w:spacing w:after="120"/>
        <w:ind w:left="1247" w:right="284" w:hanging="1247"/>
        <w:rPr>
          <w:rFonts w:eastAsia="Arial Unicode MS"/>
          <w:b/>
          <w:bCs/>
          <w:sz w:val="20"/>
          <w:szCs w:val="20"/>
          <w:lang w:val="ru-RU" w:eastAsia="en-US"/>
        </w:rPr>
      </w:pPr>
      <w:r w:rsidRPr="003C48A8">
        <w:rPr>
          <w:rFonts w:eastAsia="Times New Roman"/>
          <w:b/>
          <w:bCs/>
          <w:sz w:val="20"/>
          <w:szCs w:val="20"/>
          <w:lang w:val="ru-RU" w:eastAsia="en-US"/>
        </w:rPr>
        <w:lastRenderedPageBreak/>
        <w:tab/>
        <w:t>b)</w:t>
      </w:r>
      <w:r w:rsidRPr="003C48A8">
        <w:rPr>
          <w:rFonts w:eastAsia="Times New Roman"/>
          <w:b/>
          <w:bCs/>
          <w:sz w:val="20"/>
          <w:szCs w:val="20"/>
          <w:lang w:val="ru-RU" w:eastAsia="en-US"/>
        </w:rPr>
        <w:tab/>
        <w:t>Критерий, содержащийся в пункте a) приложения II</w:t>
      </w:r>
    </w:p>
    <w:p w14:paraId="71642BF8" w14:textId="77777777" w:rsidR="00507B12" w:rsidRPr="003C48A8" w:rsidRDefault="00507B12" w:rsidP="00507B12">
      <w:pPr>
        <w:spacing w:after="120"/>
        <w:ind w:left="1247" w:firstLine="624"/>
        <w:rPr>
          <w:rFonts w:eastAsia="Arial Unicode MS"/>
          <w:i/>
          <w:iCs/>
          <w:sz w:val="20"/>
          <w:szCs w:val="20"/>
          <w:lang w:val="ru-RU" w:eastAsia="en-US"/>
        </w:rPr>
      </w:pPr>
      <w:r w:rsidRPr="003C48A8">
        <w:rPr>
          <w:rFonts w:eastAsia="Times New Roman"/>
          <w:i/>
          <w:iCs/>
          <w:sz w:val="20"/>
          <w:szCs w:val="20"/>
          <w:lang w:val="ru-RU" w:eastAsia="en-US"/>
        </w:rPr>
        <w:t>a)</w:t>
      </w:r>
      <w:r w:rsidRPr="003C48A8">
        <w:rPr>
          <w:rFonts w:eastAsia="Times New Roman"/>
          <w:i/>
          <w:iCs/>
          <w:sz w:val="20"/>
          <w:szCs w:val="20"/>
          <w:lang w:val="ru-RU" w:eastAsia="en-US"/>
        </w:rPr>
        <w:tab/>
        <w:t>подтверждает, что окончательное регламентационное постановление было принято в целях охраны здоровья человека или окружающей среды;</w:t>
      </w:r>
    </w:p>
    <w:p w14:paraId="2AF7B538"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5.</w:t>
      </w:r>
      <w:r w:rsidRPr="003C48A8">
        <w:rPr>
          <w:rFonts w:eastAsia="Times New Roman"/>
          <w:sz w:val="20"/>
          <w:szCs w:val="20"/>
          <w:lang w:val="ru-RU" w:eastAsia="en-US"/>
        </w:rPr>
        <w:tab/>
        <w:t>Комитет подтверждает, что данное регламентационное постановление было принято в целях охраны здоровья человека и окружающей среды (UNEP/FAO/RC/CRC.17/9, разделы 2.4.1 и 2.4.2).</w:t>
      </w:r>
    </w:p>
    <w:p w14:paraId="7BEFDD03"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6.</w:t>
      </w:r>
      <w:r w:rsidRPr="003C48A8">
        <w:rPr>
          <w:rFonts w:eastAsia="Times New Roman"/>
          <w:sz w:val="20"/>
          <w:szCs w:val="20"/>
          <w:lang w:val="ru-RU" w:eastAsia="en-US"/>
        </w:rPr>
        <w:tab/>
        <w:t>Тиодикарб применялся как инсектицид и моллюскоцид (листовое опрыскивание столового и винного винограда и разбрасывание приманок для борьбы со слизнями и улитками на пшенице, тритикале, ржи, ячмене и овсе) (UNEP/FAO/RC/CRC.17/9, разделы 1.7.1 и 2.4.1 уведомления Европейского союза).</w:t>
      </w:r>
    </w:p>
    <w:p w14:paraId="3BFEBAB8"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7.</w:t>
      </w:r>
      <w:r w:rsidRPr="003C48A8">
        <w:rPr>
          <w:rFonts w:eastAsia="Times New Roman"/>
          <w:sz w:val="20"/>
          <w:szCs w:val="20"/>
          <w:lang w:val="ru-RU" w:eastAsia="en-US"/>
        </w:rPr>
        <w:tab/>
        <w:t>Оценка риска была проведена на основании Директивы 91/414/ЕЕС. Оценка была основана на обзоре научных данных, полученных для тиодикарба в контексте условий, преобладающих в Европейском сообществе (предполагаемые виды применения, рекомендуемые нормы внесения, надлежащая сельскохозяйственная практика).</w:t>
      </w:r>
    </w:p>
    <w:p w14:paraId="364DFDC9"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8.</w:t>
      </w:r>
      <w:r w:rsidRPr="003C48A8">
        <w:rPr>
          <w:rFonts w:eastAsia="Times New Roman"/>
          <w:sz w:val="20"/>
          <w:szCs w:val="20"/>
          <w:lang w:val="ru-RU" w:eastAsia="en-US"/>
        </w:rPr>
        <w:tab/>
        <w:t>Окончательное регламентационное постановление о запрете тиодикарба основано на основе оценки риска. При анализе рисков рассматривалось применение тиодикарба в качестве инсектицида и моллюскоцида (листовое опрыскивание столового и винного винограда и разбрасывание приманок для борьбы со слизнями и улитками на зерновых).</w:t>
      </w:r>
    </w:p>
    <w:p w14:paraId="690DD2CC"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9.</w:t>
      </w:r>
      <w:r w:rsidRPr="003C48A8">
        <w:rPr>
          <w:rFonts w:eastAsia="Times New Roman"/>
          <w:sz w:val="20"/>
          <w:szCs w:val="20"/>
          <w:lang w:val="ru-RU" w:eastAsia="en-US"/>
        </w:rPr>
        <w:tab/>
        <w:t>Были выявлены следующие опасения и риски для здоровья человека (UNEP/FAO/RC/CRC.17/9, разделы 2.4.1 и 2.4.2 уведомления Европейского союза):</w:t>
      </w:r>
    </w:p>
    <w:p w14:paraId="525CC096" w14:textId="77777777" w:rsidR="00507B12" w:rsidRPr="003C48A8" w:rsidRDefault="00507B12" w:rsidP="00507B12">
      <w:pPr>
        <w:spacing w:after="120"/>
        <w:ind w:left="1247" w:firstLine="624"/>
        <w:rPr>
          <w:rFonts w:eastAsia="MS Mincho"/>
          <w:sz w:val="20"/>
          <w:szCs w:val="20"/>
          <w:lang w:val="ru-RU" w:eastAsia="en-US"/>
        </w:rPr>
      </w:pPr>
      <w:r w:rsidRPr="003C48A8">
        <w:rPr>
          <w:rFonts w:eastAsia="Times New Roman"/>
          <w:sz w:val="20"/>
          <w:szCs w:val="20"/>
          <w:lang w:val="ru-RU" w:eastAsia="en-US"/>
        </w:rPr>
        <w:t>а)</w:t>
      </w:r>
      <w:r w:rsidRPr="003C48A8">
        <w:rPr>
          <w:rFonts w:eastAsia="Times New Roman"/>
          <w:sz w:val="20"/>
          <w:szCs w:val="20"/>
          <w:lang w:val="ru-RU" w:eastAsia="en-US"/>
        </w:rPr>
        <w:tab/>
        <w:t>острый риск в связи с попаданием через пищу для малышей в результате потребления обработанного винограда столовых сортов и для взрослых в результате потребления вина, произведенного из обработанного винограда винных сортов;</w:t>
      </w:r>
    </w:p>
    <w:p w14:paraId="4B552A96" w14:textId="77777777" w:rsidR="00507B12" w:rsidRPr="003C48A8" w:rsidRDefault="00507B12" w:rsidP="00507B12">
      <w:pPr>
        <w:spacing w:after="120"/>
        <w:ind w:left="1247" w:firstLine="624"/>
        <w:rPr>
          <w:rFonts w:eastAsia="MS Mincho"/>
          <w:sz w:val="20"/>
          <w:szCs w:val="20"/>
          <w:lang w:val="ru-RU" w:eastAsia="en-US"/>
        </w:rPr>
      </w:pPr>
      <w:r w:rsidRPr="003C48A8">
        <w:rPr>
          <w:rFonts w:eastAsia="Times New Roman"/>
          <w:sz w:val="20"/>
          <w:szCs w:val="20"/>
          <w:lang w:eastAsia="en-US"/>
        </w:rPr>
        <w:t>b</w:t>
      </w:r>
      <w:r w:rsidRPr="003C48A8">
        <w:rPr>
          <w:rFonts w:eastAsia="Times New Roman"/>
          <w:sz w:val="20"/>
          <w:szCs w:val="20"/>
          <w:lang w:val="ru-RU" w:eastAsia="en-US"/>
        </w:rPr>
        <w:t>)</w:t>
      </w:r>
      <w:r w:rsidRPr="003C48A8">
        <w:rPr>
          <w:rFonts w:eastAsia="Times New Roman"/>
          <w:sz w:val="20"/>
          <w:szCs w:val="20"/>
          <w:lang w:val="ru-RU" w:eastAsia="en-US"/>
        </w:rPr>
        <w:tab/>
        <w:t xml:space="preserve">потенциал загрязнения подземных вод в уязвимых </w:t>
      </w:r>
      <w:proofErr w:type="gramStart"/>
      <w:r w:rsidRPr="003C48A8">
        <w:rPr>
          <w:rFonts w:eastAsia="Times New Roman"/>
          <w:sz w:val="20"/>
          <w:szCs w:val="20"/>
          <w:lang w:val="ru-RU" w:eastAsia="en-US"/>
        </w:rPr>
        <w:t>ситуациях;</w:t>
      </w:r>
      <w:proofErr w:type="gramEnd"/>
    </w:p>
    <w:p w14:paraId="1D4F8C25"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с)</w:t>
      </w:r>
      <w:r w:rsidRPr="003C48A8">
        <w:rPr>
          <w:rFonts w:eastAsia="Times New Roman"/>
          <w:sz w:val="20"/>
          <w:szCs w:val="20"/>
          <w:lang w:val="ru-RU" w:eastAsia="en-US"/>
        </w:rPr>
        <w:tab/>
        <w:t>были выявлены пробелы в данных о применении тиодикарба в качестве моллюскоцида, в частности, в отношении воздействия на оператора.</w:t>
      </w:r>
    </w:p>
    <w:p w14:paraId="0FC01E24"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10.</w:t>
      </w:r>
      <w:r w:rsidRPr="003C48A8">
        <w:rPr>
          <w:rFonts w:eastAsia="Times New Roman"/>
          <w:sz w:val="20"/>
          <w:szCs w:val="20"/>
          <w:lang w:val="ru-RU" w:eastAsia="en-US"/>
        </w:rPr>
        <w:tab/>
        <w:t>Были выявлены следующие риски для окружающей среды (UNEP/FAO/RC/CRC.17/9, разделы 2.4.1 и 2.4.2 уведомления Европейского союза):</w:t>
      </w:r>
    </w:p>
    <w:p w14:paraId="5851157B"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а)</w:t>
      </w:r>
      <w:r w:rsidRPr="003C48A8">
        <w:rPr>
          <w:rFonts w:eastAsia="Times New Roman"/>
          <w:sz w:val="20"/>
          <w:szCs w:val="20"/>
          <w:lang w:val="ru-RU" w:eastAsia="en-US"/>
        </w:rPr>
        <w:tab/>
        <w:t>при применении гранулированного состава (Skipper) были выявлены высокие острые и долгосрочные риски для птиц и млекопитающих в случае прямого потребления гранул и, кроме того, острый риск в случае потребления загрязненных метомилом земляных червей;</w:t>
      </w:r>
    </w:p>
    <w:p w14:paraId="39B1F7AF"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eastAsia="en-US"/>
        </w:rPr>
        <w:t>b</w:t>
      </w:r>
      <w:r w:rsidRPr="003C48A8">
        <w:rPr>
          <w:rFonts w:eastAsia="Times New Roman"/>
          <w:sz w:val="20"/>
          <w:szCs w:val="20"/>
          <w:lang w:val="ru-RU" w:eastAsia="en-US"/>
        </w:rPr>
        <w:t>)</w:t>
      </w:r>
      <w:r w:rsidRPr="003C48A8">
        <w:rPr>
          <w:rFonts w:eastAsia="Times New Roman"/>
          <w:sz w:val="20"/>
          <w:szCs w:val="20"/>
          <w:lang w:val="ru-RU" w:eastAsia="en-US"/>
        </w:rPr>
        <w:tab/>
        <w:t xml:space="preserve">что касается применения «Skipper» на почвах, уязвимых для дренирования, существует потенциальный риск воздействия на поверхностные воды за счет </w:t>
      </w:r>
      <w:proofErr w:type="gramStart"/>
      <w:r w:rsidRPr="003C48A8">
        <w:rPr>
          <w:rFonts w:eastAsia="Times New Roman"/>
          <w:sz w:val="20"/>
          <w:szCs w:val="20"/>
          <w:lang w:val="ru-RU" w:eastAsia="en-US"/>
        </w:rPr>
        <w:t>дренирования;</w:t>
      </w:r>
      <w:proofErr w:type="gramEnd"/>
    </w:p>
    <w:p w14:paraId="7B77D2E8"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с)</w:t>
      </w:r>
      <w:r w:rsidRPr="003C48A8">
        <w:rPr>
          <w:rFonts w:eastAsia="Times New Roman"/>
          <w:sz w:val="20"/>
          <w:szCs w:val="20"/>
          <w:lang w:val="ru-RU" w:eastAsia="en-US"/>
        </w:rPr>
        <w:tab/>
        <w:t>тиодикарб токсичен для медоносных пчел, и существует долгосрочный риск для земляных червей в результате воздействия метомила.</w:t>
      </w:r>
    </w:p>
    <w:p w14:paraId="3EE3026C"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11.</w:t>
      </w:r>
      <w:r w:rsidRPr="003C48A8">
        <w:rPr>
          <w:rFonts w:eastAsia="Times New Roman"/>
          <w:sz w:val="20"/>
          <w:szCs w:val="20"/>
          <w:lang w:val="ru-RU" w:eastAsia="en-US"/>
        </w:rPr>
        <w:tab/>
        <w:t>Был сделан вывод о том, что соответствия тиодикарба требованиям безопасности, изложенным в статьях 5 I) a) и b) Директивы 91/414/EEC, доказано не было. В частности, были выявлены опасения в отношении воздействия на потребителей и применения в качестве моллюскоцида (UNEP/FAO/RC/CRC.17/9, раздел 2.3 уведомления Европейского союза).</w:t>
      </w:r>
    </w:p>
    <w:p w14:paraId="25E0B1B1"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12.</w:t>
      </w:r>
      <w:r w:rsidRPr="003C48A8">
        <w:rPr>
          <w:rFonts w:eastAsia="Times New Roman"/>
          <w:sz w:val="20"/>
          <w:szCs w:val="20"/>
          <w:lang w:val="ru-RU" w:eastAsia="en-US"/>
        </w:rPr>
        <w:tab/>
        <w:t xml:space="preserve">Комитет приходит к выводу, что критерий, содержащийся в </w:t>
      </w:r>
      <w:r>
        <w:rPr>
          <w:rFonts w:eastAsia="Times New Roman"/>
          <w:sz w:val="20"/>
          <w:szCs w:val="20"/>
          <w:lang w:val="ru-RU" w:eastAsia="en-US"/>
        </w:rPr>
        <w:t xml:space="preserve">пункте </w:t>
      </w:r>
      <w:r w:rsidRPr="003C48A8">
        <w:rPr>
          <w:rFonts w:eastAsia="Times New Roman"/>
          <w:sz w:val="20"/>
          <w:szCs w:val="20"/>
          <w:lang w:val="ru-RU" w:eastAsia="en-US"/>
        </w:rPr>
        <w:t>a)</w:t>
      </w:r>
      <w:r>
        <w:rPr>
          <w:rFonts w:eastAsia="Times New Roman"/>
          <w:sz w:val="20"/>
          <w:szCs w:val="20"/>
          <w:lang w:val="ru-RU" w:eastAsia="en-US"/>
        </w:rPr>
        <w:t xml:space="preserve"> </w:t>
      </w:r>
      <w:r w:rsidRPr="003C48A8">
        <w:rPr>
          <w:rFonts w:eastAsia="Times New Roman"/>
          <w:sz w:val="20"/>
          <w:szCs w:val="20"/>
          <w:lang w:val="ru-RU" w:eastAsia="en-US"/>
        </w:rPr>
        <w:t>приложения II, соблюден.</w:t>
      </w:r>
    </w:p>
    <w:p w14:paraId="380D9F94" w14:textId="77777777" w:rsidR="00507B12" w:rsidRPr="003C48A8" w:rsidRDefault="00507B12" w:rsidP="00507B12">
      <w:pPr>
        <w:tabs>
          <w:tab w:val="right" w:pos="851"/>
        </w:tabs>
        <w:spacing w:after="120"/>
        <w:ind w:left="1247" w:right="284" w:hanging="1247"/>
        <w:rPr>
          <w:rFonts w:eastAsia="Arial Unicode MS"/>
          <w:b/>
          <w:bCs/>
          <w:sz w:val="20"/>
          <w:szCs w:val="20"/>
          <w:lang w:val="ru-RU" w:eastAsia="en-US"/>
        </w:rPr>
      </w:pPr>
      <w:r w:rsidRPr="003C48A8">
        <w:rPr>
          <w:rFonts w:eastAsia="Times New Roman"/>
          <w:b/>
          <w:bCs/>
          <w:sz w:val="20"/>
          <w:szCs w:val="20"/>
          <w:lang w:val="ru-RU" w:eastAsia="en-US"/>
        </w:rPr>
        <w:tab/>
        <w:t>c)</w:t>
      </w:r>
      <w:r w:rsidRPr="003C48A8">
        <w:rPr>
          <w:rFonts w:eastAsia="Times New Roman"/>
          <w:b/>
          <w:bCs/>
          <w:sz w:val="20"/>
          <w:szCs w:val="20"/>
          <w:lang w:val="ru-RU" w:eastAsia="en-US"/>
        </w:rPr>
        <w:tab/>
        <w:t>Критерии, содержащиеся в пункте b) приложения II</w:t>
      </w:r>
    </w:p>
    <w:p w14:paraId="7DAFC728" w14:textId="77777777" w:rsidR="00507B12" w:rsidRPr="003C48A8" w:rsidRDefault="00507B12" w:rsidP="00507B12">
      <w:pPr>
        <w:spacing w:after="120"/>
        <w:ind w:left="1247" w:firstLine="624"/>
        <w:rPr>
          <w:rFonts w:eastAsia="Arial Unicode MS"/>
          <w:i/>
          <w:iCs/>
          <w:sz w:val="20"/>
          <w:szCs w:val="20"/>
          <w:lang w:val="ru-RU" w:eastAsia="en-US"/>
        </w:rPr>
      </w:pPr>
      <w:r w:rsidRPr="003C48A8">
        <w:rPr>
          <w:rFonts w:eastAsia="Times New Roman"/>
          <w:i/>
          <w:iCs/>
          <w:sz w:val="20"/>
          <w:szCs w:val="20"/>
          <w:lang w:val="ru-RU" w:eastAsia="en-US"/>
        </w:rPr>
        <w:t>b)</w:t>
      </w:r>
      <w:r w:rsidRPr="003C48A8">
        <w:rPr>
          <w:rFonts w:eastAsia="Times New Roman"/>
          <w:i/>
          <w:iCs/>
          <w:sz w:val="20"/>
          <w:szCs w:val="20"/>
          <w:lang w:val="ru-RU" w:eastAsia="en-US"/>
        </w:rPr>
        <w:tab/>
        <w:t>устанавливает, что окончательное регламентационное постановление было принято на основе результатов оценки рисков. Эта оценка должна основываться на обзоре научных данных в контексте условий, преобладающих в соответствующей Стороне. Для этой цели из представляемой документации должно явствовать, что:</w:t>
      </w:r>
    </w:p>
    <w:p w14:paraId="5B7833EE"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lastRenderedPageBreak/>
        <w:t>i)</w:t>
      </w:r>
      <w:r w:rsidRPr="003C48A8">
        <w:rPr>
          <w:rFonts w:eastAsia="Times New Roman"/>
          <w:i/>
          <w:iCs/>
          <w:sz w:val="20"/>
          <w:szCs w:val="20"/>
          <w:lang w:val="ru-RU" w:eastAsia="en-US"/>
        </w:rPr>
        <w:tab/>
        <w:t>данные получены с помощью научно признанных методов;</w:t>
      </w:r>
    </w:p>
    <w:p w14:paraId="2D6D089B"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ii)</w:t>
      </w:r>
      <w:r w:rsidRPr="003C48A8">
        <w:rPr>
          <w:rFonts w:eastAsia="Times New Roman"/>
          <w:i/>
          <w:iCs/>
          <w:sz w:val="20"/>
          <w:szCs w:val="20"/>
          <w:lang w:val="ru-RU" w:eastAsia="en-US"/>
        </w:rPr>
        <w:tab/>
        <w:t>обзоры данных проведены и документально оформлены с соблюдением общепризнанных научных принципов и процедур;</w:t>
      </w:r>
    </w:p>
    <w:p w14:paraId="4AEFDF4D"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13.</w:t>
      </w:r>
      <w:r w:rsidRPr="003C48A8">
        <w:rPr>
          <w:rFonts w:eastAsia="Times New Roman"/>
          <w:sz w:val="20"/>
          <w:szCs w:val="20"/>
          <w:lang w:val="ru-RU" w:eastAsia="en-US"/>
        </w:rPr>
        <w:tab/>
        <w:t xml:space="preserve">В уведомлении указывается, что окончательное регламентационное постановление основано на оценке риска или опасности. В уведомлении содержатся </w:t>
      </w:r>
      <w:r>
        <w:rPr>
          <w:rFonts w:eastAsia="Times New Roman"/>
          <w:sz w:val="20"/>
          <w:szCs w:val="20"/>
          <w:lang w:val="ru-RU" w:eastAsia="en-US"/>
        </w:rPr>
        <w:t>указания</w:t>
      </w:r>
      <w:r w:rsidRPr="003C48A8">
        <w:rPr>
          <w:rFonts w:eastAsia="Times New Roman"/>
          <w:sz w:val="20"/>
          <w:szCs w:val="20"/>
          <w:lang w:val="ru-RU" w:eastAsia="en-US"/>
        </w:rPr>
        <w:t xml:space="preserve"> на следующие документы:</w:t>
      </w:r>
    </w:p>
    <w:p w14:paraId="6F566144"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а)</w:t>
      </w:r>
      <w:r w:rsidRPr="003C48A8">
        <w:rPr>
          <w:rFonts w:eastAsia="Times New Roman"/>
          <w:sz w:val="20"/>
          <w:szCs w:val="20"/>
          <w:lang w:val="ru-RU" w:eastAsia="en-US"/>
        </w:rPr>
        <w:tab/>
      </w:r>
      <w:r w:rsidRPr="00586724">
        <w:rPr>
          <w:rFonts w:eastAsia="Times New Roman"/>
          <w:sz w:val="20"/>
          <w:szCs w:val="20"/>
          <w:lang w:val="ru-RU" w:eastAsia="en-US"/>
        </w:rPr>
        <w:t xml:space="preserve">Генеральный директорат Европейской комиссии </w:t>
      </w:r>
      <w:r>
        <w:rPr>
          <w:rFonts w:eastAsia="Times New Roman"/>
          <w:sz w:val="20"/>
          <w:szCs w:val="20"/>
          <w:lang w:val="ru-RU" w:eastAsia="en-US"/>
        </w:rPr>
        <w:t xml:space="preserve">по здравоохранению и безопасности пищевых продуктов, </w:t>
      </w:r>
      <w:r w:rsidRPr="003C48A8">
        <w:rPr>
          <w:rFonts w:eastAsia="Times New Roman"/>
          <w:sz w:val="20"/>
          <w:szCs w:val="20"/>
          <w:lang w:val="ru-RU" w:eastAsia="en-US"/>
        </w:rPr>
        <w:t>«Обзорный доклад об активном веществе тиодикарб</w:t>
      </w:r>
      <w:r>
        <w:rPr>
          <w:rFonts w:eastAsia="Times New Roman"/>
          <w:sz w:val="20"/>
          <w:szCs w:val="20"/>
          <w:lang w:val="ru-RU" w:eastAsia="en-US"/>
        </w:rPr>
        <w:t>»,</w:t>
      </w:r>
      <w:r w:rsidRPr="003C48A8">
        <w:rPr>
          <w:rFonts w:eastAsia="Times New Roman"/>
          <w:sz w:val="20"/>
          <w:szCs w:val="20"/>
          <w:lang w:val="ru-RU" w:eastAsia="en-US"/>
        </w:rPr>
        <w:t xml:space="preserve"> (SANCO/10013/2006-rev. 1) и вспомогательные справочные документы (досье, монография и доклад ЕАБПП о коллегиальном обзоре в рамках Программы коллегиального обзора);</w:t>
      </w:r>
    </w:p>
    <w:p w14:paraId="5FDE54CE" w14:textId="77777777" w:rsidR="00507B12" w:rsidRPr="003C48A8" w:rsidRDefault="00507B12" w:rsidP="00507B12">
      <w:pPr>
        <w:spacing w:after="120"/>
        <w:ind w:left="1247" w:firstLine="624"/>
        <w:rPr>
          <w:rFonts w:eastAsia="Arial Unicode MS"/>
          <w:sz w:val="20"/>
          <w:szCs w:val="20"/>
          <w:lang w:val="ru-RU" w:eastAsia="en-US"/>
        </w:rPr>
      </w:pPr>
      <w:r w:rsidRPr="003C48A8">
        <w:rPr>
          <w:rFonts w:eastAsia="Times New Roman"/>
          <w:sz w:val="20"/>
          <w:szCs w:val="20"/>
          <w:lang w:eastAsia="en-US"/>
        </w:rPr>
        <w:t>b</w:t>
      </w:r>
      <w:r w:rsidRPr="003C48A8">
        <w:rPr>
          <w:rFonts w:eastAsia="Times New Roman"/>
          <w:sz w:val="20"/>
          <w:szCs w:val="20"/>
          <w:lang w:val="ru-RU" w:eastAsia="en-US"/>
        </w:rPr>
        <w:t>)</w:t>
      </w:r>
      <w:r w:rsidRPr="003C48A8">
        <w:rPr>
          <w:rFonts w:eastAsia="Times New Roman"/>
          <w:sz w:val="20"/>
          <w:szCs w:val="20"/>
          <w:lang w:val="ru-RU" w:eastAsia="en-US"/>
        </w:rPr>
        <w:tab/>
      </w:r>
      <w:r>
        <w:rPr>
          <w:rFonts w:eastAsia="Times New Roman"/>
          <w:sz w:val="20"/>
          <w:szCs w:val="20"/>
          <w:lang w:val="ru-RU" w:eastAsia="en-US"/>
        </w:rPr>
        <w:t>ЕАБПП, «З</w:t>
      </w:r>
      <w:r w:rsidRPr="003C48A8">
        <w:rPr>
          <w:rFonts w:eastAsia="Times New Roman"/>
          <w:sz w:val="20"/>
          <w:szCs w:val="20"/>
          <w:lang w:val="ru-RU" w:eastAsia="en-US"/>
        </w:rPr>
        <w:t>аключение по результатам коллегиального обзора оценки активного вещества тиодикарб в качестве пестицида</w:t>
      </w:r>
      <w:r>
        <w:rPr>
          <w:rFonts w:eastAsia="Times New Roman"/>
          <w:sz w:val="20"/>
          <w:szCs w:val="20"/>
          <w:lang w:val="ru-RU" w:eastAsia="en-US"/>
        </w:rPr>
        <w:t>»</w:t>
      </w:r>
      <w:r w:rsidRPr="003C48A8">
        <w:rPr>
          <w:rFonts w:eastAsia="Times New Roman"/>
          <w:sz w:val="20"/>
          <w:szCs w:val="20"/>
          <w:lang w:val="ru-RU" w:eastAsia="en-US"/>
        </w:rPr>
        <w:t xml:space="preserve">. Научный доклад </w:t>
      </w:r>
      <w:r>
        <w:rPr>
          <w:rFonts w:eastAsia="Times New Roman"/>
          <w:sz w:val="20"/>
          <w:szCs w:val="20"/>
          <w:lang w:val="ru-RU" w:eastAsia="en-US"/>
        </w:rPr>
        <w:t xml:space="preserve">50 </w:t>
      </w:r>
      <w:r w:rsidRPr="003C48A8">
        <w:rPr>
          <w:rFonts w:eastAsia="Times New Roman"/>
          <w:sz w:val="20"/>
          <w:szCs w:val="20"/>
          <w:lang w:val="ru-RU" w:eastAsia="en-US"/>
        </w:rPr>
        <w:t>ЕАБПП</w:t>
      </w:r>
      <w:r>
        <w:rPr>
          <w:rFonts w:eastAsia="Times New Roman"/>
          <w:sz w:val="20"/>
          <w:szCs w:val="20"/>
          <w:lang w:val="ru-RU" w:eastAsia="en-US"/>
        </w:rPr>
        <w:t>, 1-65</w:t>
      </w:r>
      <w:r w:rsidRPr="003C48A8">
        <w:rPr>
          <w:rFonts w:eastAsia="Times New Roman"/>
          <w:sz w:val="20"/>
          <w:szCs w:val="20"/>
          <w:lang w:val="ru-RU" w:eastAsia="en-US"/>
        </w:rPr>
        <w:t xml:space="preserve"> (2005 год) (</w:t>
      </w:r>
      <w:r>
        <w:rPr>
          <w:rFonts w:eastAsia="Times New Roman"/>
          <w:sz w:val="20"/>
          <w:szCs w:val="20"/>
          <w:lang w:val="ru-RU" w:eastAsia="en-US"/>
        </w:rPr>
        <w:t xml:space="preserve">см. </w:t>
      </w:r>
      <w:r w:rsidRPr="003C48A8">
        <w:rPr>
          <w:rFonts w:eastAsia="Times New Roman"/>
          <w:sz w:val="20"/>
          <w:szCs w:val="20"/>
          <w:lang w:val="ru-RU" w:eastAsia="en-US"/>
        </w:rPr>
        <w:t>UNEP/FAO/RC/CRC.17/9, раздел 2.4.1 уведомления Европейского союза).</w:t>
      </w:r>
    </w:p>
    <w:p w14:paraId="6F683A46"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14.</w:t>
      </w:r>
      <w:r w:rsidRPr="003C48A8">
        <w:rPr>
          <w:rFonts w:eastAsia="Times New Roman"/>
          <w:sz w:val="20"/>
          <w:szCs w:val="20"/>
          <w:lang w:val="ru-RU" w:eastAsia="en-US"/>
        </w:rPr>
        <w:tab/>
        <w:t xml:space="preserve">Обзорный доклад был разработан и завершен в обоснование решения 2007/366/EC </w:t>
      </w:r>
      <w:r>
        <w:rPr>
          <w:rFonts w:eastAsia="Times New Roman"/>
          <w:sz w:val="20"/>
          <w:szCs w:val="20"/>
          <w:lang w:val="ru-RU" w:eastAsia="en-US"/>
        </w:rPr>
        <w:t>Европейской к</w:t>
      </w:r>
      <w:r w:rsidRPr="003C48A8">
        <w:rPr>
          <w:rFonts w:eastAsia="Times New Roman"/>
          <w:sz w:val="20"/>
          <w:szCs w:val="20"/>
          <w:lang w:val="ru-RU" w:eastAsia="en-US"/>
        </w:rPr>
        <w:t>омиссии, касающегося невключения тиодикарба в приложение I к Директиве 91/414/EEC.</w:t>
      </w:r>
    </w:p>
    <w:p w14:paraId="0C908EA9"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15.</w:t>
      </w:r>
      <w:r w:rsidRPr="003C48A8">
        <w:rPr>
          <w:rFonts w:eastAsia="Times New Roman"/>
          <w:sz w:val="20"/>
          <w:szCs w:val="20"/>
          <w:lang w:val="ru-RU" w:eastAsia="en-US"/>
        </w:rPr>
        <w:tab/>
        <w:t xml:space="preserve">Одно из государств-членов было назначено для проведения оценки риска на основе информации, представленной заявителем, и подготовки проекта доклада об оценке. Доклад был предметом коллегиального обзора со стороны государств-членов и ЕАБПП. ЕАБПП представило Европейской комиссии свое заключение по результатам оценки риска. Затем результаты были рассмотрены государствами-членами и Комиссией в Постоянном комитете по </w:t>
      </w:r>
      <w:r>
        <w:rPr>
          <w:rFonts w:eastAsia="Times New Roman"/>
          <w:sz w:val="20"/>
          <w:szCs w:val="20"/>
          <w:lang w:val="ru-RU" w:eastAsia="en-US"/>
        </w:rPr>
        <w:t>продовольствию и ветеринарии</w:t>
      </w:r>
      <w:r w:rsidRPr="003C48A8">
        <w:rPr>
          <w:rFonts w:eastAsia="Times New Roman"/>
          <w:sz w:val="20"/>
          <w:szCs w:val="20"/>
          <w:lang w:val="ru-RU" w:eastAsia="en-US"/>
        </w:rPr>
        <w:t xml:space="preserve"> (</w:t>
      </w:r>
      <w:r>
        <w:rPr>
          <w:rFonts w:eastAsia="Times New Roman"/>
          <w:sz w:val="20"/>
          <w:szCs w:val="20"/>
          <w:lang w:val="ru-RU" w:eastAsia="en-US"/>
        </w:rPr>
        <w:t>ПКПВ</w:t>
      </w:r>
      <w:r w:rsidRPr="003C48A8">
        <w:rPr>
          <w:rFonts w:eastAsia="Times New Roman"/>
          <w:sz w:val="20"/>
          <w:szCs w:val="20"/>
          <w:lang w:val="ru-RU" w:eastAsia="en-US"/>
        </w:rPr>
        <w:t>) и окончательно доработаны 14 июля 2006 года.</w:t>
      </w:r>
    </w:p>
    <w:p w14:paraId="20BDAD5B"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16.</w:t>
      </w:r>
      <w:r w:rsidRPr="003C48A8">
        <w:rPr>
          <w:rFonts w:eastAsia="Times New Roman"/>
          <w:sz w:val="20"/>
          <w:szCs w:val="20"/>
          <w:lang w:val="ru-RU" w:eastAsia="en-US"/>
        </w:rPr>
        <w:tab/>
        <w:t>Оценка была основана на обзоре научных данных с учетом условий, преобладающих в Европейском союзе (рекомендуемые виды применения, рекомендуемые дозы внесения, надлежащая сельскохозяйственная практика). Для оценки были утверждены и использовались только данные, полученные с помощью научно признанных методов. Более того, обзоры данных проведены и документально оформлены с соблюдением общепризнанных научных принципов и процедур.</w:t>
      </w:r>
    </w:p>
    <w:p w14:paraId="27B04C3C"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17.</w:t>
      </w:r>
      <w:r w:rsidRPr="003C48A8">
        <w:rPr>
          <w:rFonts w:eastAsia="Times New Roman"/>
          <w:sz w:val="20"/>
          <w:szCs w:val="20"/>
          <w:lang w:val="ru-RU" w:eastAsia="en-US"/>
        </w:rPr>
        <w:tab/>
        <w:t>Был сделан вывод о том, что соответствия тиодикарба требованиям безопасности, изложенным в статьях 5 I) a) и b) Директивы 91/414/EEC, доказано не было. В частности, были выявлены опасения в отношении воздействия на потребителей и применения в качестве моллюскоцида (UNEP/FAO/RC/CRC.17/9, разделы 2.3 и 2.4. уведомления Европейского союза).</w:t>
      </w:r>
    </w:p>
    <w:p w14:paraId="31695AE9"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18.</w:t>
      </w:r>
      <w:r w:rsidRPr="003C48A8">
        <w:rPr>
          <w:rFonts w:eastAsia="Times New Roman"/>
          <w:sz w:val="20"/>
          <w:szCs w:val="20"/>
          <w:lang w:val="ru-RU" w:eastAsia="en-US"/>
        </w:rPr>
        <w:tab/>
        <w:t>В связи с этим Комитет подтверждает соответствие критериям, указанным в пунктах b) i) и b) ii).</w:t>
      </w:r>
    </w:p>
    <w:p w14:paraId="31D17091"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iii)</w:t>
      </w:r>
      <w:r w:rsidRPr="003C48A8">
        <w:rPr>
          <w:rFonts w:eastAsia="Times New Roman"/>
          <w:i/>
          <w:iCs/>
          <w:sz w:val="20"/>
          <w:szCs w:val="20"/>
          <w:lang w:val="ru-RU" w:eastAsia="en-US"/>
        </w:rPr>
        <w:tab/>
        <w:t>окончательное регламентационное постановление основано на результатах оценки рисков с учетом преобладающих условий в Стороне, принимающей постановление;</w:t>
      </w:r>
    </w:p>
    <w:p w14:paraId="4AD82EEF"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19.</w:t>
      </w:r>
      <w:r w:rsidRPr="003C48A8">
        <w:rPr>
          <w:rFonts w:eastAsia="Times New Roman"/>
          <w:sz w:val="20"/>
          <w:szCs w:val="20"/>
          <w:lang w:val="ru-RU" w:eastAsia="en-US"/>
        </w:rPr>
        <w:tab/>
        <w:t>Окончательное регламентационное постановление о запрете на применение тиодикарба в Европейском союзе основано на оценке риска с учетом условий, существующих в Европейском союзе. При анализе рисков учитывались применение инсектицидов на столовых и винных сортах винограда (листовое опрыскивание) и применение моллюскоцидов для борьбы со слизнями и улитками на зерновых.</w:t>
      </w:r>
    </w:p>
    <w:p w14:paraId="628D72DE"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20.</w:t>
      </w:r>
      <w:r w:rsidRPr="003C48A8">
        <w:rPr>
          <w:rFonts w:eastAsia="Times New Roman"/>
          <w:sz w:val="20"/>
          <w:szCs w:val="20"/>
          <w:lang w:val="ru-RU" w:eastAsia="en-US"/>
        </w:rPr>
        <w:tab/>
        <w:t>Были выявлены следующие риски для здоровья человека и окружающей среды:</w:t>
      </w:r>
    </w:p>
    <w:p w14:paraId="677CAC00"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а)</w:t>
      </w:r>
      <w:r w:rsidRPr="003C48A8">
        <w:rPr>
          <w:rFonts w:eastAsia="Times New Roman"/>
          <w:sz w:val="20"/>
          <w:szCs w:val="20"/>
          <w:lang w:val="ru-RU" w:eastAsia="en-US"/>
        </w:rPr>
        <w:tab/>
        <w:t>острый риск в связи с попаданием через пищу для малышей в результате потребления обработанного винограда столовых сортов и для взрослых в результате потребления вина, произведенного из обработанного винограда винных сортов;</w:t>
      </w:r>
    </w:p>
    <w:p w14:paraId="34DF77C8"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eastAsia="en-US"/>
        </w:rPr>
        <w:t>b</w:t>
      </w:r>
      <w:r w:rsidRPr="003C48A8">
        <w:rPr>
          <w:rFonts w:eastAsia="Times New Roman"/>
          <w:sz w:val="20"/>
          <w:szCs w:val="20"/>
          <w:lang w:val="ru-RU" w:eastAsia="en-US"/>
        </w:rPr>
        <w:t>)</w:t>
      </w:r>
      <w:r w:rsidRPr="003C48A8">
        <w:rPr>
          <w:rFonts w:eastAsia="Times New Roman"/>
          <w:sz w:val="20"/>
          <w:szCs w:val="20"/>
          <w:lang w:val="ru-RU" w:eastAsia="en-US"/>
        </w:rPr>
        <w:tab/>
        <w:t xml:space="preserve">при применении гранулированного состава (Skipper) были выявлены высокие острые и долгосрочные риски для птиц и млекопитающих в случае прямого потребления </w:t>
      </w:r>
      <w:r w:rsidRPr="003C48A8">
        <w:rPr>
          <w:rFonts w:eastAsia="Times New Roman"/>
          <w:sz w:val="20"/>
          <w:szCs w:val="20"/>
          <w:lang w:val="ru-RU" w:eastAsia="en-US"/>
        </w:rPr>
        <w:lastRenderedPageBreak/>
        <w:t xml:space="preserve">гранул и, кроме того, острый риск в случае потребления загрязненных метомилом земляных </w:t>
      </w:r>
      <w:proofErr w:type="gramStart"/>
      <w:r w:rsidRPr="003C48A8">
        <w:rPr>
          <w:rFonts w:eastAsia="Times New Roman"/>
          <w:sz w:val="20"/>
          <w:szCs w:val="20"/>
          <w:lang w:val="ru-RU" w:eastAsia="en-US"/>
        </w:rPr>
        <w:t>червей;</w:t>
      </w:r>
      <w:proofErr w:type="gramEnd"/>
    </w:p>
    <w:p w14:paraId="7C031030"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val="ru-RU" w:eastAsia="en-US"/>
        </w:rPr>
        <w:t>с)</w:t>
      </w:r>
      <w:r w:rsidRPr="003C48A8">
        <w:rPr>
          <w:rFonts w:eastAsia="Times New Roman"/>
          <w:sz w:val="20"/>
          <w:szCs w:val="20"/>
          <w:lang w:val="ru-RU" w:eastAsia="en-US"/>
        </w:rPr>
        <w:tab/>
        <w:t>что касается применения «Skipper» на почвах, уязвимых для дренирования, существует потенциальный риск воздействия на поверхностные воды: существует потенциальный риск для водных организмов из-за воздействия на них загрязненных поверхностных вод;</w:t>
      </w:r>
    </w:p>
    <w:p w14:paraId="1C910E28" w14:textId="77777777" w:rsidR="00507B12" w:rsidRPr="003C48A8" w:rsidRDefault="00507B12" w:rsidP="00507B12">
      <w:pPr>
        <w:spacing w:after="120"/>
        <w:ind w:left="1247" w:firstLine="624"/>
        <w:rPr>
          <w:rFonts w:eastAsia="Times New Roman"/>
          <w:sz w:val="20"/>
          <w:szCs w:val="20"/>
          <w:lang w:val="ru-RU" w:eastAsia="en-US"/>
        </w:rPr>
      </w:pPr>
      <w:r w:rsidRPr="003C48A8">
        <w:rPr>
          <w:rFonts w:eastAsia="Times New Roman"/>
          <w:sz w:val="20"/>
          <w:szCs w:val="20"/>
          <w:lang w:eastAsia="en-US"/>
        </w:rPr>
        <w:t>d</w:t>
      </w:r>
      <w:r w:rsidRPr="003C48A8">
        <w:rPr>
          <w:rFonts w:eastAsia="Times New Roman"/>
          <w:sz w:val="20"/>
          <w:szCs w:val="20"/>
          <w:lang w:val="ru-RU" w:eastAsia="en-US"/>
        </w:rPr>
        <w:t>)</w:t>
      </w:r>
      <w:r w:rsidRPr="003C48A8">
        <w:rPr>
          <w:rFonts w:eastAsia="Times New Roman"/>
          <w:sz w:val="20"/>
          <w:szCs w:val="20"/>
          <w:lang w:val="ru-RU" w:eastAsia="en-US"/>
        </w:rPr>
        <w:tab/>
        <w:t>тиодикарб токсичен для медоносных пчел, и существует долгосрочный риск для земляных червей в результате воздействия метомила.</w:t>
      </w:r>
    </w:p>
    <w:p w14:paraId="03D8CCCE"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21.</w:t>
      </w:r>
      <w:r w:rsidRPr="003C48A8">
        <w:rPr>
          <w:rFonts w:eastAsia="Times New Roman"/>
          <w:sz w:val="20"/>
          <w:szCs w:val="20"/>
          <w:lang w:val="ru-RU" w:eastAsia="en-US"/>
        </w:rPr>
        <w:tab/>
        <w:t>Следовательно, Комитет подтверждает соответствие критерию, указанному в пункте b) iii).</w:t>
      </w:r>
    </w:p>
    <w:p w14:paraId="2F35BE1F"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22.</w:t>
      </w:r>
      <w:r w:rsidRPr="003C48A8">
        <w:rPr>
          <w:rFonts w:eastAsia="Times New Roman"/>
          <w:sz w:val="20"/>
          <w:szCs w:val="20"/>
          <w:lang w:val="ru-RU" w:eastAsia="en-US"/>
        </w:rPr>
        <w:tab/>
        <w:t>Комитет подтверждает соответствие критериям, указанным в пункте b).</w:t>
      </w:r>
    </w:p>
    <w:p w14:paraId="3BCB8972" w14:textId="77777777" w:rsidR="00507B12" w:rsidRPr="003C48A8" w:rsidRDefault="00507B12" w:rsidP="00507B12">
      <w:pPr>
        <w:keepNext/>
        <w:keepLines/>
        <w:tabs>
          <w:tab w:val="right" w:pos="851"/>
        </w:tabs>
        <w:spacing w:after="120"/>
        <w:ind w:left="1247" w:right="284" w:hanging="1247"/>
        <w:rPr>
          <w:rFonts w:eastAsia="Arial Unicode MS"/>
          <w:b/>
          <w:bCs/>
          <w:sz w:val="20"/>
          <w:szCs w:val="20"/>
          <w:lang w:val="ru-RU" w:eastAsia="en-US"/>
        </w:rPr>
      </w:pPr>
      <w:r w:rsidRPr="003C48A8">
        <w:rPr>
          <w:rFonts w:eastAsia="Times New Roman"/>
          <w:b/>
          <w:bCs/>
          <w:sz w:val="20"/>
          <w:szCs w:val="20"/>
          <w:lang w:val="ru-RU" w:eastAsia="en-US"/>
        </w:rPr>
        <w:tab/>
        <w:t>d)</w:t>
      </w:r>
      <w:r w:rsidRPr="003C48A8">
        <w:rPr>
          <w:rFonts w:eastAsia="Times New Roman"/>
          <w:b/>
          <w:bCs/>
          <w:sz w:val="20"/>
          <w:szCs w:val="20"/>
          <w:lang w:val="ru-RU" w:eastAsia="en-US"/>
        </w:rPr>
        <w:tab/>
        <w:t>Критерии, содержащиеся в пункте c) приложения II</w:t>
      </w:r>
    </w:p>
    <w:p w14:paraId="0A64C09F" w14:textId="77777777" w:rsidR="00507B12" w:rsidRPr="003C48A8" w:rsidRDefault="00507B12" w:rsidP="00507B12">
      <w:pPr>
        <w:keepNext/>
        <w:keepLines/>
        <w:spacing w:after="120"/>
        <w:ind w:left="1247" w:firstLine="624"/>
        <w:rPr>
          <w:rFonts w:eastAsia="Arial Unicode MS"/>
          <w:i/>
          <w:iCs/>
          <w:sz w:val="20"/>
          <w:szCs w:val="20"/>
          <w:lang w:val="ru-RU" w:eastAsia="en-US"/>
        </w:rPr>
      </w:pPr>
      <w:r w:rsidRPr="003C48A8">
        <w:rPr>
          <w:rFonts w:eastAsia="Times New Roman"/>
          <w:i/>
          <w:iCs/>
          <w:sz w:val="20"/>
          <w:szCs w:val="20"/>
          <w:lang w:val="ru-RU" w:eastAsia="en-US"/>
        </w:rPr>
        <w:t>c)</w:t>
      </w:r>
      <w:r w:rsidRPr="003C48A8">
        <w:rPr>
          <w:rFonts w:eastAsia="Times New Roman"/>
          <w:i/>
          <w:iCs/>
          <w:sz w:val="20"/>
          <w:szCs w:val="20"/>
          <w:lang w:val="ru-RU" w:eastAsia="en-US"/>
        </w:rPr>
        <w:tab/>
        <w:t>определяет, обеспечивает ли окончательное регламентационное постановление достаточно широкую основу для включения химического вещества в приложение III с учетом следующего:</w:t>
      </w:r>
    </w:p>
    <w:p w14:paraId="563E3DF2" w14:textId="77777777" w:rsidR="00507B12" w:rsidRPr="003C48A8" w:rsidRDefault="00507B12" w:rsidP="00507B12">
      <w:pPr>
        <w:keepNext/>
        <w:keepLines/>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w:t>
      </w:r>
      <w:r w:rsidRPr="003C48A8">
        <w:rPr>
          <w:rFonts w:eastAsia="Times New Roman"/>
          <w:i/>
          <w:iCs/>
          <w:sz w:val="20"/>
          <w:szCs w:val="20"/>
          <w:lang w:val="ru-RU" w:eastAsia="en-US"/>
        </w:rPr>
        <w:tab/>
        <w:t>привело ли или, как ожидается, приведет ли принятие окончательного регламентационного постановления к значительному сокращению объема потребления данного химического вещества или числа видов его применения;</w:t>
      </w:r>
    </w:p>
    <w:p w14:paraId="2CDB50DF"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23.</w:t>
      </w:r>
      <w:r w:rsidRPr="003C48A8">
        <w:rPr>
          <w:rFonts w:eastAsia="Times New Roman"/>
          <w:sz w:val="20"/>
          <w:szCs w:val="20"/>
          <w:lang w:val="ru-RU" w:eastAsia="en-US"/>
        </w:rPr>
        <w:tab/>
        <w:t>В окончательном регламентационном постановлении указано, что запрещено размещать на рынке или применять средства защиты растений, содержащие тиодикарб.</w:t>
      </w:r>
    </w:p>
    <w:p w14:paraId="74BA3A53"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24.</w:t>
      </w:r>
      <w:r w:rsidRPr="003C48A8">
        <w:rPr>
          <w:rFonts w:eastAsia="Times New Roman"/>
          <w:sz w:val="20"/>
          <w:szCs w:val="20"/>
          <w:lang w:val="ru-RU" w:eastAsia="en-US"/>
        </w:rPr>
        <w:tab/>
      </w:r>
      <w:r>
        <w:rPr>
          <w:rFonts w:eastAsia="Times New Roman"/>
          <w:sz w:val="20"/>
          <w:szCs w:val="20"/>
          <w:lang w:val="ru-RU" w:eastAsia="en-US"/>
        </w:rPr>
        <w:t>Таким образом,</w:t>
      </w:r>
      <w:r w:rsidRPr="003C48A8">
        <w:rPr>
          <w:rFonts w:eastAsia="Times New Roman"/>
          <w:sz w:val="20"/>
          <w:szCs w:val="20"/>
          <w:lang w:val="ru-RU" w:eastAsia="en-US"/>
        </w:rPr>
        <w:t xml:space="preserve"> ожидается, что окончательное регламентационное постановление приведет к значительному уменьшению объема потребления данного химического вещества и числа видов его применения.</w:t>
      </w:r>
    </w:p>
    <w:p w14:paraId="275C6EA6"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25.</w:t>
      </w:r>
      <w:r w:rsidRPr="003C48A8">
        <w:rPr>
          <w:rFonts w:eastAsia="Times New Roman"/>
          <w:sz w:val="20"/>
          <w:szCs w:val="20"/>
          <w:lang w:val="ru-RU" w:eastAsia="en-US"/>
        </w:rPr>
        <w:tab/>
        <w:t>Следовательно, Комитет подтверждает соответствие критерию, указанному в пункте c) i).</w:t>
      </w:r>
    </w:p>
    <w:p w14:paraId="200DB0BF"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ii)</w:t>
      </w:r>
      <w:r w:rsidRPr="003C48A8">
        <w:rPr>
          <w:rFonts w:eastAsia="Times New Roman"/>
          <w:i/>
          <w:iCs/>
          <w:sz w:val="20"/>
          <w:szCs w:val="20"/>
          <w:lang w:val="ru-RU" w:eastAsia="en-US"/>
        </w:rPr>
        <w:tab/>
        <w:t>привело ли окончательное регламентационное постановление к фактическому уменьшению или, как ожидается, к значительному уменьшению риска для здоровья человека и окружающей среды в Стороне, которая представила уведомление;</w:t>
      </w:r>
    </w:p>
    <w:p w14:paraId="48424C14"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26.</w:t>
      </w:r>
      <w:r w:rsidRPr="003C48A8">
        <w:rPr>
          <w:rFonts w:eastAsia="Times New Roman"/>
          <w:sz w:val="20"/>
          <w:szCs w:val="20"/>
          <w:lang w:val="ru-RU" w:eastAsia="en-US"/>
        </w:rPr>
        <w:tab/>
        <w:t>Предполагается, что, поскольку регламентационное постановление о запрете на применение тиодикарба приводит к значительному сокращению объема потребления данного химического вещества, риск для здоровья человека и окружающей среды также будет существенно уменьшен.</w:t>
      </w:r>
    </w:p>
    <w:p w14:paraId="326D7A0D"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27.</w:t>
      </w:r>
      <w:r w:rsidRPr="003C48A8">
        <w:rPr>
          <w:rFonts w:eastAsia="Times New Roman"/>
          <w:sz w:val="20"/>
          <w:szCs w:val="20"/>
          <w:lang w:val="ru-RU" w:eastAsia="en-US"/>
        </w:rPr>
        <w:tab/>
        <w:t>Следовательно, Комитет подтверждает соответствие критерию, указанному в пункте c) ii).</w:t>
      </w:r>
    </w:p>
    <w:p w14:paraId="2CF015F2"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iii)</w:t>
      </w:r>
      <w:r w:rsidRPr="003C48A8">
        <w:rPr>
          <w:rFonts w:eastAsia="Times New Roman"/>
          <w:i/>
          <w:iCs/>
          <w:sz w:val="20"/>
          <w:szCs w:val="20"/>
          <w:lang w:val="ru-RU" w:eastAsia="en-US"/>
        </w:rPr>
        <w:tab/>
        <w:t>являются ли соображения, послужившие основой для принятия окончательного регламентационного постановления, применимыми лишь в ограниченном географическом регионе или в других ограниченных обстоятельствах;</w:t>
      </w:r>
    </w:p>
    <w:p w14:paraId="1186BADC"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28.</w:t>
      </w:r>
      <w:r w:rsidRPr="003C48A8">
        <w:rPr>
          <w:rFonts w:eastAsia="Times New Roman"/>
          <w:sz w:val="20"/>
          <w:szCs w:val="20"/>
          <w:lang w:val="ru-RU" w:eastAsia="en-US"/>
        </w:rPr>
        <w:tab/>
        <w:t>В уведомлении указывается на вероятность возникновения аналогичных проблем для здоровья и окружающей среды и в других странах, где используется данное вещество, особенно в развивающихся странах (UNEP/FAO/RC/CRC.17/9, раздел 2.6 уведомления Европейского союза).</w:t>
      </w:r>
    </w:p>
    <w:p w14:paraId="78BB4A82"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29.</w:t>
      </w:r>
      <w:r w:rsidRPr="003C48A8">
        <w:rPr>
          <w:rFonts w:eastAsia="Times New Roman"/>
          <w:sz w:val="20"/>
          <w:szCs w:val="20"/>
          <w:lang w:val="ru-RU" w:eastAsia="en-US"/>
        </w:rPr>
        <w:tab/>
        <w:t>Следовательно, Комитет подтверждает соответствие критерию, указанному в пункте c) iii).</w:t>
      </w:r>
    </w:p>
    <w:p w14:paraId="44264D18" w14:textId="77777777" w:rsidR="00507B12" w:rsidRPr="003C48A8" w:rsidRDefault="00507B12" w:rsidP="00507B12">
      <w:pPr>
        <w:spacing w:after="120"/>
        <w:ind w:left="2495" w:hanging="624"/>
        <w:rPr>
          <w:rFonts w:eastAsia="Arial Unicode MS"/>
          <w:i/>
          <w:iCs/>
          <w:sz w:val="20"/>
          <w:szCs w:val="20"/>
          <w:lang w:val="ru-RU" w:eastAsia="en-US"/>
        </w:rPr>
      </w:pPr>
      <w:r w:rsidRPr="003C48A8">
        <w:rPr>
          <w:rFonts w:eastAsia="Times New Roman"/>
          <w:i/>
          <w:iCs/>
          <w:sz w:val="20"/>
          <w:szCs w:val="20"/>
          <w:lang w:val="ru-RU" w:eastAsia="en-US"/>
        </w:rPr>
        <w:t>iv)</w:t>
      </w:r>
      <w:r w:rsidRPr="003C48A8">
        <w:rPr>
          <w:rFonts w:eastAsia="Times New Roman"/>
          <w:i/>
          <w:iCs/>
          <w:sz w:val="20"/>
          <w:szCs w:val="20"/>
          <w:lang w:val="ru-RU" w:eastAsia="en-US"/>
        </w:rPr>
        <w:tab/>
        <w:t>имеются ли факты продолжающейся торговли этим химическим веществом на международном уровне;</w:t>
      </w:r>
    </w:p>
    <w:p w14:paraId="0C6872E7"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lastRenderedPageBreak/>
        <w:t>30.</w:t>
      </w:r>
      <w:r w:rsidRPr="003C48A8">
        <w:rPr>
          <w:rFonts w:eastAsia="Times New Roman"/>
          <w:sz w:val="20"/>
          <w:szCs w:val="20"/>
          <w:lang w:val="ru-RU" w:eastAsia="en-US"/>
        </w:rPr>
        <w:tab/>
        <w:t>В уведомлении Европейского союза отсутствует информация о предполагаемом объеме производства, импорта, экспорта и потребления тиодикарба. Секретариат собрал информацию о торговле. Полученная информация свидетельствует о фактах продолжающейся торговли (UNEP/FAO/RC/CRC.17/INF/5).</w:t>
      </w:r>
    </w:p>
    <w:p w14:paraId="1E0CD1F3"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31.</w:t>
      </w:r>
      <w:r w:rsidRPr="003C48A8">
        <w:rPr>
          <w:rFonts w:eastAsia="Times New Roman"/>
          <w:sz w:val="20"/>
          <w:szCs w:val="20"/>
          <w:lang w:val="ru-RU" w:eastAsia="en-US"/>
        </w:rPr>
        <w:tab/>
        <w:t>Следовательно, Комитет подтверждает соответствие критерию, указанному в пункте c) iv).</w:t>
      </w:r>
    </w:p>
    <w:p w14:paraId="6CDF1C6F" w14:textId="77777777" w:rsidR="00507B12" w:rsidRPr="003C48A8" w:rsidRDefault="00507B12" w:rsidP="00507B12">
      <w:pPr>
        <w:tabs>
          <w:tab w:val="right" w:pos="851"/>
        </w:tabs>
        <w:spacing w:after="120"/>
        <w:ind w:left="1247" w:right="284" w:hanging="1247"/>
        <w:rPr>
          <w:rFonts w:eastAsia="Arial Unicode MS"/>
          <w:b/>
          <w:bCs/>
          <w:sz w:val="20"/>
          <w:szCs w:val="20"/>
          <w:lang w:val="ru-RU" w:eastAsia="en-US"/>
        </w:rPr>
      </w:pPr>
      <w:r w:rsidRPr="003C48A8">
        <w:rPr>
          <w:rFonts w:eastAsia="Times New Roman"/>
          <w:b/>
          <w:bCs/>
          <w:sz w:val="20"/>
          <w:szCs w:val="20"/>
          <w:lang w:val="ru-RU" w:eastAsia="en-US"/>
        </w:rPr>
        <w:tab/>
        <w:t>e)</w:t>
      </w:r>
      <w:r w:rsidRPr="003C48A8">
        <w:rPr>
          <w:rFonts w:eastAsia="Times New Roman"/>
          <w:b/>
          <w:bCs/>
          <w:sz w:val="20"/>
          <w:szCs w:val="20"/>
          <w:lang w:val="ru-RU" w:eastAsia="en-US"/>
        </w:rPr>
        <w:tab/>
        <w:t>Критерий, содержащийся в пункте d) приложения II</w:t>
      </w:r>
    </w:p>
    <w:p w14:paraId="4652C144" w14:textId="77777777" w:rsidR="00507B12" w:rsidRPr="003C48A8" w:rsidRDefault="00507B12" w:rsidP="00507B12">
      <w:pPr>
        <w:spacing w:after="120"/>
        <w:ind w:left="1247" w:firstLine="624"/>
        <w:rPr>
          <w:rFonts w:eastAsia="Arial Unicode MS"/>
          <w:i/>
          <w:iCs/>
          <w:sz w:val="20"/>
          <w:szCs w:val="20"/>
          <w:lang w:val="ru-RU" w:eastAsia="en-US"/>
        </w:rPr>
      </w:pPr>
      <w:r w:rsidRPr="003C48A8">
        <w:rPr>
          <w:rFonts w:eastAsia="Times New Roman"/>
          <w:i/>
          <w:iCs/>
          <w:sz w:val="20"/>
          <w:szCs w:val="20"/>
          <w:lang w:val="ru-RU" w:eastAsia="en-US"/>
        </w:rPr>
        <w:t>d)</w:t>
      </w:r>
      <w:r w:rsidRPr="003C48A8">
        <w:rPr>
          <w:rFonts w:eastAsia="Times New Roman"/>
          <w:i/>
          <w:iCs/>
          <w:sz w:val="20"/>
          <w:szCs w:val="20"/>
          <w:lang w:val="ru-RU" w:eastAsia="en-US"/>
        </w:rPr>
        <w:tab/>
        <w:t>учитывает, что преднамеренное неправильное использование не является само по себе достаточным основанием для включения химического вещества в приложение III.</w:t>
      </w:r>
    </w:p>
    <w:p w14:paraId="6FCD19C1" w14:textId="77777777" w:rsidR="00507B12" w:rsidRPr="003C48A8" w:rsidRDefault="00507B12" w:rsidP="00507B12">
      <w:pPr>
        <w:spacing w:after="120"/>
        <w:ind w:left="1247"/>
        <w:rPr>
          <w:rFonts w:eastAsia="Times New Roman"/>
          <w:sz w:val="20"/>
          <w:szCs w:val="20"/>
          <w:lang w:val="ru-RU" w:eastAsia="en-US"/>
        </w:rPr>
      </w:pPr>
      <w:r w:rsidRPr="003C48A8">
        <w:rPr>
          <w:rFonts w:eastAsia="Times New Roman"/>
          <w:sz w:val="20"/>
          <w:szCs w:val="20"/>
          <w:lang w:val="ru-RU" w:eastAsia="en-US"/>
        </w:rPr>
        <w:t>32.</w:t>
      </w:r>
      <w:r w:rsidRPr="003C48A8">
        <w:rPr>
          <w:rFonts w:eastAsia="Times New Roman"/>
          <w:sz w:val="20"/>
          <w:szCs w:val="20"/>
          <w:lang w:val="ru-RU" w:eastAsia="en-US"/>
        </w:rPr>
        <w:tab/>
        <w:t>В уведомлении нет указаний на то, что опасения по поводу преднамеренного неправильного применения тиодикарба послужили причиной принятия регламентационного постановления.</w:t>
      </w:r>
    </w:p>
    <w:p w14:paraId="2A61E8F7"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33.</w:t>
      </w:r>
      <w:r w:rsidRPr="003C48A8">
        <w:rPr>
          <w:rFonts w:eastAsia="Times New Roman"/>
          <w:sz w:val="20"/>
          <w:szCs w:val="20"/>
          <w:lang w:val="ru-RU" w:eastAsia="en-US"/>
        </w:rPr>
        <w:tab/>
        <w:t>Следовательно, Комитет подтверждает соответствие критерию, указанному в пункте d).</w:t>
      </w:r>
    </w:p>
    <w:p w14:paraId="09331C48" w14:textId="77777777" w:rsidR="00507B12" w:rsidRPr="003C48A8" w:rsidRDefault="00507B12" w:rsidP="00507B12">
      <w:pPr>
        <w:tabs>
          <w:tab w:val="right" w:pos="851"/>
        </w:tabs>
        <w:spacing w:after="120"/>
        <w:ind w:left="1247" w:right="284" w:hanging="1247"/>
        <w:rPr>
          <w:rFonts w:eastAsia="Arial Unicode MS"/>
          <w:b/>
          <w:bCs/>
          <w:sz w:val="20"/>
          <w:szCs w:val="20"/>
          <w:lang w:val="ru-RU" w:eastAsia="en-US"/>
        </w:rPr>
      </w:pPr>
      <w:r w:rsidRPr="003C48A8">
        <w:rPr>
          <w:rFonts w:eastAsia="Times New Roman"/>
          <w:b/>
          <w:bCs/>
          <w:sz w:val="20"/>
          <w:szCs w:val="20"/>
          <w:lang w:val="ru-RU" w:eastAsia="en-US"/>
        </w:rPr>
        <w:tab/>
        <w:t>f)</w:t>
      </w:r>
      <w:r w:rsidRPr="003C48A8">
        <w:rPr>
          <w:rFonts w:eastAsia="Times New Roman"/>
          <w:b/>
          <w:bCs/>
          <w:sz w:val="20"/>
          <w:szCs w:val="20"/>
          <w:lang w:val="ru-RU" w:eastAsia="en-US"/>
        </w:rPr>
        <w:tab/>
        <w:t>Заключение</w:t>
      </w:r>
    </w:p>
    <w:p w14:paraId="08D0B3C0" w14:textId="77777777" w:rsidR="00507B12" w:rsidRPr="003C48A8" w:rsidRDefault="00507B12" w:rsidP="00507B12">
      <w:pPr>
        <w:spacing w:after="120"/>
        <w:ind w:left="1247"/>
        <w:rPr>
          <w:rFonts w:eastAsia="Arial Unicode MS"/>
          <w:sz w:val="20"/>
          <w:szCs w:val="20"/>
          <w:lang w:val="ru-RU" w:eastAsia="en-US"/>
        </w:rPr>
      </w:pPr>
      <w:r w:rsidRPr="003C48A8">
        <w:rPr>
          <w:rFonts w:eastAsia="Times New Roman"/>
          <w:sz w:val="20"/>
          <w:szCs w:val="20"/>
          <w:lang w:val="ru-RU" w:eastAsia="en-US"/>
        </w:rPr>
        <w:t>34.</w:t>
      </w:r>
      <w:r w:rsidRPr="003C48A8">
        <w:rPr>
          <w:rFonts w:eastAsia="Times New Roman"/>
          <w:sz w:val="20"/>
          <w:szCs w:val="20"/>
          <w:lang w:val="ru-RU" w:eastAsia="en-US"/>
        </w:rPr>
        <w:tab/>
        <w:t>Комитет делает заключение, что представленное Европейским союзом уведомление об окончательном регламентационном постановлении отвечает критериям, изложенным в приложении II к Конвенции.</w:t>
      </w:r>
    </w:p>
    <w:p w14:paraId="512BE8AB" w14:textId="77777777" w:rsidR="00F935A6" w:rsidRPr="00507B12" w:rsidRDefault="00F935A6">
      <w:pPr>
        <w:rPr>
          <w:lang w:val="ru-RU"/>
        </w:rPr>
      </w:pPr>
    </w:p>
    <w:sectPr w:rsidR="00F935A6" w:rsidRPr="00507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8F22" w14:textId="77777777" w:rsidR="00B432DF" w:rsidRDefault="00B432DF" w:rsidP="00507B12">
      <w:r>
        <w:separator/>
      </w:r>
    </w:p>
  </w:endnote>
  <w:endnote w:type="continuationSeparator" w:id="0">
    <w:p w14:paraId="735E2BCD" w14:textId="77777777" w:rsidR="00B432DF" w:rsidRDefault="00B432DF" w:rsidP="005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48D5" w14:textId="77777777" w:rsidR="00B432DF" w:rsidRDefault="00B432DF" w:rsidP="00507B12">
      <w:r>
        <w:separator/>
      </w:r>
    </w:p>
  </w:footnote>
  <w:footnote w:type="continuationSeparator" w:id="0">
    <w:p w14:paraId="306783E5" w14:textId="77777777" w:rsidR="00B432DF" w:rsidRDefault="00B432DF" w:rsidP="00507B12">
      <w:r>
        <w:continuationSeparator/>
      </w:r>
    </w:p>
  </w:footnote>
  <w:footnote w:id="1">
    <w:p w14:paraId="498C8C10" w14:textId="77777777" w:rsidR="00507B12" w:rsidRPr="0085303C" w:rsidRDefault="00507B12" w:rsidP="00507B12">
      <w:pPr>
        <w:pStyle w:val="Normalpool"/>
        <w:tabs>
          <w:tab w:val="clear" w:pos="1247"/>
          <w:tab w:val="clear" w:pos="1814"/>
          <w:tab w:val="clear" w:pos="2381"/>
          <w:tab w:val="clear" w:pos="2948"/>
          <w:tab w:val="clear" w:pos="3515"/>
          <w:tab w:val="clear" w:pos="4082"/>
        </w:tabs>
        <w:spacing w:before="20" w:after="40"/>
        <w:ind w:left="1247"/>
        <w:rPr>
          <w:sz w:val="18"/>
          <w:szCs w:val="18"/>
          <w:lang w:val="en-US"/>
        </w:rPr>
      </w:pPr>
      <w:r w:rsidRPr="005B4060">
        <w:rPr>
          <w:rStyle w:val="FootnoteReference"/>
          <w:sz w:val="18"/>
          <w:lang w:val="ru-RU"/>
        </w:rPr>
        <w:footnoteRef/>
      </w:r>
      <w:r>
        <w:rPr>
          <w:sz w:val="18"/>
          <w:szCs w:val="18"/>
          <w:lang w:val="en-US"/>
        </w:rPr>
        <w:tab/>
      </w:r>
      <w:r w:rsidRPr="005B4060">
        <w:rPr>
          <w:sz w:val="18"/>
          <w:szCs w:val="18"/>
          <w:lang w:val="ru-RU"/>
        </w:rPr>
        <w:t>См</w:t>
      </w:r>
      <w:r w:rsidRPr="005B4060">
        <w:rPr>
          <w:sz w:val="18"/>
          <w:szCs w:val="18"/>
          <w:lang w:val="en-US"/>
        </w:rPr>
        <w:t>. UNEP/FAO/RC/CRC.17/9.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12"/>
    <w:rsid w:val="00507B12"/>
    <w:rsid w:val="00836B73"/>
    <w:rsid w:val="00B432DF"/>
    <w:rsid w:val="00C84536"/>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8CD0"/>
  <w15:chartTrackingRefBased/>
  <w15:docId w15:val="{68E7F9A7-9454-41CE-A630-C97D2505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12"/>
    <w:pPr>
      <w:spacing w:after="0" w:line="240" w:lineRule="auto"/>
    </w:pPr>
    <w:rPr>
      <w:rFonts w:ascii="Times New Roman" w:eastAsia="SimSu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
    <w:rsid w:val="00507B12"/>
    <w:rPr>
      <w:vertAlign w:val="superscript"/>
    </w:rPr>
  </w:style>
  <w:style w:type="paragraph" w:customStyle="1" w:styleId="Normalpool">
    <w:name w:val="Normal_pool"/>
    <w:link w:val="NormalpoolChar"/>
    <w:rsid w:val="00507B1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character" w:customStyle="1" w:styleId="NormalpoolChar">
    <w:name w:val="Normal_pool Char"/>
    <w:link w:val="Normalpool"/>
    <w:locked/>
    <w:rsid w:val="00507B12"/>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2022-05-19T08:45:00Z</dcterms:created>
  <dcterms:modified xsi:type="dcterms:W3CDTF">2022-05-19T08:45:00Z</dcterms:modified>
</cp:coreProperties>
</file>