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236"/>
        <w:gridCol w:w="1701"/>
      </w:tblGrid>
      <w:tr w:rsidR="001F141C" w:rsidRPr="00F56A0E" w14:paraId="0C7246DC" w14:textId="77777777" w:rsidTr="009665A9">
        <w:trPr>
          <w:trHeight w:val="850"/>
        </w:trPr>
        <w:tc>
          <w:tcPr>
            <w:tcW w:w="1559" w:type="dxa"/>
            <w:shd w:val="clear" w:color="auto" w:fill="auto"/>
          </w:tcPr>
          <w:p w14:paraId="77001694" w14:textId="77777777" w:rsidR="001F141C" w:rsidRPr="00F56A0E" w:rsidRDefault="001F141C" w:rsidP="001F141C">
            <w:pPr>
              <w:tabs>
                <w:tab w:val="left" w:pos="624"/>
              </w:tabs>
              <w:spacing w:before="20" w:after="20"/>
              <w:rPr>
                <w:rFonts w:ascii="Arial" w:eastAsia="Times New Roman" w:hAnsi="Arial" w:cs="Times New Roman Bold"/>
                <w:b/>
                <w:caps/>
                <w:color w:val="000000" w:themeColor="text1"/>
                <w:sz w:val="27"/>
                <w:lang w:val="fr-FR" w:eastAsia="en-US"/>
              </w:rPr>
            </w:pPr>
            <w:bookmarkStart w:id="0" w:name="_Hlk104305508"/>
            <w:r w:rsidRPr="00F56A0E">
              <w:rPr>
                <w:rFonts w:ascii="Arial" w:eastAsia="Times New Roman" w:hAnsi="Arial" w:cs="Times New Roman Bold"/>
                <w:b/>
                <w:caps/>
                <w:color w:val="000000" w:themeColor="text1"/>
                <w:sz w:val="27"/>
                <w:lang w:val="fr-FR" w:eastAsia="en-US"/>
              </w:rPr>
              <w:t xml:space="preserve">Nations </w:t>
            </w:r>
            <w:r w:rsidRPr="00F56A0E">
              <w:rPr>
                <w:rFonts w:ascii="Arial" w:eastAsia="Times New Roman" w:hAnsi="Arial" w:cs="Times New Roman Bold"/>
                <w:b/>
                <w:caps/>
                <w:color w:val="000000" w:themeColor="text1"/>
                <w:sz w:val="27"/>
                <w:lang w:val="fr-FR" w:eastAsia="en-US"/>
              </w:rPr>
              <w:br/>
              <w:t>Unies</w:t>
            </w:r>
          </w:p>
        </w:tc>
        <w:tc>
          <w:tcPr>
            <w:tcW w:w="6236" w:type="dxa"/>
            <w:shd w:val="clear" w:color="auto" w:fill="auto"/>
          </w:tcPr>
          <w:p w14:paraId="596F2646" w14:textId="77777777" w:rsidR="001F141C" w:rsidRPr="00F56A0E" w:rsidRDefault="001F141C" w:rsidP="001F141C">
            <w:pPr>
              <w:tabs>
                <w:tab w:val="left" w:pos="1247"/>
                <w:tab w:val="left" w:pos="1814"/>
                <w:tab w:val="left" w:pos="2381"/>
                <w:tab w:val="left" w:pos="2948"/>
                <w:tab w:val="left" w:pos="3515"/>
              </w:tabs>
              <w:rPr>
                <w:rFonts w:eastAsia="Times New Roman"/>
                <w:lang w:val="fr-FR" w:eastAsia="en-US"/>
              </w:rPr>
            </w:pPr>
            <w:r w:rsidRPr="00F56A0E">
              <w:rPr>
                <w:rFonts w:eastAsia="Times New Roman"/>
                <w:lang w:val="fr-FR" w:eastAsia="en-US"/>
              </w:rPr>
              <w:drawing>
                <wp:anchor distT="0" distB="0" distL="114300" distR="114300" simplePos="0" relativeHeight="251657216" behindDoc="0" locked="0" layoutInCell="1" allowOverlap="1" wp14:anchorId="127BE18F" wp14:editId="3588F6C7">
                  <wp:simplePos x="0" y="0"/>
                  <wp:positionH relativeFrom="column">
                    <wp:posOffset>4296</wp:posOffset>
                  </wp:positionH>
                  <wp:positionV relativeFrom="paragraph">
                    <wp:posOffset>2279</wp:posOffset>
                  </wp:positionV>
                  <wp:extent cx="3822700" cy="4851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stretch>
                            <a:fillRect/>
                          </a:stretch>
                        </pic:blipFill>
                        <pic:spPr>
                          <a:xfrm>
                            <a:off x="0" y="0"/>
                            <a:ext cx="3822700" cy="485140"/>
                          </a:xfrm>
                          <a:prstGeom prst="rect">
                            <a:avLst/>
                          </a:prstGeom>
                        </pic:spPr>
                      </pic:pic>
                    </a:graphicData>
                  </a:graphic>
                </wp:anchor>
              </w:drawing>
            </w:r>
          </w:p>
        </w:tc>
        <w:tc>
          <w:tcPr>
            <w:tcW w:w="1701" w:type="dxa"/>
            <w:shd w:val="clear" w:color="auto" w:fill="auto"/>
          </w:tcPr>
          <w:p w14:paraId="181C3036" w14:textId="77777777" w:rsidR="001F141C" w:rsidRPr="00F56A0E" w:rsidRDefault="001F141C" w:rsidP="001F141C">
            <w:pPr>
              <w:tabs>
                <w:tab w:val="left" w:pos="1247"/>
                <w:tab w:val="left" w:pos="1814"/>
                <w:tab w:val="left" w:pos="2381"/>
                <w:tab w:val="left" w:pos="2948"/>
                <w:tab w:val="left" w:pos="3515"/>
              </w:tabs>
              <w:jc w:val="right"/>
              <w:rPr>
                <w:rFonts w:eastAsia="Times New Roman"/>
                <w:lang w:val="fr-FR" w:eastAsia="en-US"/>
              </w:rPr>
            </w:pPr>
          </w:p>
        </w:tc>
      </w:tr>
    </w:tbl>
    <w:p w14:paraId="17152517" w14:textId="77777777" w:rsidR="001F141C" w:rsidRPr="00F56A0E" w:rsidRDefault="001F141C" w:rsidP="001F141C">
      <w:pPr>
        <w:tabs>
          <w:tab w:val="left" w:pos="624"/>
          <w:tab w:val="left" w:pos="1247"/>
          <w:tab w:val="left" w:pos="1814"/>
          <w:tab w:val="left" w:pos="2381"/>
          <w:tab w:val="left" w:pos="2948"/>
          <w:tab w:val="left" w:pos="3515"/>
          <w:tab w:val="left" w:pos="4082"/>
        </w:tabs>
        <w:rPr>
          <w:rFonts w:eastAsia="Times New Roman"/>
          <w:sz w:val="2"/>
          <w:lang w:val="fr-FR" w:eastAsia="en-US"/>
        </w:rPr>
      </w:pPr>
    </w:p>
    <w:tbl>
      <w:tblPr>
        <w:tblW w:w="9496" w:type="dxa"/>
        <w:tblLook w:val="0000" w:firstRow="0" w:lastRow="0" w:firstColumn="0" w:lastColumn="0" w:noHBand="0" w:noVBand="0"/>
      </w:tblPr>
      <w:tblGrid>
        <w:gridCol w:w="6137"/>
        <w:gridCol w:w="3359"/>
      </w:tblGrid>
      <w:tr w:rsidR="001F141C" w:rsidRPr="00F56A0E" w14:paraId="7F014A38" w14:textId="77777777" w:rsidTr="009665A9">
        <w:trPr>
          <w:trHeight w:val="340"/>
        </w:trPr>
        <w:tc>
          <w:tcPr>
            <w:tcW w:w="3657" w:type="pct"/>
            <w:shd w:val="clear" w:color="auto" w:fill="auto"/>
            <w:vAlign w:val="bottom"/>
          </w:tcPr>
          <w:p w14:paraId="213C9B8E" w14:textId="77777777" w:rsidR="001F141C" w:rsidRPr="00F56A0E" w:rsidRDefault="001F141C" w:rsidP="001F141C">
            <w:pPr>
              <w:tabs>
                <w:tab w:val="left" w:pos="1247"/>
                <w:tab w:val="left" w:pos="1814"/>
                <w:tab w:val="left" w:pos="2381"/>
                <w:tab w:val="left" w:pos="2948"/>
                <w:tab w:val="left" w:pos="3515"/>
              </w:tabs>
              <w:rPr>
                <w:rFonts w:eastAsia="Times New Roman"/>
                <w:lang w:val="fr-FR" w:eastAsia="en-US"/>
              </w:rPr>
            </w:pPr>
          </w:p>
        </w:tc>
        <w:tc>
          <w:tcPr>
            <w:tcW w:w="1343" w:type="pct"/>
            <w:shd w:val="clear" w:color="auto" w:fill="auto"/>
            <w:noWrap/>
            <w:vAlign w:val="bottom"/>
          </w:tcPr>
          <w:p w14:paraId="2D2852E8" w14:textId="2F06824D" w:rsidR="001F141C" w:rsidRPr="00F56A0E" w:rsidRDefault="001F141C" w:rsidP="001F141C">
            <w:pPr>
              <w:tabs>
                <w:tab w:val="left" w:pos="624"/>
                <w:tab w:val="right" w:pos="2920"/>
              </w:tabs>
              <w:rPr>
                <w:lang w:val="fr-FR" w:eastAsia="en-US"/>
              </w:rPr>
            </w:pPr>
            <w:r w:rsidRPr="00F56A0E">
              <w:rPr>
                <w:b/>
                <w:sz w:val="28"/>
                <w:lang w:val="fr-FR" w:eastAsia="en-US"/>
              </w:rPr>
              <w:t>UNEP/</w:t>
            </w:r>
            <w:r w:rsidRPr="00F56A0E">
              <w:rPr>
                <w:b/>
                <w:sz w:val="28"/>
                <w:szCs w:val="28"/>
                <w:lang w:val="fr-FR" w:eastAsia="en-US"/>
              </w:rPr>
              <w:t>FAO</w:t>
            </w:r>
            <w:r w:rsidRPr="00F56A0E">
              <w:rPr>
                <w:lang w:val="fr-FR" w:eastAsia="en-US"/>
              </w:rPr>
              <w:t>/RC/</w:t>
            </w:r>
            <w:r w:rsidR="009665A9" w:rsidRPr="00F56A0E">
              <w:rPr>
                <w:lang w:val="fr-FR" w:eastAsia="en-US"/>
              </w:rPr>
              <w:t>CRC.18/4/Rev.1</w:t>
            </w:r>
          </w:p>
        </w:tc>
      </w:tr>
    </w:tbl>
    <w:p w14:paraId="6F895288" w14:textId="77777777" w:rsidR="001F141C" w:rsidRPr="00F56A0E" w:rsidRDefault="001F141C" w:rsidP="001F141C">
      <w:pPr>
        <w:tabs>
          <w:tab w:val="left" w:pos="624"/>
          <w:tab w:val="left" w:pos="1247"/>
          <w:tab w:val="left" w:pos="1814"/>
          <w:tab w:val="left" w:pos="2381"/>
          <w:tab w:val="left" w:pos="2948"/>
          <w:tab w:val="left" w:pos="3515"/>
          <w:tab w:val="left" w:pos="4082"/>
        </w:tabs>
        <w:rPr>
          <w:rFonts w:eastAsia="Times New Roman"/>
          <w:sz w:val="2"/>
          <w:lang w:val="fr-FR"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1559"/>
        <w:gridCol w:w="5386"/>
        <w:gridCol w:w="2551"/>
      </w:tblGrid>
      <w:tr w:rsidR="001F141C" w:rsidRPr="00F56A0E" w14:paraId="3CF4B9E5" w14:textId="77777777" w:rsidTr="009665A9">
        <w:trPr>
          <w:trHeight w:val="2098"/>
        </w:trPr>
        <w:tc>
          <w:tcPr>
            <w:tcW w:w="1559" w:type="dxa"/>
            <w:shd w:val="clear" w:color="auto" w:fill="auto"/>
          </w:tcPr>
          <w:p w14:paraId="023025EB" w14:textId="77777777" w:rsidR="001F141C" w:rsidRPr="00F56A0E" w:rsidRDefault="001F141C" w:rsidP="001F141C">
            <w:pPr>
              <w:tabs>
                <w:tab w:val="left" w:pos="624"/>
                <w:tab w:val="left" w:pos="1247"/>
                <w:tab w:val="left" w:pos="1814"/>
                <w:tab w:val="left" w:pos="2381"/>
                <w:tab w:val="left" w:pos="2948"/>
                <w:tab w:val="left" w:pos="3515"/>
                <w:tab w:val="left" w:pos="4082"/>
              </w:tabs>
              <w:spacing w:before="120" w:after="240"/>
              <w:rPr>
                <w:rFonts w:eastAsia="Times New Roman"/>
                <w:lang w:val="fr-FR" w:eastAsia="en-US"/>
              </w:rPr>
            </w:pPr>
            <w:bookmarkStart w:id="1" w:name="_Hlk109392771"/>
            <w:r w:rsidRPr="00F56A0E">
              <w:rPr>
                <w:rFonts w:eastAsia="Times New Roman"/>
                <w:lang w:val="fr-FR" w:eastAsia="en-US"/>
              </w:rPr>
              <w:drawing>
                <wp:inline distT="0" distB="0" distL="0" distR="0" wp14:anchorId="6270033D" wp14:editId="7E3917EB">
                  <wp:extent cx="852805" cy="80708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stretch>
                            <a:fillRect/>
                          </a:stretch>
                        </pic:blipFill>
                        <pic:spPr>
                          <a:xfrm>
                            <a:off x="0" y="0"/>
                            <a:ext cx="852805" cy="807085"/>
                          </a:xfrm>
                          <a:prstGeom prst="rect">
                            <a:avLst/>
                          </a:prstGeom>
                        </pic:spPr>
                      </pic:pic>
                    </a:graphicData>
                  </a:graphic>
                </wp:inline>
              </w:drawing>
            </w:r>
            <w:r w:rsidRPr="00F56A0E">
              <w:rPr>
                <w:rFonts w:eastAsia="Times New Roman"/>
                <w:lang w:val="fr-FR" w:eastAsia="en-US"/>
              </w:rPr>
              <w:t xml:space="preserve"> </w:t>
            </w:r>
          </w:p>
          <w:p w14:paraId="0C2B5B40" w14:textId="77777777" w:rsidR="001F141C" w:rsidRPr="00F56A0E" w:rsidRDefault="001F141C" w:rsidP="001F141C">
            <w:pPr>
              <w:tabs>
                <w:tab w:val="left" w:pos="624"/>
                <w:tab w:val="left" w:pos="1247"/>
                <w:tab w:val="left" w:pos="1814"/>
                <w:tab w:val="left" w:pos="2381"/>
                <w:tab w:val="left" w:pos="2948"/>
                <w:tab w:val="left" w:pos="3515"/>
                <w:tab w:val="left" w:pos="4082"/>
              </w:tabs>
              <w:spacing w:before="120" w:after="240"/>
              <w:rPr>
                <w:rFonts w:eastAsia="Times New Roman"/>
                <w:lang w:val="fr-FR" w:eastAsia="en-US"/>
              </w:rPr>
            </w:pPr>
          </w:p>
        </w:tc>
        <w:tc>
          <w:tcPr>
            <w:tcW w:w="5386" w:type="dxa"/>
            <w:shd w:val="clear" w:color="auto" w:fill="auto"/>
          </w:tcPr>
          <w:p w14:paraId="7658668A" w14:textId="7506695C" w:rsidR="001F141C" w:rsidRPr="00F56A0E" w:rsidRDefault="001F141C" w:rsidP="001F141C">
            <w:pPr>
              <w:tabs>
                <w:tab w:val="left" w:pos="624"/>
              </w:tabs>
              <w:spacing w:before="120" w:after="240"/>
              <w:rPr>
                <w:rFonts w:ascii="Arial" w:eastAsia="Times New Roman" w:hAnsi="Arial"/>
                <w:b/>
                <w:sz w:val="28"/>
                <w:lang w:val="fr-FR" w:eastAsia="en-US"/>
              </w:rPr>
            </w:pPr>
            <w:r w:rsidRPr="00F56A0E">
              <w:rPr>
                <w:rFonts w:ascii="Arial" w:eastAsia="Times New Roman" w:hAnsi="Arial"/>
                <w:b/>
                <w:sz w:val="28"/>
                <w:lang w:val="fr-FR" w:eastAsia="en-US"/>
              </w:rPr>
              <w:t xml:space="preserve">Convention de Rotterdam sur </w:t>
            </w:r>
            <w:r w:rsidRPr="00F56A0E">
              <w:rPr>
                <w:rFonts w:ascii="Arial" w:eastAsia="Times New Roman" w:hAnsi="Arial"/>
                <w:b/>
                <w:sz w:val="28"/>
                <w:lang w:val="fr-FR" w:eastAsia="en-US"/>
              </w:rPr>
              <w:br/>
              <w:t xml:space="preserve">la procédure de consentement </w:t>
            </w:r>
            <w:r w:rsidRPr="00F56A0E">
              <w:rPr>
                <w:rFonts w:ascii="Arial" w:eastAsia="Times New Roman" w:hAnsi="Arial"/>
                <w:b/>
                <w:sz w:val="28"/>
                <w:lang w:val="fr-FR" w:eastAsia="en-US"/>
              </w:rPr>
              <w:br/>
              <w:t xml:space="preserve">préalable en connaissance de cause </w:t>
            </w:r>
            <w:r w:rsidRPr="00F56A0E">
              <w:rPr>
                <w:rFonts w:ascii="Arial" w:eastAsia="Times New Roman" w:hAnsi="Arial"/>
                <w:b/>
                <w:sz w:val="28"/>
                <w:lang w:val="fr-FR" w:eastAsia="en-US"/>
              </w:rPr>
              <w:br/>
              <w:t xml:space="preserve">applicable à certains produits </w:t>
            </w:r>
            <w:r w:rsidRPr="00F56A0E">
              <w:rPr>
                <w:rFonts w:ascii="Arial" w:eastAsia="Times New Roman" w:hAnsi="Arial"/>
                <w:b/>
                <w:sz w:val="28"/>
                <w:lang w:val="fr-FR" w:eastAsia="en-US"/>
              </w:rPr>
              <w:br/>
              <w:t xml:space="preserve">chimiques et pesticides dangereux </w:t>
            </w:r>
            <w:r w:rsidRPr="00F56A0E">
              <w:rPr>
                <w:rFonts w:ascii="Arial" w:eastAsia="Times New Roman" w:hAnsi="Arial"/>
                <w:b/>
                <w:sz w:val="28"/>
                <w:lang w:val="fr-FR" w:eastAsia="en-US"/>
              </w:rPr>
              <w:br/>
              <w:t>qui font l</w:t>
            </w:r>
            <w:r w:rsidR="00870D0E" w:rsidRPr="00F56A0E">
              <w:rPr>
                <w:rFonts w:ascii="Arial" w:eastAsia="Times New Roman" w:hAnsi="Arial"/>
                <w:b/>
                <w:sz w:val="28"/>
                <w:lang w:val="fr-FR" w:eastAsia="en-US"/>
              </w:rPr>
              <w:t>’</w:t>
            </w:r>
            <w:r w:rsidRPr="00F56A0E">
              <w:rPr>
                <w:rFonts w:ascii="Arial" w:eastAsia="Times New Roman" w:hAnsi="Arial"/>
                <w:b/>
                <w:sz w:val="28"/>
                <w:lang w:val="fr-FR" w:eastAsia="en-US"/>
              </w:rPr>
              <w:t>objet d</w:t>
            </w:r>
            <w:r w:rsidR="00870D0E" w:rsidRPr="00F56A0E">
              <w:rPr>
                <w:rFonts w:ascii="Arial" w:eastAsia="Times New Roman" w:hAnsi="Arial"/>
                <w:b/>
                <w:sz w:val="28"/>
                <w:lang w:val="fr-FR" w:eastAsia="en-US"/>
              </w:rPr>
              <w:t>’</w:t>
            </w:r>
            <w:r w:rsidRPr="00F56A0E">
              <w:rPr>
                <w:rFonts w:ascii="Arial" w:eastAsia="Times New Roman" w:hAnsi="Arial"/>
                <w:b/>
                <w:sz w:val="28"/>
                <w:lang w:val="fr-FR" w:eastAsia="en-US"/>
              </w:rPr>
              <w:t xml:space="preserve">un commerce </w:t>
            </w:r>
            <w:r w:rsidRPr="00F56A0E">
              <w:rPr>
                <w:rFonts w:ascii="Arial" w:eastAsia="Times New Roman" w:hAnsi="Arial"/>
                <w:b/>
                <w:sz w:val="28"/>
                <w:lang w:val="fr-FR" w:eastAsia="en-US"/>
              </w:rPr>
              <w:br/>
              <w:t>international</w:t>
            </w:r>
          </w:p>
        </w:tc>
        <w:tc>
          <w:tcPr>
            <w:tcW w:w="2551" w:type="dxa"/>
            <w:shd w:val="clear" w:color="auto" w:fill="auto"/>
          </w:tcPr>
          <w:p w14:paraId="3862A71F" w14:textId="273F826A" w:rsidR="001F141C" w:rsidRPr="00F56A0E" w:rsidRDefault="001F141C" w:rsidP="001F141C">
            <w:pPr>
              <w:tabs>
                <w:tab w:val="left" w:pos="624"/>
                <w:tab w:val="left" w:pos="1247"/>
                <w:tab w:val="left" w:pos="1814"/>
                <w:tab w:val="left" w:pos="2381"/>
                <w:tab w:val="left" w:pos="2948"/>
                <w:tab w:val="left" w:pos="3515"/>
                <w:tab w:val="left" w:pos="4082"/>
              </w:tabs>
              <w:spacing w:before="120" w:after="120"/>
              <w:rPr>
                <w:rFonts w:eastAsia="Times New Roman"/>
                <w:lang w:val="fr-FR" w:eastAsia="en-US"/>
              </w:rPr>
            </w:pPr>
            <w:r w:rsidRPr="00F56A0E">
              <w:rPr>
                <w:rFonts w:eastAsia="Times New Roman"/>
                <w:lang w:val="fr-FR" w:eastAsia="en-US"/>
              </w:rPr>
              <w:t xml:space="preserve">Distr. générale </w:t>
            </w:r>
            <w:r w:rsidRPr="00F56A0E">
              <w:rPr>
                <w:rFonts w:eastAsia="Times New Roman"/>
                <w:lang w:val="fr-FR" w:eastAsia="en-US"/>
              </w:rPr>
              <w:br/>
            </w:r>
            <w:r w:rsidR="004B0E8D" w:rsidRPr="00F56A0E">
              <w:rPr>
                <w:rFonts w:eastAsia="Times New Roman"/>
                <w:lang w:val="fr-FR" w:eastAsia="en-US"/>
              </w:rPr>
              <w:t>10</w:t>
            </w:r>
            <w:r w:rsidR="009665A9" w:rsidRPr="00F56A0E">
              <w:rPr>
                <w:rFonts w:eastAsia="Times New Roman"/>
                <w:lang w:val="fr-FR" w:eastAsia="en-US"/>
              </w:rPr>
              <w:t xml:space="preserve"> octobre</w:t>
            </w:r>
            <w:r w:rsidRPr="00F56A0E">
              <w:rPr>
                <w:rFonts w:eastAsia="Times New Roman"/>
                <w:lang w:val="fr-FR" w:eastAsia="en-US"/>
              </w:rPr>
              <w:t xml:space="preserve"> 2022</w:t>
            </w:r>
          </w:p>
          <w:p w14:paraId="3BB229A7" w14:textId="063239CF" w:rsidR="001F141C" w:rsidRPr="00F56A0E" w:rsidRDefault="001F141C" w:rsidP="001F141C">
            <w:pPr>
              <w:tabs>
                <w:tab w:val="left" w:pos="624"/>
                <w:tab w:val="left" w:pos="1247"/>
                <w:tab w:val="left" w:pos="1814"/>
                <w:tab w:val="left" w:pos="2381"/>
                <w:tab w:val="left" w:pos="2948"/>
                <w:tab w:val="left" w:pos="3515"/>
                <w:tab w:val="left" w:pos="4082"/>
              </w:tabs>
              <w:spacing w:before="120" w:after="120"/>
              <w:rPr>
                <w:rFonts w:eastAsia="Times New Roman"/>
                <w:lang w:val="fr-FR" w:eastAsia="en-US"/>
              </w:rPr>
            </w:pPr>
            <w:bookmarkStart w:id="2" w:name="DistributionLang"/>
            <w:r w:rsidRPr="00F56A0E">
              <w:rPr>
                <w:rFonts w:eastAsia="Times New Roman"/>
                <w:lang w:val="fr-FR" w:eastAsia="en-US"/>
              </w:rPr>
              <w:t xml:space="preserve">Français </w:t>
            </w:r>
            <w:r w:rsidRPr="00F56A0E">
              <w:rPr>
                <w:rFonts w:eastAsia="Times New Roman"/>
                <w:lang w:val="fr-FR" w:eastAsia="en-US"/>
              </w:rPr>
              <w:br/>
              <w:t>Original</w:t>
            </w:r>
            <w:r w:rsidR="00157D75" w:rsidRPr="00F56A0E">
              <w:rPr>
                <w:rFonts w:eastAsia="Times New Roman"/>
                <w:lang w:val="fr-FR" w:eastAsia="en-US"/>
              </w:rPr>
              <w:t> :</w:t>
            </w:r>
            <w:r w:rsidRPr="00F56A0E">
              <w:rPr>
                <w:rFonts w:eastAsia="Times New Roman"/>
                <w:lang w:val="fr-FR" w:eastAsia="en-US"/>
              </w:rPr>
              <w:t xml:space="preserve"> anglais</w:t>
            </w:r>
            <w:bookmarkEnd w:id="2"/>
          </w:p>
        </w:tc>
      </w:tr>
      <w:bookmarkEnd w:id="1"/>
    </w:tbl>
    <w:p w14:paraId="138C51F2" w14:textId="77777777" w:rsidR="001F141C" w:rsidRPr="00F56A0E" w:rsidRDefault="001F141C" w:rsidP="001F141C">
      <w:pPr>
        <w:tabs>
          <w:tab w:val="left" w:pos="624"/>
          <w:tab w:val="left" w:pos="1247"/>
          <w:tab w:val="left" w:pos="1814"/>
          <w:tab w:val="left" w:pos="2381"/>
          <w:tab w:val="left" w:pos="2948"/>
          <w:tab w:val="left" w:pos="3515"/>
          <w:tab w:val="left" w:pos="4082"/>
        </w:tabs>
        <w:rPr>
          <w:rFonts w:eastAsia="Times New Roman"/>
          <w:sz w:val="2"/>
          <w:lang w:val="fr-FR" w:eastAsia="en-US"/>
        </w:rPr>
      </w:pPr>
    </w:p>
    <w:tbl>
      <w:tblPr>
        <w:tblW w:w="9497" w:type="dxa"/>
        <w:tblLayout w:type="fixed"/>
        <w:tblCellMar>
          <w:left w:w="0" w:type="dxa"/>
          <w:right w:w="70" w:type="dxa"/>
        </w:tblCellMar>
        <w:tblLook w:val="0000" w:firstRow="0" w:lastRow="0" w:firstColumn="0" w:lastColumn="0" w:noHBand="0" w:noVBand="0"/>
      </w:tblPr>
      <w:tblGrid>
        <w:gridCol w:w="5528"/>
        <w:gridCol w:w="3969"/>
      </w:tblGrid>
      <w:tr w:rsidR="001F141C" w:rsidRPr="00F56A0E" w14:paraId="60DCD247" w14:textId="77777777" w:rsidTr="009665A9">
        <w:trPr>
          <w:trHeight w:val="57"/>
        </w:trPr>
        <w:tc>
          <w:tcPr>
            <w:tcW w:w="5528" w:type="dxa"/>
            <w:shd w:val="clear" w:color="auto" w:fill="auto"/>
          </w:tcPr>
          <w:p w14:paraId="09307CE5" w14:textId="6237C263" w:rsidR="001F141C" w:rsidRPr="00F56A0E" w:rsidRDefault="001F141C" w:rsidP="001F141C">
            <w:pPr>
              <w:keepNext/>
              <w:keepLines/>
              <w:tabs>
                <w:tab w:val="left" w:pos="624"/>
                <w:tab w:val="left" w:pos="1247"/>
                <w:tab w:val="left" w:pos="1814"/>
                <w:tab w:val="left" w:pos="2381"/>
                <w:tab w:val="left" w:pos="2948"/>
                <w:tab w:val="left" w:pos="3515"/>
                <w:tab w:val="left" w:pos="4082"/>
              </w:tabs>
              <w:suppressAutoHyphens/>
              <w:rPr>
                <w:rFonts w:eastAsia="Times New Roman"/>
                <w:b/>
                <w:lang w:val="fr-FR" w:eastAsia="en-US"/>
              </w:rPr>
            </w:pPr>
            <w:bookmarkStart w:id="3" w:name="CorNot1Text"/>
            <w:r w:rsidRPr="00F56A0E">
              <w:rPr>
                <w:rFonts w:eastAsia="Times New Roman"/>
                <w:b/>
                <w:lang w:val="fr-FR" w:eastAsia="en-US"/>
              </w:rPr>
              <w:t>Comité d</w:t>
            </w:r>
            <w:r w:rsidR="00870D0E" w:rsidRPr="00F56A0E">
              <w:rPr>
                <w:rFonts w:eastAsia="Times New Roman"/>
                <w:b/>
                <w:lang w:val="fr-FR" w:eastAsia="en-US"/>
              </w:rPr>
              <w:t>’</w:t>
            </w:r>
            <w:r w:rsidRPr="00F56A0E">
              <w:rPr>
                <w:rFonts w:eastAsia="Times New Roman"/>
                <w:b/>
                <w:lang w:val="fr-FR" w:eastAsia="en-US"/>
              </w:rPr>
              <w:t xml:space="preserve">étude des produits chimiques </w:t>
            </w:r>
          </w:p>
          <w:p w14:paraId="243417B6" w14:textId="77777777" w:rsidR="001F141C" w:rsidRPr="00F56A0E" w:rsidRDefault="001F141C" w:rsidP="001F141C">
            <w:pPr>
              <w:keepNext/>
              <w:keepLines/>
              <w:tabs>
                <w:tab w:val="left" w:pos="624"/>
                <w:tab w:val="left" w:pos="1247"/>
                <w:tab w:val="left" w:pos="1814"/>
                <w:tab w:val="left" w:pos="2381"/>
                <w:tab w:val="left" w:pos="2948"/>
                <w:tab w:val="left" w:pos="3515"/>
                <w:tab w:val="left" w:pos="4082"/>
              </w:tabs>
              <w:suppressAutoHyphens/>
              <w:rPr>
                <w:rFonts w:eastAsia="Times New Roman"/>
                <w:b/>
                <w:lang w:val="fr-FR" w:eastAsia="en-US"/>
              </w:rPr>
            </w:pPr>
            <w:r w:rsidRPr="00F56A0E">
              <w:rPr>
                <w:rFonts w:eastAsia="Times New Roman"/>
                <w:b/>
                <w:lang w:val="fr-FR" w:eastAsia="en-US"/>
              </w:rPr>
              <w:t>Dix-huitième réunion</w:t>
            </w:r>
            <w:bookmarkEnd w:id="3"/>
            <w:r w:rsidRPr="00F56A0E">
              <w:rPr>
                <w:rFonts w:eastAsia="Times New Roman"/>
                <w:b/>
                <w:lang w:val="fr-FR" w:eastAsia="en-US"/>
              </w:rPr>
              <w:t xml:space="preserve"> </w:t>
            </w:r>
          </w:p>
          <w:p w14:paraId="7D7E75A2" w14:textId="77777777" w:rsidR="001F141C" w:rsidRPr="00F56A0E" w:rsidRDefault="001F141C" w:rsidP="001F141C">
            <w:pPr>
              <w:tabs>
                <w:tab w:val="left" w:pos="1247"/>
                <w:tab w:val="left" w:pos="1814"/>
                <w:tab w:val="left" w:pos="2381"/>
                <w:tab w:val="left" w:pos="2948"/>
                <w:tab w:val="left" w:pos="3515"/>
              </w:tabs>
              <w:rPr>
                <w:rFonts w:eastAsia="Times New Roman"/>
                <w:lang w:val="fr-FR" w:eastAsia="en-US"/>
              </w:rPr>
            </w:pPr>
            <w:bookmarkStart w:id="4" w:name="CorNot1VenueDate"/>
            <w:r w:rsidRPr="00F56A0E">
              <w:rPr>
                <w:rFonts w:eastAsia="Times New Roman"/>
                <w:lang w:val="fr-FR" w:eastAsia="en-US"/>
              </w:rPr>
              <w:t>Rome, 19–23 septembre 2022</w:t>
            </w:r>
            <w:bookmarkEnd w:id="4"/>
            <w:r w:rsidRPr="00F56A0E">
              <w:rPr>
                <w:rFonts w:eastAsia="Times New Roman"/>
                <w:lang w:val="fr-FR" w:eastAsia="en-US"/>
              </w:rPr>
              <w:t xml:space="preserve"> </w:t>
            </w:r>
          </w:p>
          <w:p w14:paraId="7773C3DB" w14:textId="410D3C41" w:rsidR="001F141C" w:rsidRPr="00F56A0E" w:rsidRDefault="001F141C" w:rsidP="001F141C">
            <w:pPr>
              <w:tabs>
                <w:tab w:val="left" w:pos="1247"/>
                <w:tab w:val="left" w:pos="1814"/>
                <w:tab w:val="left" w:pos="2381"/>
                <w:tab w:val="left" w:pos="2948"/>
                <w:tab w:val="left" w:pos="3515"/>
              </w:tabs>
              <w:rPr>
                <w:rFonts w:eastAsia="Times New Roman"/>
                <w:lang w:val="fr-FR" w:eastAsia="en-US"/>
              </w:rPr>
            </w:pPr>
            <w:bookmarkStart w:id="5" w:name="CorNot1AgItem"/>
            <w:r w:rsidRPr="00F56A0E">
              <w:rPr>
                <w:rFonts w:eastAsia="Times New Roman"/>
                <w:lang w:val="fr-FR" w:eastAsia="en-US"/>
              </w:rPr>
              <w:t>Point 5</w:t>
            </w:r>
            <w:r w:rsidR="006607F7" w:rsidRPr="00F56A0E">
              <w:rPr>
                <w:rFonts w:eastAsia="Times New Roman"/>
                <w:lang w:val="fr-FR" w:eastAsia="en-US"/>
              </w:rPr>
              <w:t xml:space="preserve"> a) ii)</w:t>
            </w:r>
            <w:r w:rsidRPr="00F56A0E">
              <w:rPr>
                <w:rFonts w:eastAsia="Times New Roman"/>
                <w:lang w:val="fr-FR" w:eastAsia="en-US"/>
              </w:rPr>
              <w:t xml:space="preserve"> de l</w:t>
            </w:r>
            <w:r w:rsidR="00870D0E" w:rsidRPr="00F56A0E">
              <w:rPr>
                <w:rFonts w:eastAsia="Times New Roman"/>
                <w:lang w:val="fr-FR" w:eastAsia="en-US"/>
              </w:rPr>
              <w:t>’</w:t>
            </w:r>
            <w:r w:rsidRPr="00F56A0E">
              <w:rPr>
                <w:rFonts w:eastAsia="Times New Roman"/>
                <w:lang w:val="fr-FR" w:eastAsia="en-US"/>
              </w:rPr>
              <w:t>ordre du jour</w:t>
            </w:r>
            <w:bookmarkEnd w:id="5"/>
          </w:p>
          <w:p w14:paraId="2F2D9A14" w14:textId="12C0E5FE" w:rsidR="001F141C" w:rsidRPr="00F56A0E" w:rsidRDefault="00711E68" w:rsidP="001F141C">
            <w:pPr>
              <w:keepNext/>
              <w:keepLines/>
              <w:tabs>
                <w:tab w:val="left" w:pos="624"/>
                <w:tab w:val="left" w:pos="1247"/>
                <w:tab w:val="left" w:pos="1814"/>
                <w:tab w:val="left" w:pos="2381"/>
                <w:tab w:val="left" w:pos="2948"/>
                <w:tab w:val="left" w:pos="3515"/>
              </w:tabs>
              <w:suppressAutoHyphens/>
              <w:spacing w:before="120" w:after="120"/>
              <w:rPr>
                <w:rFonts w:eastAsia="Times New Roman"/>
                <w:b/>
                <w:lang w:val="fr-FR" w:eastAsia="en-US"/>
              </w:rPr>
            </w:pPr>
            <w:r w:rsidRPr="00F56A0E">
              <w:rPr>
                <w:rFonts w:eastAsia="Times New Roman"/>
                <w:b/>
                <w:bCs/>
                <w:lang w:val="fr-FR" w:eastAsia="en-US"/>
              </w:rPr>
              <w:t>Travaux techniques</w:t>
            </w:r>
            <w:r w:rsidR="00157D75" w:rsidRPr="00F56A0E">
              <w:rPr>
                <w:rFonts w:eastAsia="Times New Roman"/>
                <w:b/>
                <w:bCs/>
                <w:lang w:val="fr-FR" w:eastAsia="en-US"/>
              </w:rPr>
              <w:t> :</w:t>
            </w:r>
            <w:r w:rsidRPr="00F56A0E">
              <w:rPr>
                <w:rFonts w:eastAsia="Times New Roman"/>
                <w:b/>
                <w:bCs/>
                <w:lang w:val="fr-FR" w:eastAsia="en-US"/>
              </w:rPr>
              <w:t xml:space="preserve"> examen des projets de document d</w:t>
            </w:r>
            <w:r w:rsidR="00870D0E" w:rsidRPr="00F56A0E">
              <w:rPr>
                <w:rFonts w:eastAsia="Times New Roman"/>
                <w:b/>
                <w:bCs/>
                <w:lang w:val="fr-FR" w:eastAsia="en-US"/>
              </w:rPr>
              <w:t>’</w:t>
            </w:r>
            <w:r w:rsidRPr="00F56A0E">
              <w:rPr>
                <w:rFonts w:eastAsia="Times New Roman"/>
                <w:b/>
                <w:bCs/>
                <w:lang w:val="fr-FR" w:eastAsia="en-US"/>
              </w:rPr>
              <w:t>orientation des décisions</w:t>
            </w:r>
            <w:r w:rsidR="00157D75" w:rsidRPr="00F56A0E">
              <w:rPr>
                <w:rFonts w:eastAsia="Times New Roman"/>
                <w:b/>
                <w:bCs/>
                <w:lang w:val="fr-FR" w:eastAsia="en-US"/>
              </w:rPr>
              <w:t> :</w:t>
            </w:r>
            <w:r w:rsidRPr="00F56A0E">
              <w:rPr>
                <w:rFonts w:eastAsia="Times New Roman"/>
                <w:b/>
                <w:bCs/>
                <w:lang w:val="fr-FR" w:eastAsia="en-US"/>
              </w:rPr>
              <w:t xml:space="preserve"> terbufos</w:t>
            </w:r>
          </w:p>
        </w:tc>
        <w:tc>
          <w:tcPr>
            <w:tcW w:w="3969" w:type="dxa"/>
            <w:shd w:val="clear" w:color="auto" w:fill="auto"/>
          </w:tcPr>
          <w:p w14:paraId="037CABF0" w14:textId="77777777" w:rsidR="001F141C" w:rsidRPr="00F56A0E" w:rsidRDefault="001F141C" w:rsidP="001F141C">
            <w:pPr>
              <w:tabs>
                <w:tab w:val="left" w:pos="1247"/>
                <w:tab w:val="left" w:pos="1814"/>
                <w:tab w:val="left" w:pos="2381"/>
                <w:tab w:val="left" w:pos="2948"/>
                <w:tab w:val="left" w:pos="3515"/>
              </w:tabs>
              <w:rPr>
                <w:rFonts w:eastAsia="Times New Roman"/>
                <w:lang w:val="fr-FR" w:eastAsia="en-US"/>
              </w:rPr>
            </w:pPr>
          </w:p>
        </w:tc>
      </w:tr>
    </w:tbl>
    <w:p w14:paraId="2577EA5A" w14:textId="18D12CFF" w:rsidR="002268E3" w:rsidRPr="00F56A0E" w:rsidRDefault="00653F54" w:rsidP="002268E3">
      <w:pPr>
        <w:pStyle w:val="BBTitle"/>
        <w:spacing w:after="120"/>
        <w:rPr>
          <w:lang w:val="fr-FR"/>
        </w:rPr>
      </w:pPr>
      <w:r w:rsidRPr="00F56A0E">
        <w:rPr>
          <w:bCs/>
          <w:lang w:val="fr-FR"/>
        </w:rPr>
        <w:t>Projet de document d</w:t>
      </w:r>
      <w:r w:rsidR="00870D0E" w:rsidRPr="00F56A0E">
        <w:rPr>
          <w:bCs/>
          <w:lang w:val="fr-FR"/>
        </w:rPr>
        <w:t>’</w:t>
      </w:r>
      <w:r w:rsidRPr="00F56A0E">
        <w:rPr>
          <w:bCs/>
          <w:lang w:val="fr-FR"/>
        </w:rPr>
        <w:t>orientation des décisions</w:t>
      </w:r>
    </w:p>
    <w:bookmarkEnd w:id="0"/>
    <w:p w14:paraId="04665817" w14:textId="77777777" w:rsidR="002268E3" w:rsidRPr="00F56A0E" w:rsidRDefault="002268E3" w:rsidP="002268E3">
      <w:pPr>
        <w:pStyle w:val="CH2"/>
        <w:rPr>
          <w:lang w:val="fr-FR"/>
        </w:rPr>
      </w:pPr>
      <w:r w:rsidRPr="00F56A0E">
        <w:rPr>
          <w:lang w:val="fr-FR"/>
        </w:rPr>
        <w:tab/>
      </w:r>
      <w:r w:rsidRPr="00F56A0E">
        <w:rPr>
          <w:lang w:val="fr-FR"/>
        </w:rPr>
        <w:tab/>
      </w:r>
      <w:r w:rsidRPr="00F56A0E">
        <w:rPr>
          <w:bCs/>
          <w:lang w:val="fr-FR"/>
        </w:rPr>
        <w:t>Note du Secrétariat</w:t>
      </w:r>
    </w:p>
    <w:p w14:paraId="033F057A" w14:textId="1CF3FF26" w:rsidR="003A7773" w:rsidRPr="00F56A0E" w:rsidRDefault="003A7773" w:rsidP="003A7773">
      <w:pPr>
        <w:pStyle w:val="Normalnumber"/>
        <w:numPr>
          <w:ilvl w:val="0"/>
          <w:numId w:val="37"/>
        </w:numPr>
        <w:rPr>
          <w:lang w:val="fr-FR"/>
        </w:rPr>
      </w:pPr>
      <w:r w:rsidRPr="00F56A0E">
        <w:rPr>
          <w:lang w:val="fr-FR"/>
        </w:rPr>
        <w:t>À sa dix-septième réunion, le Comité d</w:t>
      </w:r>
      <w:r w:rsidR="00870D0E" w:rsidRPr="00F56A0E">
        <w:rPr>
          <w:lang w:val="fr-FR"/>
        </w:rPr>
        <w:t>’</w:t>
      </w:r>
      <w:r w:rsidRPr="00F56A0E">
        <w:rPr>
          <w:lang w:val="fr-FR"/>
        </w:rPr>
        <w:t>étude des produits chimiques a examiné les notifications de mesures de réglementation finales concernant le terbufos soumises par le Canada et le Mozambique, ainsi que la documentation à l</w:t>
      </w:r>
      <w:r w:rsidR="00870D0E" w:rsidRPr="00F56A0E">
        <w:rPr>
          <w:lang w:val="fr-FR"/>
        </w:rPr>
        <w:t>’</w:t>
      </w:r>
      <w:r w:rsidRPr="00F56A0E">
        <w:rPr>
          <w:lang w:val="fr-FR"/>
        </w:rPr>
        <w:t>appui qui y était citée en référence, et a conclu que ces notifications répondaient à tous les critères énoncés à l</w:t>
      </w:r>
      <w:r w:rsidR="00870D0E" w:rsidRPr="00F56A0E">
        <w:rPr>
          <w:lang w:val="fr-FR"/>
        </w:rPr>
        <w:t>’</w:t>
      </w:r>
      <w:r w:rsidRPr="00F56A0E">
        <w:rPr>
          <w:lang w:val="fr-FR"/>
        </w:rPr>
        <w:t>Annexe II de la Convention de Rotterdam sur la procédure de consentement préalable en connaissance de cause applicable à certains produits chimiques et pesticides dangereux qui font l</w:t>
      </w:r>
      <w:r w:rsidR="00870D0E" w:rsidRPr="00F56A0E">
        <w:rPr>
          <w:lang w:val="fr-FR"/>
        </w:rPr>
        <w:t>’</w:t>
      </w:r>
      <w:r w:rsidRPr="00F56A0E">
        <w:rPr>
          <w:lang w:val="fr-FR"/>
        </w:rPr>
        <w:t>objet d</w:t>
      </w:r>
      <w:r w:rsidR="00870D0E" w:rsidRPr="00F56A0E">
        <w:rPr>
          <w:lang w:val="fr-FR"/>
        </w:rPr>
        <w:t>’</w:t>
      </w:r>
      <w:r w:rsidRPr="00F56A0E">
        <w:rPr>
          <w:lang w:val="fr-FR"/>
        </w:rPr>
        <w:t xml:space="preserve">un commerce international. </w:t>
      </w:r>
    </w:p>
    <w:p w14:paraId="23C1C8AD" w14:textId="0FEDF7C9" w:rsidR="003A7773" w:rsidRPr="00F56A0E" w:rsidRDefault="003A7773" w:rsidP="003A7773">
      <w:pPr>
        <w:pStyle w:val="Normalnumber"/>
        <w:numPr>
          <w:ilvl w:val="0"/>
          <w:numId w:val="37"/>
        </w:numPr>
        <w:rPr>
          <w:lang w:val="fr-FR"/>
        </w:rPr>
      </w:pPr>
      <w:r w:rsidRPr="00F56A0E">
        <w:rPr>
          <w:lang w:val="fr-FR"/>
        </w:rPr>
        <w:t>Par sa décision CRC-17/2, le Comité a adopté la justification de cette conclusion et recommandé à la Conférence des Parties, conformément au paragraphe 6 de l</w:t>
      </w:r>
      <w:r w:rsidR="00870D0E" w:rsidRPr="00F56A0E">
        <w:rPr>
          <w:lang w:val="fr-FR"/>
        </w:rPr>
        <w:t>’</w:t>
      </w:r>
      <w:r w:rsidRPr="00F56A0E">
        <w:rPr>
          <w:lang w:val="fr-FR"/>
        </w:rPr>
        <w:t>article 5 de la Convention, d</w:t>
      </w:r>
      <w:r w:rsidR="00870D0E" w:rsidRPr="00F56A0E">
        <w:rPr>
          <w:lang w:val="fr-FR"/>
        </w:rPr>
        <w:t>’</w:t>
      </w:r>
      <w:r w:rsidRPr="00F56A0E">
        <w:rPr>
          <w:lang w:val="fr-FR"/>
        </w:rPr>
        <w:t>inscrire le terbufos à l</w:t>
      </w:r>
      <w:r w:rsidR="00870D0E" w:rsidRPr="00F56A0E">
        <w:rPr>
          <w:lang w:val="fr-FR"/>
        </w:rPr>
        <w:t>’</w:t>
      </w:r>
      <w:r w:rsidRPr="00F56A0E">
        <w:rPr>
          <w:lang w:val="fr-FR"/>
        </w:rPr>
        <w:t>Annexe III de la Convention dans la catégorie des pesticides</w:t>
      </w:r>
      <w:r w:rsidR="005E14FB" w:rsidRPr="00F56A0E">
        <w:rPr>
          <w:lang w:val="fr-FR"/>
        </w:rPr>
        <w:t>.</w:t>
      </w:r>
      <w:r w:rsidRPr="00F56A0E">
        <w:rPr>
          <w:lang w:val="fr-FR"/>
        </w:rPr>
        <w:t xml:space="preserve"> Au</w:t>
      </w:r>
      <w:r w:rsidR="000E322E" w:rsidRPr="00F56A0E">
        <w:rPr>
          <w:lang w:val="fr-FR"/>
        </w:rPr>
        <w:t> </w:t>
      </w:r>
      <w:r w:rsidRPr="00F56A0E">
        <w:rPr>
          <w:lang w:val="fr-FR"/>
        </w:rPr>
        <w:t>paragraphe 4 de cette décision, il a décidé, conformément au paragraphe 1 de l</w:t>
      </w:r>
      <w:r w:rsidR="00870D0E" w:rsidRPr="00F56A0E">
        <w:rPr>
          <w:lang w:val="fr-FR"/>
        </w:rPr>
        <w:t>’</w:t>
      </w:r>
      <w:r w:rsidRPr="00F56A0E">
        <w:rPr>
          <w:lang w:val="fr-FR"/>
        </w:rPr>
        <w:t>article 7 de la Convention, de préparer un projet de document d</w:t>
      </w:r>
      <w:r w:rsidR="00870D0E" w:rsidRPr="00F56A0E">
        <w:rPr>
          <w:lang w:val="fr-FR"/>
        </w:rPr>
        <w:t>’</w:t>
      </w:r>
      <w:r w:rsidRPr="00F56A0E">
        <w:rPr>
          <w:lang w:val="fr-FR"/>
        </w:rPr>
        <w:t>orientation des décisions sur le terbufos</w:t>
      </w:r>
      <w:r w:rsidR="008A7049" w:rsidRPr="00F56A0E">
        <w:rPr>
          <w:lang w:val="fr-FR"/>
        </w:rPr>
        <w:t>.</w:t>
      </w:r>
    </w:p>
    <w:p w14:paraId="5C3C66E5" w14:textId="4CA6B1DA" w:rsidR="003A7773" w:rsidRPr="00F56A0E" w:rsidRDefault="003A7773" w:rsidP="003A7773">
      <w:pPr>
        <w:pStyle w:val="Normalnumber"/>
        <w:numPr>
          <w:ilvl w:val="0"/>
          <w:numId w:val="37"/>
        </w:numPr>
        <w:rPr>
          <w:lang w:val="fr-FR"/>
        </w:rPr>
      </w:pPr>
      <w:r w:rsidRPr="00F56A0E">
        <w:rPr>
          <w:lang w:val="fr-FR"/>
        </w:rPr>
        <w:t>Conformément à la décision CRC-17/2 et au plan de travail pour l</w:t>
      </w:r>
      <w:r w:rsidR="00870D0E" w:rsidRPr="00F56A0E">
        <w:rPr>
          <w:lang w:val="fr-FR"/>
        </w:rPr>
        <w:t>’</w:t>
      </w:r>
      <w:r w:rsidRPr="00F56A0E">
        <w:rPr>
          <w:lang w:val="fr-FR"/>
        </w:rPr>
        <w:t>élaboration de projets de documents d</w:t>
      </w:r>
      <w:r w:rsidR="00870D0E" w:rsidRPr="00F56A0E">
        <w:rPr>
          <w:lang w:val="fr-FR"/>
        </w:rPr>
        <w:t>’</w:t>
      </w:r>
      <w:r w:rsidRPr="00F56A0E">
        <w:rPr>
          <w:lang w:val="fr-FR"/>
        </w:rPr>
        <w:t>orientation des décisions adopté par le Comité (UNEP/FAO/RC/CRC.17/10, annexe III), le groupe de rédaction intersessions créé à la dix-septième réunion a élaboré un projet de document d</w:t>
      </w:r>
      <w:r w:rsidR="00870D0E" w:rsidRPr="00F56A0E">
        <w:rPr>
          <w:lang w:val="fr-FR"/>
        </w:rPr>
        <w:t>’</w:t>
      </w:r>
      <w:r w:rsidRPr="00F56A0E">
        <w:rPr>
          <w:lang w:val="fr-FR"/>
        </w:rPr>
        <w:t>orientation des décisions pour le terbufos</w:t>
      </w:r>
      <w:r w:rsidR="009665A9" w:rsidRPr="00F56A0E">
        <w:rPr>
          <w:lang w:val="fr-FR"/>
        </w:rPr>
        <w:t>.</w:t>
      </w:r>
    </w:p>
    <w:p w14:paraId="6BA37155" w14:textId="06E77385" w:rsidR="009665A9" w:rsidRPr="00F56A0E" w:rsidRDefault="009665A9" w:rsidP="003A7773">
      <w:pPr>
        <w:pStyle w:val="Normalnumber"/>
        <w:numPr>
          <w:ilvl w:val="0"/>
          <w:numId w:val="37"/>
        </w:numPr>
        <w:rPr>
          <w:lang w:val="fr-FR"/>
        </w:rPr>
      </w:pPr>
      <w:r w:rsidRPr="00F56A0E">
        <w:rPr>
          <w:lang w:val="fr-FR"/>
        </w:rPr>
        <w:t>À sa dix-huitième réunion, le Comité a révisé plus avant et, par sa décision CRC-18/2, adopté le projet de document d’orientation des décisions pour le terbufos reproduit dans l’annexe à la présente note, qu’il a décidé de transmettre</w:t>
      </w:r>
      <w:r w:rsidR="00AD2712" w:rsidRPr="00F56A0E">
        <w:rPr>
          <w:lang w:val="fr-FR"/>
        </w:rPr>
        <w:t>,</w:t>
      </w:r>
      <w:r w:rsidR="00AD2712" w:rsidRPr="00F56A0E">
        <w:rPr>
          <w:rFonts w:ascii="Arial" w:eastAsia="SimSun" w:hAnsi="Arial" w:cs="Arial"/>
          <w:lang w:val="fr-FR" w:eastAsia="zh-CN"/>
        </w:rPr>
        <w:t xml:space="preserve"> </w:t>
      </w:r>
      <w:r w:rsidR="00AD2712" w:rsidRPr="00F56A0E">
        <w:rPr>
          <w:lang w:val="fr-FR"/>
        </w:rPr>
        <w:t xml:space="preserve">accompagné du </w:t>
      </w:r>
      <w:bookmarkStart w:id="6" w:name="hit1"/>
      <w:bookmarkEnd w:id="6"/>
      <w:r w:rsidR="00AD2712" w:rsidRPr="00F56A0E">
        <w:rPr>
          <w:lang w:val="fr-FR"/>
        </w:rPr>
        <w:t xml:space="preserve">tableau </w:t>
      </w:r>
      <w:bookmarkStart w:id="7" w:name="hit2"/>
      <w:bookmarkEnd w:id="7"/>
      <w:r w:rsidR="00AD2712" w:rsidRPr="00F56A0E">
        <w:rPr>
          <w:lang w:val="fr-FR"/>
        </w:rPr>
        <w:t xml:space="preserve">récapitulatif </w:t>
      </w:r>
      <w:bookmarkStart w:id="8" w:name="hit3"/>
      <w:bookmarkEnd w:id="8"/>
      <w:r w:rsidR="00AD2712" w:rsidRPr="00F56A0E">
        <w:rPr>
          <w:lang w:val="fr-FR"/>
        </w:rPr>
        <w:t xml:space="preserve">des </w:t>
      </w:r>
      <w:bookmarkStart w:id="9" w:name="hit_last"/>
      <w:bookmarkEnd w:id="9"/>
      <w:r w:rsidR="00AD2712" w:rsidRPr="00F56A0E">
        <w:rPr>
          <w:lang w:val="fr-FR"/>
        </w:rPr>
        <w:t>observations connexes</w:t>
      </w:r>
      <w:r w:rsidRPr="00F56A0E">
        <w:rPr>
          <w:lang w:val="fr-FR"/>
        </w:rPr>
        <w:t xml:space="preserve"> </w:t>
      </w:r>
      <w:r w:rsidR="00AD2712" w:rsidRPr="00F56A0E">
        <w:rPr>
          <w:lang w:val="fr-FR"/>
        </w:rPr>
        <w:t>(</w:t>
      </w:r>
      <w:r w:rsidRPr="00F56A0E">
        <w:rPr>
          <w:lang w:val="fr-FR"/>
        </w:rPr>
        <w:t>UNEP/FAO/RC/CRC.18/INF/5</w:t>
      </w:r>
      <w:r w:rsidR="00AD2712" w:rsidRPr="00F56A0E">
        <w:rPr>
          <w:lang w:val="fr-FR"/>
        </w:rPr>
        <w:t>/Rev.1), à la Conférence des Parties, pour examen</w:t>
      </w:r>
      <w:r w:rsidRPr="00F56A0E">
        <w:rPr>
          <w:lang w:val="fr-FR"/>
        </w:rPr>
        <w:t>.</w:t>
      </w:r>
      <w:r w:rsidR="00AD2712" w:rsidRPr="00F56A0E">
        <w:rPr>
          <w:lang w:val="fr-FR"/>
        </w:rPr>
        <w:t xml:space="preserve"> La version originale anglaise du projet de document d’orientation des décisions n’a pas été revue par les services d’édition.</w:t>
      </w:r>
    </w:p>
    <w:p w14:paraId="07BAD487" w14:textId="435E2A51" w:rsidR="002268E3" w:rsidRPr="00F56A0E" w:rsidRDefault="002268E3" w:rsidP="002268E3">
      <w:pPr>
        <w:pStyle w:val="AATitle"/>
        <w:rPr>
          <w:b w:val="0"/>
          <w:bCs/>
          <w:lang w:val="fr-FR"/>
        </w:rPr>
      </w:pPr>
      <w:r w:rsidRPr="00F56A0E">
        <w:rPr>
          <w:lang w:val="fr-FR" w:eastAsia="en-GB"/>
        </w:rPr>
        <w:br w:type="page"/>
      </w:r>
    </w:p>
    <w:p w14:paraId="6AAB44D8" w14:textId="4091B2F0" w:rsidR="002268E3" w:rsidRPr="00F56A0E" w:rsidRDefault="002268E3" w:rsidP="002268E3">
      <w:pPr>
        <w:pStyle w:val="ZZAnxheader"/>
        <w:rPr>
          <w:lang w:val="fr-FR"/>
        </w:rPr>
      </w:pPr>
      <w:r w:rsidRPr="00F56A0E">
        <w:rPr>
          <w:lang w:val="fr-FR"/>
        </w:rPr>
        <w:lastRenderedPageBreak/>
        <w:t>Annexe</w:t>
      </w:r>
    </w:p>
    <w:p w14:paraId="71A79D60" w14:textId="77777777" w:rsidR="001323B1" w:rsidRPr="00F56A0E" w:rsidRDefault="001323B1" w:rsidP="00C21DF2">
      <w:pPr>
        <w:spacing w:before="320" w:line="240" w:lineRule="atLeast"/>
        <w:ind w:left="-143" w:right="-69"/>
        <w:jc w:val="center"/>
        <w:rPr>
          <w:rFonts w:eastAsia="Times New Roman"/>
          <w:sz w:val="36"/>
          <w:szCs w:val="36"/>
          <w:lang w:val="fr-FR"/>
        </w:rPr>
      </w:pPr>
      <w:r w:rsidRPr="00F56A0E">
        <w:rPr>
          <w:sz w:val="36"/>
          <w:szCs w:val="36"/>
          <w:lang w:val="fr-FR"/>
        </w:rPr>
        <w:t>Convention de Rotterdam</w:t>
      </w:r>
    </w:p>
    <w:p w14:paraId="464D5A22" w14:textId="77777777" w:rsidR="001323B1" w:rsidRPr="00F56A0E" w:rsidRDefault="001323B1" w:rsidP="001323B1">
      <w:pPr>
        <w:spacing w:line="240" w:lineRule="atLeast"/>
        <w:ind w:left="-143" w:right="-69"/>
        <w:jc w:val="center"/>
        <w:rPr>
          <w:rFonts w:eastAsia="Times New Roman"/>
          <w:sz w:val="36"/>
          <w:szCs w:val="36"/>
          <w:lang w:val="fr-FR" w:eastAsia="en-US"/>
        </w:rPr>
      </w:pPr>
    </w:p>
    <w:p w14:paraId="20879BF3" w14:textId="5833DA57" w:rsidR="001323B1" w:rsidRPr="00F56A0E" w:rsidRDefault="001323B1" w:rsidP="001323B1">
      <w:pPr>
        <w:spacing w:line="240" w:lineRule="atLeast"/>
        <w:ind w:left="-143" w:right="-69"/>
        <w:jc w:val="center"/>
        <w:rPr>
          <w:rFonts w:eastAsia="Times New Roman"/>
          <w:sz w:val="36"/>
          <w:szCs w:val="36"/>
          <w:lang w:val="fr-FR"/>
        </w:rPr>
      </w:pPr>
      <w:r w:rsidRPr="00F56A0E">
        <w:rPr>
          <w:sz w:val="36"/>
          <w:szCs w:val="36"/>
          <w:lang w:val="fr-FR"/>
        </w:rPr>
        <w:t>Application de la procédure de consentement préalable en</w:t>
      </w:r>
      <w:r w:rsidR="000E322E" w:rsidRPr="00F56A0E">
        <w:rPr>
          <w:sz w:val="36"/>
          <w:szCs w:val="36"/>
          <w:lang w:val="fr-FR"/>
        </w:rPr>
        <w:t> </w:t>
      </w:r>
      <w:r w:rsidRPr="00F56A0E">
        <w:rPr>
          <w:sz w:val="36"/>
          <w:szCs w:val="36"/>
          <w:lang w:val="fr-FR"/>
        </w:rPr>
        <w:t>connaissance de cause à des produits chimiques interdits</w:t>
      </w:r>
      <w:r w:rsidR="000E322E" w:rsidRPr="00F56A0E">
        <w:rPr>
          <w:sz w:val="36"/>
          <w:szCs w:val="36"/>
          <w:lang w:val="fr-FR"/>
        </w:rPr>
        <w:t> </w:t>
      </w:r>
      <w:r w:rsidRPr="00F56A0E">
        <w:rPr>
          <w:sz w:val="36"/>
          <w:szCs w:val="36"/>
          <w:lang w:val="fr-FR"/>
        </w:rPr>
        <w:t>ou</w:t>
      </w:r>
      <w:r w:rsidR="000E322E" w:rsidRPr="00F56A0E">
        <w:rPr>
          <w:sz w:val="36"/>
          <w:szCs w:val="36"/>
          <w:lang w:val="fr-FR"/>
        </w:rPr>
        <w:t> </w:t>
      </w:r>
      <w:r w:rsidRPr="00F56A0E">
        <w:rPr>
          <w:sz w:val="36"/>
          <w:szCs w:val="36"/>
          <w:lang w:val="fr-FR"/>
        </w:rPr>
        <w:t>strictement réglementés</w:t>
      </w:r>
    </w:p>
    <w:p w14:paraId="0D768BB4" w14:textId="77777777" w:rsidR="001323B1" w:rsidRPr="00F56A0E" w:rsidRDefault="001323B1" w:rsidP="001323B1">
      <w:pPr>
        <w:spacing w:line="240" w:lineRule="atLeast"/>
        <w:ind w:left="-143"/>
        <w:rPr>
          <w:rFonts w:eastAsia="Times New Roman"/>
          <w:sz w:val="38"/>
          <w:szCs w:val="38"/>
          <w:lang w:val="fr-FR" w:eastAsia="en-US"/>
        </w:rPr>
      </w:pPr>
    </w:p>
    <w:p w14:paraId="26B24241" w14:textId="77777777" w:rsidR="001323B1" w:rsidRPr="00F56A0E" w:rsidRDefault="001323B1" w:rsidP="001323B1">
      <w:pPr>
        <w:spacing w:line="240" w:lineRule="atLeast"/>
        <w:ind w:left="-426"/>
        <w:jc w:val="center"/>
        <w:rPr>
          <w:rFonts w:eastAsia="Times New Roman"/>
          <w:sz w:val="52"/>
          <w:szCs w:val="38"/>
          <w:lang w:val="fr-FR" w:eastAsia="en-US"/>
        </w:rPr>
      </w:pPr>
    </w:p>
    <w:p w14:paraId="1FA4871D" w14:textId="77777777" w:rsidR="001323B1" w:rsidRPr="00F56A0E" w:rsidRDefault="001323B1" w:rsidP="001323B1">
      <w:pPr>
        <w:spacing w:line="240" w:lineRule="atLeast"/>
        <w:ind w:left="-426"/>
        <w:jc w:val="center"/>
        <w:rPr>
          <w:rFonts w:eastAsia="Times New Roman"/>
          <w:sz w:val="52"/>
          <w:szCs w:val="38"/>
          <w:lang w:val="fr-FR" w:eastAsia="en-US"/>
        </w:rPr>
      </w:pPr>
    </w:p>
    <w:p w14:paraId="05E032AA" w14:textId="77777777" w:rsidR="001323B1" w:rsidRPr="00F56A0E" w:rsidRDefault="001323B1" w:rsidP="001323B1">
      <w:pPr>
        <w:spacing w:line="240" w:lineRule="atLeast"/>
        <w:ind w:left="-426"/>
        <w:jc w:val="center"/>
        <w:rPr>
          <w:rFonts w:eastAsia="Times New Roman"/>
          <w:sz w:val="52"/>
          <w:szCs w:val="38"/>
          <w:lang w:val="fr-FR" w:eastAsia="en-US"/>
        </w:rPr>
      </w:pPr>
    </w:p>
    <w:p w14:paraId="0504500B" w14:textId="77777777" w:rsidR="001323B1" w:rsidRPr="00F56A0E" w:rsidRDefault="001323B1" w:rsidP="001323B1">
      <w:pPr>
        <w:spacing w:line="240" w:lineRule="atLeast"/>
        <w:rPr>
          <w:rFonts w:eastAsia="Times New Roman"/>
          <w:sz w:val="48"/>
          <w:szCs w:val="38"/>
          <w:lang w:val="fr-FR" w:eastAsia="en-US"/>
        </w:rPr>
      </w:pPr>
    </w:p>
    <w:p w14:paraId="117F76E3" w14:textId="1F7AEE82" w:rsidR="001323B1" w:rsidRPr="00F56A0E" w:rsidRDefault="001323B1" w:rsidP="001323B1">
      <w:pPr>
        <w:spacing w:line="240" w:lineRule="atLeast"/>
        <w:jc w:val="center"/>
        <w:rPr>
          <w:rFonts w:eastAsia="Times New Roman"/>
          <w:sz w:val="48"/>
          <w:szCs w:val="48"/>
          <w:lang w:val="fr-FR"/>
        </w:rPr>
      </w:pPr>
      <w:r w:rsidRPr="00F56A0E">
        <w:rPr>
          <w:sz w:val="48"/>
          <w:szCs w:val="48"/>
          <w:lang w:val="fr-FR"/>
        </w:rPr>
        <w:t>Projet de document d</w:t>
      </w:r>
      <w:r w:rsidR="00870D0E" w:rsidRPr="00F56A0E">
        <w:rPr>
          <w:sz w:val="48"/>
          <w:szCs w:val="48"/>
          <w:lang w:val="fr-FR"/>
        </w:rPr>
        <w:t>’</w:t>
      </w:r>
      <w:r w:rsidRPr="00F56A0E">
        <w:rPr>
          <w:sz w:val="48"/>
          <w:szCs w:val="48"/>
          <w:lang w:val="fr-FR"/>
        </w:rPr>
        <w:t>orientation des décisions</w:t>
      </w:r>
    </w:p>
    <w:p w14:paraId="6200A17A" w14:textId="77777777" w:rsidR="001323B1" w:rsidRPr="00F56A0E" w:rsidRDefault="001323B1" w:rsidP="001323B1">
      <w:pPr>
        <w:spacing w:line="240" w:lineRule="atLeast"/>
        <w:jc w:val="center"/>
        <w:rPr>
          <w:rFonts w:eastAsia="Times New Roman"/>
          <w:sz w:val="48"/>
          <w:szCs w:val="48"/>
          <w:lang w:val="fr-FR" w:eastAsia="en-US"/>
        </w:rPr>
      </w:pPr>
    </w:p>
    <w:p w14:paraId="4D3FBC4E" w14:textId="77777777" w:rsidR="001323B1" w:rsidRPr="00F56A0E" w:rsidRDefault="001323B1" w:rsidP="001323B1">
      <w:pPr>
        <w:spacing w:line="240" w:lineRule="atLeast"/>
        <w:jc w:val="center"/>
        <w:rPr>
          <w:rFonts w:eastAsia="Times New Roman"/>
          <w:sz w:val="48"/>
          <w:szCs w:val="48"/>
          <w:lang w:val="fr-FR"/>
        </w:rPr>
      </w:pPr>
      <w:r w:rsidRPr="00F56A0E">
        <w:rPr>
          <w:sz w:val="48"/>
          <w:szCs w:val="48"/>
          <w:lang w:val="fr-FR"/>
        </w:rPr>
        <w:t>Terbufos</w:t>
      </w:r>
    </w:p>
    <w:p w14:paraId="0697A5DC" w14:textId="1A8DF2B7" w:rsidR="001323B1" w:rsidRPr="00F56A0E" w:rsidRDefault="001323B1" w:rsidP="001323B1">
      <w:pPr>
        <w:ind w:left="-426"/>
        <w:rPr>
          <w:rFonts w:eastAsia="Times New Roman"/>
          <w:lang w:val="fr-FR" w:eastAsia="en-US"/>
        </w:rPr>
      </w:pPr>
    </w:p>
    <w:p w14:paraId="52A51F03" w14:textId="23A38956" w:rsidR="00CB33E8" w:rsidRPr="00F56A0E" w:rsidRDefault="00CB33E8" w:rsidP="001323B1">
      <w:pPr>
        <w:ind w:left="-426"/>
        <w:rPr>
          <w:rFonts w:eastAsia="Times New Roman"/>
          <w:lang w:val="fr-FR" w:eastAsia="en-US"/>
        </w:rPr>
      </w:pPr>
    </w:p>
    <w:p w14:paraId="53D87A83" w14:textId="32E0DE5D" w:rsidR="00CB33E8" w:rsidRPr="00F56A0E" w:rsidRDefault="00CB33E8" w:rsidP="001323B1">
      <w:pPr>
        <w:ind w:left="-426"/>
        <w:rPr>
          <w:rFonts w:eastAsia="Times New Roman"/>
          <w:lang w:val="fr-FR" w:eastAsia="en-US"/>
        </w:rPr>
      </w:pPr>
    </w:p>
    <w:p w14:paraId="77BF6967" w14:textId="053B8989" w:rsidR="00CB33E8" w:rsidRPr="00F56A0E" w:rsidRDefault="00CB33E8" w:rsidP="001323B1">
      <w:pPr>
        <w:ind w:left="-426"/>
        <w:rPr>
          <w:rFonts w:eastAsia="Times New Roman"/>
          <w:lang w:val="fr-FR" w:eastAsia="en-US"/>
        </w:rPr>
      </w:pPr>
    </w:p>
    <w:p w14:paraId="5817FCA6" w14:textId="2B4448C5" w:rsidR="00CB33E8" w:rsidRPr="00F56A0E" w:rsidRDefault="00CB33E8" w:rsidP="001323B1">
      <w:pPr>
        <w:ind w:left="-426"/>
        <w:rPr>
          <w:rFonts w:eastAsia="Times New Roman"/>
          <w:lang w:val="fr-FR" w:eastAsia="en-US"/>
        </w:rPr>
      </w:pPr>
    </w:p>
    <w:p w14:paraId="75A86695" w14:textId="58746B19" w:rsidR="00CB33E8" w:rsidRPr="00F56A0E" w:rsidRDefault="00CB33E8" w:rsidP="001323B1">
      <w:pPr>
        <w:ind w:left="-426"/>
        <w:rPr>
          <w:rFonts w:eastAsia="Times New Roman"/>
          <w:lang w:val="fr-FR" w:eastAsia="en-US"/>
        </w:rPr>
      </w:pPr>
    </w:p>
    <w:p w14:paraId="053D796C" w14:textId="2267E7D2" w:rsidR="00CB33E8" w:rsidRPr="00F56A0E" w:rsidRDefault="00CB33E8" w:rsidP="001323B1">
      <w:pPr>
        <w:ind w:left="-426"/>
        <w:rPr>
          <w:rFonts w:eastAsia="Times New Roman"/>
          <w:lang w:val="fr-FR" w:eastAsia="en-US"/>
        </w:rPr>
      </w:pPr>
    </w:p>
    <w:p w14:paraId="073536FD" w14:textId="1F8B3744" w:rsidR="00CB33E8" w:rsidRPr="00F56A0E" w:rsidRDefault="00CB33E8" w:rsidP="001323B1">
      <w:pPr>
        <w:ind w:left="-426"/>
        <w:rPr>
          <w:rFonts w:eastAsia="Times New Roman"/>
          <w:lang w:val="fr-FR" w:eastAsia="en-US"/>
        </w:rPr>
      </w:pPr>
    </w:p>
    <w:p w14:paraId="3AD3FDC0" w14:textId="71BA849D" w:rsidR="00CB33E8" w:rsidRPr="00F56A0E" w:rsidRDefault="00CB33E8" w:rsidP="001323B1">
      <w:pPr>
        <w:ind w:left="-426"/>
        <w:rPr>
          <w:rFonts w:eastAsia="Times New Roman"/>
          <w:lang w:val="fr-FR" w:eastAsia="en-US"/>
        </w:rPr>
      </w:pPr>
    </w:p>
    <w:p w14:paraId="1B7E8162" w14:textId="5F365A4D" w:rsidR="00CB33E8" w:rsidRPr="00F56A0E" w:rsidRDefault="00CB33E8" w:rsidP="001323B1">
      <w:pPr>
        <w:ind w:left="-426"/>
        <w:rPr>
          <w:rFonts w:eastAsia="Times New Roman"/>
          <w:lang w:val="fr-FR" w:eastAsia="en-US"/>
        </w:rPr>
      </w:pPr>
    </w:p>
    <w:p w14:paraId="433323AC" w14:textId="1BEC6650" w:rsidR="00CB33E8" w:rsidRPr="00F56A0E" w:rsidRDefault="00CB33E8" w:rsidP="001323B1">
      <w:pPr>
        <w:ind w:left="-426"/>
        <w:rPr>
          <w:rFonts w:eastAsia="Times New Roman"/>
          <w:lang w:val="fr-FR" w:eastAsia="en-US"/>
        </w:rPr>
      </w:pPr>
    </w:p>
    <w:p w14:paraId="571DC2F5" w14:textId="2BCD1E2D" w:rsidR="00CB33E8" w:rsidRPr="00F56A0E" w:rsidRDefault="00CB33E8" w:rsidP="001323B1">
      <w:pPr>
        <w:ind w:left="-426"/>
        <w:rPr>
          <w:rFonts w:eastAsia="Times New Roman"/>
          <w:lang w:val="fr-FR" w:eastAsia="en-US"/>
        </w:rPr>
      </w:pPr>
    </w:p>
    <w:p w14:paraId="770B70C5" w14:textId="77777777" w:rsidR="00CB33E8" w:rsidRPr="00F56A0E" w:rsidRDefault="00CB33E8" w:rsidP="001323B1">
      <w:pPr>
        <w:ind w:left="-426"/>
        <w:rPr>
          <w:rFonts w:eastAsia="Times New Roman"/>
          <w:lang w:val="fr-FR" w:eastAsia="en-US"/>
        </w:rPr>
      </w:pPr>
    </w:p>
    <w:p w14:paraId="02C2A492" w14:textId="77777777" w:rsidR="001323B1" w:rsidRPr="00F56A0E" w:rsidRDefault="001323B1" w:rsidP="001323B1">
      <w:pPr>
        <w:ind w:left="-426"/>
        <w:rPr>
          <w:rFonts w:eastAsia="Times New Roman"/>
          <w:lang w:val="fr-FR" w:eastAsia="en-US"/>
        </w:rPr>
      </w:pPr>
    </w:p>
    <w:p w14:paraId="003018A2" w14:textId="77777777" w:rsidR="001323B1" w:rsidRPr="00F56A0E" w:rsidRDefault="001323B1" w:rsidP="001323B1">
      <w:pPr>
        <w:ind w:left="-426"/>
        <w:rPr>
          <w:rFonts w:eastAsia="Times New Roman"/>
          <w:lang w:val="fr-FR" w:eastAsia="en-US"/>
        </w:rPr>
      </w:pPr>
    </w:p>
    <w:p w14:paraId="502DBD0B" w14:textId="77777777" w:rsidR="001323B1" w:rsidRPr="00F56A0E" w:rsidRDefault="001323B1" w:rsidP="001323B1">
      <w:pPr>
        <w:ind w:left="-426"/>
        <w:rPr>
          <w:rFonts w:eastAsia="Times New Roman"/>
          <w:lang w:val="fr-FR" w:eastAsia="en-US"/>
        </w:rPr>
      </w:pPr>
    </w:p>
    <w:p w14:paraId="05BA36B2" w14:textId="77777777" w:rsidR="001323B1" w:rsidRPr="00F56A0E" w:rsidRDefault="001323B1" w:rsidP="001323B1">
      <w:pPr>
        <w:ind w:left="-426"/>
        <w:rPr>
          <w:rFonts w:eastAsia="Times New Roman"/>
          <w:lang w:val="fr-FR" w:eastAsia="en-US"/>
        </w:rPr>
      </w:pPr>
    </w:p>
    <w:p w14:paraId="53D0FCDD" w14:textId="77777777" w:rsidR="001323B1" w:rsidRPr="00F56A0E" w:rsidRDefault="001323B1" w:rsidP="001323B1">
      <w:pPr>
        <w:ind w:left="-426"/>
        <w:rPr>
          <w:rFonts w:eastAsia="Times New Roman"/>
          <w:lang w:val="fr-FR" w:eastAsia="en-US"/>
        </w:rPr>
      </w:pPr>
    </w:p>
    <w:tbl>
      <w:tblPr>
        <w:tblW w:w="0" w:type="auto"/>
        <w:tblInd w:w="-318" w:type="dxa"/>
        <w:tblLayout w:type="fixed"/>
        <w:tblLook w:val="0000" w:firstRow="0" w:lastRow="0" w:firstColumn="0" w:lastColumn="0" w:noHBand="0" w:noVBand="0"/>
      </w:tblPr>
      <w:tblGrid>
        <w:gridCol w:w="1419"/>
        <w:gridCol w:w="8221"/>
      </w:tblGrid>
      <w:tr w:rsidR="001323B1" w:rsidRPr="00F56A0E" w14:paraId="2452C107" w14:textId="77777777" w:rsidTr="005E14FB">
        <w:tc>
          <w:tcPr>
            <w:tcW w:w="1419" w:type="dxa"/>
          </w:tcPr>
          <w:p w14:paraId="13819EF4" w14:textId="77777777" w:rsidR="001323B1" w:rsidRPr="00F56A0E" w:rsidRDefault="001323B1" w:rsidP="005E14FB">
            <w:pPr>
              <w:rPr>
                <w:rFonts w:eastAsia="Times New Roman"/>
                <w:lang w:val="fr-FR" w:eastAsia="en-US"/>
              </w:rPr>
            </w:pPr>
            <w:r w:rsidRPr="00F56A0E">
              <w:rPr>
                <w:rFonts w:eastAsia="Times New Roman"/>
                <w:lang w:val="fr-FR" w:eastAsia="en-US"/>
              </w:rPr>
              <w:fldChar w:fldCharType="begin" w:fldLock="1"/>
            </w:r>
            <w:r w:rsidRPr="00F56A0E">
              <w:rPr>
                <w:rFonts w:eastAsia="Times New Roman"/>
                <w:lang w:val="fr-FR" w:eastAsia="en-US"/>
              </w:rPr>
              <w:instrText>IMPORT S:\\Marin\\Agenda\\!OLEGENE.WPG</w:instrText>
            </w:r>
            <w:r w:rsidRPr="00F56A0E">
              <w:rPr>
                <w:rFonts w:eastAsia="Times New Roman"/>
                <w:lang w:val="fr-FR" w:eastAsia="en-US"/>
              </w:rPr>
              <w:fldChar w:fldCharType="separate"/>
            </w:r>
            <w:r w:rsidRPr="00F56A0E">
              <w:rPr>
                <w:rFonts w:eastAsia="Times New Roman"/>
                <w:lang w:val="fr-FR" w:eastAsia="en-CA"/>
              </w:rPr>
              <w:drawing>
                <wp:inline distT="0" distB="0" distL="0" distR="0" wp14:anchorId="3DEB9DCB" wp14:editId="13113F3A">
                  <wp:extent cx="609600" cy="609600"/>
                  <wp:effectExtent l="0" t="0" r="0" b="0"/>
                  <wp:docPr id="6"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56A0E">
              <w:rPr>
                <w:rFonts w:eastAsia="Times New Roman"/>
                <w:lang w:val="fr-FR" w:eastAsia="en-US"/>
              </w:rPr>
              <w:fldChar w:fldCharType="end"/>
            </w:r>
          </w:p>
          <w:p w14:paraId="6EBBA2FF" w14:textId="77777777" w:rsidR="001323B1" w:rsidRPr="00F56A0E" w:rsidRDefault="001323B1" w:rsidP="005E14FB">
            <w:pPr>
              <w:rPr>
                <w:rFonts w:eastAsia="Times New Roman"/>
                <w:lang w:val="fr-FR" w:eastAsia="en-US"/>
              </w:rPr>
            </w:pPr>
          </w:p>
          <w:p w14:paraId="2F68FEDC" w14:textId="0D534CDF" w:rsidR="001323B1" w:rsidRPr="00F56A0E" w:rsidRDefault="001323B1" w:rsidP="005E14FB">
            <w:pPr>
              <w:rPr>
                <w:rFonts w:eastAsia="Times New Roman"/>
                <w:lang w:val="fr-FR" w:eastAsia="en-US"/>
              </w:rPr>
            </w:pPr>
            <w:r w:rsidRPr="00F56A0E">
              <w:rPr>
                <w:rFonts w:eastAsia="Times New Roman"/>
                <w:lang w:val="fr-FR" w:eastAsia="en-US"/>
              </w:rPr>
              <w:fldChar w:fldCharType="begin" w:fldLock="1"/>
            </w:r>
            <w:r w:rsidRPr="00F56A0E">
              <w:rPr>
                <w:rFonts w:eastAsia="Times New Roman"/>
                <w:lang w:val="fr-FR" w:eastAsia="en-US"/>
              </w:rPr>
              <w:instrText>IMPORT S:\\Marin\\Agenda\\!UNEP.WPG</w:instrText>
            </w:r>
            <w:r w:rsidRPr="00F56A0E">
              <w:rPr>
                <w:rFonts w:eastAsia="Times New Roman"/>
                <w:lang w:val="fr-FR" w:eastAsia="en-US"/>
              </w:rPr>
              <w:fldChar w:fldCharType="separate"/>
            </w:r>
            <w:r w:rsidR="005A4388" w:rsidRPr="00F56A0E">
              <w:rPr>
                <w:lang w:val="fr-FR"/>
              </w:rPr>
              <w:drawing>
                <wp:inline distT="0" distB="0" distL="0" distR="0" wp14:anchorId="2B7EB4B2" wp14:editId="1B0B5491">
                  <wp:extent cx="590550" cy="742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F56A0E">
              <w:rPr>
                <w:rFonts w:eastAsia="Times New Roman"/>
                <w:lang w:val="fr-FR" w:eastAsia="en-US"/>
              </w:rPr>
              <w:fldChar w:fldCharType="end"/>
            </w:r>
          </w:p>
        </w:tc>
        <w:tc>
          <w:tcPr>
            <w:tcW w:w="8221" w:type="dxa"/>
          </w:tcPr>
          <w:p w14:paraId="6A05F8E3" w14:textId="77777777" w:rsidR="001323B1" w:rsidRPr="00F56A0E" w:rsidRDefault="001323B1" w:rsidP="005E14FB">
            <w:pPr>
              <w:rPr>
                <w:rFonts w:eastAsia="Times New Roman"/>
                <w:sz w:val="16"/>
                <w:szCs w:val="28"/>
                <w:lang w:val="fr-FR" w:eastAsia="en-US"/>
              </w:rPr>
            </w:pPr>
          </w:p>
          <w:p w14:paraId="022A1ACC" w14:textId="7966CD84" w:rsidR="001323B1" w:rsidRPr="00F56A0E" w:rsidRDefault="001323B1" w:rsidP="005E14FB">
            <w:pPr>
              <w:spacing w:before="40" w:after="60"/>
              <w:outlineLvl w:val="0"/>
              <w:rPr>
                <w:rFonts w:eastAsia="Times New Roman"/>
                <w:b/>
                <w:bCs/>
                <w:kern w:val="28"/>
                <w:sz w:val="36"/>
                <w:szCs w:val="36"/>
                <w:lang w:val="fr-FR"/>
              </w:rPr>
            </w:pPr>
            <w:r w:rsidRPr="00F56A0E">
              <w:rPr>
                <w:b/>
                <w:bCs/>
                <w:sz w:val="36"/>
                <w:szCs w:val="36"/>
                <w:lang w:val="fr-FR"/>
              </w:rPr>
              <w:t>Secrétariat de la Convention de Rotterdam sur la</w:t>
            </w:r>
            <w:r w:rsidR="000E322E" w:rsidRPr="00F56A0E">
              <w:rPr>
                <w:b/>
                <w:bCs/>
                <w:sz w:val="36"/>
                <w:szCs w:val="36"/>
                <w:lang w:val="fr-FR"/>
              </w:rPr>
              <w:t> </w:t>
            </w:r>
            <w:r w:rsidRPr="00F56A0E">
              <w:rPr>
                <w:b/>
                <w:bCs/>
                <w:sz w:val="36"/>
                <w:szCs w:val="36"/>
                <w:lang w:val="fr-FR"/>
              </w:rPr>
              <w:t>procédure de consentement préalable en connaissance de cause applicable à certains produits chimiques et pesticides dangereux qui font l</w:t>
            </w:r>
            <w:r w:rsidR="00870D0E" w:rsidRPr="00F56A0E">
              <w:rPr>
                <w:b/>
                <w:bCs/>
                <w:sz w:val="36"/>
                <w:szCs w:val="36"/>
                <w:lang w:val="fr-FR"/>
              </w:rPr>
              <w:t>’</w:t>
            </w:r>
            <w:r w:rsidRPr="00F56A0E">
              <w:rPr>
                <w:b/>
                <w:bCs/>
                <w:sz w:val="36"/>
                <w:szCs w:val="36"/>
                <w:lang w:val="fr-FR"/>
              </w:rPr>
              <w:t>objet d</w:t>
            </w:r>
            <w:r w:rsidR="00870D0E" w:rsidRPr="00F56A0E">
              <w:rPr>
                <w:b/>
                <w:bCs/>
                <w:sz w:val="36"/>
                <w:szCs w:val="36"/>
                <w:lang w:val="fr-FR"/>
              </w:rPr>
              <w:t>’</w:t>
            </w:r>
            <w:r w:rsidRPr="00F56A0E">
              <w:rPr>
                <w:b/>
                <w:bCs/>
                <w:sz w:val="36"/>
                <w:szCs w:val="36"/>
                <w:lang w:val="fr-FR"/>
              </w:rPr>
              <w:t>un commerce international</w:t>
            </w:r>
          </w:p>
        </w:tc>
      </w:tr>
    </w:tbl>
    <w:p w14:paraId="15C3F6E0" w14:textId="4885A09C" w:rsidR="001323B1" w:rsidRPr="00F56A0E" w:rsidRDefault="001323B1" w:rsidP="001323B1">
      <w:pPr>
        <w:rPr>
          <w:rFonts w:eastAsia="Times New Roman"/>
          <w:sz w:val="36"/>
          <w:szCs w:val="28"/>
          <w:lang w:val="fr-FR" w:eastAsia="en-US"/>
        </w:rPr>
        <w:sectPr w:rsidR="001323B1" w:rsidRPr="00F56A0E" w:rsidSect="00C21DF2">
          <w:headerReference w:type="even" r:id="rId16"/>
          <w:footerReference w:type="even" r:id="rId17"/>
          <w:footerReference w:type="default" r:id="rId18"/>
          <w:headerReference w:type="first" r:id="rId19"/>
          <w:footerReference w:type="first" r:id="rId20"/>
          <w:type w:val="continuous"/>
          <w:pgSz w:w="11907" w:h="16840" w:code="9"/>
          <w:pgMar w:top="907" w:right="994" w:bottom="1411" w:left="1411" w:header="851" w:footer="720" w:gutter="0"/>
          <w:cols w:space="708"/>
          <w:titlePg/>
          <w:docGrid w:linePitch="326"/>
        </w:sectPr>
      </w:pPr>
    </w:p>
    <w:p w14:paraId="19E2A4E0" w14:textId="77777777" w:rsidR="001323B1" w:rsidRPr="00F56A0E" w:rsidRDefault="001323B1" w:rsidP="001323B1">
      <w:pPr>
        <w:spacing w:after="120"/>
        <w:rPr>
          <w:rFonts w:eastAsia="Times New Roman"/>
          <w:b/>
          <w:sz w:val="22"/>
          <w:szCs w:val="22"/>
          <w:lang w:val="fr-FR"/>
        </w:rPr>
      </w:pPr>
      <w:r w:rsidRPr="00F56A0E">
        <w:rPr>
          <w:b/>
          <w:bCs/>
          <w:lang w:val="fr-FR"/>
        </w:rPr>
        <w:lastRenderedPageBreak/>
        <w:t>Introduction</w:t>
      </w:r>
    </w:p>
    <w:p w14:paraId="26DBF361" w14:textId="1CC7A949" w:rsidR="001323B1" w:rsidRPr="00F56A0E" w:rsidRDefault="001323B1" w:rsidP="001323B1">
      <w:pPr>
        <w:spacing w:after="120"/>
        <w:rPr>
          <w:rFonts w:eastAsia="Times New Roman"/>
          <w:sz w:val="22"/>
          <w:szCs w:val="22"/>
          <w:lang w:val="fr-FR"/>
        </w:rPr>
      </w:pPr>
      <w:r w:rsidRPr="00F56A0E">
        <w:rPr>
          <w:lang w:val="fr-FR"/>
        </w:rPr>
        <w:t>La Convention de Rotterdam a pour but d</w:t>
      </w:r>
      <w:r w:rsidR="00870D0E" w:rsidRPr="00F56A0E">
        <w:rPr>
          <w:lang w:val="fr-FR"/>
        </w:rPr>
        <w:t>’</w:t>
      </w:r>
      <w:r w:rsidRPr="00F56A0E">
        <w:rPr>
          <w:lang w:val="fr-FR"/>
        </w:rPr>
        <w:t>encourager le partage des responsabilités et la coopération entre Parties dans le domaine du commerce international de certains produits chimiques dangereux, afin de protéger la santé humaine et l</w:t>
      </w:r>
      <w:r w:rsidR="00870D0E" w:rsidRPr="00F56A0E">
        <w:rPr>
          <w:lang w:val="fr-FR"/>
        </w:rPr>
        <w:t>’</w:t>
      </w:r>
      <w:r w:rsidRPr="00F56A0E">
        <w:rPr>
          <w:lang w:val="fr-FR"/>
        </w:rPr>
        <w:t>environnement contre d</w:t>
      </w:r>
      <w:r w:rsidR="00870D0E" w:rsidRPr="00F56A0E">
        <w:rPr>
          <w:lang w:val="fr-FR"/>
        </w:rPr>
        <w:t>’</w:t>
      </w:r>
      <w:r w:rsidRPr="00F56A0E">
        <w:rPr>
          <w:lang w:val="fr-FR"/>
        </w:rPr>
        <w:t>éventuels dommages et de contribuer à l</w:t>
      </w:r>
      <w:r w:rsidR="00870D0E" w:rsidRPr="00F56A0E">
        <w:rPr>
          <w:lang w:val="fr-FR"/>
        </w:rPr>
        <w:t>’</w:t>
      </w:r>
      <w:r w:rsidRPr="00F56A0E">
        <w:rPr>
          <w:lang w:val="fr-FR"/>
        </w:rPr>
        <w:t>utilisation écologiquement rationnelle de ces produits en facilitant l</w:t>
      </w:r>
      <w:r w:rsidR="00870D0E" w:rsidRPr="00F56A0E">
        <w:rPr>
          <w:lang w:val="fr-FR"/>
        </w:rPr>
        <w:t>’</w:t>
      </w:r>
      <w:r w:rsidRPr="00F56A0E">
        <w:rPr>
          <w:lang w:val="fr-FR"/>
        </w:rPr>
        <w:t>échange d</w:t>
      </w:r>
      <w:r w:rsidR="00870D0E" w:rsidRPr="00F56A0E">
        <w:rPr>
          <w:lang w:val="fr-FR"/>
        </w:rPr>
        <w:t>’</w:t>
      </w:r>
      <w:r w:rsidRPr="00F56A0E">
        <w:rPr>
          <w:lang w:val="fr-FR"/>
        </w:rPr>
        <w:t>informations sur leurs caractéristiques, en instituant un processus national de prise de décision applicable à leur importation et à leur exportation, et en assurant la communication de ces décisions aux Parties. Le Secrétariat de la Convention est assuré conjointement par le Programme des Nations Unies pour l</w:t>
      </w:r>
      <w:r w:rsidR="00870D0E" w:rsidRPr="00F56A0E">
        <w:rPr>
          <w:lang w:val="fr-FR"/>
        </w:rPr>
        <w:t>’</w:t>
      </w:r>
      <w:r w:rsidRPr="00F56A0E">
        <w:rPr>
          <w:lang w:val="fr-FR"/>
        </w:rPr>
        <w:t>environnement (PNUE) et l</w:t>
      </w:r>
      <w:r w:rsidR="00870D0E" w:rsidRPr="00F56A0E">
        <w:rPr>
          <w:lang w:val="fr-FR"/>
        </w:rPr>
        <w:t>’</w:t>
      </w:r>
      <w:r w:rsidRPr="00F56A0E">
        <w:rPr>
          <w:lang w:val="fr-FR"/>
        </w:rPr>
        <w:t>Organisation des Nations Unies pour l</w:t>
      </w:r>
      <w:r w:rsidR="00870D0E" w:rsidRPr="00F56A0E">
        <w:rPr>
          <w:lang w:val="fr-FR"/>
        </w:rPr>
        <w:t>’</w:t>
      </w:r>
      <w:r w:rsidRPr="00F56A0E">
        <w:rPr>
          <w:lang w:val="fr-FR"/>
        </w:rPr>
        <w:t>alimentation et l</w:t>
      </w:r>
      <w:r w:rsidR="00870D0E" w:rsidRPr="00F56A0E">
        <w:rPr>
          <w:lang w:val="fr-FR"/>
        </w:rPr>
        <w:t>’</w:t>
      </w:r>
      <w:r w:rsidRPr="00F56A0E">
        <w:rPr>
          <w:lang w:val="fr-FR"/>
        </w:rPr>
        <w:t>agriculture (FAO).</w:t>
      </w:r>
    </w:p>
    <w:p w14:paraId="5F148716" w14:textId="2275729A" w:rsidR="001323B1" w:rsidRPr="00F56A0E" w:rsidRDefault="001323B1" w:rsidP="001323B1">
      <w:pPr>
        <w:spacing w:after="120"/>
        <w:rPr>
          <w:rFonts w:eastAsia="Times New Roman"/>
          <w:sz w:val="22"/>
          <w:szCs w:val="22"/>
          <w:lang w:val="fr-FR"/>
        </w:rPr>
      </w:pPr>
      <w:r w:rsidRPr="00F56A0E">
        <w:rPr>
          <w:lang w:val="fr-FR"/>
        </w:rPr>
        <w:t>Les produits chimiques</w:t>
      </w:r>
      <w:r w:rsidRPr="00F56A0E">
        <w:rPr>
          <w:rFonts w:eastAsia="Times New Roman"/>
          <w:sz w:val="22"/>
          <w:vertAlign w:val="superscript"/>
          <w:lang w:val="fr-FR" w:eastAsia="en-US"/>
        </w:rPr>
        <w:footnoteReference w:id="1"/>
      </w:r>
      <w:r w:rsidRPr="00F56A0E">
        <w:rPr>
          <w:lang w:val="fr-FR"/>
        </w:rPr>
        <w:t xml:space="preserve"> susceptibles d</w:t>
      </w:r>
      <w:r w:rsidR="00870D0E" w:rsidRPr="00F56A0E">
        <w:rPr>
          <w:lang w:val="fr-FR"/>
        </w:rPr>
        <w:t>’</w:t>
      </w:r>
      <w:r w:rsidRPr="00F56A0E">
        <w:rPr>
          <w:lang w:val="fr-FR"/>
        </w:rPr>
        <w:t>être soumis à la procédure de consentement préalable en connaissance de cause (PIC) dans le cadre de la Convention de Rotterdam sont ceux qui ont été interdits ou strictement réglementés en vertu de règlements nationaux, dans au moins deux Parties</w:t>
      </w:r>
      <w:r w:rsidRPr="00F56A0E">
        <w:rPr>
          <w:rFonts w:eastAsia="Times New Roman"/>
          <w:sz w:val="22"/>
          <w:vertAlign w:val="superscript"/>
          <w:lang w:val="fr-FR" w:eastAsia="en-US"/>
        </w:rPr>
        <w:footnoteReference w:id="2"/>
      </w:r>
      <w:r w:rsidRPr="00F56A0E">
        <w:rPr>
          <w:lang w:val="fr-FR"/>
        </w:rPr>
        <w:t xml:space="preserve"> de deux régions différentes. La soumission d</w:t>
      </w:r>
      <w:r w:rsidR="00870D0E" w:rsidRPr="00F56A0E">
        <w:rPr>
          <w:lang w:val="fr-FR"/>
        </w:rPr>
        <w:t>’</w:t>
      </w:r>
      <w:r w:rsidRPr="00F56A0E">
        <w:rPr>
          <w:lang w:val="fr-FR"/>
        </w:rPr>
        <w:t>un produit chimique à la procédure PIC se fonde sur des mesures de réglementation prises par des Parties qui ont remédié aux risques associés à ce produit, soit en l</w:t>
      </w:r>
      <w:r w:rsidR="00870D0E" w:rsidRPr="00F56A0E">
        <w:rPr>
          <w:lang w:val="fr-FR"/>
        </w:rPr>
        <w:t>’</w:t>
      </w:r>
      <w:r w:rsidRPr="00F56A0E">
        <w:rPr>
          <w:lang w:val="fr-FR"/>
        </w:rPr>
        <w:t>interdisant, soit en le réglementant strictement. Il peut exister d</w:t>
      </w:r>
      <w:r w:rsidR="00870D0E" w:rsidRPr="00F56A0E">
        <w:rPr>
          <w:lang w:val="fr-FR"/>
        </w:rPr>
        <w:t>’</w:t>
      </w:r>
      <w:r w:rsidRPr="00F56A0E">
        <w:rPr>
          <w:lang w:val="fr-FR"/>
        </w:rPr>
        <w:t>autres moyens de lutter contre ces risques ou de les réduire. La soumission d</w:t>
      </w:r>
      <w:r w:rsidR="00870D0E" w:rsidRPr="00F56A0E">
        <w:rPr>
          <w:lang w:val="fr-FR"/>
        </w:rPr>
        <w:t>’</w:t>
      </w:r>
      <w:r w:rsidRPr="00F56A0E">
        <w:rPr>
          <w:lang w:val="fr-FR"/>
        </w:rPr>
        <w:t>un produit chimique à la procédure PIC n</w:t>
      </w:r>
      <w:r w:rsidR="00870D0E" w:rsidRPr="00F56A0E">
        <w:rPr>
          <w:lang w:val="fr-FR"/>
        </w:rPr>
        <w:t>’</w:t>
      </w:r>
      <w:r w:rsidRPr="00F56A0E">
        <w:rPr>
          <w:lang w:val="fr-FR"/>
        </w:rPr>
        <w:t xml:space="preserve">implique </w:t>
      </w:r>
      <w:r w:rsidR="005E14FB" w:rsidRPr="00F56A0E">
        <w:rPr>
          <w:lang w:val="fr-FR"/>
        </w:rPr>
        <w:t>cependant</w:t>
      </w:r>
      <w:r w:rsidRPr="00F56A0E">
        <w:rPr>
          <w:lang w:val="fr-FR"/>
        </w:rPr>
        <w:t xml:space="preserve"> pas qu</w:t>
      </w:r>
      <w:r w:rsidR="00870D0E" w:rsidRPr="00F56A0E">
        <w:rPr>
          <w:lang w:val="fr-FR"/>
        </w:rPr>
        <w:t>’</w:t>
      </w:r>
      <w:r w:rsidRPr="00F56A0E">
        <w:rPr>
          <w:lang w:val="fr-FR"/>
        </w:rPr>
        <w:t>il soit interdit ou strictement réglementé dans toutes les Parties à la Convention. Pour chaque produit chimique inscrit à l</w:t>
      </w:r>
      <w:r w:rsidR="00870D0E" w:rsidRPr="00F56A0E">
        <w:rPr>
          <w:lang w:val="fr-FR"/>
        </w:rPr>
        <w:t>’</w:t>
      </w:r>
      <w:r w:rsidRPr="00F56A0E">
        <w:rPr>
          <w:lang w:val="fr-FR"/>
        </w:rPr>
        <w:t>Annexe III de la Convention de Rotterdam et soumis à la procédure PIC, les Parties doivent décider en connaissance de cause si elles consentent ou non à l</w:t>
      </w:r>
      <w:r w:rsidR="00870D0E" w:rsidRPr="00F56A0E">
        <w:rPr>
          <w:lang w:val="fr-FR"/>
        </w:rPr>
        <w:t>’</w:t>
      </w:r>
      <w:r w:rsidRPr="00F56A0E">
        <w:rPr>
          <w:lang w:val="fr-FR"/>
        </w:rPr>
        <w:t>importer à l</w:t>
      </w:r>
      <w:r w:rsidR="00870D0E" w:rsidRPr="00F56A0E">
        <w:rPr>
          <w:lang w:val="fr-FR"/>
        </w:rPr>
        <w:t>’</w:t>
      </w:r>
      <w:r w:rsidRPr="00F56A0E">
        <w:rPr>
          <w:lang w:val="fr-FR"/>
        </w:rPr>
        <w:t>avenir.</w:t>
      </w:r>
    </w:p>
    <w:p w14:paraId="318F2F55" w14:textId="4E23486E" w:rsidR="001323B1" w:rsidRPr="00F56A0E" w:rsidRDefault="001323B1" w:rsidP="001323B1">
      <w:pPr>
        <w:spacing w:after="120"/>
        <w:rPr>
          <w:rFonts w:eastAsia="Times New Roman"/>
          <w:sz w:val="22"/>
          <w:szCs w:val="22"/>
          <w:lang w:val="fr-FR"/>
        </w:rPr>
      </w:pPr>
      <w:r w:rsidRPr="00F56A0E">
        <w:rPr>
          <w:lang w:val="fr-FR"/>
        </w:rPr>
        <w:t>À sa [</w:t>
      </w:r>
      <w:r w:rsidR="004A7152" w:rsidRPr="00F56A0E">
        <w:rPr>
          <w:lang w:val="fr-FR"/>
        </w:rPr>
        <w:t>…</w:t>
      </w:r>
      <w:r w:rsidRPr="00F56A0E">
        <w:rPr>
          <w:lang w:val="fr-FR"/>
        </w:rPr>
        <w:t>] réunion, tenue à [</w:t>
      </w:r>
      <w:r w:rsidR="004A7152" w:rsidRPr="00F56A0E">
        <w:rPr>
          <w:lang w:val="fr-FR"/>
        </w:rPr>
        <w:t>…</w:t>
      </w:r>
      <w:r w:rsidRPr="00F56A0E">
        <w:rPr>
          <w:lang w:val="fr-FR"/>
        </w:rPr>
        <w:t>] le [</w:t>
      </w:r>
      <w:r w:rsidR="004A7152" w:rsidRPr="00F56A0E">
        <w:rPr>
          <w:lang w:val="fr-FR"/>
        </w:rPr>
        <w:t>..</w:t>
      </w:r>
      <w:r w:rsidRPr="00F56A0E">
        <w:rPr>
          <w:lang w:val="fr-FR"/>
        </w:rPr>
        <w:t>.], la Conférence des Parties a décidé d</w:t>
      </w:r>
      <w:r w:rsidR="00870D0E" w:rsidRPr="00F56A0E">
        <w:rPr>
          <w:lang w:val="fr-FR"/>
        </w:rPr>
        <w:t>’</w:t>
      </w:r>
      <w:r w:rsidRPr="00F56A0E">
        <w:rPr>
          <w:lang w:val="fr-FR"/>
        </w:rPr>
        <w:t>inscrire le terbufos à l</w:t>
      </w:r>
      <w:r w:rsidR="00870D0E" w:rsidRPr="00F56A0E">
        <w:rPr>
          <w:lang w:val="fr-FR"/>
        </w:rPr>
        <w:t>’</w:t>
      </w:r>
      <w:r w:rsidRPr="00F56A0E">
        <w:rPr>
          <w:lang w:val="fr-FR"/>
        </w:rPr>
        <w:t>Annexe III de la Convention et a adopté le document d</w:t>
      </w:r>
      <w:r w:rsidR="00870D0E" w:rsidRPr="00F56A0E">
        <w:rPr>
          <w:lang w:val="fr-FR"/>
        </w:rPr>
        <w:t>’</w:t>
      </w:r>
      <w:r w:rsidRPr="00F56A0E">
        <w:rPr>
          <w:lang w:val="fr-FR"/>
        </w:rPr>
        <w:t>orientation des décisions correspondant, ce qui a eu pour effet de soumettre ce produit chimique à la procédure PIC.</w:t>
      </w:r>
    </w:p>
    <w:p w14:paraId="5D17AFA3" w14:textId="6C4D1EA7" w:rsidR="001323B1" w:rsidRPr="00F56A0E" w:rsidRDefault="001323B1" w:rsidP="001323B1">
      <w:pPr>
        <w:spacing w:after="120"/>
        <w:rPr>
          <w:rFonts w:eastAsia="Times New Roman"/>
          <w:sz w:val="22"/>
          <w:szCs w:val="22"/>
          <w:lang w:val="fr-FR"/>
        </w:rPr>
      </w:pPr>
      <w:r w:rsidRPr="00F56A0E">
        <w:rPr>
          <w:lang w:val="fr-FR"/>
        </w:rPr>
        <w:t>Le présent document d</w:t>
      </w:r>
      <w:r w:rsidR="00870D0E" w:rsidRPr="00F56A0E">
        <w:rPr>
          <w:lang w:val="fr-FR"/>
        </w:rPr>
        <w:t>’</w:t>
      </w:r>
      <w:r w:rsidRPr="00F56A0E">
        <w:rPr>
          <w:lang w:val="fr-FR"/>
        </w:rPr>
        <w:t>orientation des décisions a été communiqué aux autorités nationales désignées le […], conformément aux articles 7 et 10 de la Convention de Rotterdam.</w:t>
      </w:r>
    </w:p>
    <w:p w14:paraId="70B9DF4C" w14:textId="73FCF68E" w:rsidR="001323B1" w:rsidRPr="00F56A0E" w:rsidRDefault="001323B1" w:rsidP="001323B1">
      <w:pPr>
        <w:spacing w:after="120"/>
        <w:rPr>
          <w:rFonts w:eastAsia="Times New Roman"/>
          <w:b/>
          <w:sz w:val="22"/>
          <w:szCs w:val="22"/>
          <w:lang w:val="fr-FR"/>
        </w:rPr>
      </w:pPr>
      <w:r w:rsidRPr="00F56A0E">
        <w:rPr>
          <w:b/>
          <w:bCs/>
          <w:lang w:val="fr-FR"/>
        </w:rPr>
        <w:t>Objet du document d</w:t>
      </w:r>
      <w:r w:rsidR="00870D0E" w:rsidRPr="00F56A0E">
        <w:rPr>
          <w:b/>
          <w:bCs/>
          <w:lang w:val="fr-FR"/>
        </w:rPr>
        <w:t>’</w:t>
      </w:r>
      <w:r w:rsidRPr="00F56A0E">
        <w:rPr>
          <w:b/>
          <w:bCs/>
          <w:lang w:val="fr-FR"/>
        </w:rPr>
        <w:t>orientation des décisions</w:t>
      </w:r>
      <w:r w:rsidRPr="00F56A0E">
        <w:rPr>
          <w:lang w:val="fr-FR"/>
        </w:rPr>
        <w:t xml:space="preserve"> </w:t>
      </w:r>
    </w:p>
    <w:p w14:paraId="25B853B5" w14:textId="2788640E" w:rsidR="001323B1" w:rsidRPr="00F56A0E" w:rsidRDefault="001323B1" w:rsidP="001323B1">
      <w:pPr>
        <w:spacing w:after="120"/>
        <w:rPr>
          <w:rFonts w:eastAsia="Times New Roman"/>
          <w:sz w:val="22"/>
          <w:szCs w:val="22"/>
          <w:lang w:val="fr-FR"/>
        </w:rPr>
      </w:pPr>
      <w:r w:rsidRPr="00F56A0E">
        <w:rPr>
          <w:lang w:val="fr-FR"/>
        </w:rPr>
        <w:t>Pour chacun des produits chimiques inscrits à l</w:t>
      </w:r>
      <w:r w:rsidR="00870D0E" w:rsidRPr="00F56A0E">
        <w:rPr>
          <w:lang w:val="fr-FR"/>
        </w:rPr>
        <w:t>’</w:t>
      </w:r>
      <w:r w:rsidRPr="00F56A0E">
        <w:rPr>
          <w:lang w:val="fr-FR"/>
        </w:rPr>
        <w:t>Annexe III de la Convention de Rotterdam, un document d</w:t>
      </w:r>
      <w:r w:rsidR="00870D0E" w:rsidRPr="00F56A0E">
        <w:rPr>
          <w:lang w:val="fr-FR"/>
        </w:rPr>
        <w:t>’</w:t>
      </w:r>
      <w:r w:rsidRPr="00F56A0E">
        <w:rPr>
          <w:lang w:val="fr-FR"/>
        </w:rPr>
        <w:t>orientation des décisions est approuvé par la Conférence des Parties. Les documents d</w:t>
      </w:r>
      <w:r w:rsidR="00870D0E" w:rsidRPr="00F56A0E">
        <w:rPr>
          <w:lang w:val="fr-FR"/>
        </w:rPr>
        <w:t>’</w:t>
      </w:r>
      <w:r w:rsidRPr="00F56A0E">
        <w:rPr>
          <w:lang w:val="fr-FR"/>
        </w:rPr>
        <w:t xml:space="preserve">orientation des décisions sont envoyés à toutes les Parties, auxquelles il est demandé de prendre une décision concernant les futures importations </w:t>
      </w:r>
      <w:r w:rsidR="005E14FB" w:rsidRPr="00F56A0E">
        <w:rPr>
          <w:lang w:val="fr-FR"/>
        </w:rPr>
        <w:t>du produit chimique inscrit dans la ou les catégories pertinentes de l</w:t>
      </w:r>
      <w:r w:rsidR="00870D0E" w:rsidRPr="00F56A0E">
        <w:rPr>
          <w:lang w:val="fr-FR"/>
        </w:rPr>
        <w:t>’</w:t>
      </w:r>
      <w:r w:rsidR="005E14FB" w:rsidRPr="00F56A0E">
        <w:rPr>
          <w:lang w:val="fr-FR"/>
        </w:rPr>
        <w:t>Annexe III de la Convention</w:t>
      </w:r>
      <w:r w:rsidRPr="00F56A0E">
        <w:rPr>
          <w:lang w:val="fr-FR"/>
        </w:rPr>
        <w:t>. De plus amples informations sur les réponses des pays importateurs figurent sur le site Web de la Convention de Rotterdam</w:t>
      </w:r>
      <w:r w:rsidRPr="00F56A0E">
        <w:rPr>
          <w:rStyle w:val="FootnoteReference"/>
          <w:rFonts w:eastAsia="Times New Roman"/>
          <w:sz w:val="22"/>
          <w:szCs w:val="22"/>
          <w:lang w:val="fr-FR" w:eastAsia="en-US"/>
        </w:rPr>
        <w:footnoteReference w:id="3"/>
      </w:r>
      <w:r w:rsidRPr="00F56A0E">
        <w:rPr>
          <w:lang w:val="fr-FR"/>
        </w:rPr>
        <w:t xml:space="preserve">. </w:t>
      </w:r>
    </w:p>
    <w:p w14:paraId="2B700C37" w14:textId="7C799948" w:rsidR="001323B1" w:rsidRPr="00F56A0E" w:rsidRDefault="001323B1" w:rsidP="001323B1">
      <w:pPr>
        <w:spacing w:after="120"/>
        <w:rPr>
          <w:rFonts w:eastAsia="Times New Roman"/>
          <w:sz w:val="22"/>
          <w:szCs w:val="22"/>
          <w:lang w:val="fr-FR"/>
        </w:rPr>
      </w:pPr>
      <w:r w:rsidRPr="00F56A0E">
        <w:rPr>
          <w:lang w:val="fr-FR"/>
        </w:rPr>
        <w:t>Les documents d</w:t>
      </w:r>
      <w:r w:rsidR="00870D0E" w:rsidRPr="00F56A0E">
        <w:rPr>
          <w:lang w:val="fr-FR"/>
        </w:rPr>
        <w:t>’</w:t>
      </w:r>
      <w:r w:rsidRPr="00F56A0E">
        <w:rPr>
          <w:lang w:val="fr-FR"/>
        </w:rPr>
        <w:t>orientation des décisions sont établis par le Comité d</w:t>
      </w:r>
      <w:r w:rsidR="00870D0E" w:rsidRPr="00F56A0E">
        <w:rPr>
          <w:lang w:val="fr-FR"/>
        </w:rPr>
        <w:t>’</w:t>
      </w:r>
      <w:r w:rsidRPr="00F56A0E">
        <w:rPr>
          <w:lang w:val="fr-FR"/>
        </w:rPr>
        <w:t>étude des produits chimiques. Constitué d</w:t>
      </w:r>
      <w:r w:rsidR="00870D0E" w:rsidRPr="00F56A0E">
        <w:rPr>
          <w:lang w:val="fr-FR"/>
        </w:rPr>
        <w:t>’</w:t>
      </w:r>
      <w:r w:rsidRPr="00F56A0E">
        <w:rPr>
          <w:lang w:val="fr-FR"/>
        </w:rPr>
        <w:t>un groupe d</w:t>
      </w:r>
      <w:r w:rsidR="00870D0E" w:rsidRPr="00F56A0E">
        <w:rPr>
          <w:lang w:val="fr-FR"/>
        </w:rPr>
        <w:t>’</w:t>
      </w:r>
      <w:r w:rsidRPr="00F56A0E">
        <w:rPr>
          <w:lang w:val="fr-FR"/>
        </w:rPr>
        <w:t>experts désignés par les gouvernements, ce comité créé en application de l</w:t>
      </w:r>
      <w:r w:rsidR="00870D0E" w:rsidRPr="00F56A0E">
        <w:rPr>
          <w:lang w:val="fr-FR"/>
        </w:rPr>
        <w:t>’</w:t>
      </w:r>
      <w:r w:rsidRPr="00F56A0E">
        <w:rPr>
          <w:lang w:val="fr-FR"/>
        </w:rPr>
        <w:t xml:space="preserve">article 18 de la Convention évalue les produits chimiques </w:t>
      </w:r>
      <w:bookmarkStart w:id="12" w:name="_Hlk109285273"/>
      <w:r w:rsidRPr="00F56A0E">
        <w:rPr>
          <w:lang w:val="fr-FR"/>
        </w:rPr>
        <w:t>candidats à l</w:t>
      </w:r>
      <w:r w:rsidR="00870D0E" w:rsidRPr="00F56A0E">
        <w:rPr>
          <w:lang w:val="fr-FR"/>
        </w:rPr>
        <w:t>’</w:t>
      </w:r>
      <w:r w:rsidRPr="00F56A0E">
        <w:rPr>
          <w:lang w:val="fr-FR"/>
        </w:rPr>
        <w:t>inscription</w:t>
      </w:r>
      <w:bookmarkEnd w:id="12"/>
      <w:r w:rsidRPr="00F56A0E">
        <w:rPr>
          <w:lang w:val="fr-FR"/>
        </w:rPr>
        <w:t xml:space="preserve"> à l</w:t>
      </w:r>
      <w:r w:rsidR="00870D0E" w:rsidRPr="00F56A0E">
        <w:rPr>
          <w:lang w:val="fr-FR"/>
        </w:rPr>
        <w:t>’</w:t>
      </w:r>
      <w:r w:rsidRPr="00F56A0E">
        <w:rPr>
          <w:lang w:val="fr-FR"/>
        </w:rPr>
        <w:t>Annexe III de la Convention. Les documents d</w:t>
      </w:r>
      <w:r w:rsidR="00870D0E" w:rsidRPr="00F56A0E">
        <w:rPr>
          <w:lang w:val="fr-FR"/>
        </w:rPr>
        <w:t>’</w:t>
      </w:r>
      <w:r w:rsidRPr="00F56A0E">
        <w:rPr>
          <w:lang w:val="fr-FR"/>
        </w:rPr>
        <w:t xml:space="preserve">orientation </w:t>
      </w:r>
      <w:r w:rsidR="005E39E1" w:rsidRPr="00F56A0E">
        <w:rPr>
          <w:lang w:val="fr-FR"/>
        </w:rPr>
        <w:t xml:space="preserve">des décisions </w:t>
      </w:r>
      <w:r w:rsidRPr="00F56A0E">
        <w:rPr>
          <w:lang w:val="fr-FR"/>
        </w:rPr>
        <w:t>reprennent les informations fournies par au moins deux Parties pour justifier les mesures de réglementation prises par celles-ci, au niveau national, pour interdire ou réglementer strictement un produit chimique. Ils ne prétendent pas constituer la seule source d</w:t>
      </w:r>
      <w:r w:rsidR="00870D0E" w:rsidRPr="00F56A0E">
        <w:rPr>
          <w:lang w:val="fr-FR"/>
        </w:rPr>
        <w:t>’</w:t>
      </w:r>
      <w:r w:rsidRPr="00F56A0E">
        <w:rPr>
          <w:lang w:val="fr-FR"/>
        </w:rPr>
        <w:t>information sur un produit chimique et ne sont ni actualisés ni révisés après leur adoption par la Conférence des Parties.</w:t>
      </w:r>
    </w:p>
    <w:p w14:paraId="04915C12" w14:textId="63455544" w:rsidR="001323B1" w:rsidRPr="00F56A0E" w:rsidRDefault="001323B1" w:rsidP="001323B1">
      <w:pPr>
        <w:spacing w:after="120"/>
        <w:rPr>
          <w:rFonts w:eastAsia="Times New Roman"/>
          <w:sz w:val="22"/>
          <w:szCs w:val="22"/>
          <w:lang w:val="fr-FR"/>
        </w:rPr>
      </w:pPr>
      <w:r w:rsidRPr="00F56A0E">
        <w:rPr>
          <w:lang w:val="fr-FR"/>
        </w:rPr>
        <w:t>Il se peut que d</w:t>
      </w:r>
      <w:r w:rsidR="00870D0E" w:rsidRPr="00F56A0E">
        <w:rPr>
          <w:lang w:val="fr-FR"/>
        </w:rPr>
        <w:t>’</w:t>
      </w:r>
      <w:r w:rsidRPr="00F56A0E">
        <w:rPr>
          <w:lang w:val="fr-FR"/>
        </w:rPr>
        <w:t>autres Parties aient pris des mesures de réglementation visant à interdire ou strictement réglementer le produit chimique considéré et que d</w:t>
      </w:r>
      <w:r w:rsidR="00870D0E" w:rsidRPr="00F56A0E">
        <w:rPr>
          <w:lang w:val="fr-FR"/>
        </w:rPr>
        <w:t>’</w:t>
      </w:r>
      <w:r w:rsidRPr="00F56A0E">
        <w:rPr>
          <w:lang w:val="fr-FR"/>
        </w:rPr>
        <w:t>autres ne l</w:t>
      </w:r>
      <w:r w:rsidR="00870D0E" w:rsidRPr="00F56A0E">
        <w:rPr>
          <w:lang w:val="fr-FR"/>
        </w:rPr>
        <w:t>’</w:t>
      </w:r>
      <w:r w:rsidRPr="00F56A0E">
        <w:rPr>
          <w:lang w:val="fr-FR"/>
        </w:rPr>
        <w:t>aient ni interdit ni strictement réglementé. Les évaluations des risques ou les informations sur d</w:t>
      </w:r>
      <w:r w:rsidR="00870D0E" w:rsidRPr="00F56A0E">
        <w:rPr>
          <w:lang w:val="fr-FR"/>
        </w:rPr>
        <w:t>’</w:t>
      </w:r>
      <w:r w:rsidRPr="00F56A0E">
        <w:rPr>
          <w:lang w:val="fr-FR"/>
        </w:rPr>
        <w:t>autres mesures d</w:t>
      </w:r>
      <w:r w:rsidR="00870D0E" w:rsidRPr="00F56A0E">
        <w:rPr>
          <w:lang w:val="fr-FR"/>
        </w:rPr>
        <w:t>’</w:t>
      </w:r>
      <w:r w:rsidRPr="00F56A0E">
        <w:rPr>
          <w:lang w:val="fr-FR"/>
        </w:rPr>
        <w:t>atténuation des risques soumises par ces Parties peuvent être consultées sur le site Web de la Convention de Rotterdam (www.pic.int).</w:t>
      </w:r>
    </w:p>
    <w:p w14:paraId="5785D9F5" w14:textId="36D2CE88" w:rsidR="001323B1" w:rsidRPr="00F56A0E" w:rsidRDefault="001323B1" w:rsidP="001323B1">
      <w:pPr>
        <w:spacing w:after="120"/>
        <w:rPr>
          <w:rFonts w:eastAsia="Times New Roman"/>
          <w:sz w:val="22"/>
          <w:szCs w:val="22"/>
          <w:lang w:val="fr-FR"/>
        </w:rPr>
      </w:pPr>
      <w:r w:rsidRPr="00F56A0E">
        <w:rPr>
          <w:lang w:val="fr-FR"/>
        </w:rPr>
        <w:t>En vertu de l</w:t>
      </w:r>
      <w:r w:rsidR="00870D0E" w:rsidRPr="00F56A0E">
        <w:rPr>
          <w:lang w:val="fr-FR"/>
        </w:rPr>
        <w:t>’</w:t>
      </w:r>
      <w:r w:rsidRPr="00F56A0E">
        <w:rPr>
          <w:lang w:val="fr-FR"/>
        </w:rPr>
        <w:t>article 14 de la Convention, les Parties peuvent échanger des informations scientifiques, techniques, économiques et juridiques sur les produits chimiques entrant dans le champ d</w:t>
      </w:r>
      <w:r w:rsidR="00870D0E" w:rsidRPr="00F56A0E">
        <w:rPr>
          <w:lang w:val="fr-FR"/>
        </w:rPr>
        <w:t>’</w:t>
      </w:r>
      <w:r w:rsidRPr="00F56A0E">
        <w:rPr>
          <w:lang w:val="fr-FR"/>
        </w:rPr>
        <w:t>application de la Convention, y compris des renseignements d</w:t>
      </w:r>
      <w:r w:rsidR="00870D0E" w:rsidRPr="00F56A0E">
        <w:rPr>
          <w:lang w:val="fr-FR"/>
        </w:rPr>
        <w:t>’</w:t>
      </w:r>
      <w:r w:rsidRPr="00F56A0E">
        <w:rPr>
          <w:lang w:val="fr-FR"/>
        </w:rPr>
        <w:t>ordre toxicologique et écotoxicologique et des renseignements relatifs à la sécurité. Ces informations peuvent être communiquées à d</w:t>
      </w:r>
      <w:r w:rsidR="00870D0E" w:rsidRPr="00F56A0E">
        <w:rPr>
          <w:lang w:val="fr-FR"/>
        </w:rPr>
        <w:t>’</w:t>
      </w:r>
      <w:r w:rsidRPr="00F56A0E">
        <w:rPr>
          <w:lang w:val="fr-FR"/>
        </w:rPr>
        <w:t>autres Parties, directement ou par l</w:t>
      </w:r>
      <w:r w:rsidR="00870D0E" w:rsidRPr="00F56A0E">
        <w:rPr>
          <w:lang w:val="fr-FR"/>
        </w:rPr>
        <w:t>’</w:t>
      </w:r>
      <w:r w:rsidRPr="00F56A0E">
        <w:rPr>
          <w:lang w:val="fr-FR"/>
        </w:rPr>
        <w:t>intermédiaire du Secrétariat. Les informations fournies au Secrétariat sont publiées sur le site Web de la Convention de Rotterdam.</w:t>
      </w:r>
    </w:p>
    <w:p w14:paraId="4507676B" w14:textId="44CC4C53" w:rsidR="001323B1" w:rsidRPr="00F56A0E" w:rsidRDefault="001323B1" w:rsidP="001323B1">
      <w:pPr>
        <w:rPr>
          <w:rFonts w:eastAsia="Times New Roman"/>
          <w:sz w:val="22"/>
          <w:szCs w:val="22"/>
          <w:lang w:val="fr-FR"/>
        </w:rPr>
      </w:pPr>
      <w:r w:rsidRPr="00F56A0E">
        <w:rPr>
          <w:lang w:val="fr-FR"/>
        </w:rPr>
        <w:t>Des informations sur le produit chimique considéré peuvent également être disponibles auprès d</w:t>
      </w:r>
      <w:r w:rsidR="00870D0E" w:rsidRPr="00F56A0E">
        <w:rPr>
          <w:lang w:val="fr-FR"/>
        </w:rPr>
        <w:t>’</w:t>
      </w:r>
      <w:r w:rsidRPr="00F56A0E">
        <w:rPr>
          <w:lang w:val="fr-FR"/>
        </w:rPr>
        <w:t>autres sources.</w:t>
      </w:r>
    </w:p>
    <w:p w14:paraId="48173E6D" w14:textId="77777777" w:rsidR="001323B1" w:rsidRPr="00F56A0E" w:rsidRDefault="001323B1" w:rsidP="001323B1">
      <w:pPr>
        <w:rPr>
          <w:rFonts w:eastAsia="Times New Roman"/>
          <w:b/>
          <w:sz w:val="22"/>
          <w:szCs w:val="22"/>
          <w:lang w:val="fr-FR" w:eastAsia="en-US"/>
        </w:rPr>
      </w:pPr>
    </w:p>
    <w:p w14:paraId="3EC2AB2C" w14:textId="77777777" w:rsidR="001323B1" w:rsidRPr="00F56A0E" w:rsidRDefault="001323B1" w:rsidP="007E521C">
      <w:pPr>
        <w:keepNext/>
        <w:keepLines/>
        <w:spacing w:after="120"/>
        <w:rPr>
          <w:rFonts w:eastAsia="Times New Roman"/>
          <w:b/>
          <w:sz w:val="22"/>
          <w:szCs w:val="22"/>
          <w:lang w:val="fr-FR"/>
        </w:rPr>
      </w:pPr>
      <w:r w:rsidRPr="00F56A0E">
        <w:rPr>
          <w:b/>
          <w:bCs/>
          <w:lang w:val="fr-FR"/>
        </w:rPr>
        <w:lastRenderedPageBreak/>
        <w:t>Avertissement</w:t>
      </w:r>
    </w:p>
    <w:p w14:paraId="4D2D8D14" w14:textId="280C92FE" w:rsidR="001323B1" w:rsidRPr="00F56A0E" w:rsidRDefault="001323B1" w:rsidP="007E521C">
      <w:pPr>
        <w:keepNext/>
        <w:keepLines/>
        <w:spacing w:after="120"/>
        <w:rPr>
          <w:rFonts w:eastAsia="Times New Roman"/>
          <w:sz w:val="22"/>
          <w:szCs w:val="22"/>
          <w:lang w:val="fr-FR"/>
        </w:rPr>
      </w:pPr>
      <w:r w:rsidRPr="00F56A0E">
        <w:rPr>
          <w:lang w:val="fr-FR"/>
        </w:rPr>
        <w:t>L</w:t>
      </w:r>
      <w:r w:rsidR="00870D0E" w:rsidRPr="00F56A0E">
        <w:rPr>
          <w:lang w:val="fr-FR"/>
        </w:rPr>
        <w:t>’</w:t>
      </w:r>
      <w:r w:rsidRPr="00F56A0E">
        <w:rPr>
          <w:lang w:val="fr-FR"/>
        </w:rPr>
        <w:t>utilisation de noms commerciaux dans le présent document est principalement destinée à faciliter l</w:t>
      </w:r>
      <w:r w:rsidR="00870D0E" w:rsidRPr="00F56A0E">
        <w:rPr>
          <w:lang w:val="fr-FR"/>
        </w:rPr>
        <w:t>’</w:t>
      </w:r>
      <w:r w:rsidRPr="00F56A0E">
        <w:rPr>
          <w:lang w:val="fr-FR"/>
        </w:rPr>
        <w:t>identification correcte du produit chimique et ne saurait impliquer une quelconque approbation ou désapprobation à l</w:t>
      </w:r>
      <w:r w:rsidR="00870D0E" w:rsidRPr="00F56A0E">
        <w:rPr>
          <w:lang w:val="fr-FR"/>
        </w:rPr>
        <w:t>’</w:t>
      </w:r>
      <w:r w:rsidRPr="00F56A0E">
        <w:rPr>
          <w:lang w:val="fr-FR"/>
        </w:rPr>
        <w:t>égard d</w:t>
      </w:r>
      <w:r w:rsidR="00870D0E" w:rsidRPr="00F56A0E">
        <w:rPr>
          <w:lang w:val="fr-FR"/>
        </w:rPr>
        <w:t>’</w:t>
      </w:r>
      <w:r w:rsidRPr="00F56A0E">
        <w:rPr>
          <w:lang w:val="fr-FR"/>
        </w:rPr>
        <w:t>une entreprise particulière, quelle qu</w:t>
      </w:r>
      <w:r w:rsidR="00870D0E" w:rsidRPr="00F56A0E">
        <w:rPr>
          <w:lang w:val="fr-FR"/>
        </w:rPr>
        <w:t>’</w:t>
      </w:r>
      <w:r w:rsidRPr="00F56A0E">
        <w:rPr>
          <w:lang w:val="fr-FR"/>
        </w:rPr>
        <w:t>elle soit. Vu l</w:t>
      </w:r>
      <w:r w:rsidR="00870D0E" w:rsidRPr="00F56A0E">
        <w:rPr>
          <w:lang w:val="fr-FR"/>
        </w:rPr>
        <w:t>’</w:t>
      </w:r>
      <w:r w:rsidRPr="00F56A0E">
        <w:rPr>
          <w:lang w:val="fr-FR"/>
        </w:rPr>
        <w:t>impossibilité d</w:t>
      </w:r>
      <w:r w:rsidR="00870D0E" w:rsidRPr="00F56A0E">
        <w:rPr>
          <w:lang w:val="fr-FR"/>
        </w:rPr>
        <w:t>’</w:t>
      </w:r>
      <w:r w:rsidRPr="00F56A0E">
        <w:rPr>
          <w:lang w:val="fr-FR"/>
        </w:rPr>
        <w:t xml:space="preserve">y faire figurer tous les noms commerciaux actuellement en usage, seuls quelques-uns des plus courants et </w:t>
      </w:r>
      <w:r w:rsidR="005E39E1" w:rsidRPr="00F56A0E">
        <w:rPr>
          <w:lang w:val="fr-FR"/>
        </w:rPr>
        <w:t xml:space="preserve">des plus fréquemment </w:t>
      </w:r>
      <w:r w:rsidR="00EB6D71" w:rsidRPr="00F56A0E">
        <w:rPr>
          <w:lang w:val="fr-FR"/>
        </w:rPr>
        <w:t>mentionn</w:t>
      </w:r>
      <w:r w:rsidRPr="00F56A0E">
        <w:rPr>
          <w:lang w:val="fr-FR"/>
        </w:rPr>
        <w:t xml:space="preserve">és dans les publications </w:t>
      </w:r>
      <w:r w:rsidR="00EB6D71" w:rsidRPr="00F56A0E">
        <w:rPr>
          <w:lang w:val="fr-FR"/>
        </w:rPr>
        <w:t>y ont été retenus</w:t>
      </w:r>
      <w:r w:rsidRPr="00F56A0E">
        <w:rPr>
          <w:lang w:val="fr-FR"/>
        </w:rPr>
        <w:t>.</w:t>
      </w:r>
    </w:p>
    <w:p w14:paraId="678A06CA" w14:textId="4A49C1BA" w:rsidR="001323B1" w:rsidRPr="00F56A0E" w:rsidRDefault="001323B1" w:rsidP="001323B1">
      <w:pPr>
        <w:spacing w:after="120"/>
        <w:rPr>
          <w:rFonts w:eastAsia="Times New Roman"/>
          <w:sz w:val="22"/>
          <w:szCs w:val="22"/>
          <w:lang w:val="fr-FR"/>
        </w:rPr>
      </w:pPr>
      <w:r w:rsidRPr="00F56A0E">
        <w:rPr>
          <w:lang w:val="fr-FR"/>
        </w:rPr>
        <w:t>Bien que les informations fournies soient considérées comme exactes compte tenu des données disponibles au moment de l</w:t>
      </w:r>
      <w:r w:rsidR="00870D0E" w:rsidRPr="00F56A0E">
        <w:rPr>
          <w:lang w:val="fr-FR"/>
        </w:rPr>
        <w:t>’</w:t>
      </w:r>
      <w:r w:rsidRPr="00F56A0E">
        <w:rPr>
          <w:lang w:val="fr-FR"/>
        </w:rPr>
        <w:t>élaboration du présent document, la FAO et le PNUE déclinent toute responsabilité quant à d</w:t>
      </w:r>
      <w:r w:rsidR="00870D0E" w:rsidRPr="00F56A0E">
        <w:rPr>
          <w:lang w:val="fr-FR"/>
        </w:rPr>
        <w:t>’</w:t>
      </w:r>
      <w:r w:rsidRPr="00F56A0E">
        <w:rPr>
          <w:lang w:val="fr-FR"/>
        </w:rPr>
        <w:t>éventuelles omissions ou aux conséquences qui pourraient en résulter. Ni la FAO ni le PNUE ne sauraient être tenus pour responsables d</w:t>
      </w:r>
      <w:r w:rsidR="00870D0E" w:rsidRPr="00F56A0E">
        <w:rPr>
          <w:lang w:val="fr-FR"/>
        </w:rPr>
        <w:t>’</w:t>
      </w:r>
      <w:r w:rsidRPr="00F56A0E">
        <w:rPr>
          <w:lang w:val="fr-FR"/>
        </w:rPr>
        <w:t>une blessure, d</w:t>
      </w:r>
      <w:r w:rsidR="00870D0E" w:rsidRPr="00F56A0E">
        <w:rPr>
          <w:lang w:val="fr-FR"/>
        </w:rPr>
        <w:t>’</w:t>
      </w:r>
      <w:r w:rsidRPr="00F56A0E">
        <w:rPr>
          <w:lang w:val="fr-FR"/>
        </w:rPr>
        <w:t>une perte, d</w:t>
      </w:r>
      <w:r w:rsidR="00870D0E" w:rsidRPr="00F56A0E">
        <w:rPr>
          <w:lang w:val="fr-FR"/>
        </w:rPr>
        <w:t>’</w:t>
      </w:r>
      <w:r w:rsidRPr="00F56A0E">
        <w:rPr>
          <w:lang w:val="fr-FR"/>
        </w:rPr>
        <w:t>un dommage ou d</w:t>
      </w:r>
      <w:r w:rsidR="00870D0E" w:rsidRPr="00F56A0E">
        <w:rPr>
          <w:lang w:val="fr-FR"/>
        </w:rPr>
        <w:t>’</w:t>
      </w:r>
      <w:r w:rsidRPr="00F56A0E">
        <w:rPr>
          <w:lang w:val="fr-FR"/>
        </w:rPr>
        <w:t>un préjudice de quelque nature que ce soit qui pourrait être subi du fait de l</w:t>
      </w:r>
      <w:r w:rsidR="00870D0E" w:rsidRPr="00F56A0E">
        <w:rPr>
          <w:lang w:val="fr-FR"/>
        </w:rPr>
        <w:t>’</w:t>
      </w:r>
      <w:r w:rsidRPr="00F56A0E">
        <w:rPr>
          <w:lang w:val="fr-FR"/>
        </w:rPr>
        <w:t>importation ou de l</w:t>
      </w:r>
      <w:r w:rsidR="00870D0E" w:rsidRPr="00F56A0E">
        <w:rPr>
          <w:lang w:val="fr-FR"/>
        </w:rPr>
        <w:t>’</w:t>
      </w:r>
      <w:r w:rsidRPr="00F56A0E">
        <w:rPr>
          <w:lang w:val="fr-FR"/>
        </w:rPr>
        <w:t>interdiction d</w:t>
      </w:r>
      <w:r w:rsidR="00870D0E" w:rsidRPr="00F56A0E">
        <w:rPr>
          <w:lang w:val="fr-FR"/>
        </w:rPr>
        <w:t>’</w:t>
      </w:r>
      <w:r w:rsidRPr="00F56A0E">
        <w:rPr>
          <w:lang w:val="fr-FR"/>
        </w:rPr>
        <w:t>importation du produit chimique dont il s</w:t>
      </w:r>
      <w:r w:rsidR="00870D0E" w:rsidRPr="00F56A0E">
        <w:rPr>
          <w:lang w:val="fr-FR"/>
        </w:rPr>
        <w:t>’</w:t>
      </w:r>
      <w:r w:rsidRPr="00F56A0E">
        <w:rPr>
          <w:lang w:val="fr-FR"/>
        </w:rPr>
        <w:t>agit.</w:t>
      </w:r>
    </w:p>
    <w:p w14:paraId="35335B02" w14:textId="4DC2C949" w:rsidR="001323B1" w:rsidRPr="00F56A0E" w:rsidRDefault="001323B1" w:rsidP="001323B1">
      <w:pPr>
        <w:spacing w:after="120"/>
        <w:rPr>
          <w:rFonts w:eastAsia="Times New Roman"/>
          <w:sz w:val="22"/>
          <w:szCs w:val="22"/>
          <w:lang w:val="fr-FR"/>
        </w:rPr>
      </w:pPr>
      <w:r w:rsidRPr="00F56A0E">
        <w:rPr>
          <w:lang w:val="fr-FR"/>
        </w:rPr>
        <w:t>Les appellations employées dans la présente publication et la présentation des données qui y figurent n</w:t>
      </w:r>
      <w:r w:rsidR="00870D0E" w:rsidRPr="00F56A0E">
        <w:rPr>
          <w:lang w:val="fr-FR"/>
        </w:rPr>
        <w:t>’</w:t>
      </w:r>
      <w:r w:rsidRPr="00F56A0E">
        <w:rPr>
          <w:lang w:val="fr-FR"/>
        </w:rPr>
        <w:t>impliquent de la part de la FAO ou du PNUE aucune prise de position quant au statut juridique des pays, territoires, villes ou zones, ou de leurs autorités, ni quant au tracé de leurs frontières ou limites.</w:t>
      </w:r>
    </w:p>
    <w:p w14:paraId="0E373D96" w14:textId="77777777" w:rsidR="001323B1" w:rsidRPr="00F56A0E" w:rsidRDefault="001323B1" w:rsidP="001323B1">
      <w:pPr>
        <w:spacing w:after="120"/>
        <w:rPr>
          <w:rFonts w:eastAsia="Times New Roman"/>
          <w:sz w:val="22"/>
          <w:szCs w:val="22"/>
          <w:lang w:val="fr-FR" w:eastAsia="en-US"/>
        </w:rPr>
      </w:pPr>
      <w:r w:rsidRPr="00F56A0E">
        <w:rPr>
          <w:rFonts w:eastAsia="Times New Roman"/>
          <w:sz w:val="22"/>
          <w:szCs w:val="22"/>
          <w:lang w:val="fr-FR" w:eastAsia="en-US"/>
        </w:rPr>
        <w:br w:type="page"/>
      </w:r>
    </w:p>
    <w:tbl>
      <w:tblPr>
        <w:tblW w:w="9448"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76"/>
        <w:gridCol w:w="8172"/>
      </w:tblGrid>
      <w:tr w:rsidR="001323B1" w:rsidRPr="00F56A0E" w14:paraId="2556EB06" w14:textId="77777777" w:rsidTr="00926928">
        <w:trPr>
          <w:tblHeader/>
        </w:trPr>
        <w:tc>
          <w:tcPr>
            <w:tcW w:w="9448" w:type="dxa"/>
            <w:gridSpan w:val="2"/>
            <w:tcBorders>
              <w:top w:val="single" w:sz="6" w:space="0" w:color="auto"/>
              <w:bottom w:val="single" w:sz="6" w:space="0" w:color="auto"/>
            </w:tcBorders>
          </w:tcPr>
          <w:p w14:paraId="78425F82" w14:textId="52C1D7E1" w:rsidR="001323B1" w:rsidRPr="00F56A0E" w:rsidRDefault="001323B1" w:rsidP="005E14FB">
            <w:pPr>
              <w:tabs>
                <w:tab w:val="left" w:pos="624"/>
                <w:tab w:val="left" w:pos="1247"/>
                <w:tab w:val="left" w:pos="1871"/>
                <w:tab w:val="left" w:pos="2495"/>
              </w:tabs>
              <w:suppressAutoHyphens/>
              <w:ind w:left="-108" w:right="33" w:firstLine="142"/>
              <w:rPr>
                <w:b/>
                <w:color w:val="000000"/>
                <w:szCs w:val="22"/>
                <w:lang w:val="fr-FR"/>
              </w:rPr>
            </w:pPr>
            <w:r w:rsidRPr="00F56A0E">
              <w:rPr>
                <w:b/>
                <w:bCs/>
                <w:lang w:val="fr-FR"/>
              </w:rPr>
              <w:lastRenderedPageBreak/>
              <w:t>ACRONYMES ET ABRÉVIATIONS COURANTS</w:t>
            </w:r>
            <w:r w:rsidRPr="00F56A0E">
              <w:rPr>
                <w:lang w:val="fr-FR"/>
              </w:rPr>
              <w:t xml:space="preserve"> </w:t>
            </w:r>
          </w:p>
        </w:tc>
      </w:tr>
      <w:tr w:rsidR="001323B1" w:rsidRPr="00F56A0E" w14:paraId="0E1AFF3C" w14:textId="77777777" w:rsidTr="005E14FB">
        <w:tc>
          <w:tcPr>
            <w:tcW w:w="1276" w:type="dxa"/>
            <w:tcBorders>
              <w:top w:val="single" w:sz="6" w:space="0" w:color="auto"/>
              <w:bottom w:val="nil"/>
              <w:right w:val="nil"/>
            </w:tcBorders>
          </w:tcPr>
          <w:p w14:paraId="1283152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&lt;</w:t>
            </w:r>
          </w:p>
        </w:tc>
        <w:tc>
          <w:tcPr>
            <w:tcW w:w="8172" w:type="dxa"/>
            <w:tcBorders>
              <w:top w:val="single" w:sz="6" w:space="0" w:color="auto"/>
              <w:left w:val="nil"/>
            </w:tcBorders>
          </w:tcPr>
          <w:p w14:paraId="49CE658F"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inférieur à</w:t>
            </w:r>
          </w:p>
        </w:tc>
      </w:tr>
      <w:tr w:rsidR="001323B1" w:rsidRPr="00F56A0E" w14:paraId="5132D8FC" w14:textId="77777777" w:rsidTr="005E14FB">
        <w:tc>
          <w:tcPr>
            <w:tcW w:w="1276" w:type="dxa"/>
            <w:tcBorders>
              <w:top w:val="nil"/>
              <w:bottom w:val="nil"/>
              <w:right w:val="nil"/>
            </w:tcBorders>
          </w:tcPr>
          <w:p w14:paraId="3CBE63EF" w14:textId="4323F47F" w:rsidR="001323B1" w:rsidRPr="00F56A0E" w:rsidRDefault="00CA1B37" w:rsidP="00CA1B37">
            <w:pPr>
              <w:tabs>
                <w:tab w:val="left" w:pos="624"/>
                <w:tab w:val="left" w:pos="1247"/>
                <w:tab w:val="left" w:pos="1871"/>
                <w:tab w:val="left" w:pos="2495"/>
              </w:tabs>
              <w:rPr>
                <w:color w:val="000000"/>
                <w:szCs w:val="22"/>
                <w:lang w:val="fr-FR"/>
              </w:rPr>
            </w:pPr>
            <w:r w:rsidRPr="00F56A0E">
              <w:rPr>
                <w:lang w:val="fr-FR"/>
              </w:rPr>
              <w:t>≤</w:t>
            </w:r>
          </w:p>
        </w:tc>
        <w:tc>
          <w:tcPr>
            <w:tcW w:w="8172" w:type="dxa"/>
            <w:tcBorders>
              <w:left w:val="nil"/>
            </w:tcBorders>
          </w:tcPr>
          <w:p w14:paraId="6F0C9812"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inférieur ou égal à</w:t>
            </w:r>
          </w:p>
        </w:tc>
      </w:tr>
      <w:tr w:rsidR="001323B1" w:rsidRPr="00F56A0E" w14:paraId="6510D509" w14:textId="77777777" w:rsidTr="005E14FB">
        <w:tc>
          <w:tcPr>
            <w:tcW w:w="1276" w:type="dxa"/>
            <w:tcBorders>
              <w:top w:val="nil"/>
              <w:bottom w:val="nil"/>
              <w:right w:val="nil"/>
            </w:tcBorders>
          </w:tcPr>
          <w:p w14:paraId="26BB0B7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&gt;</w:t>
            </w:r>
          </w:p>
        </w:tc>
        <w:tc>
          <w:tcPr>
            <w:tcW w:w="8172" w:type="dxa"/>
            <w:tcBorders>
              <w:left w:val="nil"/>
            </w:tcBorders>
          </w:tcPr>
          <w:p w14:paraId="70B4D9B4"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supérieur à</w:t>
            </w:r>
          </w:p>
        </w:tc>
      </w:tr>
      <w:tr w:rsidR="001323B1" w:rsidRPr="00F56A0E" w14:paraId="62195FE5" w14:textId="77777777" w:rsidTr="005E14FB">
        <w:tc>
          <w:tcPr>
            <w:tcW w:w="1276" w:type="dxa"/>
            <w:tcBorders>
              <w:top w:val="nil"/>
              <w:bottom w:val="nil"/>
              <w:right w:val="nil"/>
            </w:tcBorders>
          </w:tcPr>
          <w:p w14:paraId="51C9A3D8" w14:textId="7FBAD35B" w:rsidR="001323B1" w:rsidRPr="00F56A0E" w:rsidRDefault="00E22BF6" w:rsidP="005E14FB">
            <w:pPr>
              <w:tabs>
                <w:tab w:val="left" w:pos="624"/>
                <w:tab w:val="left" w:pos="1247"/>
                <w:tab w:val="left" w:pos="1871"/>
                <w:tab w:val="left" w:pos="2495"/>
              </w:tabs>
              <w:ind w:left="176" w:hanging="142"/>
              <w:rPr>
                <w:color w:val="000000"/>
                <w:szCs w:val="22"/>
                <w:lang w:val="fr-FR"/>
              </w:rPr>
            </w:pPr>
            <w:r w:rsidRPr="00F56A0E">
              <w:rPr>
                <w:lang w:val="fr-FR"/>
              </w:rPr>
              <w:t>≥</w:t>
            </w:r>
          </w:p>
        </w:tc>
        <w:tc>
          <w:tcPr>
            <w:tcW w:w="8172" w:type="dxa"/>
            <w:tcBorders>
              <w:left w:val="nil"/>
            </w:tcBorders>
          </w:tcPr>
          <w:p w14:paraId="3F9F6CB0"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supérieur ou égal à</w:t>
            </w:r>
          </w:p>
        </w:tc>
      </w:tr>
      <w:tr w:rsidR="001323B1" w:rsidRPr="00F56A0E" w14:paraId="48A98548" w14:textId="77777777" w:rsidTr="005E14FB">
        <w:tc>
          <w:tcPr>
            <w:tcW w:w="1276" w:type="dxa"/>
            <w:tcBorders>
              <w:top w:val="nil"/>
              <w:bottom w:val="nil"/>
              <w:right w:val="nil"/>
            </w:tcBorders>
          </w:tcPr>
          <w:p w14:paraId="0280CABB"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21EE290C"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0F2A0804" w14:textId="77777777" w:rsidTr="005E14FB">
        <w:tc>
          <w:tcPr>
            <w:tcW w:w="1276" w:type="dxa"/>
            <w:tcBorders>
              <w:top w:val="nil"/>
              <w:bottom w:val="nil"/>
              <w:right w:val="nil"/>
            </w:tcBorders>
          </w:tcPr>
          <w:p w14:paraId="2A6AF66C"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µg</w:t>
            </w:r>
          </w:p>
        </w:tc>
        <w:tc>
          <w:tcPr>
            <w:tcW w:w="8172" w:type="dxa"/>
            <w:tcBorders>
              <w:left w:val="nil"/>
            </w:tcBorders>
          </w:tcPr>
          <w:p w14:paraId="647C49D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microgramme</w:t>
            </w:r>
          </w:p>
        </w:tc>
      </w:tr>
      <w:tr w:rsidR="001323B1" w:rsidRPr="00F56A0E" w14:paraId="5235004D" w14:textId="77777777" w:rsidTr="005E14FB">
        <w:tc>
          <w:tcPr>
            <w:tcW w:w="1276" w:type="dxa"/>
            <w:tcBorders>
              <w:top w:val="nil"/>
              <w:bottom w:val="nil"/>
              <w:right w:val="nil"/>
            </w:tcBorders>
          </w:tcPr>
          <w:p w14:paraId="5A82306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4F88E7E4"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36920EF4" w14:textId="77777777" w:rsidTr="005E14FB">
        <w:tc>
          <w:tcPr>
            <w:tcW w:w="1276" w:type="dxa"/>
            <w:tcBorders>
              <w:top w:val="nil"/>
              <w:bottom w:val="nil"/>
              <w:right w:val="nil"/>
            </w:tcBorders>
          </w:tcPr>
          <w:p w14:paraId="56596815"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DrfA</w:t>
            </w:r>
          </w:p>
        </w:tc>
        <w:tc>
          <w:tcPr>
            <w:tcW w:w="8172" w:type="dxa"/>
            <w:tcBorders>
              <w:left w:val="nil"/>
            </w:tcBorders>
          </w:tcPr>
          <w:p w14:paraId="3EFACCDD" w14:textId="77777777" w:rsidR="001323B1" w:rsidRPr="00F56A0E" w:rsidRDefault="001323B1" w:rsidP="005E14FB">
            <w:pPr>
              <w:tabs>
                <w:tab w:val="left" w:pos="624"/>
                <w:tab w:val="left" w:pos="1247"/>
                <w:tab w:val="left" w:pos="1871"/>
                <w:tab w:val="left" w:pos="2495"/>
              </w:tabs>
              <w:ind w:left="214"/>
              <w:rPr>
                <w:color w:val="000000"/>
                <w:szCs w:val="22"/>
                <w:lang w:val="fr-FR"/>
              </w:rPr>
            </w:pPr>
            <w:r w:rsidRPr="00F56A0E">
              <w:rPr>
                <w:lang w:val="fr-FR"/>
              </w:rPr>
              <w:t>dose de référence aiguë</w:t>
            </w:r>
          </w:p>
        </w:tc>
      </w:tr>
      <w:tr w:rsidR="001323B1" w:rsidRPr="00F56A0E" w14:paraId="398F023C" w14:textId="77777777" w:rsidTr="005E14FB">
        <w:tc>
          <w:tcPr>
            <w:tcW w:w="1276" w:type="dxa"/>
            <w:tcBorders>
              <w:top w:val="nil"/>
              <w:bottom w:val="nil"/>
              <w:right w:val="nil"/>
            </w:tcBorders>
          </w:tcPr>
          <w:p w14:paraId="1C548A3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a.i.</w:t>
            </w:r>
          </w:p>
        </w:tc>
        <w:tc>
          <w:tcPr>
            <w:tcW w:w="8172" w:type="dxa"/>
            <w:tcBorders>
              <w:left w:val="nil"/>
            </w:tcBorders>
          </w:tcPr>
          <w:p w14:paraId="72476F8A" w14:textId="77777777" w:rsidR="001323B1" w:rsidRPr="00F56A0E" w:rsidRDefault="001323B1" w:rsidP="005E14FB">
            <w:pPr>
              <w:tabs>
                <w:tab w:val="left" w:pos="624"/>
                <w:tab w:val="left" w:pos="1247"/>
                <w:tab w:val="left" w:pos="1871"/>
                <w:tab w:val="left" w:pos="2495"/>
              </w:tabs>
              <w:ind w:left="214"/>
              <w:rPr>
                <w:color w:val="000000"/>
                <w:szCs w:val="22"/>
                <w:lang w:val="fr-FR"/>
              </w:rPr>
            </w:pPr>
            <w:r w:rsidRPr="00F56A0E">
              <w:rPr>
                <w:lang w:val="fr-FR"/>
              </w:rPr>
              <w:t>principe actif</w:t>
            </w:r>
          </w:p>
        </w:tc>
      </w:tr>
      <w:tr w:rsidR="001323B1" w:rsidRPr="00F56A0E" w14:paraId="66BF9E9A" w14:textId="77777777" w:rsidTr="005E14FB">
        <w:tc>
          <w:tcPr>
            <w:tcW w:w="1276" w:type="dxa"/>
            <w:tcBorders>
              <w:top w:val="nil"/>
              <w:bottom w:val="nil"/>
              <w:right w:val="nil"/>
            </w:tcBorders>
          </w:tcPr>
          <w:p w14:paraId="3E55907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DJA</w:t>
            </w:r>
          </w:p>
        </w:tc>
        <w:tc>
          <w:tcPr>
            <w:tcW w:w="8172" w:type="dxa"/>
            <w:tcBorders>
              <w:left w:val="nil"/>
            </w:tcBorders>
          </w:tcPr>
          <w:p w14:paraId="7392EDF4" w14:textId="77777777" w:rsidR="001323B1" w:rsidRPr="00F56A0E" w:rsidRDefault="001323B1" w:rsidP="005E14FB">
            <w:pPr>
              <w:tabs>
                <w:tab w:val="left" w:pos="624"/>
                <w:tab w:val="left" w:pos="1247"/>
                <w:tab w:val="left" w:pos="1871"/>
                <w:tab w:val="left" w:pos="2495"/>
              </w:tabs>
              <w:ind w:left="214"/>
              <w:rPr>
                <w:color w:val="000000"/>
                <w:szCs w:val="22"/>
                <w:lang w:val="fr-FR"/>
              </w:rPr>
            </w:pPr>
            <w:r w:rsidRPr="00F56A0E">
              <w:rPr>
                <w:lang w:val="fr-FR"/>
              </w:rPr>
              <w:t>dose journalière admissible</w:t>
            </w:r>
          </w:p>
        </w:tc>
      </w:tr>
      <w:tr w:rsidR="001323B1" w:rsidRPr="00F56A0E" w14:paraId="3133B84C" w14:textId="77777777" w:rsidTr="005E14FB">
        <w:tc>
          <w:tcPr>
            <w:tcW w:w="1276" w:type="dxa"/>
            <w:tcBorders>
              <w:top w:val="nil"/>
              <w:bottom w:val="nil"/>
              <w:right w:val="nil"/>
            </w:tcBorders>
          </w:tcPr>
          <w:p w14:paraId="6034689D"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559E33BD" w14:textId="77777777" w:rsidR="001323B1" w:rsidRPr="00F56A0E" w:rsidRDefault="001323B1" w:rsidP="005E14FB">
            <w:pPr>
              <w:tabs>
                <w:tab w:val="left" w:pos="624"/>
                <w:tab w:val="left" w:pos="1247"/>
                <w:tab w:val="left" w:pos="1871"/>
                <w:tab w:val="left" w:pos="2495"/>
              </w:tabs>
              <w:ind w:left="214"/>
              <w:rPr>
                <w:color w:val="000000"/>
                <w:szCs w:val="22"/>
                <w:lang w:val="fr-FR"/>
              </w:rPr>
            </w:pPr>
          </w:p>
        </w:tc>
      </w:tr>
      <w:tr w:rsidR="001323B1" w:rsidRPr="00F56A0E" w14:paraId="75FFCA13" w14:textId="77777777" w:rsidTr="005E14FB">
        <w:tc>
          <w:tcPr>
            <w:tcW w:w="1276" w:type="dxa"/>
            <w:tcBorders>
              <w:top w:val="nil"/>
              <w:bottom w:val="nil"/>
              <w:right w:val="nil"/>
            </w:tcBorders>
          </w:tcPr>
          <w:p w14:paraId="2831FEE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p.c.</w:t>
            </w:r>
          </w:p>
        </w:tc>
        <w:tc>
          <w:tcPr>
            <w:tcW w:w="8172" w:type="dxa"/>
            <w:tcBorders>
              <w:left w:val="nil"/>
            </w:tcBorders>
          </w:tcPr>
          <w:p w14:paraId="210C7561" w14:textId="77777777" w:rsidR="001323B1" w:rsidRPr="00F56A0E" w:rsidRDefault="001323B1" w:rsidP="005E14FB">
            <w:pPr>
              <w:tabs>
                <w:tab w:val="left" w:pos="624"/>
                <w:tab w:val="left" w:pos="1247"/>
                <w:tab w:val="left" w:pos="1871"/>
                <w:tab w:val="left" w:pos="2495"/>
              </w:tabs>
              <w:ind w:left="214"/>
              <w:rPr>
                <w:color w:val="000000"/>
                <w:szCs w:val="22"/>
                <w:lang w:val="fr-FR"/>
              </w:rPr>
            </w:pPr>
            <w:r w:rsidRPr="00F56A0E">
              <w:rPr>
                <w:lang w:val="fr-FR"/>
              </w:rPr>
              <w:t>poids corporel</w:t>
            </w:r>
          </w:p>
        </w:tc>
      </w:tr>
      <w:tr w:rsidR="001323B1" w:rsidRPr="00F56A0E" w14:paraId="026A7995" w14:textId="77777777" w:rsidTr="005E14FB">
        <w:tc>
          <w:tcPr>
            <w:tcW w:w="1276" w:type="dxa"/>
            <w:tcBorders>
              <w:top w:val="nil"/>
              <w:bottom w:val="nil"/>
              <w:right w:val="nil"/>
            </w:tcBorders>
          </w:tcPr>
          <w:p w14:paraId="70F831D0" w14:textId="77777777" w:rsidR="001323B1" w:rsidRPr="00F56A0E" w:rsidRDefault="001323B1" w:rsidP="005E14FB">
            <w:pPr>
              <w:tabs>
                <w:tab w:val="left" w:pos="624"/>
                <w:tab w:val="left" w:pos="1247"/>
                <w:tab w:val="left" w:pos="1871"/>
                <w:tab w:val="left" w:pos="2495"/>
              </w:tabs>
              <w:ind w:left="176" w:hanging="142"/>
              <w:rPr>
                <w:color w:val="000000"/>
                <w:szCs w:val="22"/>
                <w:vertAlign w:val="superscript"/>
                <w:lang w:val="fr-FR"/>
              </w:rPr>
            </w:pPr>
          </w:p>
        </w:tc>
        <w:tc>
          <w:tcPr>
            <w:tcW w:w="8172" w:type="dxa"/>
            <w:tcBorders>
              <w:left w:val="nil"/>
            </w:tcBorders>
          </w:tcPr>
          <w:p w14:paraId="7C9BDC97"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2C97C112" w14:textId="77777777" w:rsidTr="005E14FB">
        <w:tc>
          <w:tcPr>
            <w:tcW w:w="1276" w:type="dxa"/>
            <w:tcBorders>
              <w:top w:val="nil"/>
              <w:bottom w:val="nil"/>
              <w:right w:val="nil"/>
            </w:tcBorders>
          </w:tcPr>
          <w:p w14:paraId="49C6EBD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vertAlign w:val="superscript"/>
                <w:lang w:val="fr-FR"/>
              </w:rPr>
              <w:t>o</w:t>
            </w:r>
            <w:r w:rsidRPr="00F56A0E">
              <w:rPr>
                <w:lang w:val="fr-FR"/>
              </w:rPr>
              <w:t>C</w:t>
            </w:r>
          </w:p>
        </w:tc>
        <w:tc>
          <w:tcPr>
            <w:tcW w:w="8172" w:type="dxa"/>
            <w:tcBorders>
              <w:left w:val="nil"/>
            </w:tcBorders>
          </w:tcPr>
          <w:p w14:paraId="6F51B4F3"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degré Celsius (centigrade)</w:t>
            </w:r>
          </w:p>
        </w:tc>
      </w:tr>
      <w:tr w:rsidR="001323B1" w:rsidRPr="00F56A0E" w14:paraId="737947B4" w14:textId="77777777" w:rsidTr="005E14FB">
        <w:tc>
          <w:tcPr>
            <w:tcW w:w="1276" w:type="dxa"/>
            <w:tcBorders>
              <w:top w:val="nil"/>
              <w:bottom w:val="nil"/>
              <w:right w:val="nil"/>
            </w:tcBorders>
          </w:tcPr>
          <w:p w14:paraId="54D68D81"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CAS</w:t>
            </w:r>
          </w:p>
        </w:tc>
        <w:tc>
          <w:tcPr>
            <w:tcW w:w="8172" w:type="dxa"/>
            <w:tcBorders>
              <w:left w:val="nil"/>
            </w:tcBorders>
          </w:tcPr>
          <w:p w14:paraId="45FF7005"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Chemical Abstracts Service (Service des résumés analytiques de chimie)</w:t>
            </w:r>
          </w:p>
        </w:tc>
      </w:tr>
      <w:tr w:rsidR="001323B1" w:rsidRPr="00F56A0E" w14:paraId="18CEC69D" w14:textId="77777777" w:rsidTr="005E14FB">
        <w:tc>
          <w:tcPr>
            <w:tcW w:w="1276" w:type="dxa"/>
            <w:tcBorders>
              <w:top w:val="nil"/>
              <w:bottom w:val="nil"/>
              <w:right w:val="nil"/>
            </w:tcBorders>
          </w:tcPr>
          <w:p w14:paraId="0EC0C71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14A1A8A0"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22B035A3" w14:textId="77777777" w:rsidTr="005E14FB">
        <w:tc>
          <w:tcPr>
            <w:tcW w:w="1276" w:type="dxa"/>
            <w:tcBorders>
              <w:top w:val="nil"/>
              <w:bottom w:val="nil"/>
              <w:right w:val="nil"/>
            </w:tcBorders>
          </w:tcPr>
          <w:p w14:paraId="4FA6294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ADN</w:t>
            </w:r>
          </w:p>
        </w:tc>
        <w:tc>
          <w:tcPr>
            <w:tcW w:w="8172" w:type="dxa"/>
            <w:tcBorders>
              <w:left w:val="nil"/>
            </w:tcBorders>
          </w:tcPr>
          <w:p w14:paraId="3489B9F8"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acide désoxyribonucléique</w:t>
            </w:r>
          </w:p>
        </w:tc>
      </w:tr>
      <w:tr w:rsidR="001323B1" w:rsidRPr="00F56A0E" w14:paraId="3FF84759" w14:textId="77777777" w:rsidTr="005E14FB">
        <w:tc>
          <w:tcPr>
            <w:tcW w:w="1276" w:type="dxa"/>
            <w:tcBorders>
              <w:top w:val="nil"/>
              <w:bottom w:val="nil"/>
              <w:right w:val="nil"/>
            </w:tcBorders>
          </w:tcPr>
          <w:p w14:paraId="5D06802F" w14:textId="77777777" w:rsidR="001323B1" w:rsidRPr="00F56A0E" w:rsidRDefault="001323B1" w:rsidP="005E14FB">
            <w:pPr>
              <w:tabs>
                <w:tab w:val="left" w:pos="624"/>
                <w:tab w:val="left" w:pos="1247"/>
                <w:tab w:val="left" w:pos="1871"/>
                <w:tab w:val="left" w:pos="2495"/>
              </w:tabs>
              <w:ind w:left="34"/>
              <w:rPr>
                <w:color w:val="000000"/>
                <w:szCs w:val="22"/>
                <w:lang w:val="fr-FR"/>
              </w:rPr>
            </w:pPr>
          </w:p>
        </w:tc>
        <w:tc>
          <w:tcPr>
            <w:tcW w:w="8172" w:type="dxa"/>
            <w:tcBorders>
              <w:left w:val="nil"/>
            </w:tcBorders>
          </w:tcPr>
          <w:p w14:paraId="5D708056"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1DE4C0CB" w14:textId="77777777" w:rsidTr="005E14FB">
        <w:tc>
          <w:tcPr>
            <w:tcW w:w="1276" w:type="dxa"/>
            <w:tcBorders>
              <w:top w:val="nil"/>
              <w:bottom w:val="nil"/>
              <w:right w:val="nil"/>
            </w:tcBorders>
          </w:tcPr>
          <w:p w14:paraId="32D5EE96" w14:textId="77777777" w:rsidR="001323B1" w:rsidRPr="00F56A0E" w:rsidRDefault="001323B1" w:rsidP="005E14FB">
            <w:pPr>
              <w:tabs>
                <w:tab w:val="left" w:pos="624"/>
                <w:tab w:val="left" w:pos="1247"/>
                <w:tab w:val="left" w:pos="1871"/>
                <w:tab w:val="left" w:pos="2495"/>
              </w:tabs>
              <w:ind w:left="34"/>
              <w:rPr>
                <w:color w:val="000000"/>
                <w:szCs w:val="22"/>
                <w:lang w:val="fr-FR"/>
              </w:rPr>
            </w:pPr>
            <w:r w:rsidRPr="00F56A0E">
              <w:rPr>
                <w:lang w:val="fr-FR"/>
              </w:rPr>
              <w:t>CE</w:t>
            </w:r>
          </w:p>
        </w:tc>
        <w:tc>
          <w:tcPr>
            <w:tcW w:w="8172" w:type="dxa"/>
            <w:tcBorders>
              <w:left w:val="nil"/>
            </w:tcBorders>
          </w:tcPr>
          <w:p w14:paraId="542EAE62"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Communauté européenne</w:t>
            </w:r>
          </w:p>
        </w:tc>
      </w:tr>
      <w:tr w:rsidR="001323B1" w:rsidRPr="00F56A0E" w14:paraId="72B5E487" w14:textId="77777777" w:rsidTr="005E14FB">
        <w:tc>
          <w:tcPr>
            <w:tcW w:w="1276" w:type="dxa"/>
            <w:tcBorders>
              <w:top w:val="nil"/>
              <w:bottom w:val="nil"/>
              <w:right w:val="nil"/>
            </w:tcBorders>
          </w:tcPr>
          <w:p w14:paraId="6BC4E164"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CE</w:t>
            </w:r>
            <w:r w:rsidRPr="00F56A0E">
              <w:rPr>
                <w:vertAlign w:val="subscript"/>
                <w:lang w:val="fr-FR"/>
              </w:rPr>
              <w:t>50</w:t>
            </w:r>
          </w:p>
        </w:tc>
        <w:tc>
          <w:tcPr>
            <w:tcW w:w="8172" w:type="dxa"/>
            <w:tcBorders>
              <w:left w:val="nil"/>
            </w:tcBorders>
          </w:tcPr>
          <w:p w14:paraId="7B07BBA0"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 efficace 50 (concentration efficace médiane)</w:t>
            </w:r>
          </w:p>
        </w:tc>
      </w:tr>
      <w:tr w:rsidR="001323B1" w:rsidRPr="00F56A0E" w14:paraId="0D75A707" w14:textId="77777777" w:rsidTr="005E14FB">
        <w:tc>
          <w:tcPr>
            <w:tcW w:w="1276" w:type="dxa"/>
            <w:tcBorders>
              <w:top w:val="nil"/>
              <w:bottom w:val="nil"/>
              <w:right w:val="nil"/>
            </w:tcBorders>
          </w:tcPr>
          <w:p w14:paraId="470D158A"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UE</w:t>
            </w:r>
          </w:p>
        </w:tc>
        <w:tc>
          <w:tcPr>
            <w:tcW w:w="8172" w:type="dxa"/>
            <w:tcBorders>
              <w:left w:val="nil"/>
            </w:tcBorders>
          </w:tcPr>
          <w:p w14:paraId="5C002AC5"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Union européenne</w:t>
            </w:r>
          </w:p>
        </w:tc>
      </w:tr>
      <w:tr w:rsidR="001323B1" w:rsidRPr="00F56A0E" w14:paraId="5FA621D6" w14:textId="77777777" w:rsidTr="005E14FB">
        <w:tc>
          <w:tcPr>
            <w:tcW w:w="1276" w:type="dxa"/>
            <w:tcBorders>
              <w:top w:val="nil"/>
              <w:bottom w:val="nil"/>
              <w:right w:val="nil"/>
            </w:tcBorders>
          </w:tcPr>
          <w:p w14:paraId="75957AC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02931555"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5D030F48" w14:textId="77777777" w:rsidTr="005E14FB">
        <w:tc>
          <w:tcPr>
            <w:tcW w:w="1276" w:type="dxa"/>
            <w:tcBorders>
              <w:top w:val="nil"/>
              <w:bottom w:val="nil"/>
              <w:right w:val="nil"/>
            </w:tcBorders>
          </w:tcPr>
          <w:p w14:paraId="036D054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FAO</w:t>
            </w:r>
          </w:p>
        </w:tc>
        <w:tc>
          <w:tcPr>
            <w:tcW w:w="8172" w:type="dxa"/>
            <w:tcBorders>
              <w:left w:val="nil"/>
            </w:tcBorders>
          </w:tcPr>
          <w:p w14:paraId="08707347" w14:textId="0E42583C"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Organisation des Nations Unies pour l</w:t>
            </w:r>
            <w:r w:rsidR="00870D0E" w:rsidRPr="00F56A0E">
              <w:rPr>
                <w:lang w:val="fr-FR"/>
              </w:rPr>
              <w:t>’</w:t>
            </w:r>
            <w:r w:rsidRPr="00F56A0E">
              <w:rPr>
                <w:lang w:val="fr-FR"/>
              </w:rPr>
              <w:t>alimentation et l</w:t>
            </w:r>
            <w:r w:rsidR="00870D0E" w:rsidRPr="00F56A0E">
              <w:rPr>
                <w:lang w:val="fr-FR"/>
              </w:rPr>
              <w:t>’</w:t>
            </w:r>
            <w:r w:rsidRPr="00F56A0E">
              <w:rPr>
                <w:lang w:val="fr-FR"/>
              </w:rPr>
              <w:t>agriculture</w:t>
            </w:r>
          </w:p>
        </w:tc>
      </w:tr>
      <w:tr w:rsidR="001323B1" w:rsidRPr="00F56A0E" w14:paraId="32231265" w14:textId="77777777" w:rsidTr="005E14FB">
        <w:tc>
          <w:tcPr>
            <w:tcW w:w="1276" w:type="dxa"/>
            <w:tcBorders>
              <w:top w:val="nil"/>
              <w:bottom w:val="nil"/>
              <w:right w:val="nil"/>
            </w:tcBorders>
          </w:tcPr>
          <w:p w14:paraId="596E289A"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721887EA"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575BEE17" w14:textId="77777777" w:rsidTr="005E14FB">
        <w:tc>
          <w:tcPr>
            <w:tcW w:w="1276" w:type="dxa"/>
            <w:tcBorders>
              <w:top w:val="nil"/>
              <w:bottom w:val="nil"/>
              <w:right w:val="nil"/>
            </w:tcBorders>
          </w:tcPr>
          <w:p w14:paraId="0685863C" w14:textId="77777777" w:rsidR="001323B1" w:rsidRPr="00F56A0E" w:rsidRDefault="001323B1" w:rsidP="005E14FB">
            <w:pPr>
              <w:tabs>
                <w:tab w:val="left" w:pos="624"/>
                <w:tab w:val="left" w:pos="1247"/>
                <w:tab w:val="left" w:pos="1871"/>
                <w:tab w:val="left" w:pos="2495"/>
              </w:tabs>
              <w:ind w:left="176" w:hanging="142"/>
              <w:rPr>
                <w:szCs w:val="22"/>
                <w:lang w:val="fr-FR"/>
              </w:rPr>
            </w:pPr>
            <w:r w:rsidRPr="00F56A0E">
              <w:rPr>
                <w:lang w:val="fr-FR"/>
              </w:rPr>
              <w:t>g</w:t>
            </w:r>
          </w:p>
        </w:tc>
        <w:tc>
          <w:tcPr>
            <w:tcW w:w="8172" w:type="dxa"/>
            <w:tcBorders>
              <w:left w:val="nil"/>
            </w:tcBorders>
          </w:tcPr>
          <w:p w14:paraId="4B7B6198" w14:textId="77777777" w:rsidR="001323B1" w:rsidRPr="00F56A0E" w:rsidRDefault="001323B1" w:rsidP="005E14FB">
            <w:pPr>
              <w:tabs>
                <w:tab w:val="left" w:pos="624"/>
                <w:tab w:val="left" w:pos="1247"/>
                <w:tab w:val="left" w:pos="1871"/>
                <w:tab w:val="left" w:pos="2495"/>
              </w:tabs>
              <w:ind w:left="176"/>
              <w:rPr>
                <w:szCs w:val="22"/>
                <w:lang w:val="fr-FR"/>
              </w:rPr>
            </w:pPr>
            <w:r w:rsidRPr="00F56A0E">
              <w:rPr>
                <w:lang w:val="fr-FR"/>
              </w:rPr>
              <w:t>gramme</w:t>
            </w:r>
          </w:p>
        </w:tc>
      </w:tr>
      <w:tr w:rsidR="001323B1" w:rsidRPr="00F56A0E" w14:paraId="4C9C555C" w14:textId="77777777" w:rsidTr="005E14FB">
        <w:tc>
          <w:tcPr>
            <w:tcW w:w="1276" w:type="dxa"/>
            <w:tcBorders>
              <w:top w:val="nil"/>
              <w:bottom w:val="nil"/>
              <w:right w:val="nil"/>
            </w:tcBorders>
          </w:tcPr>
          <w:p w14:paraId="7CC9DB71" w14:textId="77777777" w:rsidR="001323B1" w:rsidRPr="00F56A0E" w:rsidRDefault="001323B1" w:rsidP="005E14FB">
            <w:pPr>
              <w:tabs>
                <w:tab w:val="left" w:pos="624"/>
                <w:tab w:val="left" w:pos="1247"/>
                <w:tab w:val="left" w:pos="1871"/>
                <w:tab w:val="left" w:pos="2495"/>
              </w:tabs>
              <w:ind w:left="176" w:hanging="142"/>
              <w:rPr>
                <w:szCs w:val="22"/>
                <w:lang w:val="fr-FR"/>
              </w:rPr>
            </w:pPr>
          </w:p>
        </w:tc>
        <w:tc>
          <w:tcPr>
            <w:tcW w:w="8172" w:type="dxa"/>
            <w:tcBorders>
              <w:left w:val="nil"/>
            </w:tcBorders>
          </w:tcPr>
          <w:p w14:paraId="66F47E40" w14:textId="77777777" w:rsidR="001323B1" w:rsidRPr="00F56A0E" w:rsidRDefault="001323B1" w:rsidP="005E14FB">
            <w:pPr>
              <w:tabs>
                <w:tab w:val="left" w:pos="624"/>
                <w:tab w:val="left" w:pos="1247"/>
                <w:tab w:val="left" w:pos="1871"/>
                <w:tab w:val="left" w:pos="2495"/>
              </w:tabs>
              <w:ind w:left="176"/>
              <w:rPr>
                <w:szCs w:val="22"/>
                <w:lang w:val="fr-FR"/>
              </w:rPr>
            </w:pPr>
          </w:p>
        </w:tc>
      </w:tr>
      <w:tr w:rsidR="001323B1" w:rsidRPr="00F56A0E" w14:paraId="10A7D8F8" w14:textId="77777777" w:rsidTr="005E14FB">
        <w:tc>
          <w:tcPr>
            <w:tcW w:w="1276" w:type="dxa"/>
            <w:tcBorders>
              <w:top w:val="nil"/>
              <w:bottom w:val="nil"/>
              <w:right w:val="nil"/>
            </w:tcBorders>
          </w:tcPr>
          <w:p w14:paraId="24838AC8" w14:textId="77777777" w:rsidR="001323B1" w:rsidRPr="00F56A0E" w:rsidRDefault="001323B1" w:rsidP="005E14FB">
            <w:pPr>
              <w:tabs>
                <w:tab w:val="left" w:pos="624"/>
                <w:tab w:val="left" w:pos="1247"/>
                <w:tab w:val="left" w:pos="1871"/>
                <w:tab w:val="left" w:pos="2495"/>
              </w:tabs>
              <w:ind w:left="176" w:hanging="142"/>
              <w:rPr>
                <w:szCs w:val="22"/>
                <w:lang w:val="fr-FR"/>
              </w:rPr>
            </w:pPr>
            <w:r w:rsidRPr="00F56A0E">
              <w:rPr>
                <w:lang w:val="fr-FR"/>
              </w:rPr>
              <w:t>h</w:t>
            </w:r>
          </w:p>
        </w:tc>
        <w:tc>
          <w:tcPr>
            <w:tcW w:w="8172" w:type="dxa"/>
            <w:tcBorders>
              <w:left w:val="nil"/>
            </w:tcBorders>
          </w:tcPr>
          <w:p w14:paraId="656FE4C2" w14:textId="77777777" w:rsidR="001323B1" w:rsidRPr="00F56A0E" w:rsidRDefault="001323B1" w:rsidP="005E14FB">
            <w:pPr>
              <w:tabs>
                <w:tab w:val="left" w:pos="624"/>
                <w:tab w:val="left" w:pos="1247"/>
                <w:tab w:val="left" w:pos="1871"/>
                <w:tab w:val="left" w:pos="2495"/>
              </w:tabs>
              <w:ind w:left="176"/>
              <w:rPr>
                <w:szCs w:val="22"/>
                <w:lang w:val="fr-FR"/>
              </w:rPr>
            </w:pPr>
            <w:r w:rsidRPr="00F56A0E">
              <w:rPr>
                <w:lang w:val="fr-FR"/>
              </w:rPr>
              <w:t>heure</w:t>
            </w:r>
          </w:p>
        </w:tc>
      </w:tr>
      <w:tr w:rsidR="001323B1" w:rsidRPr="00F56A0E" w14:paraId="438957E4" w14:textId="77777777" w:rsidTr="005E14FB">
        <w:tc>
          <w:tcPr>
            <w:tcW w:w="1276" w:type="dxa"/>
            <w:tcBorders>
              <w:top w:val="nil"/>
              <w:bottom w:val="nil"/>
              <w:right w:val="nil"/>
            </w:tcBorders>
          </w:tcPr>
          <w:p w14:paraId="123B6A8D"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ha</w:t>
            </w:r>
          </w:p>
        </w:tc>
        <w:tc>
          <w:tcPr>
            <w:tcW w:w="8172" w:type="dxa"/>
            <w:tcBorders>
              <w:left w:val="nil"/>
            </w:tcBorders>
          </w:tcPr>
          <w:p w14:paraId="0C736F81"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hectare</w:t>
            </w:r>
          </w:p>
        </w:tc>
      </w:tr>
      <w:tr w:rsidR="001323B1" w:rsidRPr="00F56A0E" w14:paraId="14B12EC1" w14:textId="77777777" w:rsidTr="005E14FB">
        <w:tc>
          <w:tcPr>
            <w:tcW w:w="1276" w:type="dxa"/>
            <w:tcBorders>
              <w:top w:val="nil"/>
              <w:bottom w:val="nil"/>
              <w:right w:val="nil"/>
            </w:tcBorders>
          </w:tcPr>
          <w:p w14:paraId="06FDB03B"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HHP*</w:t>
            </w:r>
          </w:p>
          <w:p w14:paraId="4D5E783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3C3692F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Pesticide très dangereux</w:t>
            </w:r>
          </w:p>
        </w:tc>
      </w:tr>
      <w:tr w:rsidR="001323B1" w:rsidRPr="00F56A0E" w14:paraId="65137227" w14:textId="77777777" w:rsidTr="005E14FB">
        <w:tc>
          <w:tcPr>
            <w:tcW w:w="1276" w:type="dxa"/>
            <w:tcBorders>
              <w:top w:val="nil"/>
              <w:bottom w:val="nil"/>
              <w:right w:val="nil"/>
            </w:tcBorders>
          </w:tcPr>
          <w:p w14:paraId="6C5B62D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CIRC</w:t>
            </w:r>
          </w:p>
        </w:tc>
        <w:tc>
          <w:tcPr>
            <w:tcW w:w="8172" w:type="dxa"/>
            <w:tcBorders>
              <w:left w:val="nil"/>
            </w:tcBorders>
          </w:tcPr>
          <w:p w14:paraId="08EC1CA4"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 xml:space="preserve">Centre international de recherche sur le cancer </w:t>
            </w:r>
          </w:p>
        </w:tc>
      </w:tr>
      <w:tr w:rsidR="001323B1" w:rsidRPr="00F56A0E" w14:paraId="5667A870" w14:textId="77777777" w:rsidTr="005E14FB">
        <w:tc>
          <w:tcPr>
            <w:tcW w:w="1276" w:type="dxa"/>
            <w:tcBorders>
              <w:top w:val="nil"/>
              <w:bottom w:val="nil"/>
              <w:right w:val="nil"/>
            </w:tcBorders>
          </w:tcPr>
          <w:p w14:paraId="360F335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PISSC</w:t>
            </w:r>
          </w:p>
        </w:tc>
        <w:tc>
          <w:tcPr>
            <w:tcW w:w="8172" w:type="dxa"/>
            <w:tcBorders>
              <w:left w:val="nil"/>
            </w:tcBorders>
          </w:tcPr>
          <w:p w14:paraId="0030422F"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Programme international sur la sécurité des substances chimiques</w:t>
            </w:r>
          </w:p>
        </w:tc>
      </w:tr>
      <w:tr w:rsidR="001323B1" w:rsidRPr="00F56A0E" w14:paraId="03A989EF" w14:textId="77777777" w:rsidTr="005E14FB">
        <w:tc>
          <w:tcPr>
            <w:tcW w:w="1276" w:type="dxa"/>
            <w:tcBorders>
              <w:top w:val="nil"/>
              <w:bottom w:val="nil"/>
              <w:right w:val="nil"/>
            </w:tcBorders>
          </w:tcPr>
          <w:p w14:paraId="61B5C6B3"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IPM*</w:t>
            </w:r>
          </w:p>
        </w:tc>
        <w:tc>
          <w:tcPr>
            <w:tcW w:w="8172" w:type="dxa"/>
            <w:tcBorders>
              <w:left w:val="nil"/>
            </w:tcBorders>
          </w:tcPr>
          <w:p w14:paraId="1594AC7A"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Lutte intégrée contre les ravageurs</w:t>
            </w:r>
          </w:p>
        </w:tc>
      </w:tr>
      <w:tr w:rsidR="001323B1" w:rsidRPr="00F56A0E" w14:paraId="395BC3A8" w14:textId="77777777" w:rsidTr="005E14FB">
        <w:tc>
          <w:tcPr>
            <w:tcW w:w="1276" w:type="dxa"/>
            <w:tcBorders>
              <w:top w:val="nil"/>
              <w:bottom w:val="nil"/>
              <w:right w:val="nil"/>
            </w:tcBorders>
          </w:tcPr>
          <w:p w14:paraId="1A1D3F7D"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UICPA</w:t>
            </w:r>
          </w:p>
        </w:tc>
        <w:tc>
          <w:tcPr>
            <w:tcW w:w="8172" w:type="dxa"/>
            <w:tcBorders>
              <w:left w:val="nil"/>
            </w:tcBorders>
          </w:tcPr>
          <w:p w14:paraId="6F195195"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Union internationale de chimie pure et appliquée</w:t>
            </w:r>
          </w:p>
        </w:tc>
      </w:tr>
      <w:tr w:rsidR="001323B1" w:rsidRPr="00F56A0E" w14:paraId="3BDBF454" w14:textId="77777777" w:rsidTr="005E14FB">
        <w:tc>
          <w:tcPr>
            <w:tcW w:w="1276" w:type="dxa"/>
            <w:tcBorders>
              <w:top w:val="nil"/>
              <w:bottom w:val="nil"/>
              <w:right w:val="nil"/>
            </w:tcBorders>
          </w:tcPr>
          <w:p w14:paraId="106DC7B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top w:val="nil"/>
              <w:left w:val="nil"/>
              <w:bottom w:val="nil"/>
            </w:tcBorders>
          </w:tcPr>
          <w:p w14:paraId="5E92ABF6"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78F327B4" w14:textId="77777777" w:rsidTr="005E14FB">
        <w:tc>
          <w:tcPr>
            <w:tcW w:w="1276" w:type="dxa"/>
            <w:tcBorders>
              <w:top w:val="nil"/>
              <w:bottom w:val="nil"/>
              <w:right w:val="nil"/>
            </w:tcBorders>
          </w:tcPr>
          <w:p w14:paraId="00390CF1"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JMPM*</w:t>
            </w:r>
          </w:p>
          <w:p w14:paraId="27B2258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JMPR*</w:t>
            </w:r>
          </w:p>
        </w:tc>
        <w:tc>
          <w:tcPr>
            <w:tcW w:w="8172" w:type="dxa"/>
            <w:tcBorders>
              <w:top w:val="nil"/>
              <w:left w:val="nil"/>
              <w:bottom w:val="nil"/>
            </w:tcBorders>
          </w:tcPr>
          <w:p w14:paraId="7856C425"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Réunion conjointe FAO/OMS sur la gestion des pesticides</w:t>
            </w:r>
          </w:p>
          <w:p w14:paraId="33AFC3B1" w14:textId="013F0F08"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Réunion conjointe FAO/OMS sur les résidus de pesticides (Réunion conjointe du groupe d</w:t>
            </w:r>
            <w:r w:rsidR="00870D0E" w:rsidRPr="00F56A0E">
              <w:rPr>
                <w:lang w:val="fr-FR"/>
              </w:rPr>
              <w:t>’</w:t>
            </w:r>
            <w:r w:rsidRPr="00F56A0E">
              <w:rPr>
                <w:lang w:val="fr-FR"/>
              </w:rPr>
              <w:t>experts de la FAO sur les résidus de pesticides dans les aliments et l</w:t>
            </w:r>
            <w:r w:rsidR="00870D0E" w:rsidRPr="00F56A0E">
              <w:rPr>
                <w:lang w:val="fr-FR"/>
              </w:rPr>
              <w:t>’</w:t>
            </w:r>
            <w:r w:rsidRPr="00F56A0E">
              <w:rPr>
                <w:lang w:val="fr-FR"/>
              </w:rPr>
              <w:t>environnement et d</w:t>
            </w:r>
            <w:r w:rsidR="00870D0E" w:rsidRPr="00F56A0E">
              <w:rPr>
                <w:lang w:val="fr-FR"/>
              </w:rPr>
              <w:t>’</w:t>
            </w:r>
            <w:r w:rsidRPr="00F56A0E">
              <w:rPr>
                <w:lang w:val="fr-FR"/>
              </w:rPr>
              <w:t>un groupe d</w:t>
            </w:r>
            <w:r w:rsidR="00870D0E" w:rsidRPr="00F56A0E">
              <w:rPr>
                <w:lang w:val="fr-FR"/>
              </w:rPr>
              <w:t>’</w:t>
            </w:r>
            <w:r w:rsidRPr="00F56A0E">
              <w:rPr>
                <w:lang w:val="fr-FR"/>
              </w:rPr>
              <w:t>experts de l</w:t>
            </w:r>
            <w:r w:rsidR="00870D0E" w:rsidRPr="00F56A0E">
              <w:rPr>
                <w:lang w:val="fr-FR"/>
              </w:rPr>
              <w:t>’</w:t>
            </w:r>
            <w:r w:rsidRPr="00F56A0E">
              <w:rPr>
                <w:lang w:val="fr-FR"/>
              </w:rPr>
              <w:t>OMS sur les résidus de pesticides)</w:t>
            </w:r>
          </w:p>
        </w:tc>
      </w:tr>
      <w:tr w:rsidR="001323B1" w:rsidRPr="00F56A0E" w14:paraId="3144E589" w14:textId="77777777" w:rsidTr="005E14FB">
        <w:tc>
          <w:tcPr>
            <w:tcW w:w="1276" w:type="dxa"/>
            <w:tcBorders>
              <w:top w:val="nil"/>
              <w:bottom w:val="nil"/>
              <w:right w:val="nil"/>
            </w:tcBorders>
          </w:tcPr>
          <w:p w14:paraId="23470C65"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top w:val="nil"/>
              <w:left w:val="nil"/>
              <w:bottom w:val="nil"/>
            </w:tcBorders>
          </w:tcPr>
          <w:p w14:paraId="77B336A9"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3FEEDEBA" w14:textId="77777777" w:rsidTr="005E14FB">
        <w:tc>
          <w:tcPr>
            <w:tcW w:w="1276" w:type="dxa"/>
            <w:tcBorders>
              <w:top w:val="nil"/>
              <w:bottom w:val="nil"/>
              <w:right w:val="nil"/>
            </w:tcBorders>
          </w:tcPr>
          <w:p w14:paraId="3B26813A"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k</w:t>
            </w:r>
          </w:p>
        </w:tc>
        <w:tc>
          <w:tcPr>
            <w:tcW w:w="8172" w:type="dxa"/>
            <w:tcBorders>
              <w:top w:val="nil"/>
              <w:left w:val="nil"/>
              <w:bottom w:val="nil"/>
            </w:tcBorders>
          </w:tcPr>
          <w:p w14:paraId="4F385A5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kilo- (x 1000)</w:t>
            </w:r>
          </w:p>
        </w:tc>
      </w:tr>
      <w:tr w:rsidR="001323B1" w:rsidRPr="00F56A0E" w14:paraId="19179D23" w14:textId="77777777" w:rsidTr="005E14FB">
        <w:tc>
          <w:tcPr>
            <w:tcW w:w="1276" w:type="dxa"/>
            <w:tcBorders>
              <w:top w:val="nil"/>
              <w:bottom w:val="nil"/>
              <w:right w:val="nil"/>
            </w:tcBorders>
          </w:tcPr>
          <w:p w14:paraId="49E3499B"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kg</w:t>
            </w:r>
          </w:p>
        </w:tc>
        <w:tc>
          <w:tcPr>
            <w:tcW w:w="8172" w:type="dxa"/>
            <w:tcBorders>
              <w:top w:val="nil"/>
              <w:left w:val="nil"/>
            </w:tcBorders>
          </w:tcPr>
          <w:p w14:paraId="2F8B9674"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kilogramme</w:t>
            </w:r>
          </w:p>
        </w:tc>
      </w:tr>
      <w:tr w:rsidR="001323B1" w:rsidRPr="00F56A0E" w14:paraId="750C576F" w14:textId="77777777" w:rsidTr="005E14FB">
        <w:tc>
          <w:tcPr>
            <w:tcW w:w="1276" w:type="dxa"/>
            <w:tcBorders>
              <w:top w:val="nil"/>
              <w:bottom w:val="nil"/>
              <w:right w:val="nil"/>
            </w:tcBorders>
          </w:tcPr>
          <w:p w14:paraId="39F3F5A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Koe</w:t>
            </w:r>
          </w:p>
        </w:tc>
        <w:tc>
          <w:tcPr>
            <w:tcW w:w="8172" w:type="dxa"/>
            <w:tcBorders>
              <w:left w:val="nil"/>
            </w:tcBorders>
          </w:tcPr>
          <w:p w14:paraId="5F23A20B"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coefficient de partage octanol-eau;</w:t>
            </w:r>
          </w:p>
        </w:tc>
      </w:tr>
      <w:tr w:rsidR="001323B1" w:rsidRPr="00F56A0E" w14:paraId="6F77E61B" w14:textId="77777777" w:rsidTr="005E14FB">
        <w:tc>
          <w:tcPr>
            <w:tcW w:w="1276" w:type="dxa"/>
            <w:tcBorders>
              <w:top w:val="nil"/>
              <w:bottom w:val="nil"/>
              <w:right w:val="nil"/>
            </w:tcBorders>
          </w:tcPr>
          <w:p w14:paraId="75833C8D"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kPa</w:t>
            </w:r>
          </w:p>
        </w:tc>
        <w:tc>
          <w:tcPr>
            <w:tcW w:w="8172" w:type="dxa"/>
            <w:tcBorders>
              <w:left w:val="nil"/>
            </w:tcBorders>
          </w:tcPr>
          <w:p w14:paraId="46B6D78C"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kilopascal</w:t>
            </w:r>
          </w:p>
        </w:tc>
      </w:tr>
      <w:tr w:rsidR="001323B1" w:rsidRPr="00F56A0E" w14:paraId="052F67E3" w14:textId="77777777" w:rsidTr="005E14FB">
        <w:tc>
          <w:tcPr>
            <w:tcW w:w="1276" w:type="dxa"/>
            <w:tcBorders>
              <w:top w:val="nil"/>
              <w:bottom w:val="nil"/>
              <w:right w:val="nil"/>
            </w:tcBorders>
          </w:tcPr>
          <w:p w14:paraId="65C3884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194EF591"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302B7BB2" w14:textId="77777777" w:rsidTr="005E14FB">
        <w:tc>
          <w:tcPr>
            <w:tcW w:w="1276" w:type="dxa"/>
            <w:tcBorders>
              <w:top w:val="nil"/>
              <w:bottom w:val="nil"/>
              <w:right w:val="nil"/>
            </w:tcBorders>
          </w:tcPr>
          <w:p w14:paraId="06B12963"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L</w:t>
            </w:r>
          </w:p>
        </w:tc>
        <w:tc>
          <w:tcPr>
            <w:tcW w:w="8172" w:type="dxa"/>
            <w:tcBorders>
              <w:left w:val="nil"/>
            </w:tcBorders>
          </w:tcPr>
          <w:p w14:paraId="558D7E1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litre</w:t>
            </w:r>
          </w:p>
        </w:tc>
      </w:tr>
      <w:tr w:rsidR="001323B1" w:rsidRPr="00F56A0E" w14:paraId="4BB0CF10" w14:textId="77777777" w:rsidTr="005E14FB">
        <w:tc>
          <w:tcPr>
            <w:tcW w:w="1276" w:type="dxa"/>
            <w:tcBorders>
              <w:top w:val="nil"/>
              <w:bottom w:val="nil"/>
              <w:right w:val="nil"/>
            </w:tcBorders>
          </w:tcPr>
          <w:p w14:paraId="0F3523C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CL</w:t>
            </w:r>
            <w:r w:rsidRPr="00F56A0E">
              <w:rPr>
                <w:vertAlign w:val="subscript"/>
                <w:lang w:val="fr-FR"/>
              </w:rPr>
              <w:t>50</w:t>
            </w:r>
            <w:r w:rsidRPr="00F56A0E">
              <w:rPr>
                <w:lang w:val="fr-FR"/>
              </w:rPr>
              <w:t xml:space="preserve"> </w:t>
            </w:r>
          </w:p>
        </w:tc>
        <w:tc>
          <w:tcPr>
            <w:tcW w:w="8172" w:type="dxa"/>
            <w:tcBorders>
              <w:left w:val="nil"/>
            </w:tcBorders>
          </w:tcPr>
          <w:p w14:paraId="04A92630" w14:textId="3F62CB4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 létale 50</w:t>
            </w:r>
            <w:r w:rsidR="00926928" w:rsidRPr="00F56A0E">
              <w:rPr>
                <w:lang w:val="fr-FR"/>
              </w:rPr>
              <w:t> </w:t>
            </w:r>
            <w:r w:rsidRPr="00F56A0E">
              <w:rPr>
                <w:lang w:val="fr-FR"/>
              </w:rPr>
              <w:t>% (concentration létale médiane)</w:t>
            </w:r>
          </w:p>
          <w:p w14:paraId="682AC412"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n</w:t>
            </w:r>
          </w:p>
        </w:tc>
      </w:tr>
      <w:tr w:rsidR="001323B1" w:rsidRPr="00F56A0E" w14:paraId="094D2D3E" w14:textId="77777777" w:rsidTr="005E14FB">
        <w:tc>
          <w:tcPr>
            <w:tcW w:w="1276" w:type="dxa"/>
            <w:tcBorders>
              <w:top w:val="nil"/>
              <w:bottom w:val="nil"/>
              <w:right w:val="nil"/>
            </w:tcBorders>
          </w:tcPr>
          <w:p w14:paraId="5904819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DL</w:t>
            </w:r>
            <w:r w:rsidRPr="00F56A0E">
              <w:rPr>
                <w:vertAlign w:val="subscript"/>
                <w:lang w:val="fr-FR"/>
              </w:rPr>
              <w:t>50</w:t>
            </w:r>
          </w:p>
        </w:tc>
        <w:tc>
          <w:tcPr>
            <w:tcW w:w="8172" w:type="dxa"/>
            <w:tcBorders>
              <w:left w:val="nil"/>
            </w:tcBorders>
          </w:tcPr>
          <w:p w14:paraId="1CEB489B"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dose létale 50 % (dose létale médiane)</w:t>
            </w:r>
          </w:p>
        </w:tc>
      </w:tr>
      <w:tr w:rsidR="001323B1" w:rsidRPr="00F56A0E" w14:paraId="26ACC025" w14:textId="77777777" w:rsidTr="005E14FB">
        <w:tc>
          <w:tcPr>
            <w:tcW w:w="1276" w:type="dxa"/>
            <w:tcBorders>
              <w:top w:val="nil"/>
              <w:bottom w:val="nil"/>
              <w:right w:val="nil"/>
            </w:tcBorders>
          </w:tcPr>
          <w:p w14:paraId="70CD493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CMENO/DMENO</w:t>
            </w:r>
          </w:p>
        </w:tc>
        <w:tc>
          <w:tcPr>
            <w:tcW w:w="8172" w:type="dxa"/>
            <w:tcBorders>
              <w:left w:val="nil"/>
              <w:bottom w:val="nil"/>
            </w:tcBorders>
          </w:tcPr>
          <w:p w14:paraId="0E7E847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concentration/dose minimale avec effet nocif observé</w:t>
            </w:r>
          </w:p>
        </w:tc>
      </w:tr>
      <w:tr w:rsidR="001323B1" w:rsidRPr="00F56A0E" w14:paraId="367209A0" w14:textId="77777777" w:rsidTr="005E14FB">
        <w:tc>
          <w:tcPr>
            <w:tcW w:w="1276" w:type="dxa"/>
            <w:tcBorders>
              <w:top w:val="nil"/>
              <w:bottom w:val="nil"/>
              <w:right w:val="nil"/>
            </w:tcBorders>
          </w:tcPr>
          <w:p w14:paraId="4C540908" w14:textId="77777777" w:rsidR="001323B1" w:rsidRPr="00F56A0E" w:rsidRDefault="001323B1" w:rsidP="005E14FB">
            <w:pPr>
              <w:tabs>
                <w:tab w:val="left" w:pos="624"/>
                <w:tab w:val="left" w:pos="1247"/>
                <w:tab w:val="left" w:pos="1871"/>
                <w:tab w:val="left" w:pos="2495"/>
              </w:tabs>
              <w:ind w:left="176" w:hanging="142"/>
              <w:rPr>
                <w:color w:val="000000"/>
                <w:lang w:val="fr-FR"/>
              </w:rPr>
            </w:pPr>
          </w:p>
        </w:tc>
        <w:tc>
          <w:tcPr>
            <w:tcW w:w="8172" w:type="dxa"/>
            <w:tcBorders>
              <w:top w:val="nil"/>
              <w:left w:val="nil"/>
              <w:bottom w:val="nil"/>
            </w:tcBorders>
          </w:tcPr>
          <w:p w14:paraId="4EEB5D95" w14:textId="77777777" w:rsidR="001323B1" w:rsidRPr="00F56A0E" w:rsidRDefault="001323B1" w:rsidP="005E14FB">
            <w:pPr>
              <w:tabs>
                <w:tab w:val="left" w:pos="624"/>
                <w:tab w:val="left" w:pos="1247"/>
                <w:tab w:val="left" w:pos="1871"/>
                <w:tab w:val="left" w:pos="2495"/>
              </w:tabs>
              <w:ind w:left="176"/>
              <w:rPr>
                <w:color w:val="000000"/>
                <w:lang w:val="fr-FR"/>
              </w:rPr>
            </w:pPr>
          </w:p>
        </w:tc>
      </w:tr>
      <w:tr w:rsidR="001323B1" w:rsidRPr="00F56A0E" w14:paraId="52FAD0EF" w14:textId="77777777" w:rsidTr="005E14FB">
        <w:tc>
          <w:tcPr>
            <w:tcW w:w="1276" w:type="dxa"/>
            <w:tcBorders>
              <w:top w:val="nil"/>
              <w:bottom w:val="nil"/>
              <w:right w:val="nil"/>
            </w:tcBorders>
          </w:tcPr>
          <w:p w14:paraId="4FE8199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m</w:t>
            </w:r>
          </w:p>
        </w:tc>
        <w:tc>
          <w:tcPr>
            <w:tcW w:w="8172" w:type="dxa"/>
            <w:tcBorders>
              <w:top w:val="nil"/>
              <w:left w:val="nil"/>
              <w:bottom w:val="nil"/>
            </w:tcBorders>
          </w:tcPr>
          <w:p w14:paraId="16298C5F"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mètre</w:t>
            </w:r>
          </w:p>
        </w:tc>
      </w:tr>
      <w:tr w:rsidR="001323B1" w:rsidRPr="00F56A0E" w14:paraId="3BA48D00" w14:textId="77777777" w:rsidTr="005E14FB">
        <w:tc>
          <w:tcPr>
            <w:tcW w:w="1276" w:type="dxa"/>
            <w:tcBorders>
              <w:top w:val="nil"/>
              <w:bottom w:val="nil"/>
              <w:right w:val="nil"/>
            </w:tcBorders>
          </w:tcPr>
          <w:p w14:paraId="7B2E320B"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mg</w:t>
            </w:r>
          </w:p>
        </w:tc>
        <w:tc>
          <w:tcPr>
            <w:tcW w:w="8172" w:type="dxa"/>
            <w:tcBorders>
              <w:top w:val="nil"/>
              <w:left w:val="nil"/>
            </w:tcBorders>
          </w:tcPr>
          <w:p w14:paraId="3642CC4E"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milligramme</w:t>
            </w:r>
          </w:p>
        </w:tc>
      </w:tr>
      <w:tr w:rsidR="001323B1" w:rsidRPr="00F56A0E" w14:paraId="61255E59" w14:textId="77777777" w:rsidTr="005E14FB">
        <w:tc>
          <w:tcPr>
            <w:tcW w:w="1276" w:type="dxa"/>
            <w:tcBorders>
              <w:top w:val="nil"/>
              <w:bottom w:val="nil"/>
              <w:right w:val="nil"/>
            </w:tcBorders>
          </w:tcPr>
          <w:p w14:paraId="32C2097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ml</w:t>
            </w:r>
          </w:p>
        </w:tc>
        <w:tc>
          <w:tcPr>
            <w:tcW w:w="8172" w:type="dxa"/>
            <w:tcBorders>
              <w:left w:val="nil"/>
            </w:tcBorders>
          </w:tcPr>
          <w:p w14:paraId="58F243F1"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millilitre</w:t>
            </w:r>
          </w:p>
        </w:tc>
      </w:tr>
      <w:tr w:rsidR="001323B1" w:rsidRPr="00F56A0E" w14:paraId="6C109EE4" w14:textId="77777777" w:rsidTr="005E14FB">
        <w:tc>
          <w:tcPr>
            <w:tcW w:w="1276" w:type="dxa"/>
            <w:tcBorders>
              <w:top w:val="nil"/>
              <w:bottom w:val="nil"/>
              <w:right w:val="nil"/>
            </w:tcBorders>
          </w:tcPr>
          <w:p w14:paraId="71A16873"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mPa</w:t>
            </w:r>
          </w:p>
        </w:tc>
        <w:tc>
          <w:tcPr>
            <w:tcW w:w="8172" w:type="dxa"/>
            <w:tcBorders>
              <w:left w:val="nil"/>
            </w:tcBorders>
          </w:tcPr>
          <w:p w14:paraId="58310819"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millipascal</w:t>
            </w:r>
          </w:p>
        </w:tc>
      </w:tr>
      <w:tr w:rsidR="001323B1" w:rsidRPr="00F56A0E" w14:paraId="50FF310F" w14:textId="77777777" w:rsidTr="005E14FB">
        <w:tc>
          <w:tcPr>
            <w:tcW w:w="1276" w:type="dxa"/>
            <w:tcBorders>
              <w:top w:val="nil"/>
              <w:bottom w:val="nil"/>
              <w:right w:val="nil"/>
            </w:tcBorders>
          </w:tcPr>
          <w:p w14:paraId="54AC7BAD"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LMR</w:t>
            </w:r>
          </w:p>
        </w:tc>
        <w:tc>
          <w:tcPr>
            <w:tcW w:w="8172" w:type="dxa"/>
            <w:tcBorders>
              <w:left w:val="nil"/>
            </w:tcBorders>
          </w:tcPr>
          <w:p w14:paraId="78117695" w14:textId="77777777" w:rsidR="001323B1" w:rsidRPr="00F56A0E" w:rsidDel="004C4261" w:rsidRDefault="001323B1" w:rsidP="005E14FB">
            <w:pPr>
              <w:tabs>
                <w:tab w:val="left" w:pos="624"/>
                <w:tab w:val="left" w:pos="1247"/>
                <w:tab w:val="left" w:pos="1871"/>
                <w:tab w:val="left" w:pos="2495"/>
              </w:tabs>
              <w:ind w:left="176"/>
              <w:rPr>
                <w:color w:val="000000"/>
                <w:szCs w:val="22"/>
                <w:lang w:val="fr-FR"/>
              </w:rPr>
            </w:pPr>
            <w:r w:rsidRPr="00F56A0E">
              <w:rPr>
                <w:lang w:val="fr-FR"/>
              </w:rPr>
              <w:t>limite maximale de résidus</w:t>
            </w:r>
          </w:p>
        </w:tc>
      </w:tr>
      <w:tr w:rsidR="001323B1" w:rsidRPr="00F56A0E" w14:paraId="67061F98" w14:textId="77777777" w:rsidTr="005E14FB">
        <w:tc>
          <w:tcPr>
            <w:tcW w:w="1276" w:type="dxa"/>
            <w:tcBorders>
              <w:top w:val="nil"/>
              <w:bottom w:val="nil"/>
              <w:right w:val="nil"/>
            </w:tcBorders>
          </w:tcPr>
          <w:p w14:paraId="6909DAE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MOE*</w:t>
            </w:r>
          </w:p>
        </w:tc>
        <w:tc>
          <w:tcPr>
            <w:tcW w:w="8172" w:type="dxa"/>
            <w:tcBorders>
              <w:left w:val="nil"/>
            </w:tcBorders>
          </w:tcPr>
          <w:p w14:paraId="3A1F8A36" w14:textId="374C8883"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marge d</w:t>
            </w:r>
            <w:r w:rsidR="00870D0E" w:rsidRPr="00F56A0E">
              <w:rPr>
                <w:lang w:val="fr-FR"/>
              </w:rPr>
              <w:t>’</w:t>
            </w:r>
            <w:r w:rsidRPr="00F56A0E">
              <w:rPr>
                <w:lang w:val="fr-FR"/>
              </w:rPr>
              <w:t>exposition</w:t>
            </w:r>
          </w:p>
        </w:tc>
      </w:tr>
      <w:tr w:rsidR="001323B1" w:rsidRPr="00F56A0E" w14:paraId="3438C5CF" w14:textId="77777777" w:rsidTr="005E14FB">
        <w:tc>
          <w:tcPr>
            <w:tcW w:w="1276" w:type="dxa"/>
            <w:tcBorders>
              <w:top w:val="nil"/>
              <w:bottom w:val="nil"/>
              <w:right w:val="nil"/>
            </w:tcBorders>
          </w:tcPr>
          <w:p w14:paraId="70F6EC3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4BD13706"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6970E7E5" w14:textId="77777777" w:rsidTr="009C2C38">
        <w:tc>
          <w:tcPr>
            <w:tcW w:w="1276" w:type="dxa"/>
            <w:tcBorders>
              <w:top w:val="nil"/>
              <w:bottom w:val="nil"/>
              <w:right w:val="nil"/>
            </w:tcBorders>
          </w:tcPr>
          <w:p w14:paraId="01096DD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ng</w:t>
            </w:r>
          </w:p>
        </w:tc>
        <w:tc>
          <w:tcPr>
            <w:tcW w:w="8172" w:type="dxa"/>
            <w:tcBorders>
              <w:left w:val="nil"/>
            </w:tcBorders>
          </w:tcPr>
          <w:p w14:paraId="61C8A50E"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nanogramme</w:t>
            </w:r>
          </w:p>
        </w:tc>
      </w:tr>
      <w:tr w:rsidR="001323B1" w:rsidRPr="00F56A0E" w14:paraId="26ABBB40" w14:textId="77777777" w:rsidTr="009C2C38">
        <w:tc>
          <w:tcPr>
            <w:tcW w:w="1276" w:type="dxa"/>
            <w:tcBorders>
              <w:top w:val="nil"/>
              <w:bottom w:val="single" w:sz="6" w:space="0" w:color="auto"/>
              <w:right w:val="nil"/>
            </w:tcBorders>
          </w:tcPr>
          <w:p w14:paraId="2B7D3161"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CSENO</w:t>
            </w:r>
          </w:p>
        </w:tc>
        <w:tc>
          <w:tcPr>
            <w:tcW w:w="8172" w:type="dxa"/>
            <w:tcBorders>
              <w:left w:val="nil"/>
            </w:tcBorders>
          </w:tcPr>
          <w:p w14:paraId="7CDC335F"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 sans effet nocif observé</w:t>
            </w:r>
          </w:p>
        </w:tc>
      </w:tr>
      <w:tr w:rsidR="001323B1" w:rsidRPr="00F56A0E" w14:paraId="1421730C" w14:textId="77777777" w:rsidTr="009C2C38">
        <w:tc>
          <w:tcPr>
            <w:tcW w:w="1276" w:type="dxa"/>
            <w:tcBorders>
              <w:top w:val="single" w:sz="6" w:space="0" w:color="auto"/>
              <w:bottom w:val="nil"/>
              <w:right w:val="nil"/>
            </w:tcBorders>
          </w:tcPr>
          <w:p w14:paraId="253B43EB"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lastRenderedPageBreak/>
              <w:t>DSENO</w:t>
            </w:r>
          </w:p>
        </w:tc>
        <w:tc>
          <w:tcPr>
            <w:tcW w:w="8172" w:type="dxa"/>
            <w:tcBorders>
              <w:left w:val="nil"/>
            </w:tcBorders>
          </w:tcPr>
          <w:p w14:paraId="6DA954A7"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dose sans effet nocif observé</w:t>
            </w:r>
          </w:p>
        </w:tc>
      </w:tr>
      <w:tr w:rsidR="001323B1" w:rsidRPr="00F56A0E" w14:paraId="2E9AF35E" w14:textId="77777777" w:rsidTr="005E14FB">
        <w:tc>
          <w:tcPr>
            <w:tcW w:w="1276" w:type="dxa"/>
            <w:tcBorders>
              <w:top w:val="nil"/>
              <w:bottom w:val="nil"/>
              <w:right w:val="nil"/>
            </w:tcBorders>
          </w:tcPr>
          <w:p w14:paraId="624747E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CSEO</w:t>
            </w:r>
          </w:p>
        </w:tc>
        <w:tc>
          <w:tcPr>
            <w:tcW w:w="8172" w:type="dxa"/>
            <w:tcBorders>
              <w:left w:val="nil"/>
            </w:tcBorders>
          </w:tcPr>
          <w:p w14:paraId="639D8F9A"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 sans effet observé</w:t>
            </w:r>
          </w:p>
        </w:tc>
      </w:tr>
      <w:tr w:rsidR="001323B1" w:rsidRPr="00F56A0E" w14:paraId="226959D0" w14:textId="77777777" w:rsidTr="005E14FB">
        <w:trPr>
          <w:trHeight w:val="56"/>
        </w:trPr>
        <w:tc>
          <w:tcPr>
            <w:tcW w:w="1276" w:type="dxa"/>
            <w:tcBorders>
              <w:top w:val="nil"/>
              <w:bottom w:val="nil"/>
              <w:right w:val="nil"/>
            </w:tcBorders>
          </w:tcPr>
          <w:p w14:paraId="0977309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 xml:space="preserve">DSEO </w:t>
            </w:r>
          </w:p>
        </w:tc>
        <w:tc>
          <w:tcPr>
            <w:tcW w:w="8172" w:type="dxa"/>
            <w:tcBorders>
              <w:left w:val="nil"/>
            </w:tcBorders>
          </w:tcPr>
          <w:p w14:paraId="3C910493"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dose sans effet observé</w:t>
            </w:r>
          </w:p>
        </w:tc>
      </w:tr>
      <w:tr w:rsidR="001323B1" w:rsidRPr="00F56A0E" w14:paraId="401D722E" w14:textId="77777777" w:rsidTr="005E14FB">
        <w:tc>
          <w:tcPr>
            <w:tcW w:w="1276" w:type="dxa"/>
            <w:tcBorders>
              <w:top w:val="nil"/>
              <w:bottom w:val="nil"/>
              <w:right w:val="nil"/>
            </w:tcBorders>
          </w:tcPr>
          <w:p w14:paraId="3EA7554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34807BE3"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228684B9" w14:textId="77777777" w:rsidTr="005E14FB">
        <w:tc>
          <w:tcPr>
            <w:tcW w:w="1276" w:type="dxa"/>
            <w:tcBorders>
              <w:top w:val="nil"/>
              <w:bottom w:val="nil"/>
              <w:right w:val="nil"/>
            </w:tcBorders>
          </w:tcPr>
          <w:p w14:paraId="44B229D3"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OCDE</w:t>
            </w:r>
          </w:p>
        </w:tc>
        <w:tc>
          <w:tcPr>
            <w:tcW w:w="8172" w:type="dxa"/>
            <w:tcBorders>
              <w:top w:val="nil"/>
              <w:left w:val="nil"/>
              <w:bottom w:val="nil"/>
            </w:tcBorders>
          </w:tcPr>
          <w:p w14:paraId="01FB58B3"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 xml:space="preserve">Organisation de coopération et de développement économiques </w:t>
            </w:r>
          </w:p>
        </w:tc>
      </w:tr>
      <w:tr w:rsidR="001323B1" w:rsidRPr="00F56A0E" w14:paraId="7B25F53E" w14:textId="77777777" w:rsidTr="005E14FB">
        <w:tc>
          <w:tcPr>
            <w:tcW w:w="1276" w:type="dxa"/>
            <w:tcBorders>
              <w:top w:val="nil"/>
              <w:left w:val="single" w:sz="4" w:space="0" w:color="auto"/>
              <w:bottom w:val="nil"/>
              <w:right w:val="nil"/>
            </w:tcBorders>
          </w:tcPr>
          <w:p w14:paraId="1D9E81CE"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top w:val="nil"/>
              <w:left w:val="nil"/>
            </w:tcBorders>
          </w:tcPr>
          <w:p w14:paraId="64E68916"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3162A5E4" w14:textId="77777777" w:rsidTr="005E14FB">
        <w:tc>
          <w:tcPr>
            <w:tcW w:w="1276" w:type="dxa"/>
            <w:tcBorders>
              <w:top w:val="nil"/>
              <w:left w:val="single" w:sz="4" w:space="0" w:color="auto"/>
              <w:bottom w:val="nil"/>
              <w:right w:val="nil"/>
            </w:tcBorders>
          </w:tcPr>
          <w:p w14:paraId="7A3E4D1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CPE</w:t>
            </w:r>
          </w:p>
        </w:tc>
        <w:tc>
          <w:tcPr>
            <w:tcW w:w="8172" w:type="dxa"/>
            <w:tcBorders>
              <w:left w:val="nil"/>
            </w:tcBorders>
          </w:tcPr>
          <w:p w14:paraId="431FADFD" w14:textId="286EE9E1"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concentration prévue dans l</w:t>
            </w:r>
            <w:r w:rsidR="00870D0E" w:rsidRPr="00F56A0E">
              <w:rPr>
                <w:lang w:val="fr-FR"/>
              </w:rPr>
              <w:t>’</w:t>
            </w:r>
            <w:r w:rsidRPr="00F56A0E">
              <w:rPr>
                <w:lang w:val="fr-FR"/>
              </w:rPr>
              <w:t>environnement</w:t>
            </w:r>
          </w:p>
        </w:tc>
      </w:tr>
      <w:tr w:rsidR="001323B1" w:rsidRPr="00F56A0E" w14:paraId="1C2E8417" w14:textId="77777777" w:rsidTr="005E14FB">
        <w:tc>
          <w:tcPr>
            <w:tcW w:w="1276" w:type="dxa"/>
            <w:tcBorders>
              <w:top w:val="nil"/>
              <w:left w:val="single" w:sz="4" w:space="0" w:color="auto"/>
              <w:bottom w:val="nil"/>
              <w:right w:val="nil"/>
            </w:tcBorders>
          </w:tcPr>
          <w:p w14:paraId="3082F3A5"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ARLA</w:t>
            </w:r>
          </w:p>
        </w:tc>
        <w:tc>
          <w:tcPr>
            <w:tcW w:w="8172" w:type="dxa"/>
            <w:tcBorders>
              <w:left w:val="nil"/>
            </w:tcBorders>
          </w:tcPr>
          <w:p w14:paraId="2AC9D649" w14:textId="77777777" w:rsidR="001323B1" w:rsidRPr="00F56A0E" w:rsidRDefault="001323B1" w:rsidP="005E14FB">
            <w:pPr>
              <w:tabs>
                <w:tab w:val="left" w:pos="624"/>
                <w:tab w:val="left" w:pos="1247"/>
                <w:tab w:val="left" w:pos="1871"/>
                <w:tab w:val="left" w:pos="2495"/>
              </w:tabs>
              <w:ind w:left="176"/>
              <w:rPr>
                <w:color w:val="000000"/>
                <w:lang w:val="fr-FR"/>
              </w:rPr>
            </w:pPr>
            <w:r w:rsidRPr="00F56A0E">
              <w:rPr>
                <w:lang w:val="fr-FR"/>
              </w:rPr>
              <w:t>Agence de réglementation de la lutte antiparasitaire de Santé Canada</w:t>
            </w:r>
          </w:p>
        </w:tc>
      </w:tr>
      <w:tr w:rsidR="001323B1" w:rsidRPr="00F56A0E" w14:paraId="3573E9D7" w14:textId="77777777" w:rsidTr="005E14FB">
        <w:tc>
          <w:tcPr>
            <w:tcW w:w="1276" w:type="dxa"/>
            <w:tcBorders>
              <w:top w:val="nil"/>
              <w:left w:val="single" w:sz="4" w:space="0" w:color="auto"/>
              <w:bottom w:val="nil"/>
              <w:right w:val="nil"/>
            </w:tcBorders>
          </w:tcPr>
          <w:p w14:paraId="3F8E2A77"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Poe</w:t>
            </w:r>
          </w:p>
        </w:tc>
        <w:tc>
          <w:tcPr>
            <w:tcW w:w="8172" w:type="dxa"/>
            <w:tcBorders>
              <w:left w:val="nil"/>
              <w:bottom w:val="nil"/>
            </w:tcBorders>
          </w:tcPr>
          <w:p w14:paraId="4BFFF557"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coefficient de partage octanol/eau (également appelé K</w:t>
            </w:r>
            <w:r w:rsidRPr="00F56A0E">
              <w:rPr>
                <w:vertAlign w:val="subscript"/>
                <w:lang w:val="fr-FR"/>
              </w:rPr>
              <w:t>oe</w:t>
            </w:r>
            <w:r w:rsidRPr="00F56A0E">
              <w:rPr>
                <w:lang w:val="fr-FR"/>
              </w:rPr>
              <w:t>)</w:t>
            </w:r>
          </w:p>
        </w:tc>
      </w:tr>
      <w:tr w:rsidR="001323B1" w:rsidRPr="00F56A0E" w14:paraId="09A8FBE3" w14:textId="77777777" w:rsidTr="005E14FB">
        <w:tc>
          <w:tcPr>
            <w:tcW w:w="1276" w:type="dxa"/>
            <w:tcBorders>
              <w:top w:val="nil"/>
              <w:bottom w:val="nil"/>
              <w:right w:val="nil"/>
            </w:tcBorders>
          </w:tcPr>
          <w:p w14:paraId="3ADEB1C6"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EPI</w:t>
            </w:r>
          </w:p>
          <w:p w14:paraId="0C56DC83"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PPDB</w:t>
            </w:r>
          </w:p>
        </w:tc>
        <w:tc>
          <w:tcPr>
            <w:tcW w:w="8172" w:type="dxa"/>
            <w:tcBorders>
              <w:top w:val="nil"/>
              <w:left w:val="nil"/>
            </w:tcBorders>
          </w:tcPr>
          <w:p w14:paraId="7B56506C"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équipement de protection individuelle</w:t>
            </w:r>
          </w:p>
          <w:p w14:paraId="39584056"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Pesticides Properties DataBase (Base de données sur les propriétés des pesticides)</w:t>
            </w:r>
          </w:p>
        </w:tc>
      </w:tr>
      <w:tr w:rsidR="001323B1" w:rsidRPr="00F56A0E" w14:paraId="6BBC91C4" w14:textId="77777777" w:rsidTr="005E14FB">
        <w:tc>
          <w:tcPr>
            <w:tcW w:w="1276" w:type="dxa"/>
            <w:tcBorders>
              <w:top w:val="nil"/>
              <w:bottom w:val="nil"/>
              <w:right w:val="nil"/>
            </w:tcBorders>
          </w:tcPr>
          <w:p w14:paraId="32D3E25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ppm</w:t>
            </w:r>
          </w:p>
        </w:tc>
        <w:tc>
          <w:tcPr>
            <w:tcW w:w="8172" w:type="dxa"/>
            <w:tcBorders>
              <w:left w:val="nil"/>
            </w:tcBorders>
          </w:tcPr>
          <w:p w14:paraId="05A0251E" w14:textId="5C40625A"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parties par million (utilisé uniquement en référence à la concentration d</w:t>
            </w:r>
            <w:r w:rsidR="00870D0E" w:rsidRPr="00F56A0E">
              <w:rPr>
                <w:lang w:val="fr-FR"/>
              </w:rPr>
              <w:t>’</w:t>
            </w:r>
            <w:r w:rsidRPr="00F56A0E">
              <w:rPr>
                <w:lang w:val="fr-FR"/>
              </w:rPr>
              <w:t>un pesticide dans un régime alimentaire expérimental. Dans tous les autres contextes, on exprime la concentration en mg/kg ou mg/L).</w:t>
            </w:r>
          </w:p>
        </w:tc>
      </w:tr>
      <w:tr w:rsidR="001323B1" w:rsidRPr="00F56A0E" w14:paraId="7194ACB1" w14:textId="77777777" w:rsidTr="005E14FB">
        <w:tblPrEx>
          <w:tblCellMar>
            <w:left w:w="70" w:type="dxa"/>
            <w:right w:w="70" w:type="dxa"/>
          </w:tblCellMar>
        </w:tblPrEx>
        <w:tc>
          <w:tcPr>
            <w:tcW w:w="1276" w:type="dxa"/>
            <w:tcBorders>
              <w:top w:val="nil"/>
              <w:bottom w:val="nil"/>
              <w:right w:val="nil"/>
            </w:tcBorders>
          </w:tcPr>
          <w:p w14:paraId="3C30E9F0"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3B8B7F05"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61744FA3" w14:textId="77777777" w:rsidTr="005E14FB">
        <w:tblPrEx>
          <w:tblCellMar>
            <w:left w:w="70" w:type="dxa"/>
            <w:right w:w="70" w:type="dxa"/>
          </w:tblCellMar>
        </w:tblPrEx>
        <w:tc>
          <w:tcPr>
            <w:tcW w:w="1276" w:type="dxa"/>
            <w:tcBorders>
              <w:top w:val="nil"/>
              <w:bottom w:val="nil"/>
              <w:right w:val="nil"/>
            </w:tcBorders>
          </w:tcPr>
          <w:p w14:paraId="6FB2063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DRf</w:t>
            </w:r>
          </w:p>
        </w:tc>
        <w:tc>
          <w:tcPr>
            <w:tcW w:w="8172" w:type="dxa"/>
            <w:tcBorders>
              <w:left w:val="nil"/>
            </w:tcBorders>
          </w:tcPr>
          <w:p w14:paraId="1BA69A25" w14:textId="3873977D"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dose de référence (en exposition orale chronique</w:t>
            </w:r>
            <w:r w:rsidR="001349EA" w:rsidRPr="00F56A0E">
              <w:rPr>
                <w:lang w:val="fr-FR"/>
              </w:rPr>
              <w:t> ;</w:t>
            </w:r>
            <w:r w:rsidRPr="00F56A0E">
              <w:rPr>
                <w:lang w:val="fr-FR"/>
              </w:rPr>
              <w:t xml:space="preserve"> comparable à la DJA)</w:t>
            </w:r>
          </w:p>
        </w:tc>
      </w:tr>
      <w:tr w:rsidR="001323B1" w:rsidRPr="00F56A0E" w14:paraId="21933B54" w14:textId="77777777" w:rsidTr="005E14FB">
        <w:tc>
          <w:tcPr>
            <w:tcW w:w="1276" w:type="dxa"/>
            <w:tcBorders>
              <w:top w:val="nil"/>
              <w:bottom w:val="nil"/>
              <w:right w:val="nil"/>
            </w:tcBorders>
          </w:tcPr>
          <w:p w14:paraId="46200405"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55470B8E"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653D7E85" w14:textId="77777777" w:rsidTr="005E14FB">
        <w:tc>
          <w:tcPr>
            <w:tcW w:w="1276" w:type="dxa"/>
            <w:tcBorders>
              <w:top w:val="nil"/>
              <w:bottom w:val="nil"/>
              <w:right w:val="nil"/>
            </w:tcBorders>
          </w:tcPr>
          <w:p w14:paraId="2857B8D8"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SAICM*</w:t>
            </w:r>
          </w:p>
        </w:tc>
        <w:tc>
          <w:tcPr>
            <w:tcW w:w="8172" w:type="dxa"/>
            <w:tcBorders>
              <w:left w:val="nil"/>
            </w:tcBorders>
          </w:tcPr>
          <w:p w14:paraId="485AFA34" w14:textId="698B82E3"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Approche stratégique de la gestion internationale des produits</w:t>
            </w:r>
            <w:r w:rsidR="00AD2712" w:rsidRPr="00F56A0E">
              <w:rPr>
                <w:lang w:val="fr-FR"/>
              </w:rPr>
              <w:t xml:space="preserve"> </w:t>
            </w:r>
            <w:r w:rsidRPr="00F56A0E">
              <w:rPr>
                <w:lang w:val="fr-FR"/>
              </w:rPr>
              <w:t>chimiques</w:t>
            </w:r>
          </w:p>
        </w:tc>
      </w:tr>
      <w:tr w:rsidR="001323B1" w:rsidRPr="00F56A0E" w14:paraId="4C443A58" w14:textId="77777777" w:rsidTr="005E14FB">
        <w:tc>
          <w:tcPr>
            <w:tcW w:w="1276" w:type="dxa"/>
            <w:tcBorders>
              <w:top w:val="nil"/>
              <w:bottom w:val="nil"/>
              <w:right w:val="nil"/>
            </w:tcBorders>
          </w:tcPr>
          <w:p w14:paraId="032BA829"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tcBorders>
          </w:tcPr>
          <w:p w14:paraId="3CDED954"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71519D14" w14:textId="77777777" w:rsidTr="005E14FB">
        <w:tc>
          <w:tcPr>
            <w:tcW w:w="1276" w:type="dxa"/>
            <w:tcBorders>
              <w:top w:val="nil"/>
              <w:bottom w:val="nil"/>
              <w:right w:val="nil"/>
            </w:tcBorders>
          </w:tcPr>
          <w:p w14:paraId="707F0FBE"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PNUE</w:t>
            </w:r>
          </w:p>
        </w:tc>
        <w:tc>
          <w:tcPr>
            <w:tcW w:w="8172" w:type="dxa"/>
            <w:tcBorders>
              <w:left w:val="nil"/>
            </w:tcBorders>
          </w:tcPr>
          <w:p w14:paraId="558BDAB1" w14:textId="71C504C8"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Programme des Nations Unies pour l</w:t>
            </w:r>
            <w:r w:rsidR="00870D0E" w:rsidRPr="00F56A0E">
              <w:rPr>
                <w:lang w:val="fr-FR"/>
              </w:rPr>
              <w:t>’</w:t>
            </w:r>
            <w:r w:rsidRPr="00F56A0E">
              <w:rPr>
                <w:lang w:val="fr-FR"/>
              </w:rPr>
              <w:t>environnement</w:t>
            </w:r>
          </w:p>
        </w:tc>
      </w:tr>
      <w:tr w:rsidR="001323B1" w:rsidRPr="00F56A0E" w14:paraId="4C22F3E8" w14:textId="77777777" w:rsidTr="005E14FB">
        <w:tc>
          <w:tcPr>
            <w:tcW w:w="1276" w:type="dxa"/>
            <w:tcBorders>
              <w:top w:val="nil"/>
              <w:bottom w:val="nil"/>
              <w:right w:val="nil"/>
            </w:tcBorders>
          </w:tcPr>
          <w:p w14:paraId="6303EDDE"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USEPA</w:t>
            </w:r>
          </w:p>
        </w:tc>
        <w:tc>
          <w:tcPr>
            <w:tcW w:w="8172" w:type="dxa"/>
            <w:tcBorders>
              <w:left w:val="nil"/>
            </w:tcBorders>
          </w:tcPr>
          <w:p w14:paraId="28C9432E" w14:textId="1EF03DA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United States Environmental Protection Agency (agence américaine pour la protection de l</w:t>
            </w:r>
            <w:r w:rsidR="00870D0E" w:rsidRPr="00F56A0E">
              <w:rPr>
                <w:lang w:val="fr-FR"/>
              </w:rPr>
              <w:t>’</w:t>
            </w:r>
            <w:r w:rsidRPr="00F56A0E">
              <w:rPr>
                <w:lang w:val="fr-FR"/>
              </w:rPr>
              <w:t>environnement)</w:t>
            </w:r>
          </w:p>
        </w:tc>
      </w:tr>
      <w:tr w:rsidR="001323B1" w:rsidRPr="00F56A0E" w14:paraId="52112450" w14:textId="77777777" w:rsidTr="005E14FB">
        <w:tc>
          <w:tcPr>
            <w:tcW w:w="1276" w:type="dxa"/>
            <w:tcBorders>
              <w:top w:val="nil"/>
              <w:bottom w:val="nil"/>
              <w:right w:val="nil"/>
            </w:tcBorders>
          </w:tcPr>
          <w:p w14:paraId="73F3EDF5"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UV</w:t>
            </w:r>
          </w:p>
        </w:tc>
        <w:tc>
          <w:tcPr>
            <w:tcW w:w="8172" w:type="dxa"/>
            <w:tcBorders>
              <w:left w:val="nil"/>
            </w:tcBorders>
          </w:tcPr>
          <w:p w14:paraId="6FFCD8AC"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ultraviolet</w:t>
            </w:r>
          </w:p>
        </w:tc>
      </w:tr>
      <w:tr w:rsidR="001323B1" w:rsidRPr="00F56A0E" w14:paraId="39E517B4" w14:textId="77777777" w:rsidTr="005E14FB">
        <w:tc>
          <w:tcPr>
            <w:tcW w:w="1276" w:type="dxa"/>
            <w:tcBorders>
              <w:top w:val="nil"/>
              <w:bottom w:val="nil"/>
              <w:right w:val="nil"/>
            </w:tcBorders>
          </w:tcPr>
          <w:p w14:paraId="76AAE534"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p>
        </w:tc>
        <w:tc>
          <w:tcPr>
            <w:tcW w:w="8172" w:type="dxa"/>
            <w:tcBorders>
              <w:left w:val="nil"/>
              <w:bottom w:val="nil"/>
            </w:tcBorders>
          </w:tcPr>
          <w:p w14:paraId="1527FB6C" w14:textId="77777777" w:rsidR="001323B1" w:rsidRPr="00F56A0E" w:rsidRDefault="001323B1" w:rsidP="005E14FB">
            <w:pPr>
              <w:tabs>
                <w:tab w:val="left" w:pos="624"/>
                <w:tab w:val="left" w:pos="1247"/>
                <w:tab w:val="left" w:pos="1871"/>
                <w:tab w:val="left" w:pos="2495"/>
              </w:tabs>
              <w:ind w:left="176"/>
              <w:rPr>
                <w:color w:val="000000"/>
                <w:szCs w:val="22"/>
                <w:lang w:val="fr-FR"/>
              </w:rPr>
            </w:pPr>
          </w:p>
        </w:tc>
      </w:tr>
      <w:tr w:rsidR="001323B1" w:rsidRPr="00F56A0E" w14:paraId="1657D461" w14:textId="77777777" w:rsidTr="005E14FB">
        <w:tc>
          <w:tcPr>
            <w:tcW w:w="1276" w:type="dxa"/>
            <w:tcBorders>
              <w:top w:val="nil"/>
              <w:bottom w:val="nil"/>
              <w:right w:val="nil"/>
            </w:tcBorders>
          </w:tcPr>
          <w:p w14:paraId="24CB3A72"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p/p ou m/m</w:t>
            </w:r>
          </w:p>
        </w:tc>
        <w:tc>
          <w:tcPr>
            <w:tcW w:w="8172" w:type="dxa"/>
            <w:tcBorders>
              <w:top w:val="nil"/>
              <w:left w:val="nil"/>
              <w:bottom w:val="nil"/>
            </w:tcBorders>
          </w:tcPr>
          <w:p w14:paraId="238DEA07"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rapport poids par poids ou masse par masse</w:t>
            </w:r>
          </w:p>
        </w:tc>
      </w:tr>
      <w:tr w:rsidR="001323B1" w:rsidRPr="00F56A0E" w14:paraId="239FAF61" w14:textId="77777777" w:rsidTr="005E14FB">
        <w:tc>
          <w:tcPr>
            <w:tcW w:w="1276" w:type="dxa"/>
            <w:tcBorders>
              <w:top w:val="nil"/>
              <w:bottom w:val="nil"/>
              <w:right w:val="nil"/>
            </w:tcBorders>
          </w:tcPr>
          <w:p w14:paraId="427B4BCE"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OMS</w:t>
            </w:r>
          </w:p>
        </w:tc>
        <w:tc>
          <w:tcPr>
            <w:tcW w:w="8172" w:type="dxa"/>
            <w:tcBorders>
              <w:top w:val="nil"/>
              <w:left w:val="nil"/>
              <w:bottom w:val="nil"/>
            </w:tcBorders>
          </w:tcPr>
          <w:p w14:paraId="0F17EB04" w14:textId="77777777" w:rsidR="001323B1" w:rsidRPr="00F56A0E" w:rsidRDefault="001323B1" w:rsidP="005E14FB">
            <w:pPr>
              <w:tabs>
                <w:tab w:val="left" w:pos="624"/>
                <w:tab w:val="left" w:pos="1247"/>
                <w:tab w:val="left" w:pos="1871"/>
                <w:tab w:val="left" w:pos="2495"/>
              </w:tabs>
              <w:ind w:left="176"/>
              <w:rPr>
                <w:color w:val="000000"/>
                <w:szCs w:val="22"/>
                <w:lang w:val="fr-FR"/>
              </w:rPr>
            </w:pPr>
            <w:r w:rsidRPr="00F56A0E">
              <w:rPr>
                <w:lang w:val="fr-FR"/>
              </w:rPr>
              <w:t>Organisation mondiale de la Santé</w:t>
            </w:r>
          </w:p>
        </w:tc>
      </w:tr>
      <w:tr w:rsidR="001323B1" w:rsidRPr="00F56A0E" w14:paraId="3B7DF094" w14:textId="77777777" w:rsidTr="005E14FB">
        <w:tc>
          <w:tcPr>
            <w:tcW w:w="1276" w:type="dxa"/>
            <w:tcBorders>
              <w:top w:val="nil"/>
              <w:bottom w:val="single" w:sz="6" w:space="0" w:color="auto"/>
              <w:right w:val="nil"/>
            </w:tcBorders>
          </w:tcPr>
          <w:p w14:paraId="4017D52F" w14:textId="77777777" w:rsidR="001323B1" w:rsidRPr="00F56A0E" w:rsidRDefault="001323B1" w:rsidP="005E14FB">
            <w:pPr>
              <w:tabs>
                <w:tab w:val="left" w:pos="624"/>
                <w:tab w:val="left" w:pos="1247"/>
                <w:tab w:val="left" w:pos="1871"/>
                <w:tab w:val="left" w:pos="2495"/>
              </w:tabs>
              <w:ind w:left="176" w:hanging="142"/>
              <w:rPr>
                <w:color w:val="000000"/>
                <w:szCs w:val="22"/>
                <w:lang w:val="fr-FR"/>
              </w:rPr>
            </w:pPr>
            <w:r w:rsidRPr="00F56A0E">
              <w:rPr>
                <w:lang w:val="fr-FR"/>
              </w:rPr>
              <w:t>p.</w:t>
            </w:r>
          </w:p>
        </w:tc>
        <w:tc>
          <w:tcPr>
            <w:tcW w:w="8172" w:type="dxa"/>
            <w:tcBorders>
              <w:top w:val="nil"/>
              <w:left w:val="nil"/>
              <w:bottom w:val="single" w:sz="6" w:space="0" w:color="auto"/>
            </w:tcBorders>
          </w:tcPr>
          <w:p w14:paraId="749DAEE7" w14:textId="5749641D" w:rsidR="001323B1" w:rsidRPr="00F56A0E" w:rsidRDefault="00F625EA" w:rsidP="005E14FB">
            <w:pPr>
              <w:tabs>
                <w:tab w:val="left" w:pos="624"/>
                <w:tab w:val="left" w:pos="1247"/>
                <w:tab w:val="left" w:pos="1871"/>
                <w:tab w:val="left" w:pos="2495"/>
              </w:tabs>
              <w:ind w:left="176"/>
              <w:rPr>
                <w:lang w:val="fr-FR"/>
              </w:rPr>
            </w:pPr>
            <w:r w:rsidRPr="00F56A0E">
              <w:rPr>
                <w:lang w:val="fr-FR"/>
              </w:rPr>
              <w:t>P</w:t>
            </w:r>
            <w:r w:rsidR="001323B1" w:rsidRPr="00F56A0E">
              <w:rPr>
                <w:lang w:val="fr-FR"/>
              </w:rPr>
              <w:t>oids</w:t>
            </w:r>
          </w:p>
          <w:p w14:paraId="6D5A47B6" w14:textId="3EB659BE" w:rsidR="00F625EA" w:rsidRPr="00F56A0E" w:rsidRDefault="00F625EA" w:rsidP="005E14FB">
            <w:pPr>
              <w:tabs>
                <w:tab w:val="left" w:pos="624"/>
                <w:tab w:val="left" w:pos="1247"/>
                <w:tab w:val="left" w:pos="1871"/>
                <w:tab w:val="left" w:pos="2495"/>
              </w:tabs>
              <w:ind w:left="176"/>
              <w:rPr>
                <w:color w:val="000000"/>
                <w:szCs w:val="22"/>
                <w:lang w:val="fr-FR"/>
              </w:rPr>
            </w:pPr>
          </w:p>
        </w:tc>
      </w:tr>
    </w:tbl>
    <w:p w14:paraId="57098D5F" w14:textId="77777777" w:rsidR="001323B1" w:rsidRPr="00F56A0E" w:rsidRDefault="001323B1" w:rsidP="001323B1">
      <w:pPr>
        <w:spacing w:after="120"/>
        <w:ind w:firstLine="720"/>
        <w:rPr>
          <w:rFonts w:eastAsia="Times New Roman"/>
          <w:lang w:val="fr-FR" w:eastAsia="en-US"/>
        </w:rPr>
      </w:pPr>
      <w:r w:rsidRPr="00F56A0E">
        <w:rPr>
          <w:rFonts w:eastAsia="Times New Roman"/>
          <w:lang w:val="fr-FR" w:eastAsia="en-US"/>
        </w:rPr>
        <w:br w:type="page"/>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450"/>
      </w:tblGrid>
      <w:tr w:rsidR="001323B1" w:rsidRPr="00F56A0E" w14:paraId="1437AE8C" w14:textId="77777777" w:rsidTr="005E14FB">
        <w:tc>
          <w:tcPr>
            <w:tcW w:w="9450" w:type="dxa"/>
            <w:shd w:val="pct10" w:color="auto" w:fill="auto"/>
          </w:tcPr>
          <w:p w14:paraId="24816CCD" w14:textId="3EFA125C" w:rsidR="001323B1" w:rsidRPr="00F56A0E" w:rsidRDefault="001323B1" w:rsidP="005E14FB">
            <w:pPr>
              <w:keepNext/>
              <w:spacing w:before="40" w:after="60"/>
              <w:outlineLvl w:val="0"/>
              <w:rPr>
                <w:rFonts w:eastAsia="Times New Roman"/>
                <w:b/>
                <w:bCs/>
                <w:kern w:val="28"/>
                <w:szCs w:val="29"/>
                <w:lang w:val="fr-FR"/>
              </w:rPr>
            </w:pPr>
            <w:r w:rsidRPr="00F56A0E">
              <w:rPr>
                <w:b/>
                <w:bCs/>
                <w:lang w:val="fr-FR"/>
              </w:rPr>
              <w:lastRenderedPageBreak/>
              <w:t>Document d</w:t>
            </w:r>
            <w:r w:rsidR="00870D0E" w:rsidRPr="00F56A0E">
              <w:rPr>
                <w:b/>
                <w:bCs/>
                <w:lang w:val="fr-FR"/>
              </w:rPr>
              <w:t>’</w:t>
            </w:r>
            <w:r w:rsidRPr="00F56A0E">
              <w:rPr>
                <w:b/>
                <w:bCs/>
                <w:lang w:val="fr-FR"/>
              </w:rPr>
              <w:t>orientation des décisions pour un produit chimique interdit ou strictement réglementé</w:t>
            </w:r>
          </w:p>
        </w:tc>
      </w:tr>
    </w:tbl>
    <w:p w14:paraId="372FDB92" w14:textId="77777777" w:rsidR="001323B1" w:rsidRPr="00F56A0E" w:rsidRDefault="001323B1" w:rsidP="001323B1">
      <w:pPr>
        <w:tabs>
          <w:tab w:val="left" w:pos="-720"/>
          <w:tab w:val="left" w:pos="0"/>
          <w:tab w:val="left" w:pos="720"/>
        </w:tabs>
        <w:suppressAutoHyphens/>
        <w:rPr>
          <w:rFonts w:eastAsia="Times New Roman"/>
          <w:szCs w:val="10"/>
          <w:lang w:val="fr-FR" w:eastAsia="en-US"/>
        </w:rPr>
      </w:pPr>
    </w:p>
    <w:tbl>
      <w:tblPr>
        <w:tblW w:w="0" w:type="auto"/>
        <w:tblInd w:w="108" w:type="dxa"/>
        <w:tblLayout w:type="fixed"/>
        <w:tblLook w:val="0000" w:firstRow="0" w:lastRow="0" w:firstColumn="0" w:lastColumn="0" w:noHBand="0" w:noVBand="0"/>
      </w:tblPr>
      <w:tblGrid>
        <w:gridCol w:w="6224"/>
        <w:gridCol w:w="3226"/>
      </w:tblGrid>
      <w:tr w:rsidR="001323B1" w:rsidRPr="00F56A0E" w14:paraId="0D81398F" w14:textId="77777777" w:rsidTr="005E14FB">
        <w:trPr>
          <w:cantSplit/>
        </w:trPr>
        <w:tc>
          <w:tcPr>
            <w:tcW w:w="6224" w:type="dxa"/>
            <w:tcBorders>
              <w:top w:val="single" w:sz="6" w:space="0" w:color="808080"/>
              <w:left w:val="single" w:sz="6" w:space="0" w:color="808080"/>
              <w:bottom w:val="single" w:sz="6" w:space="0" w:color="808080"/>
            </w:tcBorders>
            <w:shd w:val="clear" w:color="auto" w:fill="FFFFFF"/>
          </w:tcPr>
          <w:p w14:paraId="4207380C" w14:textId="77777777" w:rsidR="001323B1" w:rsidRPr="00F56A0E" w:rsidRDefault="001323B1" w:rsidP="005E14FB">
            <w:pPr>
              <w:keepNext/>
              <w:rPr>
                <w:rFonts w:eastAsia="Times New Roman"/>
                <w:b/>
                <w:bCs/>
                <w:i/>
                <w:iCs/>
                <w:kern w:val="28"/>
                <w:sz w:val="28"/>
                <w:szCs w:val="28"/>
                <w:lang w:val="fr-FR"/>
              </w:rPr>
            </w:pPr>
            <w:r w:rsidRPr="00F56A0E">
              <w:rPr>
                <w:i/>
                <w:iCs/>
                <w:sz w:val="28"/>
                <w:szCs w:val="28"/>
                <w:lang w:val="fr-FR"/>
              </w:rPr>
              <w:t>Terbufos</w:t>
            </w:r>
          </w:p>
        </w:tc>
        <w:tc>
          <w:tcPr>
            <w:tcW w:w="3226" w:type="dxa"/>
            <w:tcBorders>
              <w:top w:val="single" w:sz="6" w:space="0" w:color="808080"/>
              <w:bottom w:val="single" w:sz="6" w:space="0" w:color="808080"/>
              <w:right w:val="single" w:sz="6" w:space="0" w:color="808080"/>
            </w:tcBorders>
            <w:shd w:val="clear" w:color="auto" w:fill="FFFFFF"/>
          </w:tcPr>
          <w:p w14:paraId="29FDED31" w14:textId="046D0BC7" w:rsidR="001323B1" w:rsidRPr="00F56A0E" w:rsidRDefault="001323B1" w:rsidP="005E14FB">
            <w:pPr>
              <w:keepNext/>
              <w:jc w:val="center"/>
              <w:rPr>
                <w:rFonts w:eastAsia="Times New Roman"/>
                <w:b/>
                <w:bCs/>
                <w:i/>
                <w:kern w:val="28"/>
                <w:szCs w:val="48"/>
                <w:lang w:val="fr-FR"/>
              </w:rPr>
            </w:pPr>
            <w:r w:rsidRPr="00F56A0E">
              <w:rPr>
                <w:b/>
                <w:bCs/>
                <w:lang w:val="fr-FR"/>
              </w:rPr>
              <w:t>Date de publication</w:t>
            </w:r>
            <w:r w:rsidR="00157D75" w:rsidRPr="00F56A0E">
              <w:rPr>
                <w:b/>
                <w:bCs/>
                <w:lang w:val="fr-FR"/>
              </w:rPr>
              <w:t> :</w:t>
            </w:r>
          </w:p>
        </w:tc>
      </w:tr>
      <w:tr w:rsidR="001323B1" w:rsidRPr="00F56A0E" w14:paraId="1218EC92" w14:textId="77777777" w:rsidTr="005E14FB">
        <w:trPr>
          <w:cantSplit/>
        </w:trPr>
        <w:tc>
          <w:tcPr>
            <w:tcW w:w="9450" w:type="dxa"/>
            <w:gridSpan w:val="2"/>
            <w:tcBorders>
              <w:top w:val="single" w:sz="6" w:space="0" w:color="808080"/>
            </w:tcBorders>
          </w:tcPr>
          <w:p w14:paraId="3189E4BD" w14:textId="77777777" w:rsidR="001323B1" w:rsidRPr="00F56A0E" w:rsidRDefault="001323B1" w:rsidP="005E14FB">
            <w:pPr>
              <w:ind w:left="576"/>
              <w:rPr>
                <w:rFonts w:eastAsia="Times New Roman"/>
                <w:lang w:val="fr-FR" w:eastAsia="en-US"/>
              </w:rPr>
            </w:pPr>
          </w:p>
        </w:tc>
      </w:tr>
    </w:tbl>
    <w:p w14:paraId="61386292" w14:textId="77777777" w:rsidR="001323B1" w:rsidRPr="00F56A0E" w:rsidRDefault="001323B1" w:rsidP="001323B1">
      <w:pPr>
        <w:rPr>
          <w:rFonts w:eastAsia="Times New Roman"/>
          <w:lang w:val="fr-FR" w:eastAsia="en-US"/>
        </w:rPr>
      </w:pPr>
    </w:p>
    <w:tbl>
      <w:tblPr>
        <w:tblW w:w="9498" w:type="dxa"/>
        <w:tblInd w:w="108" w:type="dxa"/>
        <w:tblLayout w:type="fixed"/>
        <w:tblLook w:val="0000" w:firstRow="0" w:lastRow="0" w:firstColumn="0" w:lastColumn="0" w:noHBand="0" w:noVBand="0"/>
      </w:tblPr>
      <w:tblGrid>
        <w:gridCol w:w="2127"/>
        <w:gridCol w:w="7360"/>
        <w:gridCol w:w="11"/>
      </w:tblGrid>
      <w:tr w:rsidR="001323B1" w:rsidRPr="00F56A0E" w14:paraId="3542E82A" w14:textId="77777777" w:rsidTr="005E14FB">
        <w:tc>
          <w:tcPr>
            <w:tcW w:w="9498" w:type="dxa"/>
            <w:gridSpan w:val="3"/>
            <w:shd w:val="pct10" w:color="auto" w:fill="auto"/>
          </w:tcPr>
          <w:p w14:paraId="4B2A6A75" w14:textId="675063B5" w:rsidR="001323B1" w:rsidRPr="00F56A0E" w:rsidRDefault="001323B1" w:rsidP="005E14FB">
            <w:pPr>
              <w:rPr>
                <w:rFonts w:eastAsia="Times New Roman"/>
                <w:b/>
                <w:lang w:val="fr-FR"/>
              </w:rPr>
            </w:pPr>
            <w:r w:rsidRPr="00F56A0E">
              <w:rPr>
                <w:b/>
                <w:bCs/>
                <w:lang w:val="fr-FR"/>
              </w:rPr>
              <w:t>1.</w:t>
            </w:r>
            <w:r w:rsidRPr="00F56A0E">
              <w:rPr>
                <w:lang w:val="fr-FR"/>
              </w:rPr>
              <w:t xml:space="preserve"> </w:t>
            </w:r>
            <w:r w:rsidRPr="00F56A0E">
              <w:rPr>
                <w:b/>
                <w:bCs/>
                <w:lang w:val="fr-FR"/>
              </w:rPr>
              <w:t>Identification et utilisations (voir l</w:t>
            </w:r>
            <w:r w:rsidR="00870D0E" w:rsidRPr="00F56A0E">
              <w:rPr>
                <w:b/>
                <w:bCs/>
                <w:lang w:val="fr-FR"/>
              </w:rPr>
              <w:t>’</w:t>
            </w:r>
            <w:r w:rsidRPr="00F56A0E">
              <w:rPr>
                <w:b/>
                <w:bCs/>
                <w:lang w:val="fr-FR"/>
              </w:rPr>
              <w:t>annexe 1 pour plus de précisions)</w:t>
            </w:r>
            <w:r w:rsidRPr="00F56A0E">
              <w:rPr>
                <w:lang w:val="fr-FR"/>
              </w:rPr>
              <w:t xml:space="preserve"> </w:t>
            </w:r>
          </w:p>
        </w:tc>
      </w:tr>
      <w:tr w:rsidR="001323B1" w:rsidRPr="00F56A0E" w14:paraId="4EDB0A5C" w14:textId="77777777" w:rsidTr="005E14FB">
        <w:tc>
          <w:tcPr>
            <w:tcW w:w="2127" w:type="dxa"/>
          </w:tcPr>
          <w:p w14:paraId="62D16F0B" w14:textId="77777777" w:rsidR="001323B1" w:rsidRPr="00F56A0E" w:rsidRDefault="001323B1" w:rsidP="005E14FB">
            <w:pPr>
              <w:spacing w:before="20" w:after="20"/>
              <w:outlineLvl w:val="2"/>
              <w:rPr>
                <w:rFonts w:eastAsia="Times New Roman"/>
                <w:b/>
                <w:bCs/>
                <w:lang w:val="fr-FR"/>
              </w:rPr>
            </w:pPr>
            <w:r w:rsidRPr="00F56A0E">
              <w:rPr>
                <w:b/>
                <w:bCs/>
                <w:lang w:val="fr-FR"/>
              </w:rPr>
              <w:t>Nom usuel</w:t>
            </w:r>
          </w:p>
        </w:tc>
        <w:tc>
          <w:tcPr>
            <w:tcW w:w="7371" w:type="dxa"/>
            <w:gridSpan w:val="2"/>
          </w:tcPr>
          <w:p w14:paraId="179DE665" w14:textId="77777777" w:rsidR="001323B1" w:rsidRPr="00F56A0E" w:rsidRDefault="001323B1" w:rsidP="005E14FB">
            <w:pPr>
              <w:rPr>
                <w:rFonts w:eastAsia="Times New Roman"/>
                <w:lang w:val="fr-FR"/>
              </w:rPr>
            </w:pPr>
            <w:r w:rsidRPr="00F56A0E">
              <w:rPr>
                <w:lang w:val="fr-FR"/>
              </w:rPr>
              <w:t>Terbufos</w:t>
            </w:r>
          </w:p>
          <w:p w14:paraId="1F9C6BAA" w14:textId="77777777" w:rsidR="001323B1" w:rsidRPr="00F56A0E" w:rsidRDefault="001323B1" w:rsidP="005E14FB">
            <w:pPr>
              <w:rPr>
                <w:rFonts w:eastAsia="Times New Roman"/>
                <w:lang w:val="fr-FR" w:eastAsia="en-US"/>
              </w:rPr>
            </w:pPr>
          </w:p>
        </w:tc>
      </w:tr>
      <w:tr w:rsidR="001323B1" w:rsidRPr="00F56A0E" w14:paraId="6D93A022" w14:textId="77777777" w:rsidTr="005E14FB">
        <w:tc>
          <w:tcPr>
            <w:tcW w:w="2127" w:type="dxa"/>
          </w:tcPr>
          <w:p w14:paraId="44294EB4" w14:textId="77777777" w:rsidR="001323B1" w:rsidRPr="00F56A0E" w:rsidRDefault="001323B1" w:rsidP="005E14FB">
            <w:pPr>
              <w:outlineLvl w:val="2"/>
              <w:rPr>
                <w:rFonts w:eastAsia="Times New Roman"/>
                <w:b/>
                <w:bCs/>
                <w:lang w:val="fr-FR"/>
              </w:rPr>
            </w:pPr>
            <w:r w:rsidRPr="00F56A0E">
              <w:rPr>
                <w:b/>
                <w:bCs/>
                <w:lang w:val="fr-FR"/>
              </w:rPr>
              <w:t>Nom chimique et autres noms ou synonymes</w:t>
            </w:r>
          </w:p>
        </w:tc>
        <w:tc>
          <w:tcPr>
            <w:tcW w:w="7371" w:type="dxa"/>
            <w:gridSpan w:val="2"/>
          </w:tcPr>
          <w:p w14:paraId="7FBD1CB7" w14:textId="7908EBE2" w:rsidR="001323B1" w:rsidRPr="00F56A0E" w:rsidRDefault="001323B1" w:rsidP="005E14FB">
            <w:pPr>
              <w:rPr>
                <w:lang w:val="fr-FR"/>
              </w:rPr>
            </w:pPr>
            <w:r w:rsidRPr="00F56A0E">
              <w:rPr>
                <w:lang w:val="fr-FR"/>
              </w:rPr>
              <w:t>UICPA</w:t>
            </w:r>
            <w:r w:rsidR="00157D75" w:rsidRPr="00F56A0E">
              <w:rPr>
                <w:lang w:val="fr-FR"/>
              </w:rPr>
              <w:t> :</w:t>
            </w:r>
            <w:r w:rsidRPr="00F56A0E">
              <w:rPr>
                <w:lang w:val="fr-FR"/>
              </w:rPr>
              <w:t xml:space="preserve"> phosphorodithioate de S-[(</w:t>
            </w:r>
            <w:r w:rsidRPr="00F56A0E">
              <w:rPr>
                <w:i/>
                <w:iCs/>
                <w:lang w:val="fr-FR"/>
              </w:rPr>
              <w:t>tert</w:t>
            </w:r>
            <w:r w:rsidRPr="00F56A0E">
              <w:rPr>
                <w:lang w:val="fr-FR"/>
              </w:rPr>
              <w:t>-Butylsulfanyl)méthyl] O,O-diéthyle</w:t>
            </w:r>
          </w:p>
          <w:p w14:paraId="150383B5" w14:textId="5FD82A6F" w:rsidR="001323B1" w:rsidRPr="00F56A0E" w:rsidRDefault="001323B1" w:rsidP="005E14FB">
            <w:pPr>
              <w:rPr>
                <w:lang w:val="fr-FR"/>
              </w:rPr>
            </w:pPr>
            <w:r w:rsidRPr="00F56A0E">
              <w:rPr>
                <w:lang w:val="fr-FR"/>
              </w:rPr>
              <w:t>CAS</w:t>
            </w:r>
            <w:r w:rsidR="00157D75" w:rsidRPr="00F56A0E">
              <w:rPr>
                <w:lang w:val="fr-FR"/>
              </w:rPr>
              <w:t> :</w:t>
            </w:r>
            <w:r w:rsidRPr="00F56A0E">
              <w:rPr>
                <w:lang w:val="fr-FR"/>
              </w:rPr>
              <w:t xml:space="preserve"> S-[[(1,1-Dimethylethyl)thio]methyl] O,O-diethyl phoshporodithioate</w:t>
            </w:r>
          </w:p>
          <w:p w14:paraId="42E06788" w14:textId="03733CDB" w:rsidR="001323B1" w:rsidRPr="00F56A0E" w:rsidRDefault="001323B1" w:rsidP="005E14FB">
            <w:pPr>
              <w:rPr>
                <w:rFonts w:eastAsia="Times New Roman"/>
                <w:i/>
                <w:lang w:val="fr-FR"/>
              </w:rPr>
            </w:pPr>
            <w:r w:rsidRPr="00F56A0E">
              <w:rPr>
                <w:i/>
                <w:iCs/>
                <w:lang w:val="fr-FR"/>
              </w:rPr>
              <w:t>Autre nom UICPA</w:t>
            </w:r>
            <w:r w:rsidR="00157D75" w:rsidRPr="00F56A0E">
              <w:rPr>
                <w:lang w:val="fr-FR"/>
              </w:rPr>
              <w:t> :</w:t>
            </w:r>
            <w:r w:rsidRPr="00F56A0E">
              <w:rPr>
                <w:lang w:val="fr-FR"/>
              </w:rPr>
              <w:t xml:space="preserve"> </w:t>
            </w:r>
            <w:r w:rsidRPr="00F56A0E">
              <w:rPr>
                <w:i/>
                <w:iCs/>
                <w:lang w:val="fr-FR"/>
              </w:rPr>
              <w:t>tert</w:t>
            </w:r>
            <w:r w:rsidRPr="00F56A0E">
              <w:rPr>
                <w:lang w:val="fr-FR"/>
              </w:rPr>
              <w:t>-butylsulfanylméthylsulfanyl-diéthoxy-sulfanylidène-λ</w:t>
            </w:r>
            <w:r w:rsidRPr="00F56A0E">
              <w:rPr>
                <w:vertAlign w:val="superscript"/>
                <w:lang w:val="fr-FR"/>
              </w:rPr>
              <w:t>5</w:t>
            </w:r>
            <w:r w:rsidRPr="00F56A0E">
              <w:rPr>
                <w:lang w:val="fr-FR"/>
              </w:rPr>
              <w:t>-phosphane</w:t>
            </w:r>
          </w:p>
          <w:p w14:paraId="35F0AFC3" w14:textId="77777777" w:rsidR="001323B1" w:rsidRPr="00F56A0E" w:rsidRDefault="001323B1" w:rsidP="005E14FB">
            <w:pPr>
              <w:rPr>
                <w:rFonts w:eastAsia="Times New Roman"/>
                <w:i/>
                <w:lang w:val="fr-FR" w:eastAsia="en-US"/>
              </w:rPr>
            </w:pPr>
          </w:p>
        </w:tc>
      </w:tr>
      <w:tr w:rsidR="001323B1" w:rsidRPr="00F56A0E" w14:paraId="6FC95272" w14:textId="77777777" w:rsidTr="005E14FB">
        <w:tc>
          <w:tcPr>
            <w:tcW w:w="2127" w:type="dxa"/>
          </w:tcPr>
          <w:p w14:paraId="53731F74" w14:textId="77777777" w:rsidR="001323B1" w:rsidRPr="00F56A0E" w:rsidRDefault="001323B1" w:rsidP="005E14FB">
            <w:pPr>
              <w:rPr>
                <w:rFonts w:eastAsia="Times New Roman"/>
                <w:b/>
                <w:sz w:val="22"/>
                <w:lang w:val="fr-FR"/>
              </w:rPr>
            </w:pPr>
            <w:r w:rsidRPr="00F56A0E">
              <w:rPr>
                <w:lang w:val="fr-FR"/>
              </w:rPr>
              <w:t>Formule moléculaire</w:t>
            </w:r>
          </w:p>
        </w:tc>
        <w:tc>
          <w:tcPr>
            <w:tcW w:w="7371" w:type="dxa"/>
            <w:gridSpan w:val="2"/>
          </w:tcPr>
          <w:p w14:paraId="028A7C96" w14:textId="77777777" w:rsidR="001323B1" w:rsidRPr="00F56A0E" w:rsidRDefault="001323B1" w:rsidP="005E14FB">
            <w:pPr>
              <w:rPr>
                <w:rFonts w:eastAsia="Times New Roman"/>
                <w:vertAlign w:val="subscript"/>
                <w:lang w:val="fr-FR"/>
              </w:rPr>
            </w:pPr>
            <w:r w:rsidRPr="00F56A0E">
              <w:rPr>
                <w:lang w:val="fr-FR"/>
              </w:rPr>
              <w:t>C</w:t>
            </w:r>
            <w:r w:rsidRPr="00F56A0E">
              <w:rPr>
                <w:vertAlign w:val="subscript"/>
                <w:lang w:val="fr-FR"/>
              </w:rPr>
              <w:t>9</w:t>
            </w:r>
            <w:r w:rsidRPr="00F56A0E">
              <w:rPr>
                <w:lang w:val="fr-FR"/>
              </w:rPr>
              <w:t>H</w:t>
            </w:r>
            <w:r w:rsidRPr="00F56A0E">
              <w:rPr>
                <w:vertAlign w:val="subscript"/>
                <w:lang w:val="fr-FR"/>
              </w:rPr>
              <w:t>21</w:t>
            </w:r>
            <w:r w:rsidRPr="00F56A0E">
              <w:rPr>
                <w:lang w:val="fr-FR"/>
              </w:rPr>
              <w:t>O</w:t>
            </w:r>
            <w:r w:rsidRPr="00F56A0E">
              <w:rPr>
                <w:vertAlign w:val="subscript"/>
                <w:lang w:val="fr-FR"/>
              </w:rPr>
              <w:t>2</w:t>
            </w:r>
            <w:r w:rsidRPr="00F56A0E">
              <w:rPr>
                <w:lang w:val="fr-FR"/>
              </w:rPr>
              <w:t>PS</w:t>
            </w:r>
            <w:r w:rsidRPr="00F56A0E">
              <w:rPr>
                <w:vertAlign w:val="subscript"/>
                <w:lang w:val="fr-FR"/>
              </w:rPr>
              <w:t>3</w:t>
            </w:r>
          </w:p>
          <w:p w14:paraId="15DA38FF" w14:textId="77777777" w:rsidR="001323B1" w:rsidRPr="00F56A0E" w:rsidRDefault="001323B1" w:rsidP="005E14FB">
            <w:pPr>
              <w:rPr>
                <w:rFonts w:eastAsia="Times New Roman"/>
                <w:lang w:val="fr-FR" w:eastAsia="en-US"/>
              </w:rPr>
            </w:pPr>
          </w:p>
        </w:tc>
      </w:tr>
      <w:tr w:rsidR="001323B1" w:rsidRPr="00F56A0E" w14:paraId="6F1EF1F4" w14:textId="77777777" w:rsidTr="005E14FB">
        <w:tc>
          <w:tcPr>
            <w:tcW w:w="2127" w:type="dxa"/>
          </w:tcPr>
          <w:p w14:paraId="196CDF05" w14:textId="77777777" w:rsidR="001323B1" w:rsidRPr="00F56A0E" w:rsidRDefault="001323B1" w:rsidP="005E14FB">
            <w:pPr>
              <w:rPr>
                <w:rFonts w:eastAsia="Times New Roman"/>
                <w:lang w:val="fr-FR"/>
              </w:rPr>
            </w:pPr>
            <w:r w:rsidRPr="00F56A0E">
              <w:rPr>
                <w:lang w:val="fr-FR"/>
              </w:rPr>
              <w:t>Structure chimique</w:t>
            </w:r>
          </w:p>
        </w:tc>
        <w:tc>
          <w:tcPr>
            <w:tcW w:w="7371" w:type="dxa"/>
            <w:gridSpan w:val="2"/>
          </w:tcPr>
          <w:p w14:paraId="00B4832F" w14:textId="77777777" w:rsidR="001323B1" w:rsidRPr="00F56A0E" w:rsidRDefault="001323B1" w:rsidP="005E14FB">
            <w:pPr>
              <w:rPr>
                <w:rFonts w:eastAsia="Times New Roman"/>
                <w:b/>
                <w:lang w:val="fr-FR" w:eastAsia="en-US"/>
              </w:rPr>
            </w:pPr>
            <w:r w:rsidRPr="00F56A0E">
              <w:rPr>
                <w:rFonts w:eastAsia="Times New Roman"/>
                <w:b/>
                <w:lang w:val="fr-FR" w:eastAsia="en-CA"/>
              </w:rPr>
              <w:drawing>
                <wp:inline distT="0" distB="0" distL="0" distR="0" wp14:anchorId="646EBAF6" wp14:editId="07075A85">
                  <wp:extent cx="2044700" cy="1104900"/>
                  <wp:effectExtent l="0" t="0" r="0" b="0"/>
                  <wp:docPr id="3" name="Picture 3"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4700" cy="1104900"/>
                          </a:xfrm>
                          <a:prstGeom prst="rect">
                            <a:avLst/>
                          </a:prstGeom>
                          <a:noFill/>
                          <a:ln>
                            <a:noFill/>
                          </a:ln>
                        </pic:spPr>
                      </pic:pic>
                    </a:graphicData>
                  </a:graphic>
                </wp:inline>
              </w:drawing>
            </w:r>
          </w:p>
          <w:p w14:paraId="281956AD" w14:textId="77777777" w:rsidR="001323B1" w:rsidRPr="00F56A0E" w:rsidRDefault="001323B1" w:rsidP="005E14FB">
            <w:pPr>
              <w:rPr>
                <w:rFonts w:eastAsia="Times New Roman"/>
                <w:b/>
                <w:lang w:val="fr-FR" w:eastAsia="en-US"/>
              </w:rPr>
            </w:pPr>
          </w:p>
        </w:tc>
      </w:tr>
      <w:tr w:rsidR="001323B1" w:rsidRPr="00F56A0E" w14:paraId="6B5E8092" w14:textId="77777777" w:rsidTr="005E14FB">
        <w:tc>
          <w:tcPr>
            <w:tcW w:w="2127" w:type="dxa"/>
          </w:tcPr>
          <w:p w14:paraId="11351172" w14:textId="77777777" w:rsidR="001323B1" w:rsidRPr="00F56A0E" w:rsidRDefault="001323B1" w:rsidP="005E14FB">
            <w:pPr>
              <w:rPr>
                <w:rFonts w:eastAsia="Times New Roman"/>
                <w:b/>
                <w:sz w:val="22"/>
                <w:lang w:val="fr-FR"/>
              </w:rPr>
            </w:pPr>
            <w:r w:rsidRPr="00F56A0E">
              <w:rPr>
                <w:b/>
                <w:bCs/>
                <w:lang w:val="fr-FR"/>
              </w:rPr>
              <w:t>Numéro(s) CAS</w:t>
            </w:r>
          </w:p>
          <w:p w14:paraId="3BEAFE95" w14:textId="77777777" w:rsidR="001323B1" w:rsidRPr="00F56A0E" w:rsidRDefault="001323B1" w:rsidP="005E14FB">
            <w:pPr>
              <w:rPr>
                <w:rFonts w:eastAsia="Times New Roman"/>
                <w:lang w:val="fr-FR" w:eastAsia="en-US"/>
              </w:rPr>
            </w:pPr>
          </w:p>
        </w:tc>
        <w:tc>
          <w:tcPr>
            <w:tcW w:w="7371" w:type="dxa"/>
            <w:gridSpan w:val="2"/>
          </w:tcPr>
          <w:p w14:paraId="41356E80" w14:textId="77777777" w:rsidR="001323B1" w:rsidRPr="00F56A0E" w:rsidRDefault="001323B1" w:rsidP="005E14FB">
            <w:pPr>
              <w:rPr>
                <w:rFonts w:eastAsia="Times New Roman"/>
                <w:lang w:val="fr-FR"/>
              </w:rPr>
            </w:pPr>
            <w:r w:rsidRPr="00F56A0E">
              <w:rPr>
                <w:lang w:val="fr-FR"/>
              </w:rPr>
              <w:t>13071-79-9</w:t>
            </w:r>
          </w:p>
          <w:p w14:paraId="39DCEC35" w14:textId="77777777" w:rsidR="001323B1" w:rsidRPr="00F56A0E" w:rsidRDefault="001323B1" w:rsidP="005E14FB">
            <w:pPr>
              <w:rPr>
                <w:rFonts w:eastAsia="Times New Roman"/>
                <w:lang w:val="fr-FR" w:eastAsia="en-US"/>
              </w:rPr>
            </w:pPr>
          </w:p>
        </w:tc>
      </w:tr>
      <w:tr w:rsidR="001323B1" w:rsidRPr="00F56A0E" w14:paraId="2D787A15" w14:textId="77777777" w:rsidTr="005E14FB">
        <w:trPr>
          <w:gridAfter w:val="1"/>
          <w:wAfter w:w="11" w:type="dxa"/>
        </w:trPr>
        <w:tc>
          <w:tcPr>
            <w:tcW w:w="2127" w:type="dxa"/>
          </w:tcPr>
          <w:p w14:paraId="237760A5" w14:textId="77777777" w:rsidR="001323B1" w:rsidRPr="00F56A0E" w:rsidRDefault="001323B1" w:rsidP="005E14FB">
            <w:pPr>
              <w:outlineLvl w:val="2"/>
              <w:rPr>
                <w:rFonts w:eastAsia="Times New Roman"/>
                <w:b/>
                <w:bCs/>
                <w:lang w:val="fr-FR"/>
              </w:rPr>
            </w:pPr>
            <w:r w:rsidRPr="00F56A0E">
              <w:rPr>
                <w:b/>
                <w:bCs/>
                <w:lang w:val="fr-FR"/>
              </w:rPr>
              <w:t>Code douanier du Système harmonisé</w:t>
            </w:r>
          </w:p>
        </w:tc>
        <w:tc>
          <w:tcPr>
            <w:tcW w:w="7360" w:type="dxa"/>
            <w:shd w:val="clear" w:color="auto" w:fill="auto"/>
          </w:tcPr>
          <w:p w14:paraId="35C35A4E" w14:textId="77777777" w:rsidR="001323B1" w:rsidRPr="00F56A0E" w:rsidRDefault="001323B1" w:rsidP="005E14FB">
            <w:pPr>
              <w:rPr>
                <w:rFonts w:eastAsia="Times New Roman"/>
                <w:lang w:val="fr-FR"/>
              </w:rPr>
            </w:pPr>
            <w:r w:rsidRPr="00F56A0E">
              <w:rPr>
                <w:lang w:val="fr-FR"/>
              </w:rPr>
              <w:t>293090 (principe actif)</w:t>
            </w:r>
          </w:p>
          <w:p w14:paraId="226C3D4D" w14:textId="77777777" w:rsidR="001323B1" w:rsidRPr="00F56A0E" w:rsidRDefault="001323B1" w:rsidP="005E14FB">
            <w:pPr>
              <w:rPr>
                <w:rFonts w:eastAsia="Times New Roman"/>
                <w:lang w:val="fr-FR"/>
              </w:rPr>
            </w:pPr>
            <w:r w:rsidRPr="00F56A0E">
              <w:rPr>
                <w:lang w:val="fr-FR"/>
              </w:rPr>
              <w:t>380891 (préparation)</w:t>
            </w:r>
          </w:p>
        </w:tc>
      </w:tr>
    </w:tbl>
    <w:p w14:paraId="01F03992" w14:textId="77777777" w:rsidR="001323B1" w:rsidRPr="00F56A0E" w:rsidRDefault="001323B1" w:rsidP="001323B1">
      <w:pPr>
        <w:rPr>
          <w:rFonts w:eastAsia="Times New Roman"/>
          <w:i/>
          <w:lang w:val="fr-FR" w:eastAsia="en-US"/>
        </w:rPr>
      </w:pPr>
    </w:p>
    <w:tbl>
      <w:tblPr>
        <w:tblW w:w="9498" w:type="dxa"/>
        <w:tblInd w:w="108" w:type="dxa"/>
        <w:tblLayout w:type="fixed"/>
        <w:tblLook w:val="0000" w:firstRow="0" w:lastRow="0" w:firstColumn="0" w:lastColumn="0" w:noHBand="0" w:noVBand="0"/>
      </w:tblPr>
      <w:tblGrid>
        <w:gridCol w:w="2160"/>
        <w:gridCol w:w="7338"/>
      </w:tblGrid>
      <w:tr w:rsidR="001323B1" w:rsidRPr="00F56A0E" w14:paraId="7E7428F8" w14:textId="77777777" w:rsidTr="005E14FB">
        <w:trPr>
          <w:gridAfter w:val="1"/>
          <w:wAfter w:w="7338" w:type="dxa"/>
        </w:trPr>
        <w:tc>
          <w:tcPr>
            <w:tcW w:w="2160" w:type="dxa"/>
          </w:tcPr>
          <w:p w14:paraId="77DD4384" w14:textId="77777777" w:rsidR="001323B1" w:rsidRPr="00F56A0E" w:rsidRDefault="001323B1" w:rsidP="005E14FB">
            <w:pPr>
              <w:rPr>
                <w:rFonts w:eastAsia="Times New Roman"/>
                <w:lang w:val="fr-FR" w:eastAsia="en-US"/>
              </w:rPr>
            </w:pPr>
          </w:p>
        </w:tc>
      </w:tr>
      <w:tr w:rsidR="001323B1" w:rsidRPr="00F56A0E" w14:paraId="190FF40A" w14:textId="77777777" w:rsidTr="005E14FB">
        <w:trPr>
          <w:trHeight w:val="207"/>
        </w:trPr>
        <w:tc>
          <w:tcPr>
            <w:tcW w:w="2160" w:type="dxa"/>
          </w:tcPr>
          <w:p w14:paraId="4954B957" w14:textId="77777777" w:rsidR="001323B1" w:rsidRPr="00F56A0E" w:rsidRDefault="001323B1" w:rsidP="005E14FB">
            <w:pPr>
              <w:outlineLvl w:val="2"/>
              <w:rPr>
                <w:rFonts w:eastAsia="Times New Roman"/>
                <w:b/>
                <w:bCs/>
                <w:lang w:val="fr-FR"/>
              </w:rPr>
            </w:pPr>
            <w:r w:rsidRPr="00F56A0E">
              <w:rPr>
                <w:b/>
                <w:bCs/>
                <w:lang w:val="fr-FR"/>
              </w:rPr>
              <w:t>Autres numéros</w:t>
            </w:r>
          </w:p>
        </w:tc>
        <w:tc>
          <w:tcPr>
            <w:tcW w:w="7338" w:type="dxa"/>
          </w:tcPr>
          <w:p w14:paraId="52571333" w14:textId="4D5C6593" w:rsidR="001323B1" w:rsidRPr="00F56A0E" w:rsidRDefault="001323B1" w:rsidP="005E14FB">
            <w:pPr>
              <w:rPr>
                <w:rFonts w:eastAsia="Times New Roman"/>
                <w:bCs/>
                <w:lang w:val="fr-FR"/>
              </w:rPr>
            </w:pPr>
            <w:r w:rsidRPr="00F56A0E">
              <w:rPr>
                <w:lang w:val="fr-FR"/>
              </w:rPr>
              <w:t>Numéro CE</w:t>
            </w:r>
            <w:r w:rsidR="00157D75" w:rsidRPr="00F56A0E">
              <w:rPr>
                <w:lang w:val="fr-FR"/>
              </w:rPr>
              <w:t> :</w:t>
            </w:r>
            <w:r w:rsidRPr="00F56A0E">
              <w:rPr>
                <w:lang w:val="fr-FR"/>
              </w:rPr>
              <w:t xml:space="preserve"> 235-963-8</w:t>
            </w:r>
            <w:r w:rsidR="00AD2712" w:rsidRPr="00F56A0E">
              <w:rPr>
                <w:lang w:val="fr-FR"/>
              </w:rPr>
              <w:t xml:space="preserve"> </w:t>
            </w:r>
          </w:p>
          <w:p w14:paraId="71886823" w14:textId="77777777" w:rsidR="001323B1" w:rsidRPr="00F56A0E" w:rsidRDefault="001323B1" w:rsidP="005E14FB">
            <w:pPr>
              <w:rPr>
                <w:rFonts w:eastAsia="Times New Roman"/>
                <w:bCs/>
                <w:lang w:val="fr-FR" w:eastAsia="en-US"/>
              </w:rPr>
            </w:pPr>
          </w:p>
        </w:tc>
      </w:tr>
      <w:tr w:rsidR="001323B1" w:rsidRPr="00F56A0E" w14:paraId="610AD0C4" w14:textId="77777777" w:rsidTr="005E14FB">
        <w:tc>
          <w:tcPr>
            <w:tcW w:w="2160" w:type="dxa"/>
          </w:tcPr>
          <w:p w14:paraId="1411D7B6" w14:textId="77777777" w:rsidR="001323B1" w:rsidRPr="00F56A0E" w:rsidRDefault="001323B1" w:rsidP="005E14FB">
            <w:pPr>
              <w:outlineLvl w:val="2"/>
              <w:rPr>
                <w:rFonts w:eastAsia="Times New Roman"/>
                <w:b/>
                <w:bCs/>
                <w:lang w:val="fr-FR"/>
              </w:rPr>
            </w:pPr>
            <w:r w:rsidRPr="00F56A0E">
              <w:rPr>
                <w:b/>
                <w:bCs/>
                <w:lang w:val="fr-FR"/>
              </w:rPr>
              <w:t>Catégorie</w:t>
            </w:r>
          </w:p>
        </w:tc>
        <w:tc>
          <w:tcPr>
            <w:tcW w:w="7338" w:type="dxa"/>
          </w:tcPr>
          <w:p w14:paraId="0B8D1DD0" w14:textId="77777777" w:rsidR="001323B1" w:rsidRPr="00F56A0E" w:rsidRDefault="001323B1" w:rsidP="005E14FB">
            <w:pPr>
              <w:rPr>
                <w:rFonts w:eastAsia="Times New Roman"/>
                <w:lang w:val="fr-FR"/>
              </w:rPr>
            </w:pPr>
            <w:r w:rsidRPr="00F56A0E">
              <w:rPr>
                <w:lang w:val="fr-FR"/>
              </w:rPr>
              <w:t>Pesticide</w:t>
            </w:r>
          </w:p>
          <w:p w14:paraId="3FBD6CFC" w14:textId="77777777" w:rsidR="001323B1" w:rsidRPr="00F56A0E" w:rsidRDefault="001323B1" w:rsidP="005E14FB">
            <w:pPr>
              <w:rPr>
                <w:rFonts w:eastAsia="Times New Roman"/>
                <w:lang w:val="fr-FR" w:eastAsia="en-US"/>
              </w:rPr>
            </w:pPr>
          </w:p>
        </w:tc>
      </w:tr>
      <w:tr w:rsidR="001323B1" w:rsidRPr="00F56A0E" w14:paraId="634B9DD4" w14:textId="77777777" w:rsidTr="005E14FB">
        <w:tc>
          <w:tcPr>
            <w:tcW w:w="2160" w:type="dxa"/>
          </w:tcPr>
          <w:p w14:paraId="76F7EB82" w14:textId="77777777" w:rsidR="001323B1" w:rsidRPr="00F56A0E" w:rsidRDefault="001323B1" w:rsidP="005E14FB">
            <w:pPr>
              <w:outlineLvl w:val="2"/>
              <w:rPr>
                <w:rFonts w:eastAsia="Times New Roman"/>
                <w:b/>
                <w:bCs/>
                <w:lang w:val="fr-FR"/>
              </w:rPr>
            </w:pPr>
            <w:r w:rsidRPr="00F56A0E">
              <w:rPr>
                <w:b/>
                <w:bCs/>
                <w:lang w:val="fr-FR"/>
              </w:rPr>
              <w:t>Catégorie réglementée</w:t>
            </w:r>
          </w:p>
        </w:tc>
        <w:tc>
          <w:tcPr>
            <w:tcW w:w="7338" w:type="dxa"/>
          </w:tcPr>
          <w:p w14:paraId="2012C12E" w14:textId="77777777" w:rsidR="001323B1" w:rsidRPr="00F56A0E" w:rsidRDefault="001323B1" w:rsidP="005E14FB">
            <w:pPr>
              <w:rPr>
                <w:rFonts w:eastAsia="Times New Roman"/>
                <w:lang w:val="fr-FR"/>
              </w:rPr>
            </w:pPr>
            <w:r w:rsidRPr="00F56A0E">
              <w:rPr>
                <w:lang w:val="fr-FR"/>
              </w:rPr>
              <w:t>Pesticide</w:t>
            </w:r>
          </w:p>
          <w:p w14:paraId="0A89CB5E" w14:textId="77777777" w:rsidR="001323B1" w:rsidRPr="00F56A0E" w:rsidRDefault="001323B1" w:rsidP="005E14FB">
            <w:pPr>
              <w:rPr>
                <w:rFonts w:eastAsia="Times New Roman"/>
                <w:lang w:val="fr-FR" w:eastAsia="en-US"/>
              </w:rPr>
            </w:pPr>
          </w:p>
        </w:tc>
      </w:tr>
      <w:tr w:rsidR="001323B1" w:rsidRPr="00F56A0E" w14:paraId="486AE7A7" w14:textId="77777777" w:rsidTr="005E14FB">
        <w:tc>
          <w:tcPr>
            <w:tcW w:w="2160" w:type="dxa"/>
          </w:tcPr>
          <w:p w14:paraId="66F2AF32" w14:textId="77777777" w:rsidR="001323B1" w:rsidRPr="00F56A0E" w:rsidRDefault="001323B1" w:rsidP="005E14FB">
            <w:pPr>
              <w:outlineLvl w:val="2"/>
              <w:rPr>
                <w:rFonts w:eastAsia="Times New Roman"/>
                <w:b/>
                <w:bCs/>
                <w:lang w:val="fr-FR"/>
              </w:rPr>
            </w:pPr>
            <w:r w:rsidRPr="00F56A0E">
              <w:rPr>
                <w:b/>
                <w:bCs/>
                <w:lang w:val="fr-FR"/>
              </w:rPr>
              <w:t>Utilisation(s) dans la catégorie réglementée</w:t>
            </w:r>
          </w:p>
        </w:tc>
        <w:tc>
          <w:tcPr>
            <w:tcW w:w="7338" w:type="dxa"/>
          </w:tcPr>
          <w:p w14:paraId="0738018F" w14:textId="77777777" w:rsidR="001323B1" w:rsidRPr="00F56A0E" w:rsidRDefault="001323B1" w:rsidP="005E14FB">
            <w:pPr>
              <w:rPr>
                <w:rFonts w:eastAsia="Times New Roman"/>
                <w:lang w:val="fr-FR"/>
              </w:rPr>
            </w:pPr>
            <w:r w:rsidRPr="00F56A0E">
              <w:rPr>
                <w:lang w:val="fr-FR"/>
              </w:rPr>
              <w:t>Le terbufos était homologué au Mozambique pour utilisation comme insecticide sur le maïs, le sorgho, la pomme de terre et les haricots.</w:t>
            </w:r>
          </w:p>
          <w:p w14:paraId="0AA0901D" w14:textId="77777777" w:rsidR="001323B1" w:rsidRPr="00F56A0E" w:rsidRDefault="001323B1" w:rsidP="005E14FB">
            <w:pPr>
              <w:rPr>
                <w:rFonts w:eastAsia="Times New Roman"/>
                <w:lang w:val="fr-FR"/>
              </w:rPr>
            </w:pPr>
            <w:r w:rsidRPr="00F56A0E">
              <w:rPr>
                <w:lang w:val="fr-FR"/>
              </w:rPr>
              <w:t>Il était homologué au Canada pour utilisation comme insecticide et nématicide sur le canola, le maïs, la moutarde, le rutabaga et la betterave à sucre.</w:t>
            </w:r>
          </w:p>
          <w:p w14:paraId="4CC54EC0" w14:textId="77777777" w:rsidR="001323B1" w:rsidRPr="00F56A0E" w:rsidRDefault="001323B1" w:rsidP="005E14FB">
            <w:pPr>
              <w:rPr>
                <w:rFonts w:eastAsia="Times New Roman"/>
                <w:lang w:val="fr-FR" w:eastAsia="en-US"/>
              </w:rPr>
            </w:pPr>
          </w:p>
        </w:tc>
      </w:tr>
      <w:tr w:rsidR="001323B1" w:rsidRPr="00F56A0E" w14:paraId="3D9C4819" w14:textId="77777777" w:rsidTr="005E14FB">
        <w:tc>
          <w:tcPr>
            <w:tcW w:w="2160" w:type="dxa"/>
          </w:tcPr>
          <w:p w14:paraId="4845CB95" w14:textId="77777777" w:rsidR="001323B1" w:rsidRPr="00F56A0E" w:rsidRDefault="001323B1" w:rsidP="005E14FB">
            <w:pPr>
              <w:outlineLvl w:val="2"/>
              <w:rPr>
                <w:rFonts w:eastAsia="Times New Roman"/>
                <w:b/>
                <w:bCs/>
                <w:lang w:val="fr-FR"/>
              </w:rPr>
            </w:pPr>
            <w:r w:rsidRPr="00F56A0E">
              <w:rPr>
                <w:b/>
                <w:bCs/>
                <w:lang w:val="fr-FR"/>
              </w:rPr>
              <w:t>Noms commerciaux</w:t>
            </w:r>
          </w:p>
        </w:tc>
        <w:tc>
          <w:tcPr>
            <w:tcW w:w="7338" w:type="dxa"/>
          </w:tcPr>
          <w:p w14:paraId="389FEBC5" w14:textId="7911FD79" w:rsidR="001323B1" w:rsidRPr="00F56A0E" w:rsidRDefault="001323B1" w:rsidP="005E14FB">
            <w:pPr>
              <w:rPr>
                <w:rFonts w:eastAsia="Times New Roman"/>
                <w:lang w:val="fr-FR"/>
              </w:rPr>
            </w:pPr>
            <w:r w:rsidRPr="00F56A0E">
              <w:rPr>
                <w:lang w:val="fr-FR"/>
              </w:rPr>
              <w:t>Noms commerciaux répertoriés par le Mozambique</w:t>
            </w:r>
            <w:r w:rsidR="00157D75" w:rsidRPr="00F56A0E">
              <w:rPr>
                <w:lang w:val="fr-FR"/>
              </w:rPr>
              <w:t> :</w:t>
            </w:r>
            <w:r w:rsidRPr="00F56A0E">
              <w:rPr>
                <w:lang w:val="fr-FR"/>
              </w:rPr>
              <w:t xml:space="preserve"> Moz Terbufos 15% GR, Rotam Terbufos 15% GR et Bongo.</w:t>
            </w:r>
          </w:p>
          <w:p w14:paraId="6A24B9D5" w14:textId="2F5F69BF" w:rsidR="001323B1" w:rsidRPr="00F56A0E" w:rsidRDefault="001323B1" w:rsidP="005E14FB">
            <w:pPr>
              <w:rPr>
                <w:rFonts w:eastAsia="Times New Roman"/>
                <w:lang w:val="fr-FR"/>
              </w:rPr>
            </w:pPr>
            <w:r w:rsidRPr="00F56A0E">
              <w:rPr>
                <w:lang w:val="fr-FR"/>
              </w:rPr>
              <w:t>Noms commerciaux répertoriés par le Canada</w:t>
            </w:r>
            <w:r w:rsidR="00157D75" w:rsidRPr="00F56A0E">
              <w:rPr>
                <w:lang w:val="fr-FR"/>
              </w:rPr>
              <w:t> :</w:t>
            </w:r>
            <w:r w:rsidRPr="00F56A0E">
              <w:rPr>
                <w:lang w:val="fr-FR"/>
              </w:rPr>
              <w:t xml:space="preserve"> Counter 5-G Soil Insecticide et Counter 15-G Lock</w:t>
            </w:r>
            <w:r w:rsidR="00870D0E" w:rsidRPr="00F56A0E">
              <w:rPr>
                <w:lang w:val="fr-FR"/>
              </w:rPr>
              <w:t>’</w:t>
            </w:r>
            <w:r w:rsidRPr="00F56A0E">
              <w:rPr>
                <w:lang w:val="fr-FR"/>
              </w:rPr>
              <w:t>n Load Soil Insecticide Granular.</w:t>
            </w:r>
          </w:p>
          <w:p w14:paraId="1DFA1558" w14:textId="77777777" w:rsidR="001323B1" w:rsidRPr="00F56A0E" w:rsidRDefault="001323B1" w:rsidP="005E14FB">
            <w:pPr>
              <w:rPr>
                <w:rFonts w:eastAsia="Times New Roman"/>
                <w:lang w:val="fr-FR"/>
              </w:rPr>
            </w:pPr>
            <w:r w:rsidRPr="00F56A0E">
              <w:rPr>
                <w:lang w:val="fr-FR"/>
              </w:rPr>
              <w:t>Contraven, Aragran, Cyanater.</w:t>
            </w:r>
          </w:p>
          <w:p w14:paraId="1E119934" w14:textId="77777777" w:rsidR="001323B1" w:rsidRPr="00F56A0E" w:rsidRDefault="001323B1" w:rsidP="005E14FB">
            <w:pPr>
              <w:rPr>
                <w:rFonts w:eastAsia="Times New Roman"/>
                <w:i/>
                <w:lang w:val="fr-FR"/>
              </w:rPr>
            </w:pPr>
            <w:r w:rsidRPr="00F56A0E">
              <w:rPr>
                <w:i/>
                <w:iCs/>
                <w:lang w:val="fr-FR"/>
              </w:rPr>
              <w:t>Cette liste est donnée à titre indicatif</w:t>
            </w:r>
            <w:r w:rsidRPr="00F56A0E">
              <w:rPr>
                <w:lang w:val="fr-FR"/>
              </w:rPr>
              <w:t xml:space="preserve"> </w:t>
            </w:r>
            <w:r w:rsidRPr="00F56A0E">
              <w:rPr>
                <w:i/>
                <w:iCs/>
                <w:lang w:val="fr-FR"/>
              </w:rPr>
              <w:t>et ne prétend pas être exhaustive.</w:t>
            </w:r>
          </w:p>
          <w:p w14:paraId="242F1744" w14:textId="77777777" w:rsidR="001323B1" w:rsidRPr="00F56A0E" w:rsidRDefault="001323B1" w:rsidP="005E14FB">
            <w:pPr>
              <w:rPr>
                <w:rFonts w:eastAsia="Times New Roman"/>
                <w:lang w:val="fr-FR" w:eastAsia="en-US"/>
              </w:rPr>
            </w:pPr>
            <w:r w:rsidRPr="00F56A0E">
              <w:rPr>
                <w:rFonts w:eastAsia="Times New Roman"/>
                <w:i/>
                <w:lang w:val="fr-FR" w:eastAsia="en-US"/>
              </w:rPr>
              <w:t xml:space="preserve"> </w:t>
            </w:r>
          </w:p>
        </w:tc>
      </w:tr>
      <w:tr w:rsidR="001323B1" w:rsidRPr="00F56A0E" w14:paraId="2BD3822A" w14:textId="77777777" w:rsidTr="005E14FB">
        <w:tc>
          <w:tcPr>
            <w:tcW w:w="2160" w:type="dxa"/>
          </w:tcPr>
          <w:p w14:paraId="2F86A9FF" w14:textId="77777777" w:rsidR="001323B1" w:rsidRPr="00F56A0E" w:rsidRDefault="001323B1" w:rsidP="005E14FB">
            <w:pPr>
              <w:outlineLvl w:val="2"/>
              <w:rPr>
                <w:rFonts w:eastAsia="Times New Roman"/>
                <w:b/>
                <w:bCs/>
                <w:lang w:val="fr-FR"/>
              </w:rPr>
            </w:pPr>
            <w:r w:rsidRPr="00F56A0E">
              <w:rPr>
                <w:b/>
                <w:bCs/>
                <w:lang w:val="fr-FR"/>
              </w:rPr>
              <w:t>Types de formulation</w:t>
            </w:r>
          </w:p>
        </w:tc>
        <w:tc>
          <w:tcPr>
            <w:tcW w:w="7338" w:type="dxa"/>
          </w:tcPr>
          <w:p w14:paraId="5C3456FB" w14:textId="0EE69594" w:rsidR="001323B1" w:rsidRPr="00F56A0E" w:rsidRDefault="001323B1" w:rsidP="005E14FB">
            <w:pPr>
              <w:tabs>
                <w:tab w:val="left" w:pos="1005"/>
              </w:tabs>
              <w:rPr>
                <w:rFonts w:eastAsia="Times New Roman"/>
                <w:lang w:val="fr-FR"/>
              </w:rPr>
            </w:pPr>
            <w:r w:rsidRPr="00F56A0E">
              <w:rPr>
                <w:lang w:val="fr-FR"/>
              </w:rPr>
              <w:t>Moz Terbufos 15% GR, Rotam Terbufos 15% GR, Counter 5-G Soil Insecticide et Counter 15-G Lock</w:t>
            </w:r>
            <w:r w:rsidR="00870D0E" w:rsidRPr="00F56A0E">
              <w:rPr>
                <w:lang w:val="fr-FR"/>
              </w:rPr>
              <w:t>’</w:t>
            </w:r>
            <w:r w:rsidRPr="00F56A0E">
              <w:rPr>
                <w:lang w:val="fr-FR"/>
              </w:rPr>
              <w:t>n Load Soil Insecticide Granular sont des formulations granulaires. Les deux notifications concernent des formulations portant la mention "G" ou "GR", qui indique qu</w:t>
            </w:r>
            <w:r w:rsidR="00870D0E" w:rsidRPr="00F56A0E">
              <w:rPr>
                <w:lang w:val="fr-FR"/>
              </w:rPr>
              <w:t>’</w:t>
            </w:r>
            <w:r w:rsidRPr="00F56A0E">
              <w:rPr>
                <w:lang w:val="fr-FR"/>
              </w:rPr>
              <w:t>il s</w:t>
            </w:r>
            <w:r w:rsidR="00870D0E" w:rsidRPr="00F56A0E">
              <w:rPr>
                <w:lang w:val="fr-FR"/>
              </w:rPr>
              <w:t>’</w:t>
            </w:r>
            <w:r w:rsidRPr="00F56A0E">
              <w:rPr>
                <w:lang w:val="fr-FR"/>
              </w:rPr>
              <w:t>agit de granulés.</w:t>
            </w:r>
          </w:p>
          <w:p w14:paraId="5EF9AFA0" w14:textId="77777777" w:rsidR="001323B1" w:rsidRPr="00F56A0E" w:rsidRDefault="001323B1" w:rsidP="005E14FB">
            <w:pPr>
              <w:tabs>
                <w:tab w:val="left" w:pos="1005"/>
              </w:tabs>
              <w:rPr>
                <w:rFonts w:eastAsia="Times New Roman"/>
                <w:lang w:val="fr-FR" w:eastAsia="en-US"/>
              </w:rPr>
            </w:pPr>
          </w:p>
        </w:tc>
      </w:tr>
      <w:tr w:rsidR="001323B1" w:rsidRPr="00F56A0E" w14:paraId="5ECA224B" w14:textId="77777777" w:rsidTr="005E14FB">
        <w:tc>
          <w:tcPr>
            <w:tcW w:w="2160" w:type="dxa"/>
          </w:tcPr>
          <w:p w14:paraId="6C355474" w14:textId="3CA7280B" w:rsidR="001323B1" w:rsidRPr="00F56A0E" w:rsidRDefault="001323B1" w:rsidP="005E14FB">
            <w:pPr>
              <w:outlineLvl w:val="2"/>
              <w:rPr>
                <w:rFonts w:eastAsia="Times New Roman"/>
                <w:b/>
                <w:bCs/>
                <w:lang w:val="fr-FR"/>
              </w:rPr>
            </w:pPr>
            <w:r w:rsidRPr="00F56A0E">
              <w:rPr>
                <w:b/>
                <w:bCs/>
                <w:lang w:val="fr-FR"/>
              </w:rPr>
              <w:t>Utilisations dans d</w:t>
            </w:r>
            <w:r w:rsidR="00870D0E" w:rsidRPr="00F56A0E">
              <w:rPr>
                <w:b/>
                <w:bCs/>
                <w:lang w:val="fr-FR"/>
              </w:rPr>
              <w:t>’</w:t>
            </w:r>
            <w:r w:rsidRPr="00F56A0E">
              <w:rPr>
                <w:b/>
                <w:bCs/>
                <w:lang w:val="fr-FR"/>
              </w:rPr>
              <w:t>autres catégories</w:t>
            </w:r>
          </w:p>
        </w:tc>
        <w:tc>
          <w:tcPr>
            <w:tcW w:w="7338" w:type="dxa"/>
          </w:tcPr>
          <w:p w14:paraId="54F5E61E" w14:textId="74FD7AD4" w:rsidR="001323B1" w:rsidRPr="00F56A0E" w:rsidRDefault="001323B1" w:rsidP="005E14FB">
            <w:pPr>
              <w:spacing w:after="80"/>
              <w:rPr>
                <w:rFonts w:eastAsia="Times New Roman"/>
                <w:lang w:val="fr-FR"/>
              </w:rPr>
            </w:pPr>
            <w:r w:rsidRPr="00F56A0E">
              <w:rPr>
                <w:lang w:val="fr-FR"/>
              </w:rPr>
              <w:t>Aucune utilisation en tant que produit chimique industriel n</w:t>
            </w:r>
            <w:r w:rsidR="00870D0E" w:rsidRPr="00F56A0E">
              <w:rPr>
                <w:lang w:val="fr-FR"/>
              </w:rPr>
              <w:t>’</w:t>
            </w:r>
            <w:r w:rsidRPr="00F56A0E">
              <w:rPr>
                <w:lang w:val="fr-FR"/>
              </w:rPr>
              <w:t>a été signalée.</w:t>
            </w:r>
          </w:p>
          <w:p w14:paraId="7889F007" w14:textId="77777777" w:rsidR="001323B1" w:rsidRPr="00F56A0E" w:rsidRDefault="001323B1" w:rsidP="005E14FB">
            <w:pPr>
              <w:spacing w:after="80"/>
              <w:rPr>
                <w:rFonts w:eastAsia="Times New Roman"/>
                <w:lang w:val="fr-FR" w:eastAsia="en-US"/>
              </w:rPr>
            </w:pPr>
          </w:p>
        </w:tc>
      </w:tr>
      <w:tr w:rsidR="001323B1" w:rsidRPr="00F56A0E" w14:paraId="241066C9" w14:textId="77777777" w:rsidTr="005E14FB">
        <w:tc>
          <w:tcPr>
            <w:tcW w:w="2160" w:type="dxa"/>
          </w:tcPr>
          <w:p w14:paraId="0B928ADD" w14:textId="77777777" w:rsidR="001323B1" w:rsidRPr="00F56A0E" w:rsidRDefault="001323B1" w:rsidP="005E14FB">
            <w:pPr>
              <w:outlineLvl w:val="2"/>
              <w:rPr>
                <w:rFonts w:eastAsia="Times New Roman"/>
                <w:b/>
                <w:bCs/>
                <w:lang w:val="fr-FR"/>
              </w:rPr>
            </w:pPr>
            <w:r w:rsidRPr="00F56A0E">
              <w:rPr>
                <w:b/>
                <w:bCs/>
                <w:lang w:val="fr-FR"/>
              </w:rPr>
              <w:t>Principaux fabricants</w:t>
            </w:r>
          </w:p>
        </w:tc>
        <w:tc>
          <w:tcPr>
            <w:tcW w:w="7338" w:type="dxa"/>
          </w:tcPr>
          <w:p w14:paraId="0FE5FE2E" w14:textId="77777777" w:rsidR="001323B1" w:rsidRPr="00F56A0E" w:rsidRDefault="001323B1" w:rsidP="005E14FB">
            <w:pPr>
              <w:spacing w:after="80"/>
              <w:rPr>
                <w:rFonts w:eastAsia="Times New Roman"/>
                <w:lang w:val="fr-FR"/>
              </w:rPr>
            </w:pPr>
            <w:r w:rsidRPr="00F56A0E">
              <w:rPr>
                <w:lang w:val="fr-FR"/>
              </w:rPr>
              <w:t xml:space="preserve">AMVAC Chemical Corporation, BASF, American Cyanamid </w:t>
            </w:r>
          </w:p>
          <w:p w14:paraId="0554DF8A" w14:textId="77777777" w:rsidR="001323B1" w:rsidRPr="00F56A0E" w:rsidRDefault="001323B1" w:rsidP="005E14FB">
            <w:pPr>
              <w:spacing w:after="80"/>
              <w:rPr>
                <w:rFonts w:eastAsia="Times New Roman"/>
                <w:lang w:val="fr-FR"/>
              </w:rPr>
            </w:pPr>
            <w:r w:rsidRPr="00F56A0E">
              <w:rPr>
                <w:i/>
                <w:iCs/>
                <w:lang w:val="fr-FR"/>
              </w:rPr>
              <w:t>Cette liste de fabricants actuels et passés est fournie à titre indicatif</w:t>
            </w:r>
            <w:r w:rsidRPr="00F56A0E">
              <w:rPr>
                <w:lang w:val="fr-FR"/>
              </w:rPr>
              <w:t xml:space="preserve"> </w:t>
            </w:r>
            <w:r w:rsidRPr="00F56A0E">
              <w:rPr>
                <w:i/>
                <w:iCs/>
                <w:lang w:val="fr-FR"/>
              </w:rPr>
              <w:t>et ne prétend pas être exhaustive.</w:t>
            </w:r>
          </w:p>
        </w:tc>
      </w:tr>
    </w:tbl>
    <w:p w14:paraId="2443E298" w14:textId="77777777" w:rsidR="001323B1" w:rsidRPr="00F56A0E" w:rsidRDefault="001323B1" w:rsidP="001323B1">
      <w:pPr>
        <w:tabs>
          <w:tab w:val="left" w:pos="-720"/>
          <w:tab w:val="left" w:pos="0"/>
          <w:tab w:val="left" w:pos="720"/>
        </w:tabs>
        <w:suppressAutoHyphens/>
        <w:rPr>
          <w:rFonts w:eastAsia="Times New Roman"/>
          <w:sz w:val="10"/>
          <w:szCs w:val="10"/>
          <w:lang w:val="fr-FR" w:eastAsia="en-US"/>
        </w:rPr>
      </w:pPr>
    </w:p>
    <w:tbl>
      <w:tblPr>
        <w:tblW w:w="9523"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1276"/>
        <w:gridCol w:w="8222"/>
        <w:gridCol w:w="25"/>
      </w:tblGrid>
      <w:tr w:rsidR="001323B1" w:rsidRPr="00F56A0E" w14:paraId="75522886" w14:textId="77777777" w:rsidTr="007E521C">
        <w:trPr>
          <w:gridAfter w:val="1"/>
          <w:wAfter w:w="25" w:type="dxa"/>
        </w:trPr>
        <w:tc>
          <w:tcPr>
            <w:tcW w:w="9498" w:type="dxa"/>
            <w:gridSpan w:val="2"/>
            <w:tcBorders>
              <w:top w:val="single" w:sz="6" w:space="0" w:color="808080"/>
              <w:bottom w:val="single" w:sz="6" w:space="0" w:color="808080"/>
            </w:tcBorders>
            <w:shd w:val="pct10" w:color="auto" w:fill="auto"/>
          </w:tcPr>
          <w:p w14:paraId="5B58B630" w14:textId="1FAE3F22" w:rsidR="001323B1" w:rsidRPr="00F56A0E" w:rsidRDefault="001323B1" w:rsidP="00ED43D0">
            <w:pPr>
              <w:keepNext/>
              <w:keepLines/>
              <w:spacing w:before="40" w:after="60"/>
              <w:outlineLvl w:val="0"/>
              <w:rPr>
                <w:rFonts w:eastAsia="Times New Roman"/>
                <w:b/>
                <w:bCs/>
                <w:kern w:val="28"/>
                <w:lang w:val="fr-FR"/>
              </w:rPr>
            </w:pPr>
            <w:r w:rsidRPr="00F56A0E">
              <w:rPr>
                <w:b/>
                <w:bCs/>
                <w:lang w:val="fr-FR"/>
              </w:rPr>
              <w:lastRenderedPageBreak/>
              <w:t>2.</w:t>
            </w:r>
            <w:r w:rsidRPr="00F56A0E">
              <w:rPr>
                <w:lang w:val="fr-FR"/>
              </w:rPr>
              <w:t xml:space="preserve"> </w:t>
            </w:r>
            <w:r w:rsidRPr="00F56A0E">
              <w:rPr>
                <w:b/>
                <w:bCs/>
                <w:lang w:val="fr-FR"/>
              </w:rPr>
              <w:t>Raisons justifiant l</w:t>
            </w:r>
            <w:r w:rsidR="00870D0E" w:rsidRPr="00F56A0E">
              <w:rPr>
                <w:b/>
                <w:bCs/>
                <w:lang w:val="fr-FR"/>
              </w:rPr>
              <w:t>’</w:t>
            </w:r>
            <w:r w:rsidRPr="00F56A0E">
              <w:rPr>
                <w:b/>
                <w:bCs/>
                <w:lang w:val="fr-FR"/>
              </w:rPr>
              <w:t>application de la procédure PIC</w:t>
            </w:r>
          </w:p>
        </w:tc>
      </w:tr>
      <w:tr w:rsidR="001323B1" w:rsidRPr="00F56A0E" w14:paraId="0991600A"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3" w:type="dxa"/>
            <w:gridSpan w:val="3"/>
            <w:tcBorders>
              <w:top w:val="nil"/>
              <w:left w:val="nil"/>
              <w:bottom w:val="nil"/>
              <w:right w:val="nil"/>
            </w:tcBorders>
          </w:tcPr>
          <w:p w14:paraId="6BE99BC1" w14:textId="77777777" w:rsidR="001323B1" w:rsidRPr="00F56A0E" w:rsidRDefault="001323B1" w:rsidP="00ED43D0">
            <w:pPr>
              <w:keepNext/>
              <w:keepLines/>
              <w:rPr>
                <w:rFonts w:eastAsia="Times New Roman"/>
                <w:lang w:val="fr-FR"/>
              </w:rPr>
            </w:pPr>
            <w:r w:rsidRPr="00F56A0E">
              <w:rPr>
                <w:lang w:val="fr-FR"/>
              </w:rPr>
              <w:t>Le terbufos est soumis à la procédure PIC dans la catégorie des pesticides. Il a été inscrit sur la base des mesures de réglementation finales visant à interdire son utilisation notifiées par le Canada et le Mozambique.</w:t>
            </w:r>
          </w:p>
          <w:p w14:paraId="7C093DB6" w14:textId="0887BFFB" w:rsidR="001323B1" w:rsidRPr="00F56A0E" w:rsidRDefault="001323B1" w:rsidP="00ED43D0">
            <w:pPr>
              <w:keepNext/>
              <w:keepLines/>
              <w:outlineLvl w:val="1"/>
              <w:rPr>
                <w:rFonts w:eastAsia="Times New Roman"/>
                <w:b/>
                <w:bCs/>
                <w:szCs w:val="28"/>
                <w:lang w:val="fr-FR" w:eastAsia="en-US"/>
              </w:rPr>
            </w:pPr>
          </w:p>
        </w:tc>
      </w:tr>
      <w:tr w:rsidR="001323B1" w:rsidRPr="00F56A0E" w14:paraId="0048FC70"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3" w:type="dxa"/>
            <w:gridSpan w:val="3"/>
            <w:tcBorders>
              <w:top w:val="nil"/>
              <w:left w:val="nil"/>
              <w:bottom w:val="nil"/>
              <w:right w:val="nil"/>
            </w:tcBorders>
          </w:tcPr>
          <w:p w14:paraId="291E08EC" w14:textId="1C765167" w:rsidR="001323B1" w:rsidRPr="00F56A0E" w:rsidRDefault="001323B1" w:rsidP="00ED43D0">
            <w:pPr>
              <w:keepNext/>
              <w:keepLines/>
              <w:outlineLvl w:val="1"/>
              <w:rPr>
                <w:rFonts w:eastAsia="Times New Roman"/>
                <w:b/>
                <w:bCs/>
                <w:szCs w:val="28"/>
                <w:lang w:val="fr-FR"/>
              </w:rPr>
            </w:pPr>
            <w:r w:rsidRPr="00F56A0E">
              <w:rPr>
                <w:b/>
                <w:bCs/>
                <w:lang w:val="fr-FR"/>
              </w:rPr>
              <w:t>2.1</w:t>
            </w:r>
            <w:r w:rsidRPr="00F56A0E">
              <w:rPr>
                <w:lang w:val="fr-FR"/>
              </w:rPr>
              <w:t xml:space="preserve"> </w:t>
            </w:r>
            <w:r w:rsidRPr="00F56A0E">
              <w:rPr>
                <w:b/>
                <w:bCs/>
                <w:lang w:val="fr-FR"/>
              </w:rPr>
              <w:t>Mesures de réglementation finales (voir l</w:t>
            </w:r>
            <w:r w:rsidR="00870D0E" w:rsidRPr="00F56A0E">
              <w:rPr>
                <w:b/>
                <w:bCs/>
                <w:lang w:val="fr-FR"/>
              </w:rPr>
              <w:t>’</w:t>
            </w:r>
            <w:r w:rsidRPr="00F56A0E">
              <w:rPr>
                <w:b/>
                <w:bCs/>
                <w:lang w:val="fr-FR"/>
              </w:rPr>
              <w:t>annexe 2 pour plus de précisions)</w:t>
            </w:r>
          </w:p>
        </w:tc>
      </w:tr>
      <w:tr w:rsidR="001323B1" w:rsidRPr="00F56A0E" w14:paraId="291835E2"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9523" w:type="dxa"/>
            <w:gridSpan w:val="3"/>
            <w:tcBorders>
              <w:top w:val="nil"/>
              <w:left w:val="nil"/>
              <w:bottom w:val="nil"/>
              <w:right w:val="nil"/>
            </w:tcBorders>
          </w:tcPr>
          <w:p w14:paraId="0B08F8BB" w14:textId="77777777" w:rsidR="001323B1" w:rsidRPr="00F56A0E" w:rsidRDefault="001323B1" w:rsidP="005E14FB">
            <w:pPr>
              <w:spacing w:before="20" w:after="20"/>
              <w:outlineLvl w:val="2"/>
              <w:rPr>
                <w:rFonts w:eastAsia="Times New Roman"/>
                <w:b/>
                <w:bCs/>
                <w:i/>
                <w:lang w:val="fr-FR"/>
              </w:rPr>
            </w:pPr>
            <w:r w:rsidRPr="00F56A0E">
              <w:rPr>
                <w:b/>
                <w:bCs/>
                <w:i/>
                <w:iCs/>
                <w:lang w:val="fr-FR"/>
              </w:rPr>
              <w:t>Canada</w:t>
            </w:r>
          </w:p>
          <w:p w14:paraId="723ADF92" w14:textId="63D82898" w:rsidR="001323B1" w:rsidRPr="00F56A0E" w:rsidRDefault="003318DA" w:rsidP="005E14FB">
            <w:pPr>
              <w:rPr>
                <w:lang w:val="fr-FR"/>
              </w:rPr>
            </w:pPr>
            <w:r w:rsidRPr="00F56A0E">
              <w:rPr>
                <w:lang w:val="fr-FR"/>
              </w:rPr>
              <w:t>Conformément à</w:t>
            </w:r>
            <w:r w:rsidR="001323B1" w:rsidRPr="00F56A0E">
              <w:rPr>
                <w:lang w:val="fr-FR"/>
              </w:rPr>
              <w:t xml:space="preserve"> l</w:t>
            </w:r>
            <w:r w:rsidRPr="00F56A0E">
              <w:rPr>
                <w:lang w:val="fr-FR"/>
              </w:rPr>
              <w:t>a</w:t>
            </w:r>
            <w:r w:rsidR="001323B1" w:rsidRPr="00F56A0E">
              <w:rPr>
                <w:lang w:val="fr-FR"/>
              </w:rPr>
              <w:t xml:space="preserve"> </w:t>
            </w:r>
            <w:r w:rsidRPr="00F56A0E">
              <w:rPr>
                <w:lang w:val="fr-FR"/>
              </w:rPr>
              <w:t>d</w:t>
            </w:r>
            <w:r w:rsidR="001323B1" w:rsidRPr="00F56A0E">
              <w:rPr>
                <w:lang w:val="fr-FR"/>
              </w:rPr>
              <w:t>écision de réévaluation RRD2004-04</w:t>
            </w:r>
            <w:r w:rsidR="00157D75" w:rsidRPr="00F56A0E">
              <w:rPr>
                <w:lang w:val="fr-FR"/>
              </w:rPr>
              <w:t> :</w:t>
            </w:r>
            <w:r w:rsidR="001323B1" w:rsidRPr="00F56A0E">
              <w:rPr>
                <w:lang w:val="fr-FR"/>
              </w:rPr>
              <w:t xml:space="preserve"> Réévaluation du terbufos</w:t>
            </w:r>
            <w:r w:rsidRPr="00F56A0E">
              <w:rPr>
                <w:lang w:val="fr-FR"/>
              </w:rPr>
              <w:t xml:space="preserve"> (Agence de réglementation de la lutte antiparasitaire, Santé Canada, 2004)</w:t>
            </w:r>
            <w:r w:rsidR="001323B1" w:rsidRPr="00F56A0E">
              <w:rPr>
                <w:lang w:val="fr-FR"/>
              </w:rPr>
              <w:t xml:space="preserve"> et</w:t>
            </w:r>
            <w:r w:rsidRPr="00F56A0E">
              <w:rPr>
                <w:lang w:val="fr-FR"/>
              </w:rPr>
              <w:t xml:space="preserve"> à la</w:t>
            </w:r>
            <w:r w:rsidR="001323B1" w:rsidRPr="00F56A0E">
              <w:rPr>
                <w:lang w:val="fr-FR"/>
              </w:rPr>
              <w:t xml:space="preserve"> </w:t>
            </w:r>
            <w:r w:rsidRPr="00F56A0E">
              <w:rPr>
                <w:lang w:val="fr-FR"/>
              </w:rPr>
              <w:t>n</w:t>
            </w:r>
            <w:r w:rsidR="001323B1" w:rsidRPr="00F56A0E">
              <w:rPr>
                <w:lang w:val="fr-FR"/>
              </w:rPr>
              <w:t>ote de réévaluation REV2008-06</w:t>
            </w:r>
            <w:r w:rsidR="00157D75" w:rsidRPr="00F56A0E">
              <w:rPr>
                <w:lang w:val="fr-FR"/>
              </w:rPr>
              <w:t> :</w:t>
            </w:r>
            <w:r w:rsidR="001323B1" w:rsidRPr="00F56A0E">
              <w:rPr>
                <w:lang w:val="fr-FR"/>
              </w:rPr>
              <w:t xml:space="preserve"> Mise à jour concernant la réévaluation de l</w:t>
            </w:r>
            <w:r w:rsidR="00870D0E" w:rsidRPr="00F56A0E">
              <w:rPr>
                <w:lang w:val="fr-FR"/>
              </w:rPr>
              <w:t>’</w:t>
            </w:r>
            <w:r w:rsidR="001323B1" w:rsidRPr="00F56A0E">
              <w:rPr>
                <w:lang w:val="fr-FR"/>
              </w:rPr>
              <w:t>utilisation du terbufos sur les betteraves à sucre</w:t>
            </w:r>
            <w:r w:rsidRPr="00F56A0E">
              <w:rPr>
                <w:lang w:val="fr-FR"/>
              </w:rPr>
              <w:t xml:space="preserve"> (Agence de réglementation de la lutte antiparasitaire, Santé Canada, 2008)</w:t>
            </w:r>
            <w:r w:rsidR="001323B1" w:rsidRPr="00F56A0E">
              <w:rPr>
                <w:lang w:val="fr-FR"/>
              </w:rPr>
              <w:t xml:space="preserve">, la vente de pesticides contenant du terbufos </w:t>
            </w:r>
            <w:r w:rsidRPr="00F56A0E">
              <w:rPr>
                <w:lang w:val="fr-FR"/>
              </w:rPr>
              <w:t>a été</w:t>
            </w:r>
            <w:r w:rsidR="001323B1" w:rsidRPr="00F56A0E">
              <w:rPr>
                <w:lang w:val="fr-FR"/>
              </w:rPr>
              <w:t xml:space="preserve"> interdite au Canada </w:t>
            </w:r>
            <w:r w:rsidRPr="00F56A0E">
              <w:rPr>
                <w:lang w:val="fr-FR"/>
              </w:rPr>
              <w:t>à partir du</w:t>
            </w:r>
            <w:r w:rsidR="001323B1" w:rsidRPr="00F56A0E">
              <w:rPr>
                <w:lang w:val="fr-FR"/>
              </w:rPr>
              <w:t xml:space="preserve"> 1</w:t>
            </w:r>
            <w:r w:rsidR="001323B1" w:rsidRPr="00F56A0E">
              <w:rPr>
                <w:vertAlign w:val="superscript"/>
                <w:lang w:val="fr-FR"/>
              </w:rPr>
              <w:t>er</w:t>
            </w:r>
            <w:r w:rsidR="001323B1" w:rsidRPr="00F56A0E">
              <w:rPr>
                <w:lang w:val="fr-FR"/>
              </w:rPr>
              <w:t xml:space="preserve"> mai 2012. L</w:t>
            </w:r>
            <w:r w:rsidR="00870D0E" w:rsidRPr="00F56A0E">
              <w:rPr>
                <w:lang w:val="fr-FR"/>
              </w:rPr>
              <w:t>’</w:t>
            </w:r>
            <w:r w:rsidR="001323B1" w:rsidRPr="00F56A0E">
              <w:rPr>
                <w:lang w:val="fr-FR"/>
              </w:rPr>
              <w:t>utilisation de produits en contenant a été interdite après le 1</w:t>
            </w:r>
            <w:r w:rsidR="001323B1" w:rsidRPr="00F56A0E">
              <w:rPr>
                <w:vertAlign w:val="superscript"/>
                <w:lang w:val="fr-FR"/>
              </w:rPr>
              <w:t>er</w:t>
            </w:r>
            <w:r w:rsidR="001323B1" w:rsidRPr="00F56A0E">
              <w:rPr>
                <w:lang w:val="fr-FR"/>
              </w:rPr>
              <w:t xml:space="preserve"> août 2012.</w:t>
            </w:r>
          </w:p>
          <w:p w14:paraId="579FD0C0" w14:textId="6453ED94" w:rsidR="001323B1" w:rsidRPr="00F56A0E" w:rsidRDefault="001323B1" w:rsidP="005E14FB">
            <w:pPr>
              <w:rPr>
                <w:rFonts w:eastAsia="Times New Roman"/>
                <w:lang w:val="fr-FR"/>
              </w:rPr>
            </w:pPr>
            <w:r w:rsidRPr="00F56A0E">
              <w:rPr>
                <w:lang w:val="fr-FR"/>
              </w:rPr>
              <w:t>La mesure de réglementation finale a été prise pour l</w:t>
            </w:r>
            <w:r w:rsidR="00870D0E" w:rsidRPr="00F56A0E">
              <w:rPr>
                <w:lang w:val="fr-FR"/>
              </w:rPr>
              <w:t>’</w:t>
            </w:r>
            <w:r w:rsidRPr="00F56A0E">
              <w:rPr>
                <w:lang w:val="fr-FR"/>
              </w:rPr>
              <w:t>utilisation dans la catégorie des pesticides afin de protéger l</w:t>
            </w:r>
            <w:r w:rsidR="00870D0E" w:rsidRPr="00F56A0E">
              <w:rPr>
                <w:lang w:val="fr-FR"/>
              </w:rPr>
              <w:t>’</w:t>
            </w:r>
            <w:r w:rsidRPr="00F56A0E">
              <w:rPr>
                <w:lang w:val="fr-FR"/>
              </w:rPr>
              <w:t>environnement.</w:t>
            </w:r>
          </w:p>
        </w:tc>
      </w:tr>
      <w:tr w:rsidR="001323B1" w:rsidRPr="00F56A0E" w14:paraId="6B537294"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76" w:type="dxa"/>
            <w:tcBorders>
              <w:top w:val="nil"/>
              <w:left w:val="nil"/>
              <w:bottom w:val="nil"/>
              <w:right w:val="nil"/>
            </w:tcBorders>
          </w:tcPr>
          <w:p w14:paraId="20D7FAAB" w14:textId="1353F40E" w:rsidR="001323B1" w:rsidRPr="00F56A0E" w:rsidRDefault="001323B1" w:rsidP="005E14FB">
            <w:pPr>
              <w:spacing w:before="20" w:after="20"/>
              <w:outlineLvl w:val="2"/>
              <w:rPr>
                <w:rFonts w:eastAsia="Times New Roman"/>
                <w:b/>
                <w:bCs/>
                <w:lang w:val="fr-FR"/>
              </w:rPr>
            </w:pPr>
            <w:r w:rsidRPr="00F56A0E">
              <w:rPr>
                <w:b/>
                <w:bCs/>
                <w:lang w:val="fr-FR"/>
              </w:rPr>
              <w:t>Motif</w:t>
            </w:r>
            <w:r w:rsidR="00157D75" w:rsidRPr="00F56A0E">
              <w:rPr>
                <w:b/>
                <w:bCs/>
                <w:lang w:val="fr-FR"/>
              </w:rPr>
              <w:t> :</w:t>
            </w:r>
          </w:p>
        </w:tc>
        <w:tc>
          <w:tcPr>
            <w:tcW w:w="8247" w:type="dxa"/>
            <w:gridSpan w:val="2"/>
            <w:tcBorders>
              <w:top w:val="nil"/>
              <w:left w:val="nil"/>
              <w:bottom w:val="nil"/>
              <w:right w:val="nil"/>
            </w:tcBorders>
          </w:tcPr>
          <w:p w14:paraId="18B82440" w14:textId="77777777" w:rsidR="001323B1" w:rsidRPr="00F56A0E" w:rsidRDefault="001323B1" w:rsidP="005E14FB">
            <w:pPr>
              <w:spacing w:before="20" w:after="20"/>
              <w:ind w:left="34"/>
              <w:outlineLvl w:val="2"/>
              <w:rPr>
                <w:rFonts w:eastAsia="Times New Roman"/>
                <w:bCs/>
                <w:lang w:val="fr-FR"/>
              </w:rPr>
            </w:pPr>
            <w:r w:rsidRPr="00F56A0E">
              <w:rPr>
                <w:lang w:val="fr-FR"/>
              </w:rPr>
              <w:t>Environnement</w:t>
            </w:r>
          </w:p>
        </w:tc>
      </w:tr>
      <w:tr w:rsidR="001323B1" w:rsidRPr="00F56A0E" w14:paraId="72F53B7F"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9523" w:type="dxa"/>
            <w:gridSpan w:val="3"/>
            <w:tcBorders>
              <w:top w:val="nil"/>
              <w:left w:val="nil"/>
              <w:bottom w:val="nil"/>
              <w:right w:val="nil"/>
            </w:tcBorders>
          </w:tcPr>
          <w:p w14:paraId="7B5F94F8" w14:textId="77777777" w:rsidR="001323B1" w:rsidRPr="00F56A0E" w:rsidRDefault="001323B1" w:rsidP="005E14FB">
            <w:pPr>
              <w:spacing w:before="20" w:after="20"/>
              <w:outlineLvl w:val="2"/>
              <w:rPr>
                <w:rFonts w:eastAsia="Times New Roman"/>
                <w:b/>
                <w:bCs/>
                <w:i/>
                <w:lang w:val="fr-FR" w:eastAsia="en-US"/>
              </w:rPr>
            </w:pPr>
          </w:p>
          <w:p w14:paraId="1CE2DC04" w14:textId="77777777" w:rsidR="001323B1" w:rsidRPr="00F56A0E" w:rsidRDefault="001323B1" w:rsidP="005E14FB">
            <w:pPr>
              <w:spacing w:before="20" w:after="20"/>
              <w:outlineLvl w:val="2"/>
              <w:rPr>
                <w:rFonts w:eastAsia="Times New Roman"/>
                <w:b/>
                <w:bCs/>
                <w:i/>
                <w:lang w:val="fr-FR"/>
              </w:rPr>
            </w:pPr>
            <w:r w:rsidRPr="00F56A0E">
              <w:rPr>
                <w:b/>
                <w:bCs/>
                <w:i/>
                <w:iCs/>
                <w:lang w:val="fr-FR"/>
              </w:rPr>
              <w:t>Mozambique</w:t>
            </w:r>
          </w:p>
          <w:p w14:paraId="461F4AE9" w14:textId="735B2528" w:rsidR="001323B1" w:rsidRPr="00F56A0E" w:rsidRDefault="001323B1" w:rsidP="005E14FB">
            <w:pPr>
              <w:spacing w:before="20" w:after="20"/>
              <w:outlineLvl w:val="2"/>
              <w:rPr>
                <w:lang w:val="fr-FR"/>
              </w:rPr>
            </w:pPr>
            <w:r w:rsidRPr="00F56A0E">
              <w:rPr>
                <w:lang w:val="fr-FR"/>
              </w:rPr>
              <w:t>Par sa décision 001/DNSA/2014, la Direction nationale des services agraires du Mozambique (l</w:t>
            </w:r>
            <w:r w:rsidR="00870D0E" w:rsidRPr="00F56A0E">
              <w:rPr>
                <w:lang w:val="fr-FR"/>
              </w:rPr>
              <w:t>’</w:t>
            </w:r>
            <w:r w:rsidRPr="00F56A0E">
              <w:rPr>
                <w:lang w:val="fr-FR"/>
              </w:rPr>
              <w:t xml:space="preserve">autorité </w:t>
            </w:r>
            <w:r w:rsidR="00035FF3" w:rsidRPr="00F56A0E">
              <w:rPr>
                <w:lang w:val="fr-FR"/>
              </w:rPr>
              <w:t>d</w:t>
            </w:r>
            <w:r w:rsidR="00870D0E" w:rsidRPr="00F56A0E">
              <w:rPr>
                <w:lang w:val="fr-FR"/>
              </w:rPr>
              <w:t>’</w:t>
            </w:r>
            <w:r w:rsidR="00035FF3" w:rsidRPr="00F56A0E">
              <w:rPr>
                <w:lang w:val="fr-FR"/>
              </w:rPr>
              <w:t>homologation</w:t>
            </w:r>
            <w:r w:rsidRPr="00F56A0E">
              <w:rPr>
                <w:lang w:val="fr-FR"/>
              </w:rPr>
              <w:t xml:space="preserve"> des pesticides) a interdit la poursuite de l</w:t>
            </w:r>
            <w:r w:rsidR="00870D0E" w:rsidRPr="00F56A0E">
              <w:rPr>
                <w:lang w:val="fr-FR"/>
              </w:rPr>
              <w:t>’</w:t>
            </w:r>
            <w:r w:rsidRPr="00F56A0E">
              <w:rPr>
                <w:lang w:val="fr-FR"/>
              </w:rPr>
              <w:t>importation et de l</w:t>
            </w:r>
            <w:r w:rsidR="00870D0E" w:rsidRPr="00F56A0E">
              <w:rPr>
                <w:lang w:val="fr-FR"/>
              </w:rPr>
              <w:t>’</w:t>
            </w:r>
            <w:r w:rsidRPr="00F56A0E">
              <w:rPr>
                <w:lang w:val="fr-FR"/>
              </w:rPr>
              <w:t>utilisation d</w:t>
            </w:r>
            <w:r w:rsidR="00035FF3" w:rsidRPr="00F56A0E">
              <w:rPr>
                <w:lang w:val="fr-FR"/>
              </w:rPr>
              <w:t>e</w:t>
            </w:r>
            <w:r w:rsidRPr="00F56A0E">
              <w:rPr>
                <w:lang w:val="fr-FR"/>
              </w:rPr>
              <w:t xml:space="preserve"> terbufos dans le pays. L</w:t>
            </w:r>
            <w:r w:rsidR="00870D0E" w:rsidRPr="00F56A0E">
              <w:rPr>
                <w:lang w:val="fr-FR"/>
              </w:rPr>
              <w:t>’</w:t>
            </w:r>
            <w:r w:rsidRPr="00F56A0E">
              <w:rPr>
                <w:lang w:val="fr-FR"/>
              </w:rPr>
              <w:t>interdiction de toute utilisation de cette substance et l</w:t>
            </w:r>
            <w:r w:rsidR="00870D0E" w:rsidRPr="00F56A0E">
              <w:rPr>
                <w:lang w:val="fr-FR"/>
              </w:rPr>
              <w:t>’</w:t>
            </w:r>
            <w:r w:rsidRPr="00F56A0E">
              <w:rPr>
                <w:lang w:val="fr-FR"/>
              </w:rPr>
              <w:t>annulation de l</w:t>
            </w:r>
            <w:r w:rsidR="00870D0E" w:rsidRPr="00F56A0E">
              <w:rPr>
                <w:lang w:val="fr-FR"/>
              </w:rPr>
              <w:t>’</w:t>
            </w:r>
            <w:r w:rsidRPr="00F56A0E">
              <w:rPr>
                <w:lang w:val="fr-FR"/>
              </w:rPr>
              <w:t>homologation des produits qui en contiennent ont été décidées en raison de sa toxicité et de ses propriétés dangereuses qui, conjuguées à son application incorrecte imputable aux conditions d</w:t>
            </w:r>
            <w:r w:rsidR="00870D0E" w:rsidRPr="00F56A0E">
              <w:rPr>
                <w:lang w:val="fr-FR"/>
              </w:rPr>
              <w:t>’</w:t>
            </w:r>
            <w:r w:rsidRPr="00F56A0E">
              <w:rPr>
                <w:lang w:val="fr-FR"/>
              </w:rPr>
              <w:t>utilisation particulières propres au pays, peuvent nuire à la santé humaine et animale. La décision d</w:t>
            </w:r>
            <w:r w:rsidR="00870D0E" w:rsidRPr="00F56A0E">
              <w:rPr>
                <w:lang w:val="fr-FR"/>
              </w:rPr>
              <w:t>’</w:t>
            </w:r>
            <w:r w:rsidRPr="00F56A0E">
              <w:rPr>
                <w:lang w:val="fr-FR"/>
              </w:rPr>
              <w:t>annuler son homologation a été prise dans le cadre de la dernière étape du projet visant à réduire les risques liés aux pesticides très dangereux, qui a circonscrit les pesticides très dangereux homologués au Mozambique. L</w:t>
            </w:r>
            <w:r w:rsidR="00870D0E" w:rsidRPr="00F56A0E">
              <w:rPr>
                <w:lang w:val="fr-FR"/>
              </w:rPr>
              <w:t>’</w:t>
            </w:r>
            <w:r w:rsidRPr="00F56A0E">
              <w:rPr>
                <w:lang w:val="fr-FR"/>
              </w:rPr>
              <w:t>annulation de l</w:t>
            </w:r>
            <w:r w:rsidR="00870D0E" w:rsidRPr="00F56A0E">
              <w:rPr>
                <w:lang w:val="fr-FR"/>
              </w:rPr>
              <w:t>’</w:t>
            </w:r>
            <w:r w:rsidRPr="00F56A0E">
              <w:rPr>
                <w:lang w:val="fr-FR"/>
              </w:rPr>
              <w:t>homologation de ces derniers et le retrait consécutif des autorisations d</w:t>
            </w:r>
            <w:r w:rsidR="00870D0E" w:rsidRPr="00F56A0E">
              <w:rPr>
                <w:lang w:val="fr-FR"/>
              </w:rPr>
              <w:t>’</w:t>
            </w:r>
            <w:r w:rsidRPr="00F56A0E">
              <w:rPr>
                <w:lang w:val="fr-FR"/>
              </w:rPr>
              <w:t>utilisation correspondantes ont été approuvés à l</w:t>
            </w:r>
            <w:r w:rsidR="00870D0E" w:rsidRPr="00F56A0E">
              <w:rPr>
                <w:lang w:val="fr-FR"/>
              </w:rPr>
              <w:t>’</w:t>
            </w:r>
            <w:r w:rsidRPr="00F56A0E">
              <w:rPr>
                <w:lang w:val="fr-FR"/>
              </w:rPr>
              <w:t>issue de consultations avec différents acteurs (secteur public, secteur privé, société civile et autres). La mesure de réglementation est entrée en vigueur le 15</w:t>
            </w:r>
            <w:r w:rsidR="00AE03E9" w:rsidRPr="00F56A0E">
              <w:rPr>
                <w:lang w:val="fr-FR"/>
              </w:rPr>
              <w:t> </w:t>
            </w:r>
            <w:r w:rsidRPr="00F56A0E">
              <w:rPr>
                <w:lang w:val="fr-FR"/>
              </w:rPr>
              <w:t>juillet 2014.</w:t>
            </w:r>
            <w:r w:rsidR="00AD2712" w:rsidRPr="00F56A0E">
              <w:rPr>
                <w:lang w:val="fr-FR"/>
              </w:rPr>
              <w:t xml:space="preserve"> </w:t>
            </w:r>
          </w:p>
          <w:p w14:paraId="3989B518" w14:textId="2697BD34" w:rsidR="001323B1" w:rsidRPr="00F56A0E" w:rsidRDefault="001323B1" w:rsidP="005E14FB">
            <w:pPr>
              <w:spacing w:before="20" w:after="20"/>
              <w:outlineLvl w:val="2"/>
              <w:rPr>
                <w:lang w:val="fr-FR"/>
              </w:rPr>
            </w:pPr>
            <w:r w:rsidRPr="00F56A0E">
              <w:rPr>
                <w:lang w:val="fr-FR"/>
              </w:rPr>
              <w:t>La mesure de réglementation finale a été prise pour l</w:t>
            </w:r>
            <w:r w:rsidR="00870D0E" w:rsidRPr="00F56A0E">
              <w:rPr>
                <w:lang w:val="fr-FR"/>
              </w:rPr>
              <w:t>’</w:t>
            </w:r>
            <w:r w:rsidRPr="00F56A0E">
              <w:rPr>
                <w:lang w:val="fr-FR"/>
              </w:rPr>
              <w:t>utilisation dans la catégorie des pesticides afin de protéger la santé humaine.</w:t>
            </w:r>
          </w:p>
        </w:tc>
      </w:tr>
      <w:tr w:rsidR="001323B1" w:rsidRPr="00F56A0E" w14:paraId="35B52AE3" w14:textId="77777777" w:rsidTr="007E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76" w:type="dxa"/>
            <w:tcBorders>
              <w:top w:val="nil"/>
              <w:left w:val="nil"/>
              <w:bottom w:val="nil"/>
              <w:right w:val="nil"/>
            </w:tcBorders>
          </w:tcPr>
          <w:p w14:paraId="44F878EA" w14:textId="576B83E1" w:rsidR="001323B1" w:rsidRPr="00F56A0E" w:rsidRDefault="001323B1" w:rsidP="005E14FB">
            <w:pPr>
              <w:spacing w:before="20" w:after="20"/>
              <w:outlineLvl w:val="2"/>
              <w:rPr>
                <w:rFonts w:eastAsia="Times New Roman"/>
                <w:b/>
                <w:bCs/>
                <w:lang w:val="fr-FR"/>
              </w:rPr>
            </w:pPr>
            <w:r w:rsidRPr="00F56A0E">
              <w:rPr>
                <w:b/>
                <w:bCs/>
                <w:lang w:val="fr-FR"/>
              </w:rPr>
              <w:t>Motif</w:t>
            </w:r>
            <w:r w:rsidR="00157D75" w:rsidRPr="00F56A0E">
              <w:rPr>
                <w:b/>
                <w:bCs/>
                <w:lang w:val="fr-FR"/>
              </w:rPr>
              <w:t> :</w:t>
            </w:r>
          </w:p>
        </w:tc>
        <w:tc>
          <w:tcPr>
            <w:tcW w:w="8247" w:type="dxa"/>
            <w:gridSpan w:val="2"/>
            <w:tcBorders>
              <w:top w:val="nil"/>
              <w:left w:val="nil"/>
              <w:bottom w:val="nil"/>
              <w:right w:val="nil"/>
            </w:tcBorders>
          </w:tcPr>
          <w:p w14:paraId="0B437391" w14:textId="77777777" w:rsidR="001323B1" w:rsidRPr="00F56A0E" w:rsidRDefault="001323B1" w:rsidP="005E14FB">
            <w:pPr>
              <w:spacing w:before="20" w:after="20"/>
              <w:outlineLvl w:val="2"/>
              <w:rPr>
                <w:rFonts w:eastAsia="Times New Roman"/>
                <w:bCs/>
                <w:lang w:val="fr-FR"/>
              </w:rPr>
            </w:pPr>
            <w:r w:rsidRPr="00F56A0E">
              <w:rPr>
                <w:lang w:val="fr-FR"/>
              </w:rPr>
              <w:t xml:space="preserve">Santé humaine </w:t>
            </w:r>
          </w:p>
        </w:tc>
      </w:tr>
    </w:tbl>
    <w:p w14:paraId="023B1C90" w14:textId="77777777" w:rsidR="001323B1" w:rsidRPr="00F56A0E" w:rsidRDefault="001323B1" w:rsidP="001323B1">
      <w:pPr>
        <w:tabs>
          <w:tab w:val="left" w:pos="-720"/>
          <w:tab w:val="left" w:pos="0"/>
          <w:tab w:val="left" w:pos="720"/>
        </w:tabs>
        <w:suppressAutoHyphens/>
        <w:rPr>
          <w:rFonts w:eastAsia="Times New Roman"/>
          <w:sz w:val="10"/>
          <w:szCs w:val="10"/>
          <w:lang w:val="fr-FR" w:eastAsia="en-US"/>
        </w:rPr>
      </w:pPr>
    </w:p>
    <w:tbl>
      <w:tblPr>
        <w:tblW w:w="952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26"/>
      </w:tblGrid>
      <w:tr w:rsidR="001323B1" w:rsidRPr="00F56A0E" w14:paraId="538BD196" w14:textId="77777777" w:rsidTr="007E521C">
        <w:tc>
          <w:tcPr>
            <w:tcW w:w="9526" w:type="dxa"/>
            <w:tcBorders>
              <w:top w:val="single" w:sz="4" w:space="0" w:color="auto"/>
              <w:left w:val="single" w:sz="4" w:space="0" w:color="auto"/>
              <w:bottom w:val="single" w:sz="4" w:space="0" w:color="auto"/>
              <w:right w:val="single" w:sz="4" w:space="0" w:color="auto"/>
            </w:tcBorders>
          </w:tcPr>
          <w:p w14:paraId="30C3687A" w14:textId="3B67C840" w:rsidR="001323B1" w:rsidRPr="00F56A0E" w:rsidRDefault="001323B1" w:rsidP="005E14FB">
            <w:pPr>
              <w:keepNext/>
              <w:outlineLvl w:val="1"/>
              <w:rPr>
                <w:rFonts w:eastAsia="Times New Roman"/>
                <w:b/>
                <w:bCs/>
                <w:szCs w:val="28"/>
                <w:lang w:val="fr-FR"/>
              </w:rPr>
            </w:pPr>
            <w:r w:rsidRPr="00F56A0E">
              <w:rPr>
                <w:b/>
                <w:bCs/>
                <w:lang w:val="fr-FR"/>
              </w:rPr>
              <w:t>2.2</w:t>
            </w:r>
            <w:r w:rsidR="00AD2712" w:rsidRPr="00F56A0E">
              <w:rPr>
                <w:lang w:val="fr-FR"/>
              </w:rPr>
              <w:t xml:space="preserve"> </w:t>
            </w:r>
            <w:r w:rsidRPr="00F56A0E">
              <w:rPr>
                <w:b/>
                <w:bCs/>
                <w:lang w:val="fr-FR"/>
              </w:rPr>
              <w:t>Évaluation des risques (voir l</w:t>
            </w:r>
            <w:r w:rsidR="00870D0E" w:rsidRPr="00F56A0E">
              <w:rPr>
                <w:b/>
                <w:bCs/>
                <w:lang w:val="fr-FR"/>
              </w:rPr>
              <w:t>’</w:t>
            </w:r>
            <w:r w:rsidRPr="00F56A0E">
              <w:rPr>
                <w:b/>
                <w:bCs/>
                <w:lang w:val="fr-FR"/>
              </w:rPr>
              <w:t>annexe 1 pour plus de précisions)</w:t>
            </w:r>
          </w:p>
        </w:tc>
      </w:tr>
    </w:tbl>
    <w:p w14:paraId="35F439FD" w14:textId="77777777" w:rsidR="001323B1" w:rsidRPr="00F56A0E" w:rsidRDefault="001323B1" w:rsidP="002801C6">
      <w:pPr>
        <w:spacing w:before="120" w:after="20"/>
        <w:ind w:left="1724" w:hanging="1544"/>
        <w:outlineLvl w:val="2"/>
        <w:rPr>
          <w:rFonts w:eastAsia="Times New Roman"/>
          <w:b/>
          <w:bCs/>
          <w:i/>
          <w:snapToGrid w:val="0"/>
          <w:lang w:val="fr-FR"/>
        </w:rPr>
      </w:pPr>
      <w:r w:rsidRPr="00F56A0E">
        <w:rPr>
          <w:b/>
          <w:bCs/>
          <w:i/>
          <w:iCs/>
          <w:lang w:val="fr-FR"/>
        </w:rPr>
        <w:t>Canada</w:t>
      </w:r>
    </w:p>
    <w:p w14:paraId="75617839" w14:textId="74536D67" w:rsidR="001323B1" w:rsidRPr="00F56A0E" w:rsidRDefault="001323B1" w:rsidP="002801C6">
      <w:pPr>
        <w:tabs>
          <w:tab w:val="left" w:pos="624"/>
          <w:tab w:val="left" w:pos="1247"/>
          <w:tab w:val="left" w:pos="1814"/>
          <w:tab w:val="left" w:pos="2381"/>
          <w:tab w:val="left" w:pos="2948"/>
          <w:tab w:val="left" w:pos="3515"/>
        </w:tabs>
        <w:spacing w:after="120"/>
        <w:ind w:left="180"/>
        <w:rPr>
          <w:lang w:val="fr-FR"/>
        </w:rPr>
      </w:pPr>
      <w:r w:rsidRPr="00F56A0E">
        <w:rPr>
          <w:lang w:val="fr-FR"/>
        </w:rPr>
        <w:t>Une réévaluation de la matière active terbufos et de ses préparations commerciales utilisées sur le canola, le maïs, la moutarde et le rutabaga a été effectuée en vertu de la section</w:t>
      </w:r>
      <w:r w:rsidR="00B57B70" w:rsidRPr="00F56A0E">
        <w:rPr>
          <w:lang w:val="fr-FR"/>
        </w:rPr>
        <w:t> </w:t>
      </w:r>
      <w:r w:rsidRPr="00F56A0E">
        <w:rPr>
          <w:lang w:val="fr-FR"/>
        </w:rPr>
        <w:t>16 de la Loi sur les produits antiparasitaires.</w:t>
      </w:r>
    </w:p>
    <w:p w14:paraId="374E1054" w14:textId="6AB0B6EB" w:rsidR="001323B1" w:rsidRPr="00F56A0E" w:rsidRDefault="001323B1" w:rsidP="002801C6">
      <w:pPr>
        <w:tabs>
          <w:tab w:val="left" w:pos="624"/>
          <w:tab w:val="left" w:pos="1247"/>
          <w:tab w:val="left" w:pos="1814"/>
          <w:tab w:val="left" w:pos="2381"/>
          <w:tab w:val="left" w:pos="2948"/>
          <w:tab w:val="left" w:pos="3515"/>
        </w:tabs>
        <w:spacing w:after="120"/>
        <w:ind w:left="180"/>
        <w:rPr>
          <w:bCs/>
          <w:lang w:val="fr-FR"/>
        </w:rPr>
      </w:pPr>
      <w:r w:rsidRPr="00F56A0E">
        <w:rPr>
          <w:lang w:val="fr-FR"/>
        </w:rPr>
        <w:t>L</w:t>
      </w:r>
      <w:r w:rsidR="00870D0E" w:rsidRPr="00F56A0E">
        <w:rPr>
          <w:lang w:val="fr-FR"/>
        </w:rPr>
        <w:t>’</w:t>
      </w:r>
      <w:r w:rsidRPr="00F56A0E">
        <w:rPr>
          <w:lang w:val="fr-FR"/>
        </w:rPr>
        <w:t>Agence de réglementation de la lutte antiparasitaire (ARLA) de Santé Canada a déterminé que toutes les utilisations homologuées du terbufos conduisaient à des niveaux de danger extrêmement élevés pour les organismes terrestres. Cette évaluation s</w:t>
      </w:r>
      <w:r w:rsidR="00870D0E" w:rsidRPr="00F56A0E">
        <w:rPr>
          <w:lang w:val="fr-FR"/>
        </w:rPr>
        <w:t>’</w:t>
      </w:r>
      <w:r w:rsidRPr="00F56A0E">
        <w:rPr>
          <w:lang w:val="fr-FR"/>
        </w:rPr>
        <w:t>appuie sur des comptes rendus d</w:t>
      </w:r>
      <w:r w:rsidR="00870D0E" w:rsidRPr="00F56A0E">
        <w:rPr>
          <w:lang w:val="fr-FR"/>
        </w:rPr>
        <w:t>’</w:t>
      </w:r>
      <w:r w:rsidRPr="00F56A0E">
        <w:rPr>
          <w:lang w:val="fr-FR"/>
        </w:rPr>
        <w:t>incidents recueillis au Canada et aux États-Unis.</w:t>
      </w:r>
    </w:p>
    <w:p w14:paraId="48D53677" w14:textId="5D3B765E" w:rsidR="001323B1" w:rsidRPr="00F56A0E" w:rsidRDefault="001323B1" w:rsidP="002801C6">
      <w:pPr>
        <w:tabs>
          <w:tab w:val="left" w:pos="624"/>
          <w:tab w:val="left" w:pos="1247"/>
          <w:tab w:val="left" w:pos="1814"/>
          <w:tab w:val="left" w:pos="2381"/>
          <w:tab w:val="left" w:pos="2948"/>
          <w:tab w:val="left" w:pos="3515"/>
        </w:tabs>
        <w:spacing w:after="120"/>
        <w:ind w:left="180"/>
        <w:rPr>
          <w:bCs/>
          <w:lang w:val="fr-FR"/>
        </w:rPr>
      </w:pPr>
      <w:r w:rsidRPr="00F56A0E">
        <w:rPr>
          <w:lang w:val="fr-FR"/>
        </w:rPr>
        <w:t>L</w:t>
      </w:r>
      <w:r w:rsidR="00870D0E" w:rsidRPr="00F56A0E">
        <w:rPr>
          <w:lang w:val="fr-FR"/>
        </w:rPr>
        <w:t>’</w:t>
      </w:r>
      <w:r w:rsidRPr="00F56A0E">
        <w:rPr>
          <w:lang w:val="fr-FR"/>
        </w:rPr>
        <w:t>ARLA a également déterminé que toutes les utilisations homologuées du terbufos conduisaient à des niveaux de danger extrêmement élevés pour les organismes aquatiques. Cette évaluation s</w:t>
      </w:r>
      <w:r w:rsidR="00870D0E" w:rsidRPr="00F56A0E">
        <w:rPr>
          <w:lang w:val="fr-FR"/>
        </w:rPr>
        <w:t>’</w:t>
      </w:r>
      <w:r w:rsidRPr="00F56A0E">
        <w:rPr>
          <w:lang w:val="fr-FR"/>
        </w:rPr>
        <w:t>appuie sur des comptes rendus d</w:t>
      </w:r>
      <w:r w:rsidR="00870D0E" w:rsidRPr="00F56A0E">
        <w:rPr>
          <w:lang w:val="fr-FR"/>
        </w:rPr>
        <w:t>’</w:t>
      </w:r>
      <w:r w:rsidRPr="00F56A0E">
        <w:rPr>
          <w:lang w:val="fr-FR"/>
        </w:rPr>
        <w:t>incidents faisant état d</w:t>
      </w:r>
      <w:r w:rsidR="00870D0E" w:rsidRPr="00F56A0E">
        <w:rPr>
          <w:lang w:val="fr-FR"/>
        </w:rPr>
        <w:t>’</w:t>
      </w:r>
      <w:r w:rsidRPr="00F56A0E">
        <w:rPr>
          <w:lang w:val="fr-FR"/>
        </w:rPr>
        <w:t>effets nocifs recueillis aux États-Unis. Des effets similaires ont pu se produire au Canada, mais il n</w:t>
      </w:r>
      <w:r w:rsidR="00870D0E" w:rsidRPr="00F56A0E">
        <w:rPr>
          <w:lang w:val="fr-FR"/>
        </w:rPr>
        <w:t>’</w:t>
      </w:r>
      <w:r w:rsidRPr="00F56A0E">
        <w:rPr>
          <w:lang w:val="fr-FR"/>
        </w:rPr>
        <w:t>y existe pas de système équivalent de communication d</w:t>
      </w:r>
      <w:r w:rsidR="00870D0E" w:rsidRPr="00F56A0E">
        <w:rPr>
          <w:lang w:val="fr-FR"/>
        </w:rPr>
        <w:t>’</w:t>
      </w:r>
      <w:r w:rsidRPr="00F56A0E">
        <w:rPr>
          <w:lang w:val="fr-FR"/>
        </w:rPr>
        <w:t>informations.</w:t>
      </w:r>
    </w:p>
    <w:p w14:paraId="369745CD" w14:textId="2A613CF3" w:rsidR="001323B1" w:rsidRPr="00F56A0E" w:rsidRDefault="001323B1" w:rsidP="002801C6">
      <w:pPr>
        <w:tabs>
          <w:tab w:val="left" w:pos="624"/>
          <w:tab w:val="left" w:pos="1247"/>
          <w:tab w:val="left" w:pos="1814"/>
          <w:tab w:val="left" w:pos="2381"/>
          <w:tab w:val="left" w:pos="2948"/>
          <w:tab w:val="left" w:pos="3515"/>
        </w:tabs>
        <w:spacing w:after="120"/>
        <w:ind w:left="180"/>
        <w:rPr>
          <w:bCs/>
          <w:lang w:val="fr-FR"/>
        </w:rPr>
      </w:pPr>
      <w:r w:rsidRPr="00F56A0E">
        <w:rPr>
          <w:lang w:val="fr-FR"/>
        </w:rPr>
        <w:t>Les quotients de risque déterminés pour les applications des formulations commerciales Counter 5-G et Counter 15-G montrent que le terbufos présente des risques pour tous les groupes d</w:t>
      </w:r>
      <w:r w:rsidR="00870D0E" w:rsidRPr="00F56A0E">
        <w:rPr>
          <w:lang w:val="fr-FR"/>
        </w:rPr>
        <w:t>’</w:t>
      </w:r>
      <w:r w:rsidRPr="00F56A0E">
        <w:rPr>
          <w:lang w:val="fr-FR"/>
        </w:rPr>
        <w:t>organismes (à savoir les oiseaux, les mammifères, les poissons et les invertébrés aquatiques) dans tous les scénarios d</w:t>
      </w:r>
      <w:r w:rsidR="00870D0E" w:rsidRPr="00F56A0E">
        <w:rPr>
          <w:lang w:val="fr-FR"/>
        </w:rPr>
        <w:t>’</w:t>
      </w:r>
      <w:r w:rsidRPr="00F56A0E">
        <w:rPr>
          <w:lang w:val="fr-FR"/>
        </w:rPr>
        <w:t>application. D</w:t>
      </w:r>
      <w:r w:rsidR="00870D0E" w:rsidRPr="00F56A0E">
        <w:rPr>
          <w:lang w:val="fr-FR"/>
        </w:rPr>
        <w:t>’</w:t>
      </w:r>
      <w:r w:rsidRPr="00F56A0E">
        <w:rPr>
          <w:lang w:val="fr-FR"/>
        </w:rPr>
        <w:t>après les données de toxicité disponibles, les risques sont considérés comme élevés à extrêmement élevés pour les organismes aquatiques et, dans la plupart des cas, élevés à extrêmement élevés pour les oiseaux. Ils sont considérés comme faibles pour les grands mammifères et élevés pour les petits mammifères.</w:t>
      </w:r>
    </w:p>
    <w:p w14:paraId="645DA9C1" w14:textId="77777777" w:rsidR="001323B1" w:rsidRPr="00F56A0E" w:rsidRDefault="001323B1" w:rsidP="001323B1">
      <w:pPr>
        <w:spacing w:before="20" w:after="20"/>
        <w:ind w:left="1725" w:hanging="1725"/>
        <w:outlineLvl w:val="2"/>
        <w:rPr>
          <w:rFonts w:eastAsia="Times New Roman"/>
          <w:b/>
          <w:bCs/>
          <w:i/>
          <w:snapToGrid w:val="0"/>
          <w:lang w:val="fr-FR" w:eastAsia="en-US"/>
        </w:rPr>
      </w:pPr>
    </w:p>
    <w:p w14:paraId="78463A9C" w14:textId="77777777" w:rsidR="001323B1" w:rsidRPr="00F56A0E" w:rsidRDefault="001323B1" w:rsidP="002801C6">
      <w:pPr>
        <w:spacing w:before="20" w:after="20"/>
        <w:ind w:left="1725" w:hanging="1545"/>
        <w:outlineLvl w:val="2"/>
        <w:rPr>
          <w:rFonts w:eastAsia="Times New Roman"/>
          <w:b/>
          <w:bCs/>
          <w:i/>
          <w:snapToGrid w:val="0"/>
          <w:lang w:val="fr-FR"/>
        </w:rPr>
      </w:pPr>
      <w:r w:rsidRPr="00F56A0E">
        <w:rPr>
          <w:b/>
          <w:bCs/>
          <w:i/>
          <w:iCs/>
          <w:lang w:val="fr-FR"/>
        </w:rPr>
        <w:t>Mozambique</w:t>
      </w:r>
    </w:p>
    <w:p w14:paraId="39436949" w14:textId="70C5002A" w:rsidR="001323B1" w:rsidRPr="00F56A0E" w:rsidRDefault="001323B1" w:rsidP="002801C6">
      <w:pPr>
        <w:tabs>
          <w:tab w:val="left" w:pos="624"/>
          <w:tab w:val="left" w:pos="1814"/>
        </w:tabs>
        <w:snapToGrid w:val="0"/>
        <w:spacing w:after="120"/>
        <w:ind w:left="180"/>
        <w:rPr>
          <w:lang w:val="fr-FR"/>
        </w:rPr>
      </w:pPr>
      <w:r w:rsidRPr="00F56A0E">
        <w:rPr>
          <w:lang w:val="fr-FR"/>
        </w:rPr>
        <w:t>La notification indique que l</w:t>
      </w:r>
      <w:r w:rsidR="00870D0E" w:rsidRPr="00F56A0E">
        <w:rPr>
          <w:lang w:val="fr-FR"/>
        </w:rPr>
        <w:t>’</w:t>
      </w:r>
      <w:r w:rsidRPr="00F56A0E">
        <w:rPr>
          <w:lang w:val="fr-FR"/>
        </w:rPr>
        <w:t>interdiction de toutes les utilisations du terbufos et l</w:t>
      </w:r>
      <w:r w:rsidR="00870D0E" w:rsidRPr="00F56A0E">
        <w:rPr>
          <w:lang w:val="fr-FR"/>
        </w:rPr>
        <w:t>’</w:t>
      </w:r>
      <w:r w:rsidRPr="00F56A0E">
        <w:rPr>
          <w:lang w:val="fr-FR"/>
        </w:rPr>
        <w:t>annulation de l</w:t>
      </w:r>
      <w:r w:rsidR="00870D0E" w:rsidRPr="00F56A0E">
        <w:rPr>
          <w:lang w:val="fr-FR"/>
        </w:rPr>
        <w:t>’</w:t>
      </w:r>
      <w:r w:rsidRPr="00F56A0E">
        <w:rPr>
          <w:lang w:val="fr-FR"/>
        </w:rPr>
        <w:t>homologation des produits qui en contiennent ont été décidées en raison de sa toxicité et de ses propriétés dangereuses qui, conjuguées à son application incorrecte imputable aux conditions d</w:t>
      </w:r>
      <w:r w:rsidR="00870D0E" w:rsidRPr="00F56A0E">
        <w:rPr>
          <w:lang w:val="fr-FR"/>
        </w:rPr>
        <w:t>’</w:t>
      </w:r>
      <w:r w:rsidRPr="00F56A0E">
        <w:rPr>
          <w:lang w:val="fr-FR"/>
        </w:rPr>
        <w:t>utilisation particulières propres au pays, peuvent nuire à la santé humaine et animale.</w:t>
      </w:r>
    </w:p>
    <w:p w14:paraId="6A2ADDAC" w14:textId="309F99BA" w:rsidR="001323B1" w:rsidRPr="00F56A0E" w:rsidRDefault="001323B1" w:rsidP="002801C6">
      <w:pPr>
        <w:tabs>
          <w:tab w:val="left" w:pos="624"/>
          <w:tab w:val="left" w:pos="1814"/>
        </w:tabs>
        <w:snapToGrid w:val="0"/>
        <w:spacing w:after="120"/>
        <w:ind w:left="180"/>
        <w:rPr>
          <w:lang w:val="fr-FR"/>
        </w:rPr>
      </w:pPr>
      <w:r w:rsidRPr="00F56A0E">
        <w:rPr>
          <w:lang w:val="fr-FR"/>
        </w:rPr>
        <w:t>Il a été considéré que le terbufos et les produits contenant cette substance étaient nocifs pour la santé humaine, compte tenu des conditions locales d</w:t>
      </w:r>
      <w:r w:rsidR="00870D0E" w:rsidRPr="00F56A0E">
        <w:rPr>
          <w:lang w:val="fr-FR"/>
        </w:rPr>
        <w:t>’</w:t>
      </w:r>
      <w:r w:rsidRPr="00F56A0E">
        <w:rPr>
          <w:lang w:val="fr-FR"/>
        </w:rPr>
        <w:t>utilisation au Mozambique et nécessitaient des mesures d</w:t>
      </w:r>
      <w:r w:rsidR="00870D0E" w:rsidRPr="00F56A0E">
        <w:rPr>
          <w:lang w:val="fr-FR"/>
        </w:rPr>
        <w:t>’</w:t>
      </w:r>
      <w:r w:rsidRPr="00F56A0E">
        <w:rPr>
          <w:lang w:val="fr-FR"/>
        </w:rPr>
        <w:t>atténuation des risques. La notification fait référence à un rapport d</w:t>
      </w:r>
      <w:r w:rsidR="00870D0E" w:rsidRPr="00F56A0E">
        <w:rPr>
          <w:lang w:val="fr-FR"/>
        </w:rPr>
        <w:t>’</w:t>
      </w:r>
      <w:r w:rsidRPr="00F56A0E">
        <w:rPr>
          <w:lang w:val="fr-FR"/>
        </w:rPr>
        <w:t xml:space="preserve">expertise établi par des consultants, intitulé </w:t>
      </w:r>
      <w:r w:rsidRPr="00F56A0E">
        <w:rPr>
          <w:i/>
          <w:iCs/>
          <w:lang w:val="fr-FR"/>
        </w:rPr>
        <w:t>Reducing Risks of Highly Hazardous Pesticides in Mozambique: Step 1 – Shortlisting highly hazardous pesticides</w:t>
      </w:r>
      <w:r w:rsidRPr="00F56A0E">
        <w:rPr>
          <w:lang w:val="fr-FR"/>
        </w:rPr>
        <w:t xml:space="preserve"> (Come et van der </w:t>
      </w:r>
      <w:r w:rsidRPr="00F56A0E">
        <w:rPr>
          <w:lang w:val="fr-FR"/>
        </w:rPr>
        <w:lastRenderedPageBreak/>
        <w:t>Valk, 2014), qui classe les formulations du terbufos comme extrêmement dangereuses (classe Ia) et, donc, comme faisant partie de la liste restreinte, d</w:t>
      </w:r>
      <w:r w:rsidR="00870D0E" w:rsidRPr="00F56A0E">
        <w:rPr>
          <w:lang w:val="fr-FR"/>
        </w:rPr>
        <w:t>’</w:t>
      </w:r>
      <w:r w:rsidRPr="00F56A0E">
        <w:rPr>
          <w:lang w:val="fr-FR"/>
        </w:rPr>
        <w:t xml:space="preserve">après les critères de la JMPM relatifs aux pesticides très dangereux </w:t>
      </w:r>
      <w:r w:rsidR="009F1948" w:rsidRPr="00F56A0E">
        <w:rPr>
          <w:lang w:val="fr-FR"/>
        </w:rPr>
        <w:t xml:space="preserve">établis </w:t>
      </w:r>
      <w:r w:rsidRPr="00F56A0E">
        <w:rPr>
          <w:lang w:val="fr-FR"/>
        </w:rPr>
        <w:t xml:space="preserve">sur la </w:t>
      </w:r>
      <w:r w:rsidR="009F1948" w:rsidRPr="00F56A0E">
        <w:rPr>
          <w:lang w:val="fr-FR"/>
        </w:rPr>
        <w:t xml:space="preserve">base de la </w:t>
      </w:r>
      <w:r w:rsidR="00035FF3" w:rsidRPr="00F56A0E">
        <w:rPr>
          <w:lang w:val="fr-FR"/>
        </w:rPr>
        <w:t xml:space="preserve">Classification OMS recommandée </w:t>
      </w:r>
      <w:r w:rsidRPr="00F56A0E">
        <w:rPr>
          <w:lang w:val="fr-FR"/>
        </w:rPr>
        <w:t>des pesticides en fonction des dangers qu</w:t>
      </w:r>
      <w:r w:rsidR="00870D0E" w:rsidRPr="00F56A0E">
        <w:rPr>
          <w:lang w:val="fr-FR"/>
        </w:rPr>
        <w:t>’</w:t>
      </w:r>
      <w:r w:rsidRPr="00F56A0E">
        <w:rPr>
          <w:lang w:val="fr-FR"/>
        </w:rPr>
        <w:t xml:space="preserve">ils présentent (Come et van der Valk, 2014). </w:t>
      </w:r>
    </w:p>
    <w:p w14:paraId="09870C9E" w14:textId="0434B7F2" w:rsidR="001323B1" w:rsidRPr="00F56A0E" w:rsidRDefault="001323B1" w:rsidP="002801C6">
      <w:pPr>
        <w:spacing w:after="120"/>
        <w:ind w:left="180"/>
        <w:rPr>
          <w:rFonts w:eastAsia="Times New Roman"/>
          <w:lang w:val="fr-FR"/>
        </w:rPr>
      </w:pPr>
      <w:r w:rsidRPr="00F56A0E">
        <w:rPr>
          <w:lang w:val="fr-FR"/>
        </w:rPr>
        <w:t>Une enquête sur le terrain a été réalisée auprès de 325 agriculteurs de subsistance de certaines régions du Mozambique pratiquant certains systèmes de culture. Cette enquête visait principalement à déterminer les conditions d</w:t>
      </w:r>
      <w:r w:rsidR="00870D0E" w:rsidRPr="00F56A0E">
        <w:rPr>
          <w:lang w:val="fr-FR"/>
        </w:rPr>
        <w:t>’</w:t>
      </w:r>
      <w:r w:rsidRPr="00F56A0E">
        <w:rPr>
          <w:lang w:val="fr-FR"/>
        </w:rPr>
        <w:t>utilisation des pesticides dans le pays et la mesure dans laquelle elles influent sur les risques potentiels pour la santé humaine et pour l</w:t>
      </w:r>
      <w:r w:rsidR="00870D0E" w:rsidRPr="00F56A0E">
        <w:rPr>
          <w:lang w:val="fr-FR"/>
        </w:rPr>
        <w:t>’</w:t>
      </w:r>
      <w:r w:rsidRPr="00F56A0E">
        <w:rPr>
          <w:lang w:val="fr-FR"/>
        </w:rPr>
        <w:t>environnement.</w:t>
      </w:r>
    </w:p>
    <w:p w14:paraId="1CFBC9EA" w14:textId="49C1234A" w:rsidR="001323B1" w:rsidRPr="00F56A0E" w:rsidRDefault="001323B1" w:rsidP="002801C6">
      <w:pPr>
        <w:tabs>
          <w:tab w:val="left" w:pos="624"/>
          <w:tab w:val="left" w:pos="1814"/>
        </w:tabs>
        <w:snapToGrid w:val="0"/>
        <w:spacing w:after="120"/>
        <w:ind w:left="180"/>
        <w:rPr>
          <w:lang w:val="fr-FR"/>
        </w:rPr>
      </w:pPr>
      <w:r w:rsidRPr="00F56A0E">
        <w:rPr>
          <w:lang w:val="fr-FR"/>
        </w:rPr>
        <w:t>L</w:t>
      </w:r>
      <w:r w:rsidR="00870D0E" w:rsidRPr="00F56A0E">
        <w:rPr>
          <w:lang w:val="fr-FR"/>
        </w:rPr>
        <w:t>’</w:t>
      </w:r>
      <w:r w:rsidRPr="00F56A0E">
        <w:rPr>
          <w:lang w:val="fr-FR"/>
        </w:rPr>
        <w:t>évaluation des risques ne comprenait pas d</w:t>
      </w:r>
      <w:r w:rsidR="00870D0E" w:rsidRPr="00F56A0E">
        <w:rPr>
          <w:lang w:val="fr-FR"/>
        </w:rPr>
        <w:t>’</w:t>
      </w:r>
      <w:r w:rsidRPr="00F56A0E">
        <w:rPr>
          <w:lang w:val="fr-FR"/>
        </w:rPr>
        <w:t>informations spécifiques relatives à l</w:t>
      </w:r>
      <w:r w:rsidR="00870D0E" w:rsidRPr="00F56A0E">
        <w:rPr>
          <w:lang w:val="fr-FR"/>
        </w:rPr>
        <w:t>’</w:t>
      </w:r>
      <w:r w:rsidRPr="00F56A0E">
        <w:rPr>
          <w:lang w:val="fr-FR"/>
        </w:rPr>
        <w:t>exposition réelle ou mesurée des travailleurs agricoles du Mozambique au terbufos, mais la notification et la documentation à l</w:t>
      </w:r>
      <w:r w:rsidR="00870D0E" w:rsidRPr="00F56A0E">
        <w:rPr>
          <w:lang w:val="fr-FR"/>
        </w:rPr>
        <w:t>’</w:t>
      </w:r>
      <w:r w:rsidRPr="00F56A0E">
        <w:rPr>
          <w:lang w:val="fr-FR"/>
        </w:rPr>
        <w:t>appui fournissent une évaluation des conditions d</w:t>
      </w:r>
      <w:r w:rsidR="00870D0E" w:rsidRPr="00F56A0E">
        <w:rPr>
          <w:lang w:val="fr-FR"/>
        </w:rPr>
        <w:t>’</w:t>
      </w:r>
      <w:r w:rsidRPr="00F56A0E">
        <w:rPr>
          <w:lang w:val="fr-FR"/>
        </w:rPr>
        <w:t>utilisation des pesticides prévalant dans ce pays. Bien qu</w:t>
      </w:r>
      <w:r w:rsidR="00870D0E" w:rsidRPr="00F56A0E">
        <w:rPr>
          <w:lang w:val="fr-FR"/>
        </w:rPr>
        <w:t>’</w:t>
      </w:r>
      <w:r w:rsidRPr="00F56A0E">
        <w:rPr>
          <w:lang w:val="fr-FR"/>
        </w:rPr>
        <w:t>aucune importation de formulations du terbufos n</w:t>
      </w:r>
      <w:r w:rsidR="00870D0E" w:rsidRPr="00F56A0E">
        <w:rPr>
          <w:lang w:val="fr-FR"/>
        </w:rPr>
        <w:t>’</w:t>
      </w:r>
      <w:r w:rsidRPr="00F56A0E">
        <w:rPr>
          <w:lang w:val="fr-FR"/>
        </w:rPr>
        <w:t>ait été enregistrée pendant quatre ans (2010–2013) jusqu</w:t>
      </w:r>
      <w:r w:rsidR="00870D0E" w:rsidRPr="00F56A0E">
        <w:rPr>
          <w:lang w:val="fr-FR"/>
        </w:rPr>
        <w:t>’</w:t>
      </w:r>
      <w:r w:rsidRPr="00F56A0E">
        <w:rPr>
          <w:lang w:val="fr-FR"/>
        </w:rPr>
        <w:t>à l</w:t>
      </w:r>
      <w:r w:rsidR="00870D0E" w:rsidRPr="00F56A0E">
        <w:rPr>
          <w:lang w:val="fr-FR"/>
        </w:rPr>
        <w:t>’</w:t>
      </w:r>
      <w:r w:rsidRPr="00F56A0E">
        <w:rPr>
          <w:lang w:val="fr-FR"/>
        </w:rPr>
        <w:t>achèvement de l</w:t>
      </w:r>
      <w:r w:rsidR="00870D0E" w:rsidRPr="00F56A0E">
        <w:rPr>
          <w:lang w:val="fr-FR"/>
        </w:rPr>
        <w:t>’</w:t>
      </w:r>
      <w:r w:rsidRPr="00F56A0E">
        <w:rPr>
          <w:lang w:val="fr-FR"/>
        </w:rPr>
        <w:t>enquête auprès des utilisateurs, celles-ci étaient encore homologuées, de sorte qu</w:t>
      </w:r>
      <w:r w:rsidR="00870D0E" w:rsidRPr="00F56A0E">
        <w:rPr>
          <w:lang w:val="fr-FR"/>
        </w:rPr>
        <w:t>’</w:t>
      </w:r>
      <w:r w:rsidRPr="00F56A0E">
        <w:rPr>
          <w:lang w:val="fr-FR"/>
        </w:rPr>
        <w:t>on ne pouvait pas exclure leur utilisation future. Les homologations concernaient l</w:t>
      </w:r>
      <w:r w:rsidR="00870D0E" w:rsidRPr="00F56A0E">
        <w:rPr>
          <w:lang w:val="fr-FR"/>
        </w:rPr>
        <w:t>’</w:t>
      </w:r>
      <w:r w:rsidRPr="00F56A0E">
        <w:rPr>
          <w:lang w:val="fr-FR"/>
        </w:rPr>
        <w:t>utilisation sur les cultures de maïs, de sorgho, de pommes de terre et de haricots. L</w:t>
      </w:r>
      <w:r w:rsidR="00870D0E" w:rsidRPr="00F56A0E">
        <w:rPr>
          <w:lang w:val="fr-FR"/>
        </w:rPr>
        <w:t>’</w:t>
      </w:r>
      <w:r w:rsidRPr="00F56A0E">
        <w:rPr>
          <w:lang w:val="fr-FR"/>
        </w:rPr>
        <w:t>enquête menée auprès des utilisateurs prenait en compte ces cultures, qui étaient les plus pratiquées dans trois des régions étudiées. En outre, il a été signalé que les cultures maraîchères étaient celles qui subissaient le plus souvent des pulvérisations excessives de pesticides très dangereux, ce qui présentait un risque pour la santé humaine, compte tenu des conditions d</w:t>
      </w:r>
      <w:r w:rsidR="00870D0E" w:rsidRPr="00F56A0E">
        <w:rPr>
          <w:lang w:val="fr-FR"/>
        </w:rPr>
        <w:t>’</w:t>
      </w:r>
      <w:r w:rsidRPr="00F56A0E">
        <w:rPr>
          <w:lang w:val="fr-FR"/>
        </w:rPr>
        <w:t>utilisation au niveau local (jusqu</w:t>
      </w:r>
      <w:r w:rsidR="00870D0E" w:rsidRPr="00F56A0E">
        <w:rPr>
          <w:lang w:val="fr-FR"/>
        </w:rPr>
        <w:t>’</w:t>
      </w:r>
      <w:r w:rsidRPr="00F56A0E">
        <w:rPr>
          <w:lang w:val="fr-FR"/>
        </w:rPr>
        <w:t>à 14 applications par campagne). La notification et la documentation à l</w:t>
      </w:r>
      <w:r w:rsidR="00870D0E" w:rsidRPr="00F56A0E">
        <w:rPr>
          <w:lang w:val="fr-FR"/>
        </w:rPr>
        <w:t>’</w:t>
      </w:r>
      <w:r w:rsidRPr="00F56A0E">
        <w:rPr>
          <w:lang w:val="fr-FR"/>
        </w:rPr>
        <w:t>appui indiquent que l</w:t>
      </w:r>
      <w:r w:rsidR="00870D0E" w:rsidRPr="00F56A0E">
        <w:rPr>
          <w:lang w:val="fr-FR"/>
        </w:rPr>
        <w:t>’</w:t>
      </w:r>
      <w:r w:rsidRPr="00F56A0E">
        <w:rPr>
          <w:lang w:val="fr-FR"/>
        </w:rPr>
        <w:t>utilisation des pesticides en général, et des pesticides très dangereux (comme le terbufos) en particulier, était susceptible d</w:t>
      </w:r>
      <w:r w:rsidR="00870D0E" w:rsidRPr="00F56A0E">
        <w:rPr>
          <w:lang w:val="fr-FR"/>
        </w:rPr>
        <w:t>’</w:t>
      </w:r>
      <w:r w:rsidRPr="00F56A0E">
        <w:rPr>
          <w:lang w:val="fr-FR"/>
        </w:rPr>
        <w:t>entraîner une exposition excessive des agriculteurs, compte tenu de la faible disponibilité d</w:t>
      </w:r>
      <w:r w:rsidR="00870D0E" w:rsidRPr="00F56A0E">
        <w:rPr>
          <w:lang w:val="fr-FR"/>
        </w:rPr>
        <w:t>’</w:t>
      </w:r>
      <w:r w:rsidRPr="00F56A0E">
        <w:rPr>
          <w:lang w:val="fr-FR"/>
        </w:rPr>
        <w:t>EPI chez ces derniers et du manque de connaissances sur leur utilisation, ce dont témoignait le nombre élevé de déclarations d</w:t>
      </w:r>
      <w:r w:rsidR="00870D0E" w:rsidRPr="00F56A0E">
        <w:rPr>
          <w:lang w:val="fr-FR"/>
        </w:rPr>
        <w:t>’</w:t>
      </w:r>
      <w:r w:rsidRPr="00F56A0E">
        <w:rPr>
          <w:lang w:val="fr-FR"/>
        </w:rPr>
        <w:t>effets nocifs sur la santé. La mesure de réglementation finale a été prise comme suite à l</w:t>
      </w:r>
      <w:r w:rsidR="00870D0E" w:rsidRPr="00F56A0E">
        <w:rPr>
          <w:lang w:val="fr-FR"/>
        </w:rPr>
        <w:t>’</w:t>
      </w:r>
      <w:r w:rsidRPr="00F56A0E">
        <w:rPr>
          <w:lang w:val="fr-FR"/>
        </w:rPr>
        <w:t>objectif national de réduction des risques les plus importants liés à l</w:t>
      </w:r>
      <w:r w:rsidR="00870D0E" w:rsidRPr="00F56A0E">
        <w:rPr>
          <w:lang w:val="fr-FR"/>
        </w:rPr>
        <w:t>’</w:t>
      </w:r>
      <w:r w:rsidRPr="00F56A0E">
        <w:rPr>
          <w:lang w:val="fr-FR"/>
        </w:rPr>
        <w:t>utilisation des pesticides que s</w:t>
      </w:r>
      <w:r w:rsidR="00870D0E" w:rsidRPr="00F56A0E">
        <w:rPr>
          <w:lang w:val="fr-FR"/>
        </w:rPr>
        <w:t>’</w:t>
      </w:r>
      <w:r w:rsidRPr="00F56A0E">
        <w:rPr>
          <w:lang w:val="fr-FR"/>
        </w:rPr>
        <w:t>était fixé le Mozambique.</w:t>
      </w:r>
    </w:p>
    <w:p w14:paraId="027DD88C" w14:textId="2BCA2322" w:rsidR="001323B1" w:rsidRPr="00F56A0E" w:rsidRDefault="001323B1" w:rsidP="002801C6">
      <w:pPr>
        <w:spacing w:after="120"/>
        <w:ind w:left="180"/>
        <w:rPr>
          <w:rFonts w:eastAsia="Times New Roman"/>
          <w:lang w:val="fr-FR"/>
        </w:rPr>
      </w:pPr>
      <w:r w:rsidRPr="00F56A0E">
        <w:rPr>
          <w:lang w:val="fr-FR"/>
        </w:rPr>
        <w:t>Il a ainsi été estimé que le terbufos et les produits contenant cette substance étaient nocifs pour la santé humaine, compte tenu des conditions locales d</w:t>
      </w:r>
      <w:r w:rsidR="00870D0E" w:rsidRPr="00F56A0E">
        <w:rPr>
          <w:lang w:val="fr-FR"/>
        </w:rPr>
        <w:t>’</w:t>
      </w:r>
      <w:r w:rsidRPr="00F56A0E">
        <w:rPr>
          <w:lang w:val="fr-FR"/>
        </w:rPr>
        <w:t>utilisation au Mozambique et nécessitaient des mesures d</w:t>
      </w:r>
      <w:r w:rsidR="00870D0E" w:rsidRPr="00F56A0E">
        <w:rPr>
          <w:lang w:val="fr-FR"/>
        </w:rPr>
        <w:t>’</w:t>
      </w:r>
      <w:r w:rsidRPr="00F56A0E">
        <w:rPr>
          <w:lang w:val="fr-FR"/>
        </w:rPr>
        <w:t>atténuation des risques, ce qui a conduit les autorités à décider d</w:t>
      </w:r>
      <w:r w:rsidR="00870D0E" w:rsidRPr="00F56A0E">
        <w:rPr>
          <w:lang w:val="fr-FR"/>
        </w:rPr>
        <w:t>’</w:t>
      </w:r>
      <w:r w:rsidRPr="00F56A0E">
        <w:rPr>
          <w:lang w:val="fr-FR"/>
        </w:rPr>
        <w:t>interdire leur utilisation future dans le pays et à annuler leur homologation.</w:t>
      </w:r>
    </w:p>
    <w:p w14:paraId="30E931BA" w14:textId="77777777" w:rsidR="001323B1" w:rsidRPr="00F56A0E" w:rsidRDefault="001323B1" w:rsidP="001323B1">
      <w:pPr>
        <w:rPr>
          <w:rFonts w:eastAsia="Times New Roman"/>
          <w:lang w:val="fr-FR" w:eastAsia="en-US"/>
        </w:rPr>
      </w:pPr>
    </w:p>
    <w:tbl>
      <w:tblPr>
        <w:tblW w:w="0" w:type="auto"/>
        <w:tblInd w:w="-34"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640"/>
      </w:tblGrid>
      <w:tr w:rsidR="001323B1" w:rsidRPr="00F56A0E" w14:paraId="202A1AC9" w14:textId="77777777" w:rsidTr="005E14FB">
        <w:tc>
          <w:tcPr>
            <w:tcW w:w="9640" w:type="dxa"/>
            <w:shd w:val="pct10" w:color="auto" w:fill="auto"/>
          </w:tcPr>
          <w:p w14:paraId="7D256F41" w14:textId="77777777" w:rsidR="001323B1" w:rsidRPr="00F56A0E" w:rsidRDefault="001323B1" w:rsidP="005E14FB">
            <w:pPr>
              <w:keepNext/>
              <w:spacing w:before="40" w:after="60"/>
              <w:outlineLvl w:val="0"/>
              <w:rPr>
                <w:rFonts w:eastAsia="Times New Roman"/>
                <w:b/>
                <w:bCs/>
                <w:kern w:val="28"/>
                <w:szCs w:val="29"/>
                <w:lang w:val="fr-FR"/>
              </w:rPr>
            </w:pPr>
            <w:r w:rsidRPr="00F56A0E">
              <w:rPr>
                <w:b/>
                <w:bCs/>
                <w:lang w:val="fr-FR"/>
              </w:rPr>
              <w:t>3.</w:t>
            </w:r>
            <w:r w:rsidRPr="00F56A0E">
              <w:rPr>
                <w:lang w:val="fr-FR"/>
              </w:rPr>
              <w:t xml:space="preserve"> </w:t>
            </w:r>
            <w:r w:rsidRPr="00F56A0E">
              <w:rPr>
                <w:b/>
                <w:bCs/>
                <w:lang w:val="fr-FR"/>
              </w:rPr>
              <w:t>Mesures de protection prises au sujet du produit chimique</w:t>
            </w:r>
            <w:r w:rsidRPr="00F56A0E">
              <w:rPr>
                <w:lang w:val="fr-FR"/>
              </w:rPr>
              <w:t xml:space="preserve"> </w:t>
            </w:r>
          </w:p>
        </w:tc>
      </w:tr>
    </w:tbl>
    <w:p w14:paraId="0A524267" w14:textId="77777777" w:rsidR="001323B1" w:rsidRPr="00F56A0E" w:rsidRDefault="001323B1" w:rsidP="001323B1">
      <w:pPr>
        <w:tabs>
          <w:tab w:val="left" w:pos="-720"/>
          <w:tab w:val="left" w:pos="0"/>
          <w:tab w:val="left" w:pos="720"/>
        </w:tabs>
        <w:suppressAutoHyphens/>
        <w:rPr>
          <w:rFonts w:eastAsia="Times New Roman"/>
          <w:szCs w:val="10"/>
          <w:lang w:val="fr-FR" w:eastAsia="en-US"/>
        </w:rPr>
      </w:pPr>
    </w:p>
    <w:tbl>
      <w:tblPr>
        <w:tblW w:w="9588"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8238"/>
      </w:tblGrid>
      <w:tr w:rsidR="001323B1" w:rsidRPr="00F56A0E" w14:paraId="330B82A7" w14:textId="77777777" w:rsidTr="005E14FB">
        <w:tc>
          <w:tcPr>
            <w:tcW w:w="9588" w:type="dxa"/>
            <w:gridSpan w:val="2"/>
            <w:tcBorders>
              <w:top w:val="single" w:sz="4" w:space="0" w:color="auto"/>
              <w:left w:val="single" w:sz="4" w:space="0" w:color="auto"/>
              <w:bottom w:val="single" w:sz="4" w:space="0" w:color="auto"/>
              <w:right w:val="single" w:sz="4" w:space="0" w:color="auto"/>
            </w:tcBorders>
          </w:tcPr>
          <w:p w14:paraId="10CA116F" w14:textId="415B01F3" w:rsidR="001323B1" w:rsidRPr="00F56A0E" w:rsidRDefault="001323B1" w:rsidP="005E14FB">
            <w:pPr>
              <w:keepNext/>
              <w:outlineLvl w:val="1"/>
              <w:rPr>
                <w:rFonts w:eastAsia="Times New Roman"/>
                <w:b/>
                <w:bCs/>
                <w:szCs w:val="28"/>
                <w:lang w:val="fr-FR"/>
              </w:rPr>
            </w:pPr>
            <w:r w:rsidRPr="00F56A0E">
              <w:rPr>
                <w:b/>
                <w:bCs/>
                <w:lang w:val="fr-FR"/>
              </w:rPr>
              <w:t>3.1</w:t>
            </w:r>
            <w:r w:rsidR="00AD2712" w:rsidRPr="00F56A0E">
              <w:rPr>
                <w:lang w:val="fr-FR"/>
              </w:rPr>
              <w:t xml:space="preserve"> </w:t>
            </w:r>
            <w:r w:rsidRPr="00F56A0E">
              <w:rPr>
                <w:b/>
                <w:bCs/>
                <w:lang w:val="fr-FR"/>
              </w:rPr>
              <w:t>Mesures de réglementation destinées à réduire l</w:t>
            </w:r>
            <w:r w:rsidR="00870D0E" w:rsidRPr="00F56A0E">
              <w:rPr>
                <w:b/>
                <w:bCs/>
                <w:lang w:val="fr-FR"/>
              </w:rPr>
              <w:t>’</w:t>
            </w:r>
            <w:r w:rsidRPr="00F56A0E">
              <w:rPr>
                <w:b/>
                <w:bCs/>
                <w:lang w:val="fr-FR"/>
              </w:rPr>
              <w:t>exposition</w:t>
            </w:r>
          </w:p>
        </w:tc>
      </w:tr>
      <w:tr w:rsidR="001323B1" w:rsidRPr="00F56A0E" w14:paraId="5938E452" w14:textId="77777777" w:rsidTr="005E14FB">
        <w:tblPrEx>
          <w:tblBorders>
            <w:top w:val="none" w:sz="0" w:space="0" w:color="auto"/>
            <w:left w:val="none" w:sz="0" w:space="0" w:color="auto"/>
            <w:bottom w:val="none" w:sz="0" w:space="0" w:color="auto"/>
            <w:right w:val="none" w:sz="0" w:space="0" w:color="auto"/>
          </w:tblBorders>
        </w:tblPrEx>
        <w:tc>
          <w:tcPr>
            <w:tcW w:w="1350" w:type="dxa"/>
          </w:tcPr>
          <w:p w14:paraId="5BA00467" w14:textId="77777777" w:rsidR="001323B1" w:rsidRPr="00F56A0E" w:rsidRDefault="001323B1" w:rsidP="005E14FB">
            <w:pPr>
              <w:spacing w:before="20" w:after="20"/>
              <w:outlineLvl w:val="2"/>
              <w:rPr>
                <w:rFonts w:eastAsia="Times New Roman"/>
                <w:b/>
                <w:bCs/>
                <w:i/>
                <w:lang w:val="fr-FR"/>
              </w:rPr>
            </w:pPr>
            <w:r w:rsidRPr="00F56A0E">
              <w:rPr>
                <w:b/>
                <w:bCs/>
                <w:i/>
                <w:iCs/>
                <w:lang w:val="fr-FR"/>
              </w:rPr>
              <w:t>Canada</w:t>
            </w:r>
          </w:p>
        </w:tc>
        <w:tc>
          <w:tcPr>
            <w:tcW w:w="8238" w:type="dxa"/>
          </w:tcPr>
          <w:p w14:paraId="24D5C50D" w14:textId="57888138" w:rsidR="001323B1" w:rsidRPr="00F56A0E" w:rsidRDefault="001323B1" w:rsidP="005E14FB">
            <w:pPr>
              <w:rPr>
                <w:rFonts w:eastAsia="Times New Roman"/>
                <w:lang w:val="fr-FR"/>
              </w:rPr>
            </w:pPr>
            <w:r w:rsidRPr="00F56A0E">
              <w:rPr>
                <w:lang w:val="fr-FR"/>
              </w:rPr>
              <w:t>Agence de réglementation de la lutte antiparasitaire</w:t>
            </w:r>
            <w:r w:rsidR="003C1E17" w:rsidRPr="00F56A0E">
              <w:rPr>
                <w:lang w:val="fr-FR"/>
              </w:rPr>
              <w:t>,</w:t>
            </w:r>
            <w:r w:rsidRPr="00F56A0E">
              <w:rPr>
                <w:lang w:val="fr-FR"/>
              </w:rPr>
              <w:t xml:space="preserve"> Santé Canada, 2004. Décision de réévaluation RRD2004-04</w:t>
            </w:r>
            <w:r w:rsidR="00157D75" w:rsidRPr="00F56A0E">
              <w:rPr>
                <w:lang w:val="fr-FR"/>
              </w:rPr>
              <w:t> :</w:t>
            </w:r>
            <w:r w:rsidRPr="00F56A0E">
              <w:rPr>
                <w:lang w:val="fr-FR"/>
              </w:rPr>
              <w:t xml:space="preserve"> Réévaluation du terbufos, et Agence de réglementation de la lutte antiparasitaire, Santé Canada</w:t>
            </w:r>
            <w:r w:rsidR="003C1E17" w:rsidRPr="00F56A0E">
              <w:rPr>
                <w:lang w:val="fr-FR"/>
              </w:rPr>
              <w:t>,</w:t>
            </w:r>
            <w:r w:rsidRPr="00F56A0E">
              <w:rPr>
                <w:lang w:val="fr-FR"/>
              </w:rPr>
              <w:t xml:space="preserve"> 2008. Note de réévaluation REV2008-06</w:t>
            </w:r>
            <w:r w:rsidR="00157D75" w:rsidRPr="00F56A0E">
              <w:rPr>
                <w:lang w:val="fr-FR"/>
              </w:rPr>
              <w:t> :</w:t>
            </w:r>
            <w:r w:rsidRPr="00F56A0E">
              <w:rPr>
                <w:lang w:val="fr-FR"/>
              </w:rPr>
              <w:t xml:space="preserve"> Mise à jour concernant la réévaluation de l</w:t>
            </w:r>
            <w:r w:rsidR="00870D0E" w:rsidRPr="00F56A0E">
              <w:rPr>
                <w:lang w:val="fr-FR"/>
              </w:rPr>
              <w:t>’</w:t>
            </w:r>
            <w:r w:rsidRPr="00F56A0E">
              <w:rPr>
                <w:lang w:val="fr-FR"/>
              </w:rPr>
              <w:t>utilisation du terbufos sur les betteraves à sucre</w:t>
            </w:r>
            <w:r w:rsidR="003C1E17" w:rsidRPr="00F56A0E">
              <w:rPr>
                <w:lang w:val="fr-FR"/>
              </w:rPr>
              <w:t>. L</w:t>
            </w:r>
            <w:r w:rsidRPr="00F56A0E">
              <w:rPr>
                <w:lang w:val="fr-FR"/>
              </w:rPr>
              <w:t xml:space="preserve">a vente de pesticides contenant du terbufos </w:t>
            </w:r>
            <w:r w:rsidR="003C1E17" w:rsidRPr="00F56A0E">
              <w:rPr>
                <w:lang w:val="fr-FR"/>
              </w:rPr>
              <w:t xml:space="preserve">a été interdite </w:t>
            </w:r>
            <w:r w:rsidRPr="00F56A0E">
              <w:rPr>
                <w:lang w:val="fr-FR"/>
              </w:rPr>
              <w:t>au Canada à compter du 1er mai 2012. L</w:t>
            </w:r>
            <w:r w:rsidR="00870D0E" w:rsidRPr="00F56A0E">
              <w:rPr>
                <w:lang w:val="fr-FR"/>
              </w:rPr>
              <w:t>’</w:t>
            </w:r>
            <w:r w:rsidRPr="00F56A0E">
              <w:rPr>
                <w:lang w:val="fr-FR"/>
              </w:rPr>
              <w:t>utilisation de produits en contenant a été interdite après le 1</w:t>
            </w:r>
            <w:r w:rsidRPr="00F56A0E">
              <w:rPr>
                <w:vertAlign w:val="superscript"/>
                <w:lang w:val="fr-FR"/>
              </w:rPr>
              <w:t>er</w:t>
            </w:r>
            <w:r w:rsidRPr="00F56A0E">
              <w:rPr>
                <w:lang w:val="fr-FR"/>
              </w:rPr>
              <w:t xml:space="preserve"> août 2012.</w:t>
            </w:r>
          </w:p>
          <w:p w14:paraId="37F55133" w14:textId="77777777" w:rsidR="001323B1" w:rsidRPr="00F56A0E" w:rsidRDefault="001323B1" w:rsidP="005E14FB">
            <w:pPr>
              <w:spacing w:before="20" w:after="20"/>
              <w:rPr>
                <w:rFonts w:eastAsia="Times New Roman"/>
                <w:b/>
                <w:bCs/>
                <w:i/>
                <w:lang w:val="fr-FR" w:eastAsia="en-US"/>
              </w:rPr>
            </w:pPr>
          </w:p>
        </w:tc>
      </w:tr>
      <w:tr w:rsidR="001323B1" w:rsidRPr="00F56A0E" w14:paraId="3C9FD174" w14:textId="77777777" w:rsidTr="005E14FB">
        <w:tblPrEx>
          <w:tblBorders>
            <w:top w:val="none" w:sz="0" w:space="0" w:color="auto"/>
            <w:left w:val="none" w:sz="0" w:space="0" w:color="auto"/>
            <w:bottom w:val="none" w:sz="0" w:space="0" w:color="auto"/>
            <w:right w:val="none" w:sz="0" w:space="0" w:color="auto"/>
          </w:tblBorders>
        </w:tblPrEx>
        <w:tc>
          <w:tcPr>
            <w:tcW w:w="1350" w:type="dxa"/>
          </w:tcPr>
          <w:p w14:paraId="769C12F9" w14:textId="77777777" w:rsidR="001323B1" w:rsidRPr="00F56A0E" w:rsidRDefault="001323B1" w:rsidP="005E14FB">
            <w:pPr>
              <w:spacing w:before="20" w:after="20"/>
              <w:outlineLvl w:val="2"/>
              <w:rPr>
                <w:rFonts w:eastAsia="Times New Roman"/>
                <w:b/>
                <w:bCs/>
                <w:i/>
                <w:lang w:val="fr-FR"/>
              </w:rPr>
            </w:pPr>
            <w:r w:rsidRPr="00F56A0E">
              <w:rPr>
                <w:b/>
                <w:bCs/>
                <w:i/>
                <w:iCs/>
                <w:lang w:val="fr-FR"/>
              </w:rPr>
              <w:t>Mozambique</w:t>
            </w:r>
          </w:p>
        </w:tc>
        <w:tc>
          <w:tcPr>
            <w:tcW w:w="8238" w:type="dxa"/>
          </w:tcPr>
          <w:p w14:paraId="5C90DDF4" w14:textId="02C05550" w:rsidR="001323B1" w:rsidRPr="00F56A0E" w:rsidRDefault="001323B1" w:rsidP="005E14FB">
            <w:pPr>
              <w:spacing w:before="20" w:after="20"/>
              <w:rPr>
                <w:rFonts w:eastAsia="Times New Roman"/>
                <w:b/>
                <w:bCs/>
                <w:i/>
                <w:lang w:val="fr-FR"/>
              </w:rPr>
            </w:pPr>
            <w:r w:rsidRPr="00F56A0E">
              <w:rPr>
                <w:lang w:val="fr-FR"/>
              </w:rPr>
              <w:t>La Direction nationale des services agraires a, par la décision n° 001/DNSA/2014, interdit l</w:t>
            </w:r>
            <w:r w:rsidR="00870D0E" w:rsidRPr="00F56A0E">
              <w:rPr>
                <w:lang w:val="fr-FR"/>
              </w:rPr>
              <w:t>’</w:t>
            </w:r>
            <w:r w:rsidRPr="00F56A0E">
              <w:rPr>
                <w:lang w:val="fr-FR"/>
              </w:rPr>
              <w:t>importation et l</w:t>
            </w:r>
            <w:r w:rsidR="00870D0E" w:rsidRPr="00F56A0E">
              <w:rPr>
                <w:lang w:val="fr-FR"/>
              </w:rPr>
              <w:t>’</w:t>
            </w:r>
            <w:r w:rsidRPr="00F56A0E">
              <w:rPr>
                <w:lang w:val="fr-FR"/>
              </w:rPr>
              <w:t xml:space="preserve">utilisation du terbufos au Mozambique. La mesure de réglementation est entrée en vigueur le 15 juillet 2014. </w:t>
            </w:r>
          </w:p>
        </w:tc>
      </w:tr>
    </w:tbl>
    <w:p w14:paraId="5A3313A0" w14:textId="77777777" w:rsidR="001323B1" w:rsidRPr="00F56A0E" w:rsidRDefault="001323B1" w:rsidP="001323B1">
      <w:pPr>
        <w:tabs>
          <w:tab w:val="left" w:pos="-720"/>
          <w:tab w:val="left" w:pos="0"/>
          <w:tab w:val="left" w:pos="720"/>
        </w:tabs>
        <w:suppressAutoHyphens/>
        <w:rPr>
          <w:rFonts w:eastAsia="Times New Roman"/>
          <w:szCs w:val="10"/>
          <w:lang w:val="fr-FR" w:eastAsia="en-US"/>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88"/>
      </w:tblGrid>
      <w:tr w:rsidR="001323B1" w:rsidRPr="00F56A0E" w14:paraId="2322261C" w14:textId="77777777" w:rsidTr="005E14FB">
        <w:tc>
          <w:tcPr>
            <w:tcW w:w="9588" w:type="dxa"/>
            <w:tcBorders>
              <w:top w:val="single" w:sz="4" w:space="0" w:color="auto"/>
              <w:left w:val="single" w:sz="4" w:space="0" w:color="auto"/>
              <w:bottom w:val="single" w:sz="4" w:space="0" w:color="auto"/>
              <w:right w:val="single" w:sz="4" w:space="0" w:color="auto"/>
            </w:tcBorders>
          </w:tcPr>
          <w:p w14:paraId="7484BBB6" w14:textId="0D8D1310" w:rsidR="001323B1" w:rsidRPr="00F56A0E" w:rsidRDefault="001323B1" w:rsidP="005E14FB">
            <w:pPr>
              <w:outlineLvl w:val="1"/>
              <w:rPr>
                <w:rFonts w:eastAsia="Times New Roman"/>
                <w:b/>
                <w:bCs/>
                <w:strike/>
                <w:szCs w:val="28"/>
                <w:lang w:val="fr-FR"/>
              </w:rPr>
            </w:pPr>
            <w:r w:rsidRPr="00F56A0E">
              <w:rPr>
                <w:b/>
                <w:bCs/>
                <w:lang w:val="fr-FR"/>
              </w:rPr>
              <w:t>3.2</w:t>
            </w:r>
            <w:r w:rsidR="00AD2712" w:rsidRPr="00F56A0E">
              <w:rPr>
                <w:lang w:val="fr-FR"/>
              </w:rPr>
              <w:t xml:space="preserve"> </w:t>
            </w:r>
            <w:r w:rsidRPr="00F56A0E">
              <w:rPr>
                <w:b/>
                <w:bCs/>
                <w:lang w:val="fr-FR"/>
              </w:rPr>
              <w:t>Autres mesures destinées à réduire l</w:t>
            </w:r>
            <w:r w:rsidR="00870D0E" w:rsidRPr="00F56A0E">
              <w:rPr>
                <w:b/>
                <w:bCs/>
                <w:lang w:val="fr-FR"/>
              </w:rPr>
              <w:t>’</w:t>
            </w:r>
            <w:r w:rsidRPr="00F56A0E">
              <w:rPr>
                <w:b/>
                <w:bCs/>
                <w:lang w:val="fr-FR"/>
              </w:rPr>
              <w:t>exposition</w:t>
            </w:r>
          </w:p>
        </w:tc>
      </w:tr>
    </w:tbl>
    <w:p w14:paraId="701CD6B6" w14:textId="77777777" w:rsidR="001323B1" w:rsidRPr="00F56A0E" w:rsidRDefault="001323B1" w:rsidP="001323B1">
      <w:pPr>
        <w:spacing w:before="20" w:after="20"/>
        <w:outlineLvl w:val="2"/>
        <w:rPr>
          <w:rFonts w:eastAsia="Times New Roman"/>
          <w:b/>
          <w:bCs/>
          <w:i/>
          <w:lang w:val="fr-FR" w:eastAsia="en-US"/>
        </w:rPr>
      </w:pPr>
    </w:p>
    <w:p w14:paraId="1D65FC74" w14:textId="77777777" w:rsidR="001323B1" w:rsidRPr="00F56A0E" w:rsidRDefault="001323B1" w:rsidP="002801C6">
      <w:pPr>
        <w:spacing w:before="20" w:after="20"/>
        <w:ind w:left="180"/>
        <w:outlineLvl w:val="2"/>
        <w:rPr>
          <w:rFonts w:eastAsia="Times New Roman"/>
          <w:b/>
          <w:bCs/>
          <w:i/>
          <w:lang w:val="fr-FR"/>
        </w:rPr>
      </w:pPr>
      <w:r w:rsidRPr="00F56A0E">
        <w:rPr>
          <w:b/>
          <w:bCs/>
          <w:i/>
          <w:iCs/>
          <w:lang w:val="fr-FR"/>
        </w:rPr>
        <w:t>Canada</w:t>
      </w:r>
    </w:p>
    <w:p w14:paraId="6C92BD30" w14:textId="77777777" w:rsidR="001323B1" w:rsidRPr="00F56A0E" w:rsidRDefault="001323B1" w:rsidP="002801C6">
      <w:pPr>
        <w:ind w:left="180"/>
        <w:rPr>
          <w:rFonts w:eastAsia="Times New Roman"/>
          <w:i/>
          <w:iCs/>
          <w:lang w:val="fr-FR"/>
        </w:rPr>
      </w:pPr>
      <w:r w:rsidRPr="00F56A0E">
        <w:rPr>
          <w:i/>
          <w:iCs/>
          <w:lang w:val="fr-FR"/>
        </w:rPr>
        <w:t>Néant.</w:t>
      </w:r>
    </w:p>
    <w:p w14:paraId="5470CC7A" w14:textId="77777777" w:rsidR="001323B1" w:rsidRPr="00F56A0E" w:rsidRDefault="001323B1" w:rsidP="002801C6">
      <w:pPr>
        <w:ind w:left="180"/>
        <w:rPr>
          <w:rFonts w:eastAsia="Times New Roman"/>
          <w:i/>
          <w:iCs/>
          <w:lang w:val="fr-FR" w:eastAsia="en-US"/>
        </w:rPr>
      </w:pPr>
    </w:p>
    <w:p w14:paraId="06614FD9" w14:textId="77777777" w:rsidR="001323B1" w:rsidRPr="00F56A0E" w:rsidRDefault="001323B1" w:rsidP="002801C6">
      <w:pPr>
        <w:spacing w:before="20" w:after="20"/>
        <w:ind w:left="180"/>
        <w:outlineLvl w:val="2"/>
        <w:rPr>
          <w:rFonts w:eastAsia="Times New Roman"/>
          <w:b/>
          <w:bCs/>
          <w:i/>
          <w:lang w:val="fr-FR"/>
        </w:rPr>
      </w:pPr>
      <w:r w:rsidRPr="00F56A0E">
        <w:rPr>
          <w:b/>
          <w:bCs/>
          <w:i/>
          <w:iCs/>
          <w:lang w:val="fr-FR"/>
        </w:rPr>
        <w:t>Mozambique</w:t>
      </w:r>
    </w:p>
    <w:p w14:paraId="5E40DE0B" w14:textId="77777777" w:rsidR="001323B1" w:rsidRPr="00F56A0E" w:rsidRDefault="001323B1" w:rsidP="002801C6">
      <w:pPr>
        <w:ind w:left="180"/>
        <w:rPr>
          <w:rFonts w:eastAsia="Times New Roman"/>
          <w:bCs/>
          <w:i/>
          <w:iCs/>
          <w:lang w:val="fr-FR"/>
        </w:rPr>
      </w:pPr>
      <w:r w:rsidRPr="00F56A0E">
        <w:rPr>
          <w:i/>
          <w:iCs/>
          <w:lang w:val="fr-FR"/>
        </w:rPr>
        <w:t>Néant.</w:t>
      </w:r>
    </w:p>
    <w:p w14:paraId="79933E42" w14:textId="77777777" w:rsidR="001323B1" w:rsidRPr="00F56A0E" w:rsidRDefault="001323B1" w:rsidP="001323B1">
      <w:pPr>
        <w:rPr>
          <w:rFonts w:eastAsia="Times New Roman"/>
          <w:bCs/>
          <w:iCs/>
          <w:lang w:val="fr-FR" w:eastAsia="en-US"/>
        </w:rPr>
      </w:pPr>
    </w:p>
    <w:tbl>
      <w:tblPr>
        <w:tblW w:w="9588"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88"/>
      </w:tblGrid>
      <w:tr w:rsidR="001323B1" w:rsidRPr="00F56A0E" w14:paraId="43A11841" w14:textId="77777777" w:rsidTr="005E14FB">
        <w:tc>
          <w:tcPr>
            <w:tcW w:w="9588" w:type="dxa"/>
            <w:tcBorders>
              <w:top w:val="single" w:sz="4" w:space="0" w:color="auto"/>
              <w:left w:val="single" w:sz="4" w:space="0" w:color="auto"/>
              <w:bottom w:val="single" w:sz="4" w:space="0" w:color="auto"/>
              <w:right w:val="single" w:sz="4" w:space="0" w:color="auto"/>
            </w:tcBorders>
          </w:tcPr>
          <w:p w14:paraId="20C86A42" w14:textId="24E40AC1" w:rsidR="001323B1" w:rsidRPr="00F56A0E" w:rsidRDefault="001323B1" w:rsidP="005E14FB">
            <w:pPr>
              <w:outlineLvl w:val="1"/>
              <w:rPr>
                <w:rFonts w:eastAsia="Times New Roman"/>
                <w:b/>
                <w:bCs/>
                <w:szCs w:val="28"/>
                <w:lang w:val="fr-FR"/>
              </w:rPr>
            </w:pPr>
            <w:r w:rsidRPr="00F56A0E">
              <w:rPr>
                <w:b/>
                <w:bCs/>
                <w:lang w:val="fr-FR"/>
              </w:rPr>
              <w:t>3.3</w:t>
            </w:r>
            <w:r w:rsidR="00AD2712" w:rsidRPr="00F56A0E">
              <w:rPr>
                <w:lang w:val="fr-FR"/>
              </w:rPr>
              <w:t xml:space="preserve"> </w:t>
            </w:r>
            <w:r w:rsidRPr="00F56A0E">
              <w:rPr>
                <w:b/>
                <w:bCs/>
                <w:lang w:val="fr-FR"/>
              </w:rPr>
              <w:t>Solutions de remplacement</w:t>
            </w:r>
            <w:r w:rsidRPr="00F56A0E">
              <w:rPr>
                <w:lang w:val="fr-FR"/>
              </w:rPr>
              <w:t xml:space="preserve"> </w:t>
            </w:r>
          </w:p>
        </w:tc>
      </w:tr>
      <w:tr w:rsidR="001323B1" w:rsidRPr="00F56A0E" w14:paraId="3225160E" w14:textId="77777777" w:rsidTr="005E14FB">
        <w:tblPrEx>
          <w:tblBorders>
            <w:top w:val="none" w:sz="0" w:space="0" w:color="auto"/>
            <w:left w:val="none" w:sz="0" w:space="0" w:color="auto"/>
            <w:bottom w:val="none" w:sz="0" w:space="0" w:color="auto"/>
            <w:right w:val="none" w:sz="0" w:space="0" w:color="auto"/>
          </w:tblBorders>
        </w:tblPrEx>
        <w:tc>
          <w:tcPr>
            <w:tcW w:w="9588" w:type="dxa"/>
          </w:tcPr>
          <w:p w14:paraId="162C4AE2" w14:textId="77777777" w:rsidR="001323B1" w:rsidRPr="00F56A0E" w:rsidRDefault="001323B1" w:rsidP="005E14FB">
            <w:pPr>
              <w:spacing w:before="20" w:after="20"/>
              <w:outlineLvl w:val="2"/>
              <w:rPr>
                <w:rFonts w:eastAsia="Times New Roman"/>
                <w:b/>
                <w:bCs/>
                <w:lang w:val="fr-FR" w:eastAsia="en-US"/>
              </w:rPr>
            </w:pPr>
          </w:p>
          <w:p w14:paraId="3C418EB4" w14:textId="77777777" w:rsidR="001323B1" w:rsidRPr="00F56A0E" w:rsidRDefault="001323B1" w:rsidP="005E14FB">
            <w:pPr>
              <w:spacing w:before="20" w:after="20"/>
              <w:outlineLvl w:val="2"/>
              <w:rPr>
                <w:rFonts w:eastAsia="Times New Roman"/>
                <w:b/>
                <w:bCs/>
                <w:lang w:val="fr-FR"/>
              </w:rPr>
            </w:pPr>
            <w:r w:rsidRPr="00F56A0E">
              <w:rPr>
                <w:b/>
                <w:bCs/>
                <w:i/>
                <w:iCs/>
                <w:lang w:val="fr-FR"/>
              </w:rPr>
              <w:t>Canada</w:t>
            </w:r>
          </w:p>
          <w:p w14:paraId="3A0C579F" w14:textId="723A402B" w:rsidR="001323B1" w:rsidRPr="00F56A0E" w:rsidRDefault="001323B1" w:rsidP="005E14FB">
            <w:pPr>
              <w:keepNext/>
              <w:outlineLvl w:val="8"/>
              <w:rPr>
                <w:rFonts w:eastAsia="Times New Roman"/>
                <w:iCs/>
                <w:lang w:val="fr-FR"/>
              </w:rPr>
            </w:pPr>
            <w:r w:rsidRPr="00F56A0E">
              <w:rPr>
                <w:lang w:val="fr-FR"/>
              </w:rPr>
              <w:t>Au moment de l</w:t>
            </w:r>
            <w:r w:rsidR="00870D0E" w:rsidRPr="00F56A0E">
              <w:rPr>
                <w:lang w:val="fr-FR"/>
              </w:rPr>
              <w:t>’</w:t>
            </w:r>
            <w:r w:rsidRPr="00F56A0E">
              <w:rPr>
                <w:lang w:val="fr-FR"/>
              </w:rPr>
              <w:t>adoption de la mesure de réglementation, des solutions de remplacement efficaces étaient disponibles pour la gestion de l</w:t>
            </w:r>
            <w:r w:rsidR="00870D0E" w:rsidRPr="00F56A0E">
              <w:rPr>
                <w:lang w:val="fr-FR"/>
              </w:rPr>
              <w:t>’</w:t>
            </w:r>
            <w:r w:rsidRPr="00F56A0E">
              <w:rPr>
                <w:lang w:val="fr-FR"/>
              </w:rPr>
              <w:t xml:space="preserve">altise dans les cultures de canola et de moutarde, à savoir un autre composé organophosphoré, deux carbamates, trois pyréthroïdes et deux néonicotinoïdes. En ce qui concerne le canola, </w:t>
            </w:r>
            <w:r w:rsidRPr="00F56A0E">
              <w:rPr>
                <w:lang w:val="fr-FR"/>
              </w:rPr>
              <w:lastRenderedPageBreak/>
              <w:t>des</w:t>
            </w:r>
            <w:r w:rsidR="00587205" w:rsidRPr="00F56A0E">
              <w:rPr>
                <w:lang w:val="fr-FR"/>
              </w:rPr>
              <w:t> </w:t>
            </w:r>
            <w:r w:rsidRPr="00F56A0E">
              <w:rPr>
                <w:lang w:val="fr-FR"/>
              </w:rPr>
              <w:t>produits contenant de l</w:t>
            </w:r>
            <w:r w:rsidR="00870D0E" w:rsidRPr="00F56A0E">
              <w:rPr>
                <w:lang w:val="fr-FR"/>
              </w:rPr>
              <w:t>’</w:t>
            </w:r>
            <w:r w:rsidRPr="00F56A0E">
              <w:rPr>
                <w:lang w:val="fr-FR"/>
              </w:rPr>
              <w:t>imidaclopride, du thiaméthoxame, de la cyperméthrine, de la deltaméthrine, de la lambda-cyhalothrine, du carbaryl et du carbofuran étaient homologués pour le traitement de l</w:t>
            </w:r>
            <w:r w:rsidR="00870D0E" w:rsidRPr="00F56A0E">
              <w:rPr>
                <w:lang w:val="fr-FR"/>
              </w:rPr>
              <w:t>’</w:t>
            </w:r>
            <w:r w:rsidRPr="00F56A0E">
              <w:rPr>
                <w:lang w:val="fr-FR"/>
              </w:rPr>
              <w:t xml:space="preserve">altise. </w:t>
            </w:r>
          </w:p>
          <w:p w14:paraId="068A4C80" w14:textId="77777777" w:rsidR="001323B1" w:rsidRPr="00F56A0E" w:rsidRDefault="001323B1" w:rsidP="005E14FB">
            <w:pPr>
              <w:keepNext/>
              <w:outlineLvl w:val="8"/>
              <w:rPr>
                <w:rFonts w:eastAsia="Times New Roman"/>
                <w:iCs/>
                <w:lang w:val="fr-FR" w:eastAsia="en-US"/>
              </w:rPr>
            </w:pPr>
          </w:p>
          <w:p w14:paraId="02A586E5" w14:textId="61A29F9A" w:rsidR="001323B1" w:rsidRPr="00F56A0E" w:rsidRDefault="001323B1" w:rsidP="005E14FB">
            <w:pPr>
              <w:keepNext/>
              <w:outlineLvl w:val="8"/>
              <w:rPr>
                <w:rFonts w:eastAsia="Times New Roman"/>
                <w:iCs/>
                <w:lang w:val="fr-FR"/>
              </w:rPr>
            </w:pPr>
            <w:r w:rsidRPr="00F56A0E">
              <w:rPr>
                <w:lang w:val="fr-FR"/>
              </w:rPr>
              <w:t>S</w:t>
            </w:r>
            <w:r w:rsidR="00870D0E" w:rsidRPr="00F56A0E">
              <w:rPr>
                <w:lang w:val="fr-FR"/>
              </w:rPr>
              <w:t>’</w:t>
            </w:r>
            <w:r w:rsidRPr="00F56A0E">
              <w:rPr>
                <w:lang w:val="fr-FR"/>
              </w:rPr>
              <w:t xml:space="preserve">agissant du maïs, les insecticides de sol homologués pour la lutte contre la chrysomèle, la mouche des semis et le ver fil de fer comprenaient le carbaryl, le chlorpyrifos, le diazinon, la téfluthrine et le phorate. </w:t>
            </w:r>
          </w:p>
          <w:p w14:paraId="2334C21B" w14:textId="77777777" w:rsidR="001323B1" w:rsidRPr="00F56A0E" w:rsidRDefault="001323B1" w:rsidP="005E14FB">
            <w:pPr>
              <w:keepNext/>
              <w:outlineLvl w:val="8"/>
              <w:rPr>
                <w:rFonts w:eastAsia="Times New Roman"/>
                <w:iCs/>
                <w:lang w:val="fr-FR" w:eastAsia="en-US"/>
              </w:rPr>
            </w:pPr>
          </w:p>
          <w:p w14:paraId="3A074128" w14:textId="510DDA71" w:rsidR="001323B1" w:rsidRPr="00F56A0E" w:rsidRDefault="001323B1" w:rsidP="005E14FB">
            <w:pPr>
              <w:keepNext/>
              <w:outlineLvl w:val="8"/>
              <w:rPr>
                <w:rFonts w:eastAsia="Times New Roman"/>
                <w:iCs/>
                <w:lang w:val="fr-FR"/>
              </w:rPr>
            </w:pPr>
            <w:r w:rsidRPr="00F56A0E">
              <w:rPr>
                <w:lang w:val="fr-FR"/>
              </w:rPr>
              <w:t>S</w:t>
            </w:r>
            <w:r w:rsidR="00870D0E" w:rsidRPr="00F56A0E">
              <w:rPr>
                <w:lang w:val="fr-FR"/>
              </w:rPr>
              <w:t>’</w:t>
            </w:r>
            <w:r w:rsidRPr="00F56A0E">
              <w:rPr>
                <w:lang w:val="fr-FR"/>
              </w:rPr>
              <w:t>agissant du rutabaga, l</w:t>
            </w:r>
            <w:r w:rsidR="00870D0E" w:rsidRPr="00F56A0E">
              <w:rPr>
                <w:lang w:val="fr-FR"/>
              </w:rPr>
              <w:t>’</w:t>
            </w:r>
            <w:r w:rsidRPr="00F56A0E">
              <w:rPr>
                <w:lang w:val="fr-FR"/>
              </w:rPr>
              <w:t>azinphos-méthyl, le chlorpyrifos, le diazinon et le phorate étaient homologués comme traitements prophylactiques contre la mouche du chou appliqués lors de la plantation, et le carbaryl, l</w:t>
            </w:r>
            <w:r w:rsidR="00870D0E" w:rsidRPr="00F56A0E">
              <w:rPr>
                <w:lang w:val="fr-FR"/>
              </w:rPr>
              <w:t>’</w:t>
            </w:r>
            <w:r w:rsidRPr="00F56A0E">
              <w:rPr>
                <w:lang w:val="fr-FR"/>
              </w:rPr>
              <w:t>endosulfan, le méthoxychlore, le diazinon et la cyperméthrine étaient homologués pour la lutte contre l</w:t>
            </w:r>
            <w:r w:rsidR="00870D0E" w:rsidRPr="00F56A0E">
              <w:rPr>
                <w:lang w:val="fr-FR"/>
              </w:rPr>
              <w:t>’</w:t>
            </w:r>
            <w:r w:rsidRPr="00F56A0E">
              <w:rPr>
                <w:lang w:val="fr-FR"/>
              </w:rPr>
              <w:t xml:space="preserve">altise. </w:t>
            </w:r>
          </w:p>
          <w:p w14:paraId="435B609E" w14:textId="77777777" w:rsidR="001323B1" w:rsidRPr="00F56A0E" w:rsidRDefault="001323B1" w:rsidP="00167449">
            <w:pPr>
              <w:outlineLvl w:val="8"/>
              <w:rPr>
                <w:rFonts w:eastAsia="Times New Roman"/>
                <w:b/>
                <w:bCs/>
                <w:lang w:val="fr-FR" w:eastAsia="en-US"/>
              </w:rPr>
            </w:pPr>
          </w:p>
          <w:p w14:paraId="23965302" w14:textId="77777777" w:rsidR="001323B1" w:rsidRPr="00F56A0E" w:rsidRDefault="001323B1" w:rsidP="005E14FB">
            <w:pPr>
              <w:spacing w:before="20" w:after="20"/>
              <w:outlineLvl w:val="2"/>
              <w:rPr>
                <w:rFonts w:eastAsia="Times New Roman"/>
                <w:b/>
                <w:bCs/>
                <w:lang w:val="fr-FR"/>
              </w:rPr>
            </w:pPr>
            <w:r w:rsidRPr="00F56A0E">
              <w:rPr>
                <w:b/>
                <w:bCs/>
                <w:i/>
                <w:iCs/>
                <w:lang w:val="fr-FR"/>
              </w:rPr>
              <w:t>Mozambique</w:t>
            </w:r>
          </w:p>
          <w:p w14:paraId="58FB43C0" w14:textId="41BD2157" w:rsidR="001323B1" w:rsidRPr="00F56A0E" w:rsidRDefault="001323B1" w:rsidP="005E14FB">
            <w:pPr>
              <w:keepNext/>
              <w:outlineLvl w:val="8"/>
              <w:rPr>
                <w:rFonts w:eastAsia="Times New Roman"/>
                <w:iCs/>
                <w:lang w:val="fr-FR"/>
              </w:rPr>
            </w:pPr>
            <w:r w:rsidRPr="00F56A0E">
              <w:rPr>
                <w:lang w:val="fr-FR"/>
              </w:rPr>
              <w:t>Le Ministère mozambicain de l</w:t>
            </w:r>
            <w:r w:rsidR="00870D0E" w:rsidRPr="00F56A0E">
              <w:rPr>
                <w:lang w:val="fr-FR"/>
              </w:rPr>
              <w:t>’</w:t>
            </w:r>
            <w:r w:rsidRPr="00F56A0E">
              <w:rPr>
                <w:lang w:val="fr-FR"/>
              </w:rPr>
              <w:t>agriculture et de la sécurité alimentaire s</w:t>
            </w:r>
            <w:r w:rsidR="00870D0E" w:rsidRPr="00F56A0E">
              <w:rPr>
                <w:lang w:val="fr-FR"/>
              </w:rPr>
              <w:t>’</w:t>
            </w:r>
            <w:r w:rsidRPr="00F56A0E">
              <w:rPr>
                <w:lang w:val="fr-FR"/>
              </w:rPr>
              <w:t>est concerté avec l</w:t>
            </w:r>
            <w:r w:rsidR="00870D0E" w:rsidRPr="00F56A0E">
              <w:rPr>
                <w:lang w:val="fr-FR"/>
              </w:rPr>
              <w:t>’</w:t>
            </w:r>
            <w:r w:rsidRPr="00F56A0E">
              <w:rPr>
                <w:lang w:val="fr-FR"/>
              </w:rPr>
              <w:t>association des producteurs en vue de réaliser une évaluation des insecticides de remplacement envisageables et de faciliter l</w:t>
            </w:r>
            <w:r w:rsidR="00870D0E" w:rsidRPr="00F56A0E">
              <w:rPr>
                <w:lang w:val="fr-FR"/>
              </w:rPr>
              <w:t>’</w:t>
            </w:r>
            <w:r w:rsidRPr="00F56A0E">
              <w:rPr>
                <w:lang w:val="fr-FR"/>
              </w:rPr>
              <w:t>homologation de produits présentant moins de risque, tout en encourageant le recours à des mesures de lutte biologique contre les ravageurs.</w:t>
            </w:r>
          </w:p>
          <w:p w14:paraId="3A62F64A" w14:textId="77777777" w:rsidR="001323B1" w:rsidRPr="00F56A0E" w:rsidRDefault="001323B1" w:rsidP="005E14FB">
            <w:pPr>
              <w:rPr>
                <w:rFonts w:eastAsia="Times New Roman"/>
                <w:b/>
                <w:lang w:val="fr-FR" w:eastAsia="en-US"/>
              </w:rPr>
            </w:pPr>
          </w:p>
          <w:p w14:paraId="4CBE12A1" w14:textId="77777777" w:rsidR="00ED43D0" w:rsidRPr="00F56A0E" w:rsidRDefault="00ED43D0" w:rsidP="005E14FB">
            <w:pPr>
              <w:rPr>
                <w:rFonts w:eastAsia="Times New Roman"/>
                <w:b/>
                <w:lang w:val="fr-FR" w:eastAsia="en-US"/>
              </w:rPr>
            </w:pPr>
          </w:p>
          <w:p w14:paraId="018F510C" w14:textId="77777777" w:rsidR="001323B1" w:rsidRPr="00F56A0E" w:rsidRDefault="001323B1" w:rsidP="005E14FB">
            <w:pPr>
              <w:rPr>
                <w:rFonts w:eastAsia="Times New Roman"/>
                <w:lang w:val="fr-FR"/>
              </w:rPr>
            </w:pPr>
            <w:r w:rsidRPr="00F56A0E">
              <w:rPr>
                <w:b/>
                <w:bCs/>
                <w:lang w:val="fr-FR"/>
              </w:rPr>
              <w:t>Généralités</w:t>
            </w:r>
          </w:p>
          <w:p w14:paraId="7224FCDE" w14:textId="563CA236" w:rsidR="001323B1" w:rsidRPr="00F56A0E" w:rsidRDefault="001323B1" w:rsidP="005E14FB">
            <w:pPr>
              <w:spacing w:line="230" w:lineRule="exact"/>
              <w:ind w:right="646"/>
              <w:textAlignment w:val="baseline"/>
              <w:rPr>
                <w:rFonts w:eastAsia="Times New Roman"/>
                <w:color w:val="000000"/>
                <w:lang w:val="fr-FR"/>
              </w:rPr>
            </w:pPr>
            <w:r w:rsidRPr="00F56A0E">
              <w:rPr>
                <w:lang w:val="fr-FR"/>
              </w:rPr>
              <w:t>Il est essentiel qu</w:t>
            </w:r>
            <w:r w:rsidR="00870D0E" w:rsidRPr="00F56A0E">
              <w:rPr>
                <w:lang w:val="fr-FR"/>
              </w:rPr>
              <w:t>’</w:t>
            </w:r>
            <w:r w:rsidRPr="00F56A0E">
              <w:rPr>
                <w:lang w:val="fr-FR"/>
              </w:rPr>
              <w:t>avant d</w:t>
            </w:r>
            <w:r w:rsidR="00870D0E" w:rsidRPr="00F56A0E">
              <w:rPr>
                <w:lang w:val="fr-FR"/>
              </w:rPr>
              <w:t>’</w:t>
            </w:r>
            <w:r w:rsidRPr="00F56A0E">
              <w:rPr>
                <w:lang w:val="fr-FR"/>
              </w:rPr>
              <w:t>envisager le recours à une substance de remplacement, les pays s</w:t>
            </w:r>
            <w:r w:rsidR="00870D0E" w:rsidRPr="00F56A0E">
              <w:rPr>
                <w:lang w:val="fr-FR"/>
              </w:rPr>
              <w:t>’</w:t>
            </w:r>
            <w:r w:rsidRPr="00F56A0E">
              <w:rPr>
                <w:lang w:val="fr-FR"/>
              </w:rPr>
              <w:t>assurent qu</w:t>
            </w:r>
            <w:r w:rsidR="00870D0E" w:rsidRPr="00F56A0E">
              <w:rPr>
                <w:lang w:val="fr-FR"/>
              </w:rPr>
              <w:t>’</w:t>
            </w:r>
            <w:r w:rsidRPr="00F56A0E">
              <w:rPr>
                <w:lang w:val="fr-FR"/>
              </w:rPr>
              <w:t>elle répond aux besoins nationaux et se prête aux conditions d</w:t>
            </w:r>
            <w:r w:rsidR="00870D0E" w:rsidRPr="00F56A0E">
              <w:rPr>
                <w:lang w:val="fr-FR"/>
              </w:rPr>
              <w:t>’</w:t>
            </w:r>
            <w:r w:rsidRPr="00F56A0E">
              <w:rPr>
                <w:lang w:val="fr-FR"/>
              </w:rPr>
              <w:t>utilisation locales prévues. Il convient également d</w:t>
            </w:r>
            <w:r w:rsidR="00870D0E" w:rsidRPr="00F56A0E">
              <w:rPr>
                <w:lang w:val="fr-FR"/>
              </w:rPr>
              <w:t>’</w:t>
            </w:r>
            <w:r w:rsidRPr="00F56A0E">
              <w:rPr>
                <w:lang w:val="fr-FR"/>
              </w:rPr>
              <w:t>évaluer les risques associés à la substance et les contrôles nécessaires pour son utilisation sans danger.</w:t>
            </w:r>
          </w:p>
          <w:p w14:paraId="1005C3BE" w14:textId="77777777" w:rsidR="001323B1" w:rsidRPr="00F56A0E" w:rsidRDefault="001323B1" w:rsidP="005E14FB">
            <w:pPr>
              <w:spacing w:line="230" w:lineRule="exact"/>
              <w:ind w:right="646"/>
              <w:textAlignment w:val="baseline"/>
              <w:rPr>
                <w:rFonts w:eastAsia="Times New Roman"/>
                <w:color w:val="000000"/>
                <w:lang w:val="fr-FR"/>
              </w:rPr>
            </w:pPr>
          </w:p>
          <w:p w14:paraId="48330F0A" w14:textId="73FB9977" w:rsidR="001323B1" w:rsidRPr="00F56A0E" w:rsidRDefault="001323B1" w:rsidP="005E14FB">
            <w:pPr>
              <w:spacing w:line="230" w:lineRule="exact"/>
              <w:ind w:right="646"/>
              <w:textAlignment w:val="baseline"/>
              <w:rPr>
                <w:rFonts w:eastAsia="Times New Roman"/>
                <w:color w:val="000000"/>
                <w:lang w:val="fr-FR"/>
              </w:rPr>
            </w:pPr>
            <w:r w:rsidRPr="00F56A0E">
              <w:rPr>
                <w:lang w:val="fr-FR"/>
              </w:rPr>
              <w:t>Des solutions de remplacement chimiques et non chimiques, dont de nouvelles technologies, sont disponibles en fonction de la combinaison culture-ravageur considérée. Le cas échéant, la priorité doit être donnée à l</w:t>
            </w:r>
            <w:r w:rsidR="00870D0E" w:rsidRPr="00F56A0E">
              <w:rPr>
                <w:lang w:val="fr-FR"/>
              </w:rPr>
              <w:t>’</w:t>
            </w:r>
            <w:r w:rsidRPr="00F56A0E">
              <w:rPr>
                <w:lang w:val="fr-FR"/>
              </w:rPr>
              <w:t>introduction d</w:t>
            </w:r>
            <w:r w:rsidR="00870D0E" w:rsidRPr="00F56A0E">
              <w:rPr>
                <w:lang w:val="fr-FR"/>
              </w:rPr>
              <w:t>’</w:t>
            </w:r>
            <w:r w:rsidRPr="00F56A0E">
              <w:rPr>
                <w:lang w:val="fr-FR"/>
              </w:rPr>
              <w:t>une gestion intégrée des ravageurs ou d</w:t>
            </w:r>
            <w:r w:rsidR="00870D0E" w:rsidRPr="00F56A0E">
              <w:rPr>
                <w:lang w:val="fr-FR"/>
              </w:rPr>
              <w:t>’</w:t>
            </w:r>
            <w:r w:rsidRPr="00F56A0E">
              <w:rPr>
                <w:lang w:val="fr-FR"/>
              </w:rPr>
              <w:t>une gestion intégrée des vecteurs et de méthodes et produits biologiques permettant une utilisation optimale des approches agroécologiques et réduisant la dépendance envers les pesticides. Cette démarche est explicitement conseillée par un large éventail de documents de politique internationale, notamment ceux de la FAO, du PNUE, de l</w:t>
            </w:r>
            <w:r w:rsidR="00870D0E" w:rsidRPr="00F56A0E">
              <w:rPr>
                <w:lang w:val="fr-FR"/>
              </w:rPr>
              <w:t>’</w:t>
            </w:r>
            <w:r w:rsidRPr="00F56A0E">
              <w:rPr>
                <w:lang w:val="fr-FR"/>
              </w:rPr>
              <w:t>OMS, de la Banque mondiale et du Comité d</w:t>
            </w:r>
            <w:r w:rsidR="00870D0E" w:rsidRPr="00F56A0E">
              <w:rPr>
                <w:lang w:val="fr-FR"/>
              </w:rPr>
              <w:t>’</w:t>
            </w:r>
            <w:r w:rsidRPr="00F56A0E">
              <w:rPr>
                <w:lang w:val="fr-FR"/>
              </w:rPr>
              <w:t>aide au développement de l</w:t>
            </w:r>
            <w:r w:rsidR="00870D0E" w:rsidRPr="00F56A0E">
              <w:rPr>
                <w:lang w:val="fr-FR"/>
              </w:rPr>
              <w:t>’</w:t>
            </w:r>
            <w:r w:rsidRPr="00F56A0E">
              <w:rPr>
                <w:lang w:val="fr-FR"/>
              </w:rPr>
              <w:t>OCDE.</w:t>
            </w:r>
            <w:r w:rsidR="00AD2712" w:rsidRPr="00F56A0E">
              <w:rPr>
                <w:lang w:val="fr-FR"/>
              </w:rPr>
              <w:t xml:space="preserve"> </w:t>
            </w:r>
          </w:p>
          <w:p w14:paraId="69D4C341" w14:textId="6D8BF73E" w:rsidR="001323B1" w:rsidRPr="00F56A0E" w:rsidRDefault="001323B1" w:rsidP="005E14FB">
            <w:pPr>
              <w:spacing w:line="230" w:lineRule="exact"/>
              <w:ind w:right="646"/>
              <w:textAlignment w:val="baseline"/>
              <w:rPr>
                <w:rFonts w:eastAsia="Times New Roman"/>
                <w:color w:val="000000"/>
                <w:lang w:val="fr-FR"/>
              </w:rPr>
            </w:pPr>
          </w:p>
          <w:p w14:paraId="22537F8A" w14:textId="74E7B5AF" w:rsidR="001323B1" w:rsidRPr="00F56A0E" w:rsidRDefault="001323B1" w:rsidP="005E14FB">
            <w:pPr>
              <w:spacing w:line="230" w:lineRule="exact"/>
              <w:ind w:right="646"/>
              <w:textAlignment w:val="baseline"/>
              <w:rPr>
                <w:rFonts w:eastAsia="Times New Roman"/>
                <w:color w:val="000000"/>
                <w:lang w:val="fr-FR"/>
              </w:rPr>
            </w:pPr>
            <w:r w:rsidRPr="00F56A0E">
              <w:rPr>
                <w:lang w:val="fr-FR"/>
              </w:rPr>
              <w:t>La quatrième Conférence internationale sur la gestion des produits chimiques de l</w:t>
            </w:r>
            <w:r w:rsidR="00870D0E" w:rsidRPr="00F56A0E">
              <w:rPr>
                <w:lang w:val="fr-FR"/>
              </w:rPr>
              <w:t>’</w:t>
            </w:r>
            <w:r w:rsidRPr="00F56A0E">
              <w:rPr>
                <w:lang w:val="fr-FR"/>
              </w:rPr>
              <w:t xml:space="preserve">Approche stratégique de la gestion internationale des produits chimiques </w:t>
            </w:r>
            <w:r w:rsidR="0050458D" w:rsidRPr="00F56A0E">
              <w:rPr>
                <w:lang w:val="fr-FR"/>
              </w:rPr>
              <w:t xml:space="preserve">(SAICM) </w:t>
            </w:r>
            <w:r w:rsidRPr="00F56A0E">
              <w:rPr>
                <w:lang w:val="fr-FR"/>
              </w:rPr>
              <w:t>a recommandé de sensibiliser le public afin de trouver et de partager des informations sur les solutions viables de remplacement des pesticides hautement dangereux, notamment les mesures de gestion culturale et environnementale, la lutte biologique, les biopesticides ou les pesticides moins dangereux.</w:t>
            </w:r>
          </w:p>
          <w:p w14:paraId="78508C53" w14:textId="77777777" w:rsidR="001323B1" w:rsidRPr="00F56A0E" w:rsidRDefault="001323B1" w:rsidP="005E14FB">
            <w:pPr>
              <w:spacing w:line="230" w:lineRule="exact"/>
              <w:ind w:right="646"/>
              <w:textAlignment w:val="baseline"/>
              <w:rPr>
                <w:rFonts w:eastAsia="Times New Roman"/>
                <w:color w:val="000000"/>
                <w:lang w:val="fr-FR"/>
              </w:rPr>
            </w:pPr>
          </w:p>
          <w:p w14:paraId="45243906" w14:textId="59866A74" w:rsidR="001323B1" w:rsidRPr="00F56A0E" w:rsidRDefault="001323B1" w:rsidP="005E14FB">
            <w:pPr>
              <w:spacing w:line="230" w:lineRule="exact"/>
              <w:ind w:right="646"/>
              <w:textAlignment w:val="baseline"/>
              <w:rPr>
                <w:rFonts w:eastAsia="Times New Roman"/>
                <w:color w:val="000000"/>
                <w:lang w:val="fr-FR"/>
              </w:rPr>
            </w:pPr>
            <w:r w:rsidRPr="00F56A0E">
              <w:rPr>
                <w:lang w:val="fr-FR"/>
              </w:rPr>
              <w:t xml:space="preserve">Des informations sur les pratiques agroécologiques </w:t>
            </w:r>
            <w:r w:rsidR="0050458D" w:rsidRPr="00F56A0E">
              <w:rPr>
                <w:lang w:val="fr-FR"/>
              </w:rPr>
              <w:t>sont disponibles</w:t>
            </w:r>
            <w:r w:rsidRPr="00F56A0E">
              <w:rPr>
                <w:lang w:val="fr-FR"/>
              </w:rPr>
              <w:t xml:space="preserve"> sur les sites Web suivants</w:t>
            </w:r>
            <w:r w:rsidR="00157D75" w:rsidRPr="00F56A0E">
              <w:rPr>
                <w:lang w:val="fr-FR"/>
              </w:rPr>
              <w:t> :</w:t>
            </w:r>
          </w:p>
          <w:p w14:paraId="19AC722D" w14:textId="77777777" w:rsidR="001323B1" w:rsidRPr="00F56A0E" w:rsidRDefault="001323B1" w:rsidP="005E14FB">
            <w:pPr>
              <w:spacing w:line="230" w:lineRule="exact"/>
              <w:ind w:right="646"/>
              <w:textAlignment w:val="baseline"/>
              <w:rPr>
                <w:rFonts w:eastAsia="Times New Roman"/>
                <w:color w:val="000000"/>
                <w:lang w:val="fr-FR"/>
              </w:rPr>
            </w:pPr>
          </w:p>
          <w:p w14:paraId="07A4D768" w14:textId="0E3C9D8D" w:rsidR="001323B1" w:rsidRPr="00F56A0E" w:rsidRDefault="001323B1" w:rsidP="005E14FB">
            <w:pPr>
              <w:spacing w:line="230" w:lineRule="exact"/>
              <w:ind w:right="646"/>
              <w:textAlignment w:val="baseline"/>
              <w:rPr>
                <w:rFonts w:eastAsia="Times New Roman"/>
                <w:color w:val="000000"/>
                <w:lang w:val="fr-FR"/>
              </w:rPr>
            </w:pPr>
            <w:r w:rsidRPr="00F56A0E">
              <w:rPr>
                <w:lang w:val="fr-FR"/>
              </w:rPr>
              <w:t>Plateforme des connaissances sur l</w:t>
            </w:r>
            <w:r w:rsidR="00870D0E" w:rsidRPr="00F56A0E">
              <w:rPr>
                <w:lang w:val="fr-FR"/>
              </w:rPr>
              <w:t>’</w:t>
            </w:r>
            <w:r w:rsidRPr="00F56A0E">
              <w:rPr>
                <w:lang w:val="fr-FR"/>
              </w:rPr>
              <w:t>agroécologie de la FAO</w:t>
            </w:r>
            <w:r w:rsidR="00157D75" w:rsidRPr="00F56A0E">
              <w:rPr>
                <w:lang w:val="fr-FR"/>
              </w:rPr>
              <w:t> :</w:t>
            </w:r>
            <w:r w:rsidRPr="00F56A0E">
              <w:rPr>
                <w:lang w:val="fr-FR"/>
              </w:rPr>
              <w:t xml:space="preserve"> https://www.fao.org/agroecology/home/fr/</w:t>
            </w:r>
          </w:p>
          <w:p w14:paraId="59E866F4" w14:textId="0AC64096" w:rsidR="001323B1" w:rsidRPr="00F56A0E" w:rsidRDefault="001323B1" w:rsidP="005E14FB">
            <w:pPr>
              <w:spacing w:line="230" w:lineRule="exact"/>
              <w:ind w:right="646"/>
              <w:textAlignment w:val="baseline"/>
              <w:rPr>
                <w:rFonts w:eastAsia="Times New Roman"/>
                <w:color w:val="000000"/>
                <w:lang w:val="fr-FR"/>
              </w:rPr>
            </w:pPr>
            <w:r w:rsidRPr="00F56A0E">
              <w:rPr>
                <w:lang w:val="fr-FR"/>
              </w:rPr>
              <w:t>IPAM (International Peoples Agroecology Multiversity)</w:t>
            </w:r>
            <w:r w:rsidR="00157D75" w:rsidRPr="00F56A0E">
              <w:rPr>
                <w:lang w:val="fr-FR"/>
              </w:rPr>
              <w:t> :</w:t>
            </w:r>
            <w:r w:rsidRPr="00F56A0E">
              <w:rPr>
                <w:lang w:val="fr-FR"/>
              </w:rPr>
              <w:t xml:space="preserve"> https://ipamglobal.org/</w:t>
            </w:r>
          </w:p>
          <w:p w14:paraId="43C284FE" w14:textId="40ACAA7E" w:rsidR="001323B1" w:rsidRPr="00F56A0E" w:rsidRDefault="001323B1" w:rsidP="005E14FB">
            <w:pPr>
              <w:spacing w:line="230" w:lineRule="exact"/>
              <w:ind w:right="646"/>
              <w:textAlignment w:val="baseline"/>
              <w:rPr>
                <w:rFonts w:eastAsia="Times New Roman"/>
                <w:color w:val="000000"/>
                <w:lang w:val="fr-FR"/>
              </w:rPr>
            </w:pPr>
            <w:r w:rsidRPr="00F56A0E">
              <w:rPr>
                <w:lang w:val="fr-FR"/>
              </w:rPr>
              <w:t>OISAT (Service d</w:t>
            </w:r>
            <w:r w:rsidR="00870D0E" w:rsidRPr="00F56A0E">
              <w:rPr>
                <w:lang w:val="fr-FR"/>
              </w:rPr>
              <w:t>’</w:t>
            </w:r>
            <w:r w:rsidRPr="00F56A0E">
              <w:rPr>
                <w:lang w:val="fr-FR"/>
              </w:rPr>
              <w:t>information en ligne sur la lutte antiparasitaire sans produit chimique dans les tropiques)</w:t>
            </w:r>
            <w:r w:rsidR="00157D75" w:rsidRPr="00F56A0E">
              <w:rPr>
                <w:lang w:val="fr-FR"/>
              </w:rPr>
              <w:t> :</w:t>
            </w:r>
            <w:r w:rsidRPr="00F56A0E">
              <w:rPr>
                <w:lang w:val="fr-FR"/>
              </w:rPr>
              <w:t xml:space="preserve"> http://www.oisat.org/</w:t>
            </w:r>
          </w:p>
          <w:p w14:paraId="572C0830" w14:textId="6E189BB8" w:rsidR="001323B1" w:rsidRPr="00F56A0E" w:rsidRDefault="009F5A67" w:rsidP="005E14FB">
            <w:pPr>
              <w:spacing w:line="230" w:lineRule="exact"/>
              <w:ind w:right="646"/>
              <w:textAlignment w:val="baseline"/>
              <w:rPr>
                <w:lang w:val="fr-FR"/>
              </w:rPr>
            </w:pPr>
            <w:r w:rsidRPr="00F56A0E">
              <w:rPr>
                <w:lang w:val="fr-FR"/>
              </w:rPr>
              <w:t>« </w:t>
            </w:r>
            <w:r w:rsidR="001323B1" w:rsidRPr="00F56A0E">
              <w:rPr>
                <w:lang w:val="fr-FR"/>
              </w:rPr>
              <w:t>Remplacer les produits chimiques par la biologie</w:t>
            </w:r>
            <w:r w:rsidR="00157D75" w:rsidRPr="00F56A0E">
              <w:rPr>
                <w:lang w:val="fr-FR"/>
              </w:rPr>
              <w:t> :</w:t>
            </w:r>
            <w:r w:rsidR="001323B1" w:rsidRPr="00F56A0E">
              <w:rPr>
                <w:lang w:val="fr-FR"/>
              </w:rPr>
              <w:t xml:space="preserve"> éliminer les pesticides extrêmement dangereux avec l</w:t>
            </w:r>
            <w:r w:rsidR="00870D0E" w:rsidRPr="00F56A0E">
              <w:rPr>
                <w:lang w:val="fr-FR"/>
              </w:rPr>
              <w:t>’</w:t>
            </w:r>
            <w:r w:rsidR="001323B1" w:rsidRPr="00F56A0E">
              <w:rPr>
                <w:lang w:val="fr-FR"/>
              </w:rPr>
              <w:t>agroécologie</w:t>
            </w:r>
            <w:r w:rsidRPr="00F56A0E">
              <w:rPr>
                <w:lang w:val="fr-FR"/>
              </w:rPr>
              <w:t> »</w:t>
            </w:r>
            <w:r w:rsidR="00157D75" w:rsidRPr="00F56A0E">
              <w:rPr>
                <w:lang w:val="fr-FR"/>
              </w:rPr>
              <w:t> :</w:t>
            </w:r>
            <w:r w:rsidR="001323B1" w:rsidRPr="00F56A0E">
              <w:rPr>
                <w:lang w:val="fr-FR"/>
              </w:rPr>
              <w:t xml:space="preserve"> </w:t>
            </w:r>
            <w:hyperlink r:id="rId22" w:history="1">
              <w:r w:rsidR="00002921" w:rsidRPr="00F56A0E">
                <w:rPr>
                  <w:lang w:val="fr-FR"/>
                </w:rPr>
                <w:t>https://pan-international.org/wp-content/uploads/Phasing-Out-HHPs-with-Agroecology-ResumeExecutif-fr.pdf</w:t>
              </w:r>
            </w:hyperlink>
          </w:p>
          <w:p w14:paraId="422F7840" w14:textId="77777777" w:rsidR="001323B1" w:rsidRPr="00F56A0E" w:rsidRDefault="001323B1" w:rsidP="005E14FB">
            <w:pPr>
              <w:spacing w:line="230" w:lineRule="exact"/>
              <w:ind w:right="646"/>
              <w:textAlignment w:val="baseline"/>
              <w:rPr>
                <w:rFonts w:eastAsia="Times New Roman"/>
                <w:color w:val="000000"/>
                <w:lang w:val="fr-FR"/>
              </w:rPr>
            </w:pPr>
            <w:r w:rsidRPr="00F56A0E">
              <w:rPr>
                <w:rFonts w:eastAsia="Times New Roman"/>
                <w:color w:val="000000"/>
                <w:lang w:val="fr-FR"/>
              </w:rPr>
              <w:t xml:space="preserve"> </w:t>
            </w:r>
          </w:p>
        </w:tc>
      </w:tr>
    </w:tbl>
    <w:p w14:paraId="09F6FC02" w14:textId="11CB6766" w:rsidR="00A706AE" w:rsidRPr="00F56A0E" w:rsidRDefault="00A706AE">
      <w:pPr>
        <w:rPr>
          <w:lang w:val="fr-FR"/>
        </w:rPr>
      </w:pPr>
    </w:p>
    <w:tbl>
      <w:tblPr>
        <w:tblW w:w="9588" w:type="dxa"/>
        <w:tblInd w:w="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88"/>
      </w:tblGrid>
      <w:tr w:rsidR="001323B1" w:rsidRPr="00F56A0E" w14:paraId="4D5D3A04" w14:textId="77777777" w:rsidTr="00A706AE">
        <w:trPr>
          <w:cantSplit/>
        </w:trPr>
        <w:tc>
          <w:tcPr>
            <w:tcW w:w="9588" w:type="dxa"/>
            <w:tcBorders>
              <w:top w:val="single" w:sz="6" w:space="0" w:color="auto"/>
              <w:left w:val="single" w:sz="6" w:space="0" w:color="auto"/>
              <w:bottom w:val="single" w:sz="4" w:space="0" w:color="auto"/>
              <w:right w:val="single" w:sz="6" w:space="0" w:color="auto"/>
            </w:tcBorders>
          </w:tcPr>
          <w:p w14:paraId="53CBD2A7" w14:textId="0F3F4210" w:rsidR="001323B1" w:rsidRPr="00F56A0E" w:rsidRDefault="001323B1" w:rsidP="005E14FB">
            <w:pPr>
              <w:keepNext/>
              <w:outlineLvl w:val="1"/>
              <w:rPr>
                <w:rFonts w:eastAsia="Times New Roman"/>
                <w:b/>
                <w:bCs/>
                <w:szCs w:val="28"/>
                <w:lang w:val="fr-FR"/>
              </w:rPr>
            </w:pPr>
            <w:r w:rsidRPr="00F56A0E">
              <w:rPr>
                <w:b/>
                <w:bCs/>
                <w:lang w:val="fr-FR"/>
              </w:rPr>
              <w:t>3.4</w:t>
            </w:r>
            <w:r w:rsidRPr="00F56A0E">
              <w:rPr>
                <w:lang w:val="fr-FR"/>
              </w:rPr>
              <w:t xml:space="preserve"> </w:t>
            </w:r>
            <w:r w:rsidRPr="00F56A0E">
              <w:rPr>
                <w:b/>
                <w:bCs/>
                <w:lang w:val="fr-FR"/>
              </w:rPr>
              <w:t>Effets socio-économiques</w:t>
            </w:r>
          </w:p>
        </w:tc>
      </w:tr>
      <w:tr w:rsidR="001323B1" w:rsidRPr="00F56A0E" w14:paraId="13EC6EF0" w14:textId="77777777" w:rsidTr="00A706AE">
        <w:trPr>
          <w:cantSplit/>
          <w:trHeight w:val="410"/>
        </w:trPr>
        <w:tc>
          <w:tcPr>
            <w:tcW w:w="9588" w:type="dxa"/>
            <w:tcBorders>
              <w:top w:val="single" w:sz="4" w:space="0" w:color="auto"/>
              <w:left w:val="nil"/>
              <w:bottom w:val="nil"/>
              <w:right w:val="nil"/>
            </w:tcBorders>
          </w:tcPr>
          <w:p w14:paraId="0C879422" w14:textId="77777777" w:rsidR="001323B1" w:rsidRPr="00F56A0E" w:rsidRDefault="001323B1" w:rsidP="005E14FB">
            <w:pPr>
              <w:spacing w:before="20" w:after="20"/>
              <w:outlineLvl w:val="2"/>
              <w:rPr>
                <w:rFonts w:eastAsia="Times New Roman"/>
                <w:b/>
                <w:bCs/>
                <w:lang w:val="fr-FR"/>
              </w:rPr>
            </w:pPr>
            <w:r w:rsidRPr="00F56A0E">
              <w:rPr>
                <w:b/>
                <w:bCs/>
                <w:i/>
                <w:iCs/>
                <w:lang w:val="fr-FR"/>
              </w:rPr>
              <w:t>Canada</w:t>
            </w:r>
          </w:p>
          <w:p w14:paraId="484A8650" w14:textId="59248080" w:rsidR="001323B1" w:rsidRPr="00F56A0E" w:rsidRDefault="001323B1" w:rsidP="005E14FB">
            <w:pPr>
              <w:keepNext/>
              <w:outlineLvl w:val="8"/>
              <w:rPr>
                <w:rFonts w:eastAsia="Times New Roman"/>
                <w:iCs/>
                <w:lang w:val="fr-FR"/>
              </w:rPr>
            </w:pPr>
            <w:r w:rsidRPr="00F56A0E">
              <w:rPr>
                <w:lang w:val="fr-FR"/>
              </w:rPr>
              <w:t>Pour l</w:t>
            </w:r>
            <w:r w:rsidR="00870D0E" w:rsidRPr="00F56A0E">
              <w:rPr>
                <w:lang w:val="fr-FR"/>
              </w:rPr>
              <w:t>’</w:t>
            </w:r>
            <w:r w:rsidRPr="00F56A0E">
              <w:rPr>
                <w:lang w:val="fr-FR"/>
              </w:rPr>
              <w:t>ARLA de Santé Canada, la mise au point d</w:t>
            </w:r>
            <w:r w:rsidR="00870D0E" w:rsidRPr="00F56A0E">
              <w:rPr>
                <w:lang w:val="fr-FR"/>
              </w:rPr>
              <w:t>’</w:t>
            </w:r>
            <w:r w:rsidRPr="00F56A0E">
              <w:rPr>
                <w:lang w:val="fr-FR"/>
              </w:rPr>
              <w:t>une décision réglementaire permettant de progresser vers l</w:t>
            </w:r>
            <w:r w:rsidR="00870D0E" w:rsidRPr="00F56A0E">
              <w:rPr>
                <w:lang w:val="fr-FR"/>
              </w:rPr>
              <w:t>’</w:t>
            </w:r>
            <w:r w:rsidRPr="00F56A0E">
              <w:rPr>
                <w:lang w:val="fr-FR"/>
              </w:rPr>
              <w:t>objectif de mettre un terme à l</w:t>
            </w:r>
            <w:r w:rsidR="00870D0E" w:rsidRPr="00F56A0E">
              <w:rPr>
                <w:lang w:val="fr-FR"/>
              </w:rPr>
              <w:t>’</w:t>
            </w:r>
            <w:r w:rsidRPr="00F56A0E">
              <w:rPr>
                <w:lang w:val="fr-FR"/>
              </w:rPr>
              <w:t>utilisation de terbufos, autant que possible sans porter atteinte à la protection indispensable des cultures contre les ravageurs, a posé des difficultés non négligeables. Elle les a résolues en tenant compte de la disponibilité de produits de substitution et de la nécessité d</w:t>
            </w:r>
            <w:r w:rsidR="00870D0E" w:rsidRPr="00F56A0E">
              <w:rPr>
                <w:lang w:val="fr-FR"/>
              </w:rPr>
              <w:t>’</w:t>
            </w:r>
            <w:r w:rsidRPr="00F56A0E">
              <w:rPr>
                <w:lang w:val="fr-FR"/>
              </w:rPr>
              <w:t>une période de transition pour les utilisations pour lesquelles on n</w:t>
            </w:r>
            <w:r w:rsidR="00870D0E" w:rsidRPr="00F56A0E">
              <w:rPr>
                <w:lang w:val="fr-FR"/>
              </w:rPr>
              <w:t>’</w:t>
            </w:r>
            <w:r w:rsidRPr="00F56A0E">
              <w:rPr>
                <w:lang w:val="fr-FR"/>
              </w:rPr>
              <w:t>avait que peu ou pas de solutions de remplacement.</w:t>
            </w:r>
          </w:p>
          <w:p w14:paraId="6E0F7A1C" w14:textId="77777777" w:rsidR="001323B1" w:rsidRPr="00F56A0E" w:rsidRDefault="001323B1" w:rsidP="005E14FB">
            <w:pPr>
              <w:keepNext/>
              <w:outlineLvl w:val="8"/>
              <w:rPr>
                <w:rFonts w:eastAsia="Times New Roman"/>
                <w:iCs/>
                <w:lang w:val="fr-FR" w:eastAsia="en-US"/>
              </w:rPr>
            </w:pPr>
          </w:p>
          <w:p w14:paraId="62CC7636" w14:textId="091D2268" w:rsidR="001323B1" w:rsidRPr="00F56A0E" w:rsidRDefault="001323B1" w:rsidP="005E14FB">
            <w:pPr>
              <w:keepNext/>
              <w:outlineLvl w:val="8"/>
              <w:rPr>
                <w:rFonts w:eastAsia="Times New Roman"/>
                <w:iCs/>
                <w:lang w:val="fr-FR"/>
              </w:rPr>
            </w:pPr>
            <w:r w:rsidRPr="00F56A0E">
              <w:rPr>
                <w:lang w:val="fr-FR"/>
              </w:rPr>
              <w:t>L</w:t>
            </w:r>
            <w:r w:rsidR="00870D0E" w:rsidRPr="00F56A0E">
              <w:rPr>
                <w:lang w:val="fr-FR"/>
              </w:rPr>
              <w:t>’</w:t>
            </w:r>
            <w:r w:rsidRPr="00F56A0E">
              <w:rPr>
                <w:lang w:val="fr-FR"/>
              </w:rPr>
              <w:t>élaboration de solutions de remplacement dans le délai relativement court de l</w:t>
            </w:r>
            <w:r w:rsidR="00870D0E" w:rsidRPr="00F56A0E">
              <w:rPr>
                <w:lang w:val="fr-FR"/>
              </w:rPr>
              <w:t>’</w:t>
            </w:r>
            <w:r w:rsidRPr="00F56A0E">
              <w:rPr>
                <w:lang w:val="fr-FR"/>
              </w:rPr>
              <w:t>abandon progressif a posé des difficultés considérables à l</w:t>
            </w:r>
            <w:r w:rsidR="00870D0E" w:rsidRPr="00F56A0E">
              <w:rPr>
                <w:lang w:val="fr-FR"/>
              </w:rPr>
              <w:t>’</w:t>
            </w:r>
            <w:r w:rsidRPr="00F56A0E">
              <w:rPr>
                <w:lang w:val="fr-FR"/>
              </w:rPr>
              <w:t>industrie.</w:t>
            </w:r>
          </w:p>
          <w:p w14:paraId="58DFE123" w14:textId="306EDE2A" w:rsidR="001323B1" w:rsidRPr="00F56A0E" w:rsidRDefault="001323B1" w:rsidP="005E14FB">
            <w:pPr>
              <w:keepNext/>
              <w:outlineLvl w:val="8"/>
              <w:rPr>
                <w:rFonts w:eastAsia="Times New Roman"/>
                <w:iCs/>
                <w:lang w:val="fr-FR"/>
              </w:rPr>
            </w:pPr>
            <w:r w:rsidRPr="00F56A0E">
              <w:rPr>
                <w:lang w:val="fr-FR"/>
              </w:rPr>
              <w:t>L</w:t>
            </w:r>
            <w:r w:rsidR="00870D0E" w:rsidRPr="00F56A0E">
              <w:rPr>
                <w:lang w:val="fr-FR"/>
              </w:rPr>
              <w:t>’</w:t>
            </w:r>
            <w:r w:rsidRPr="00F56A0E">
              <w:rPr>
                <w:lang w:val="fr-FR"/>
              </w:rPr>
              <w:t>adoption de solutions de remplacement pendant la période de transition a posé des difficultés considérables au secteur agricole.</w:t>
            </w:r>
          </w:p>
          <w:p w14:paraId="1FCCEEA8" w14:textId="77777777" w:rsidR="001323B1" w:rsidRPr="00F56A0E" w:rsidRDefault="001323B1" w:rsidP="005E14FB">
            <w:pPr>
              <w:spacing w:before="20" w:after="20"/>
              <w:rPr>
                <w:rFonts w:eastAsia="Times New Roman"/>
                <w:lang w:val="fr-FR" w:eastAsia="en-US"/>
              </w:rPr>
            </w:pPr>
          </w:p>
        </w:tc>
      </w:tr>
      <w:tr w:rsidR="001323B1" w:rsidRPr="00F56A0E" w14:paraId="75B49E50" w14:textId="77777777" w:rsidTr="00A706AE">
        <w:trPr>
          <w:cantSplit/>
          <w:trHeight w:val="410"/>
        </w:trPr>
        <w:tc>
          <w:tcPr>
            <w:tcW w:w="9588" w:type="dxa"/>
            <w:tcBorders>
              <w:top w:val="nil"/>
              <w:left w:val="nil"/>
              <w:bottom w:val="single" w:sz="4" w:space="0" w:color="000000"/>
              <w:right w:val="nil"/>
            </w:tcBorders>
          </w:tcPr>
          <w:p w14:paraId="7068A0BC" w14:textId="77777777" w:rsidR="001323B1" w:rsidRPr="00F56A0E" w:rsidRDefault="001323B1" w:rsidP="005E14FB">
            <w:pPr>
              <w:spacing w:before="20" w:after="20"/>
              <w:outlineLvl w:val="2"/>
              <w:rPr>
                <w:rFonts w:eastAsia="Times New Roman"/>
                <w:b/>
                <w:bCs/>
                <w:lang w:val="fr-FR"/>
              </w:rPr>
            </w:pPr>
            <w:r w:rsidRPr="00F56A0E">
              <w:rPr>
                <w:b/>
                <w:bCs/>
                <w:i/>
                <w:iCs/>
                <w:lang w:val="fr-FR"/>
              </w:rPr>
              <w:t>Mozambique</w:t>
            </w:r>
          </w:p>
          <w:p w14:paraId="78EB4B4C" w14:textId="77777777" w:rsidR="001323B1" w:rsidRPr="00F56A0E" w:rsidRDefault="001323B1" w:rsidP="005E14FB">
            <w:pPr>
              <w:spacing w:before="20" w:after="20"/>
              <w:outlineLvl w:val="2"/>
              <w:rPr>
                <w:rFonts w:eastAsia="Times New Roman"/>
                <w:lang w:val="fr-FR"/>
              </w:rPr>
            </w:pPr>
            <w:r w:rsidRPr="00F56A0E">
              <w:rPr>
                <w:i/>
                <w:iCs/>
                <w:lang w:val="fr-FR"/>
              </w:rPr>
              <w:t>Néant.</w:t>
            </w:r>
          </w:p>
        </w:tc>
      </w:tr>
    </w:tbl>
    <w:p w14:paraId="2D2A5F12" w14:textId="77777777" w:rsidR="001323B1" w:rsidRPr="00F56A0E" w:rsidRDefault="001323B1" w:rsidP="001323B1">
      <w:pPr>
        <w:rPr>
          <w:rFonts w:eastAsia="Times New Roman"/>
          <w:lang w:val="fr-FR" w:eastAsia="en-US"/>
        </w:rPr>
      </w:pPr>
    </w:p>
    <w:tbl>
      <w:tblPr>
        <w:tblW w:w="9666" w:type="dxa"/>
        <w:tblInd w:w="-35" w:type="dxa"/>
        <w:tblLayout w:type="fixed"/>
        <w:tblCellMar>
          <w:left w:w="107" w:type="dxa"/>
          <w:right w:w="107" w:type="dxa"/>
        </w:tblCellMar>
        <w:tblLook w:val="0000" w:firstRow="0" w:lastRow="0" w:firstColumn="0" w:lastColumn="0" w:noHBand="0" w:noVBand="0"/>
      </w:tblPr>
      <w:tblGrid>
        <w:gridCol w:w="1561"/>
        <w:gridCol w:w="8105"/>
      </w:tblGrid>
      <w:tr w:rsidR="001323B1" w:rsidRPr="00F56A0E" w14:paraId="5BBD6742" w14:textId="77777777" w:rsidTr="00A706AE">
        <w:tc>
          <w:tcPr>
            <w:tcW w:w="9666" w:type="dxa"/>
            <w:gridSpan w:val="2"/>
            <w:tcBorders>
              <w:top w:val="single" w:sz="6" w:space="0" w:color="000000"/>
              <w:left w:val="single" w:sz="6" w:space="0" w:color="000000"/>
              <w:bottom w:val="single" w:sz="6" w:space="0" w:color="000000"/>
              <w:right w:val="single" w:sz="6" w:space="0" w:color="000000"/>
            </w:tcBorders>
            <w:shd w:val="pct15" w:color="auto" w:fill="FFFFFF"/>
          </w:tcPr>
          <w:p w14:paraId="4D8E00B1" w14:textId="4B361299" w:rsidR="001323B1" w:rsidRPr="00F56A0E" w:rsidRDefault="001323B1" w:rsidP="005E14FB">
            <w:pPr>
              <w:rPr>
                <w:rFonts w:eastAsia="Times New Roman"/>
                <w:b/>
                <w:lang w:val="fr-FR"/>
              </w:rPr>
            </w:pPr>
            <w:r w:rsidRPr="00F56A0E">
              <w:rPr>
                <w:b/>
                <w:bCs/>
                <w:lang w:val="fr-FR"/>
              </w:rPr>
              <w:t>4.</w:t>
            </w:r>
            <w:r w:rsidRPr="00F56A0E">
              <w:rPr>
                <w:lang w:val="fr-FR"/>
              </w:rPr>
              <w:t xml:space="preserve"> </w:t>
            </w:r>
            <w:r w:rsidRPr="00F56A0E">
              <w:rPr>
                <w:b/>
                <w:bCs/>
                <w:lang w:val="fr-FR"/>
              </w:rPr>
              <w:t>Dangers et risques pour la santé humaine et l</w:t>
            </w:r>
            <w:r w:rsidR="00870D0E" w:rsidRPr="00F56A0E">
              <w:rPr>
                <w:b/>
                <w:bCs/>
                <w:lang w:val="fr-FR"/>
              </w:rPr>
              <w:t>’</w:t>
            </w:r>
            <w:r w:rsidRPr="00F56A0E">
              <w:rPr>
                <w:b/>
                <w:bCs/>
                <w:lang w:val="fr-FR"/>
              </w:rPr>
              <w:t>environnement</w:t>
            </w:r>
          </w:p>
        </w:tc>
      </w:tr>
      <w:tr w:rsidR="001323B1" w:rsidRPr="00F56A0E" w14:paraId="087CE8C2" w14:textId="77777777" w:rsidTr="00A706AE">
        <w:tc>
          <w:tcPr>
            <w:tcW w:w="9666" w:type="dxa"/>
            <w:gridSpan w:val="2"/>
            <w:tcBorders>
              <w:top w:val="single" w:sz="6" w:space="0" w:color="000000"/>
              <w:left w:val="single" w:sz="6" w:space="0" w:color="808080"/>
              <w:bottom w:val="single" w:sz="6" w:space="0" w:color="808080"/>
              <w:right w:val="single" w:sz="6" w:space="0" w:color="808080"/>
            </w:tcBorders>
            <w:shd w:val="pct15" w:color="auto" w:fill="FFFFFF"/>
          </w:tcPr>
          <w:p w14:paraId="0C2F2A78" w14:textId="77777777" w:rsidR="001323B1" w:rsidRPr="00F56A0E" w:rsidRDefault="001323B1" w:rsidP="005E14FB">
            <w:pPr>
              <w:rPr>
                <w:rFonts w:eastAsia="Times New Roman"/>
                <w:b/>
                <w:sz w:val="28"/>
                <w:lang w:val="fr-FR"/>
              </w:rPr>
            </w:pPr>
            <w:r w:rsidRPr="00F56A0E">
              <w:rPr>
                <w:b/>
                <w:bCs/>
                <w:lang w:val="fr-FR"/>
              </w:rPr>
              <w:t>4.1</w:t>
            </w:r>
            <w:r w:rsidRPr="00F56A0E">
              <w:rPr>
                <w:lang w:val="fr-FR"/>
              </w:rPr>
              <w:t xml:space="preserve"> </w:t>
            </w:r>
            <w:r w:rsidRPr="00F56A0E">
              <w:rPr>
                <w:b/>
                <w:bCs/>
                <w:lang w:val="fr-FR"/>
              </w:rPr>
              <w:t>Classification des dangers</w:t>
            </w:r>
            <w:r w:rsidRPr="00F56A0E">
              <w:rPr>
                <w:lang w:val="fr-FR"/>
              </w:rPr>
              <w:t xml:space="preserve"> </w:t>
            </w:r>
          </w:p>
        </w:tc>
      </w:tr>
      <w:tr w:rsidR="001323B1" w:rsidRPr="00F56A0E" w14:paraId="38B33A72" w14:textId="77777777" w:rsidTr="00A706AE">
        <w:tblPrEx>
          <w:tblCellMar>
            <w:left w:w="108" w:type="dxa"/>
            <w:right w:w="108" w:type="dxa"/>
          </w:tblCellMar>
        </w:tblPrEx>
        <w:trPr>
          <w:cantSplit/>
        </w:trPr>
        <w:tc>
          <w:tcPr>
            <w:tcW w:w="1561" w:type="dxa"/>
            <w:tcBorders>
              <w:top w:val="single" w:sz="4" w:space="0" w:color="auto"/>
              <w:left w:val="single" w:sz="4" w:space="0" w:color="auto"/>
              <w:bottom w:val="single" w:sz="4" w:space="0" w:color="auto"/>
              <w:right w:val="single" w:sz="4" w:space="0" w:color="auto"/>
            </w:tcBorders>
          </w:tcPr>
          <w:p w14:paraId="3AF9FF91" w14:textId="77777777" w:rsidR="001323B1" w:rsidRPr="00F56A0E" w:rsidRDefault="001323B1" w:rsidP="005E14FB">
            <w:pPr>
              <w:spacing w:before="20" w:after="20"/>
              <w:outlineLvl w:val="2"/>
              <w:rPr>
                <w:rFonts w:eastAsia="Times New Roman"/>
                <w:b/>
                <w:bCs/>
                <w:lang w:val="fr-FR"/>
              </w:rPr>
            </w:pPr>
            <w:r w:rsidRPr="00F56A0E">
              <w:rPr>
                <w:b/>
                <w:bCs/>
                <w:lang w:val="fr-FR"/>
              </w:rPr>
              <w:t>OMS/PISSC</w:t>
            </w:r>
          </w:p>
        </w:tc>
        <w:tc>
          <w:tcPr>
            <w:tcW w:w="8105" w:type="dxa"/>
            <w:tcBorders>
              <w:top w:val="single" w:sz="4" w:space="0" w:color="auto"/>
              <w:left w:val="single" w:sz="4" w:space="0" w:color="auto"/>
              <w:bottom w:val="single" w:sz="4" w:space="0" w:color="auto"/>
              <w:right w:val="single" w:sz="4" w:space="0" w:color="auto"/>
            </w:tcBorders>
          </w:tcPr>
          <w:p w14:paraId="23CE3425" w14:textId="77777777" w:rsidR="001323B1" w:rsidRPr="00F56A0E" w:rsidRDefault="001323B1" w:rsidP="005E14FB">
            <w:pPr>
              <w:rPr>
                <w:rFonts w:eastAsia="Times New Roman"/>
                <w:lang w:val="fr-FR"/>
              </w:rPr>
            </w:pPr>
            <w:r w:rsidRPr="00F56A0E">
              <w:rPr>
                <w:lang w:val="fr-FR"/>
              </w:rPr>
              <w:t>I a - Extrêmement dangereux (OMS, 2019)</w:t>
            </w:r>
          </w:p>
        </w:tc>
      </w:tr>
      <w:tr w:rsidR="001323B1" w:rsidRPr="00F56A0E" w14:paraId="3C3FE1DC" w14:textId="77777777" w:rsidTr="00A706AE">
        <w:tblPrEx>
          <w:tblCellMar>
            <w:left w:w="108" w:type="dxa"/>
            <w:right w:w="108" w:type="dxa"/>
          </w:tblCellMar>
        </w:tblPrEx>
        <w:trPr>
          <w:cantSplit/>
        </w:trPr>
        <w:tc>
          <w:tcPr>
            <w:tcW w:w="1561" w:type="dxa"/>
            <w:tcBorders>
              <w:top w:val="single" w:sz="4" w:space="0" w:color="auto"/>
              <w:left w:val="single" w:sz="4" w:space="0" w:color="auto"/>
              <w:bottom w:val="single" w:sz="4" w:space="0" w:color="auto"/>
              <w:right w:val="single" w:sz="4" w:space="0" w:color="auto"/>
            </w:tcBorders>
          </w:tcPr>
          <w:p w14:paraId="4ED5FA6F" w14:textId="77777777" w:rsidR="001323B1" w:rsidRPr="00F56A0E" w:rsidRDefault="001323B1" w:rsidP="005E14FB">
            <w:pPr>
              <w:spacing w:before="20" w:after="20"/>
              <w:outlineLvl w:val="2"/>
              <w:rPr>
                <w:rFonts w:eastAsia="Times New Roman"/>
                <w:b/>
                <w:bCs/>
                <w:lang w:val="fr-FR"/>
              </w:rPr>
            </w:pPr>
            <w:r w:rsidRPr="00F56A0E">
              <w:rPr>
                <w:lang w:val="fr-FR"/>
              </w:rPr>
              <w:t>CIRC</w:t>
            </w:r>
          </w:p>
        </w:tc>
        <w:tc>
          <w:tcPr>
            <w:tcW w:w="8105" w:type="dxa"/>
            <w:tcBorders>
              <w:top w:val="single" w:sz="4" w:space="0" w:color="auto"/>
              <w:left w:val="single" w:sz="4" w:space="0" w:color="auto"/>
              <w:bottom w:val="single" w:sz="4" w:space="0" w:color="auto"/>
              <w:right w:val="single" w:sz="4" w:space="0" w:color="auto"/>
            </w:tcBorders>
          </w:tcPr>
          <w:p w14:paraId="01F5580F" w14:textId="77777777" w:rsidR="001323B1" w:rsidRPr="00F56A0E" w:rsidRDefault="001323B1" w:rsidP="005E14FB">
            <w:pPr>
              <w:rPr>
                <w:rFonts w:eastAsia="Times New Roman"/>
                <w:lang w:val="fr-FR"/>
              </w:rPr>
            </w:pPr>
            <w:r w:rsidRPr="00F56A0E">
              <w:rPr>
                <w:lang w:val="fr-FR"/>
              </w:rPr>
              <w:t>Non évalué</w:t>
            </w:r>
          </w:p>
        </w:tc>
      </w:tr>
      <w:tr w:rsidR="001323B1" w:rsidRPr="00F56A0E" w14:paraId="4F07EDCC" w14:textId="77777777" w:rsidTr="00A706AE">
        <w:tblPrEx>
          <w:tblCellMar>
            <w:left w:w="108" w:type="dxa"/>
            <w:right w:w="108" w:type="dxa"/>
          </w:tblCellMar>
        </w:tblPrEx>
        <w:trPr>
          <w:cantSplit/>
        </w:trPr>
        <w:tc>
          <w:tcPr>
            <w:tcW w:w="1561" w:type="dxa"/>
            <w:tcBorders>
              <w:top w:val="single" w:sz="4" w:space="0" w:color="auto"/>
              <w:left w:val="single" w:sz="6" w:space="0" w:color="auto"/>
              <w:bottom w:val="single" w:sz="6" w:space="0" w:color="auto"/>
              <w:right w:val="single" w:sz="6" w:space="0" w:color="auto"/>
            </w:tcBorders>
          </w:tcPr>
          <w:p w14:paraId="79C8876B" w14:textId="77777777" w:rsidR="001323B1" w:rsidRPr="00F56A0E" w:rsidRDefault="001323B1" w:rsidP="005E14FB">
            <w:pPr>
              <w:spacing w:before="20" w:after="20"/>
              <w:outlineLvl w:val="2"/>
              <w:rPr>
                <w:rFonts w:eastAsia="Times New Roman"/>
                <w:b/>
                <w:bCs/>
                <w:lang w:val="fr-FR"/>
              </w:rPr>
            </w:pPr>
            <w:r w:rsidRPr="00F56A0E">
              <w:rPr>
                <w:lang w:val="fr-FR"/>
              </w:rPr>
              <w:t>Union européenne</w:t>
            </w:r>
          </w:p>
        </w:tc>
        <w:tc>
          <w:tcPr>
            <w:tcW w:w="8105" w:type="dxa"/>
            <w:tcBorders>
              <w:top w:val="single" w:sz="4" w:space="0" w:color="auto"/>
              <w:bottom w:val="single" w:sz="6" w:space="0" w:color="auto"/>
              <w:right w:val="single" w:sz="6" w:space="0" w:color="auto"/>
            </w:tcBorders>
          </w:tcPr>
          <w:p w14:paraId="1D000431" w14:textId="77777777" w:rsidR="001323B1" w:rsidRPr="00F56A0E" w:rsidRDefault="001323B1" w:rsidP="005E14FB">
            <w:pPr>
              <w:spacing w:before="133" w:line="230" w:lineRule="exact"/>
              <w:ind w:right="180"/>
              <w:jc w:val="both"/>
              <w:textAlignment w:val="baseline"/>
              <w:rPr>
                <w:rFonts w:eastAsia="Times New Roman"/>
                <w:b/>
                <w:color w:val="000000"/>
                <w:lang w:val="fr-FR"/>
              </w:rPr>
            </w:pPr>
            <w:r w:rsidRPr="00F56A0E">
              <w:rPr>
                <w:b/>
                <w:bCs/>
                <w:lang w:val="fr-FR"/>
              </w:rPr>
              <w:t>Classification selon le règlement (CE) n</w:t>
            </w:r>
            <w:r w:rsidRPr="00F56A0E">
              <w:rPr>
                <w:b/>
                <w:bCs/>
                <w:vertAlign w:val="superscript"/>
                <w:lang w:val="fr-FR"/>
              </w:rPr>
              <w:t>o</w:t>
            </w:r>
            <w:r w:rsidRPr="00F56A0E">
              <w:rPr>
                <w:b/>
                <w:bCs/>
                <w:lang w:val="fr-FR"/>
              </w:rPr>
              <w:t xml:space="preserve"> 1272/2008 du Parlement européen et du Conseil (règlement CLP)</w:t>
            </w:r>
          </w:p>
          <w:p w14:paraId="24AD8A11" w14:textId="3D5B03E2" w:rsidR="001323B1" w:rsidRPr="00F56A0E" w:rsidRDefault="001323B1" w:rsidP="005E14FB">
            <w:pPr>
              <w:spacing w:before="121" w:line="230" w:lineRule="exact"/>
              <w:textAlignment w:val="baseline"/>
              <w:rPr>
                <w:rFonts w:eastAsia="Times New Roman"/>
                <w:color w:val="000000"/>
                <w:lang w:val="fr-FR"/>
              </w:rPr>
            </w:pPr>
            <w:r w:rsidRPr="00F56A0E">
              <w:rPr>
                <w:lang w:val="fr-FR"/>
              </w:rPr>
              <w:t xml:space="preserve">Toxicité aiguë 2* </w:t>
            </w:r>
            <w:r w:rsidR="000701EA" w:rsidRPr="00F56A0E">
              <w:rPr>
                <w:lang w:val="fr-FR"/>
              </w:rPr>
              <w:t>-</w:t>
            </w:r>
            <w:r w:rsidRPr="00F56A0E">
              <w:rPr>
                <w:lang w:val="fr-FR"/>
              </w:rPr>
              <w:t xml:space="preserve"> H300 (mortel en cas d</w:t>
            </w:r>
            <w:r w:rsidR="00870D0E" w:rsidRPr="00F56A0E">
              <w:rPr>
                <w:lang w:val="fr-FR"/>
              </w:rPr>
              <w:t>’</w:t>
            </w:r>
            <w:r w:rsidRPr="00F56A0E">
              <w:rPr>
                <w:lang w:val="fr-FR"/>
              </w:rPr>
              <w:t>ingestion)</w:t>
            </w:r>
          </w:p>
          <w:p w14:paraId="309685D8" w14:textId="77777777" w:rsidR="001323B1" w:rsidRPr="00F56A0E" w:rsidRDefault="001323B1" w:rsidP="005E14FB">
            <w:pPr>
              <w:spacing w:line="229" w:lineRule="exact"/>
              <w:textAlignment w:val="baseline"/>
              <w:rPr>
                <w:rFonts w:eastAsia="Times New Roman"/>
                <w:color w:val="000000"/>
                <w:lang w:val="fr-FR"/>
              </w:rPr>
            </w:pPr>
            <w:r w:rsidRPr="00F56A0E">
              <w:rPr>
                <w:lang w:val="fr-FR"/>
              </w:rPr>
              <w:t>Toxicité aiguë 1 - H310 (mortel par contact cutané)</w:t>
            </w:r>
          </w:p>
          <w:p w14:paraId="199976E1" w14:textId="060D9D0F" w:rsidR="001323B1" w:rsidRPr="00F56A0E" w:rsidRDefault="001323B1" w:rsidP="005E14FB">
            <w:pPr>
              <w:spacing w:before="2" w:line="230" w:lineRule="exact"/>
              <w:textAlignment w:val="baseline"/>
              <w:rPr>
                <w:rFonts w:eastAsia="Times New Roman"/>
                <w:color w:val="000000"/>
                <w:lang w:val="fr-FR"/>
              </w:rPr>
            </w:pPr>
            <w:r w:rsidRPr="00F56A0E">
              <w:rPr>
                <w:lang w:val="fr-FR"/>
              </w:rPr>
              <w:t xml:space="preserve">Toxicité aquatique aiguë 1 </w:t>
            </w:r>
            <w:r w:rsidR="000701EA" w:rsidRPr="00F56A0E">
              <w:rPr>
                <w:lang w:val="fr-FR"/>
              </w:rPr>
              <w:t>-</w:t>
            </w:r>
            <w:r w:rsidRPr="00F56A0E">
              <w:rPr>
                <w:lang w:val="fr-FR"/>
              </w:rPr>
              <w:t xml:space="preserve"> H400 (très toxique pour les organismes aquatiques)</w:t>
            </w:r>
          </w:p>
          <w:p w14:paraId="2F724D30" w14:textId="17320FA3" w:rsidR="001323B1" w:rsidRPr="00F56A0E" w:rsidRDefault="001323B1" w:rsidP="005E14FB">
            <w:pPr>
              <w:rPr>
                <w:rFonts w:eastAsia="Times New Roman"/>
                <w:lang w:val="fr-FR"/>
              </w:rPr>
            </w:pPr>
            <w:r w:rsidRPr="00F56A0E">
              <w:rPr>
                <w:lang w:val="fr-FR"/>
              </w:rPr>
              <w:t xml:space="preserve">Toxicité aquatique chronique 1 </w:t>
            </w:r>
            <w:r w:rsidR="000701EA" w:rsidRPr="00F56A0E">
              <w:rPr>
                <w:lang w:val="fr-FR"/>
              </w:rPr>
              <w:t>-</w:t>
            </w:r>
            <w:r w:rsidRPr="00F56A0E">
              <w:rPr>
                <w:lang w:val="fr-FR"/>
              </w:rPr>
              <w:t xml:space="preserve"> H410 (très toxique pour les organismes aquatiques, entraîne des effets à long terme)</w:t>
            </w:r>
          </w:p>
        </w:tc>
      </w:tr>
      <w:tr w:rsidR="001323B1" w:rsidRPr="00F56A0E" w14:paraId="21C3CC3C" w14:textId="77777777" w:rsidTr="00A706AE">
        <w:tblPrEx>
          <w:tblCellMar>
            <w:left w:w="108" w:type="dxa"/>
            <w:right w:w="108" w:type="dxa"/>
          </w:tblCellMar>
        </w:tblPrEx>
        <w:trPr>
          <w:cantSplit/>
        </w:trPr>
        <w:tc>
          <w:tcPr>
            <w:tcW w:w="1561" w:type="dxa"/>
            <w:tcBorders>
              <w:top w:val="single" w:sz="4" w:space="0" w:color="auto"/>
              <w:left w:val="single" w:sz="6" w:space="0" w:color="auto"/>
              <w:bottom w:val="single" w:sz="6" w:space="0" w:color="auto"/>
              <w:right w:val="single" w:sz="6" w:space="0" w:color="auto"/>
            </w:tcBorders>
          </w:tcPr>
          <w:p w14:paraId="7E3A9042" w14:textId="77777777" w:rsidR="001323B1" w:rsidRPr="00F56A0E" w:rsidRDefault="001323B1" w:rsidP="005E14FB">
            <w:pPr>
              <w:spacing w:before="20" w:after="20"/>
              <w:outlineLvl w:val="2"/>
              <w:rPr>
                <w:rFonts w:eastAsia="Times New Roman"/>
                <w:b/>
                <w:bCs/>
                <w:lang w:val="fr-FR"/>
              </w:rPr>
            </w:pPr>
            <w:r w:rsidRPr="00F56A0E">
              <w:rPr>
                <w:b/>
                <w:bCs/>
                <w:lang w:val="fr-FR"/>
              </w:rPr>
              <w:t>USEPA</w:t>
            </w:r>
          </w:p>
        </w:tc>
        <w:tc>
          <w:tcPr>
            <w:tcW w:w="8105" w:type="dxa"/>
            <w:tcBorders>
              <w:bottom w:val="single" w:sz="6" w:space="0" w:color="auto"/>
              <w:right w:val="single" w:sz="6" w:space="0" w:color="auto"/>
            </w:tcBorders>
          </w:tcPr>
          <w:p w14:paraId="27BD3C6C" w14:textId="77777777" w:rsidR="001323B1" w:rsidRPr="00F56A0E" w:rsidRDefault="001323B1" w:rsidP="005E14FB">
            <w:pPr>
              <w:rPr>
                <w:lang w:val="fr-FR"/>
              </w:rPr>
            </w:pPr>
            <w:r w:rsidRPr="00F56A0E">
              <w:rPr>
                <w:lang w:val="fr-FR"/>
              </w:rPr>
              <w:t>1 (hautement toxique) (US EPA, 1988)</w:t>
            </w:r>
          </w:p>
        </w:tc>
      </w:tr>
      <w:tr w:rsidR="001323B1" w:rsidRPr="00F56A0E" w14:paraId="709E10B1" w14:textId="77777777" w:rsidTr="00E65839">
        <w:tblPrEx>
          <w:tblCellMar>
            <w:left w:w="108" w:type="dxa"/>
            <w:right w:w="108" w:type="dxa"/>
          </w:tblCellMar>
        </w:tblPrEx>
        <w:tc>
          <w:tcPr>
            <w:tcW w:w="9666" w:type="dxa"/>
            <w:gridSpan w:val="2"/>
            <w:tcBorders>
              <w:bottom w:val="single" w:sz="4" w:space="0" w:color="auto"/>
            </w:tcBorders>
          </w:tcPr>
          <w:p w14:paraId="6F7EDAD5" w14:textId="77777777" w:rsidR="001323B1" w:rsidRPr="00F56A0E" w:rsidRDefault="001323B1" w:rsidP="005E14FB">
            <w:pPr>
              <w:rPr>
                <w:rFonts w:eastAsia="Times New Roman"/>
                <w:lang w:val="fr-FR" w:eastAsia="en-US"/>
              </w:rPr>
            </w:pPr>
          </w:p>
        </w:tc>
      </w:tr>
      <w:tr w:rsidR="001323B1" w:rsidRPr="00F56A0E" w14:paraId="61AF829D" w14:textId="77777777" w:rsidTr="00E658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666" w:type="dxa"/>
            <w:gridSpan w:val="2"/>
            <w:tcBorders>
              <w:top w:val="single" w:sz="4" w:space="0" w:color="auto"/>
              <w:left w:val="single" w:sz="4" w:space="0" w:color="auto"/>
              <w:bottom w:val="single" w:sz="2" w:space="0" w:color="auto"/>
              <w:right w:val="single" w:sz="4" w:space="0" w:color="auto"/>
            </w:tcBorders>
          </w:tcPr>
          <w:p w14:paraId="7AF3451E" w14:textId="79C156F2" w:rsidR="001323B1" w:rsidRPr="00F56A0E" w:rsidRDefault="001323B1" w:rsidP="005E14FB">
            <w:pPr>
              <w:keepNext/>
              <w:outlineLvl w:val="1"/>
              <w:rPr>
                <w:rFonts w:eastAsia="Times New Roman"/>
                <w:b/>
                <w:bCs/>
                <w:szCs w:val="28"/>
                <w:lang w:val="fr-FR"/>
              </w:rPr>
            </w:pPr>
            <w:r w:rsidRPr="00F56A0E">
              <w:rPr>
                <w:b/>
                <w:bCs/>
                <w:lang w:val="fr-FR"/>
              </w:rPr>
              <w:t>4.2</w:t>
            </w:r>
            <w:r w:rsidRPr="00F56A0E">
              <w:rPr>
                <w:lang w:val="fr-FR"/>
              </w:rPr>
              <w:t xml:space="preserve"> </w:t>
            </w:r>
            <w:r w:rsidRPr="00F56A0E">
              <w:rPr>
                <w:b/>
                <w:bCs/>
                <w:lang w:val="fr-FR"/>
              </w:rPr>
              <w:t>Limites d</w:t>
            </w:r>
            <w:r w:rsidR="00870D0E" w:rsidRPr="00F56A0E">
              <w:rPr>
                <w:b/>
                <w:bCs/>
                <w:lang w:val="fr-FR"/>
              </w:rPr>
              <w:t>’</w:t>
            </w:r>
            <w:r w:rsidRPr="00F56A0E">
              <w:rPr>
                <w:b/>
                <w:bCs/>
                <w:lang w:val="fr-FR"/>
              </w:rPr>
              <w:t>exposition</w:t>
            </w:r>
          </w:p>
        </w:tc>
      </w:tr>
      <w:tr w:rsidR="00E65839" w:rsidRPr="00F56A0E" w14:paraId="40BB1C39" w14:textId="77777777" w:rsidTr="00242E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666" w:type="dxa"/>
            <w:gridSpan w:val="2"/>
            <w:tcBorders>
              <w:top w:val="single" w:sz="2" w:space="0" w:color="auto"/>
              <w:left w:val="nil"/>
              <w:bottom w:val="nil"/>
              <w:right w:val="nil"/>
            </w:tcBorders>
          </w:tcPr>
          <w:p w14:paraId="786B2017" w14:textId="77777777" w:rsidR="00E65839" w:rsidRPr="00F56A0E" w:rsidRDefault="00E65839" w:rsidP="00D64E72">
            <w:pPr>
              <w:pBdr>
                <w:top w:val="single" w:sz="2" w:space="1" w:color="auto"/>
              </w:pBdr>
              <w:rPr>
                <w:b/>
                <w:bCs/>
                <w:lang w:val="fr-FR"/>
              </w:rPr>
            </w:pPr>
          </w:p>
        </w:tc>
      </w:tr>
      <w:tr w:rsidR="001323B1" w:rsidRPr="00F56A0E" w14:paraId="25EAF099" w14:textId="77777777" w:rsidTr="00242E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666" w:type="dxa"/>
            <w:gridSpan w:val="2"/>
            <w:tcBorders>
              <w:top w:val="nil"/>
              <w:left w:val="nil"/>
              <w:bottom w:val="nil"/>
              <w:right w:val="nil"/>
            </w:tcBorders>
          </w:tcPr>
          <w:p w14:paraId="21F64ED7" w14:textId="77777777" w:rsidR="001323B1" w:rsidRPr="00F56A0E" w:rsidRDefault="001323B1" w:rsidP="00242EBF">
            <w:pPr>
              <w:rPr>
                <w:rFonts w:eastAsia="Times New Roman"/>
                <w:b/>
                <w:color w:val="000000"/>
                <w:u w:val="single"/>
                <w:lang w:val="fr-FR"/>
              </w:rPr>
            </w:pPr>
            <w:r w:rsidRPr="00F56A0E">
              <w:rPr>
                <w:b/>
                <w:bCs/>
                <w:lang w:val="fr-FR"/>
              </w:rPr>
              <w:t>JMPR (2004)</w:t>
            </w:r>
            <w:r w:rsidRPr="00F56A0E">
              <w:rPr>
                <w:lang w:val="fr-FR"/>
              </w:rPr>
              <w:t xml:space="preserve"> </w:t>
            </w:r>
          </w:p>
          <w:p w14:paraId="013B6181" w14:textId="3E33C58E" w:rsidR="001323B1" w:rsidRPr="00F56A0E" w:rsidRDefault="001323B1" w:rsidP="005E14FB">
            <w:pPr>
              <w:spacing w:before="122" w:line="230" w:lineRule="exact"/>
              <w:ind w:left="72"/>
              <w:textAlignment w:val="baseline"/>
              <w:rPr>
                <w:rFonts w:eastAsia="Times New Roman"/>
                <w:color w:val="000000"/>
                <w:lang w:val="fr-FR"/>
              </w:rPr>
            </w:pPr>
            <w:r w:rsidRPr="00F56A0E">
              <w:rPr>
                <w:lang w:val="fr-FR"/>
              </w:rPr>
              <w:t>Dose de référence aiguë (DRfA)</w:t>
            </w:r>
            <w:r w:rsidR="00157D75" w:rsidRPr="00F56A0E">
              <w:rPr>
                <w:lang w:val="fr-FR"/>
              </w:rPr>
              <w:t> :</w:t>
            </w:r>
            <w:r w:rsidRPr="00F56A0E">
              <w:rPr>
                <w:lang w:val="fr-FR"/>
              </w:rPr>
              <w:t xml:space="preserve"> 0,002 mg/kg p.c.</w:t>
            </w:r>
          </w:p>
          <w:p w14:paraId="5E184BB5" w14:textId="6F6E872C" w:rsidR="001323B1" w:rsidRPr="00F56A0E" w:rsidRDefault="001323B1" w:rsidP="005E14FB">
            <w:pPr>
              <w:spacing w:before="2" w:line="230" w:lineRule="exact"/>
              <w:ind w:left="792" w:right="216"/>
              <w:textAlignment w:val="baseline"/>
              <w:rPr>
                <w:rFonts w:eastAsia="Times New Roman"/>
                <w:color w:val="000000"/>
                <w:lang w:val="fr-FR"/>
              </w:rPr>
            </w:pPr>
            <w:r w:rsidRPr="00F56A0E">
              <w:rPr>
                <w:lang w:val="fr-FR"/>
              </w:rPr>
              <w:t>La Réunion a défini une dose de référence aiguë de 0,002 mg/kg p.c. à partir d</w:t>
            </w:r>
            <w:r w:rsidR="00870D0E" w:rsidRPr="00F56A0E">
              <w:rPr>
                <w:lang w:val="fr-FR"/>
              </w:rPr>
              <w:t>’</w:t>
            </w:r>
            <w:r w:rsidRPr="00F56A0E">
              <w:rPr>
                <w:lang w:val="fr-FR"/>
              </w:rPr>
              <w:t>une DSENO de 0,15</w:t>
            </w:r>
            <w:r w:rsidR="005A4D74" w:rsidRPr="00F56A0E">
              <w:rPr>
                <w:lang w:val="fr-FR"/>
              </w:rPr>
              <w:t> </w:t>
            </w:r>
            <w:r w:rsidRPr="00F56A0E">
              <w:rPr>
                <w:lang w:val="fr-FR"/>
              </w:rPr>
              <w:t>mg/kg p.c. par jour pour le myosis, observée dans l</w:t>
            </w:r>
            <w:r w:rsidR="00870D0E" w:rsidRPr="00F56A0E">
              <w:rPr>
                <w:lang w:val="fr-FR"/>
              </w:rPr>
              <w:t>’</w:t>
            </w:r>
            <w:r w:rsidRPr="00F56A0E">
              <w:rPr>
                <w:lang w:val="fr-FR"/>
              </w:rPr>
              <w:t>étude de neurotoxicité menée chez des rats ayant reçu une dose unique de terbufos, avec un coefficient de sécurité de 100. Étant donné que le myosis sans inhibition de l</w:t>
            </w:r>
            <w:r w:rsidR="00870D0E" w:rsidRPr="00F56A0E">
              <w:rPr>
                <w:lang w:val="fr-FR"/>
              </w:rPr>
              <w:t>’</w:t>
            </w:r>
            <w:r w:rsidRPr="00F56A0E">
              <w:rPr>
                <w:lang w:val="fr-FR"/>
              </w:rPr>
              <w:t>activité de la cholinestérase n</w:t>
            </w:r>
            <w:r w:rsidR="00870D0E" w:rsidRPr="00F56A0E">
              <w:rPr>
                <w:lang w:val="fr-FR"/>
              </w:rPr>
              <w:t>’</w:t>
            </w:r>
            <w:r w:rsidRPr="00F56A0E">
              <w:rPr>
                <w:lang w:val="fr-FR"/>
              </w:rPr>
              <w:t>a été observé que dans cette étude, il pourrait être possible d</w:t>
            </w:r>
            <w:r w:rsidR="00870D0E" w:rsidRPr="00F56A0E">
              <w:rPr>
                <w:lang w:val="fr-FR"/>
              </w:rPr>
              <w:t>’</w:t>
            </w:r>
            <w:r w:rsidRPr="00F56A0E">
              <w:rPr>
                <w:lang w:val="fr-FR"/>
              </w:rPr>
              <w:t>affiner la DRfA après une meilleure caractérisation de cet effet.</w:t>
            </w:r>
          </w:p>
          <w:p w14:paraId="651D4149" w14:textId="77777777" w:rsidR="001323B1" w:rsidRPr="00F56A0E" w:rsidRDefault="001323B1" w:rsidP="005E14FB">
            <w:pPr>
              <w:spacing w:before="2" w:line="230" w:lineRule="exact"/>
              <w:ind w:right="216"/>
              <w:textAlignment w:val="baseline"/>
              <w:rPr>
                <w:rFonts w:eastAsia="Times New Roman"/>
                <w:color w:val="000000"/>
                <w:lang w:val="fr-FR"/>
              </w:rPr>
            </w:pPr>
          </w:p>
          <w:p w14:paraId="2E5E6D5B" w14:textId="1376DAA4" w:rsidR="001323B1" w:rsidRPr="00F56A0E" w:rsidRDefault="001323B1" w:rsidP="005E14FB">
            <w:pPr>
              <w:spacing w:before="2" w:line="230" w:lineRule="exact"/>
              <w:ind w:right="216"/>
              <w:textAlignment w:val="baseline"/>
              <w:rPr>
                <w:rFonts w:eastAsia="Times New Roman"/>
                <w:color w:val="000000"/>
                <w:lang w:val="fr-FR"/>
              </w:rPr>
            </w:pPr>
            <w:r w:rsidRPr="00F56A0E">
              <w:rPr>
                <w:lang w:val="fr-FR"/>
              </w:rPr>
              <w:t>Dose journalière acceptable (DJA)</w:t>
            </w:r>
            <w:r w:rsidR="00157D75" w:rsidRPr="00F56A0E">
              <w:rPr>
                <w:lang w:val="fr-FR"/>
              </w:rPr>
              <w:t> :</w:t>
            </w:r>
            <w:r w:rsidRPr="00F56A0E">
              <w:rPr>
                <w:lang w:val="fr-FR"/>
              </w:rPr>
              <w:t xml:space="preserve"> 0-0,0006 mg/kg p.c.</w:t>
            </w:r>
          </w:p>
          <w:p w14:paraId="7795FBBF" w14:textId="3BEF4C3F" w:rsidR="001323B1" w:rsidRPr="00F56A0E" w:rsidRDefault="001323B1" w:rsidP="005E14FB">
            <w:pPr>
              <w:spacing w:before="2" w:line="230" w:lineRule="exact"/>
              <w:ind w:left="792" w:right="216"/>
              <w:textAlignment w:val="baseline"/>
              <w:rPr>
                <w:rFonts w:eastAsia="Times New Roman"/>
                <w:color w:val="000000"/>
                <w:lang w:val="fr-FR"/>
              </w:rPr>
            </w:pPr>
            <w:r w:rsidRPr="00F56A0E">
              <w:rPr>
                <w:lang w:val="fr-FR"/>
              </w:rPr>
              <w:t>La Réunion a défini une DJA de 0-0,0006 mg/kg pc à partir d</w:t>
            </w:r>
            <w:r w:rsidR="00870D0E" w:rsidRPr="00F56A0E">
              <w:rPr>
                <w:lang w:val="fr-FR"/>
              </w:rPr>
              <w:t>’</w:t>
            </w:r>
            <w:r w:rsidRPr="00F56A0E">
              <w:rPr>
                <w:lang w:val="fr-FR"/>
              </w:rPr>
              <w:t>une DSENO globale de 0,06 mg/kg p.c./j, avec un coefficient de sécurité de 100, observée pour l</w:t>
            </w:r>
            <w:r w:rsidR="00870D0E" w:rsidRPr="00F56A0E">
              <w:rPr>
                <w:lang w:val="fr-FR"/>
              </w:rPr>
              <w:t>’</w:t>
            </w:r>
            <w:r w:rsidRPr="00F56A0E">
              <w:rPr>
                <w:lang w:val="fr-FR"/>
              </w:rPr>
              <w:t>inhibition de l</w:t>
            </w:r>
            <w:r w:rsidR="00870D0E" w:rsidRPr="00F56A0E">
              <w:rPr>
                <w:lang w:val="fr-FR"/>
              </w:rPr>
              <w:t>’</w:t>
            </w:r>
            <w:r w:rsidRPr="00F56A0E">
              <w:rPr>
                <w:lang w:val="fr-FR"/>
              </w:rPr>
              <w:t>activité cholinestérasique cérébrale dans une étude de toxicité d</w:t>
            </w:r>
            <w:r w:rsidR="00870D0E" w:rsidRPr="00F56A0E">
              <w:rPr>
                <w:lang w:val="fr-FR"/>
              </w:rPr>
              <w:t>’</w:t>
            </w:r>
            <w:r w:rsidRPr="00F56A0E">
              <w:rPr>
                <w:lang w:val="fr-FR"/>
              </w:rPr>
              <w:t>un an, une étude de neurotoxicité de 13 semaines et une étude de reproduction sur deux générations sur des rats, et une étude d</w:t>
            </w:r>
            <w:r w:rsidR="00870D0E" w:rsidRPr="00F56A0E">
              <w:rPr>
                <w:lang w:val="fr-FR"/>
              </w:rPr>
              <w:t>’</w:t>
            </w:r>
            <w:r w:rsidRPr="00F56A0E">
              <w:rPr>
                <w:lang w:val="fr-FR"/>
              </w:rPr>
              <w:t xml:space="preserve">un an sur des chiens. </w:t>
            </w:r>
          </w:p>
          <w:p w14:paraId="4FE7B75C" w14:textId="77777777" w:rsidR="001323B1" w:rsidRPr="00F56A0E" w:rsidRDefault="001323B1" w:rsidP="005E14FB">
            <w:pPr>
              <w:spacing w:before="14" w:line="230" w:lineRule="exact"/>
              <w:ind w:left="792" w:right="432"/>
              <w:textAlignment w:val="baseline"/>
              <w:rPr>
                <w:rFonts w:eastAsia="Times New Roman"/>
                <w:color w:val="000000"/>
                <w:lang w:val="fr-FR"/>
              </w:rPr>
            </w:pPr>
          </w:p>
          <w:p w14:paraId="077230B2" w14:textId="2E7DB337" w:rsidR="001323B1" w:rsidRPr="00F56A0E" w:rsidRDefault="001323B1" w:rsidP="005E14FB">
            <w:pPr>
              <w:spacing w:line="225" w:lineRule="exact"/>
              <w:ind w:left="72"/>
              <w:textAlignment w:val="baseline"/>
              <w:rPr>
                <w:rFonts w:eastAsia="Times New Roman"/>
                <w:b/>
                <w:color w:val="000000"/>
                <w:u w:val="single"/>
                <w:lang w:val="fr-FR"/>
              </w:rPr>
            </w:pPr>
            <w:r w:rsidRPr="00F56A0E">
              <w:rPr>
                <w:b/>
                <w:bCs/>
                <w:u w:val="single"/>
                <w:lang w:val="fr-FR"/>
              </w:rPr>
              <w:t>Évaluation des risques réalisée par le Canada</w:t>
            </w:r>
            <w:r w:rsidR="00157D75" w:rsidRPr="00F56A0E">
              <w:rPr>
                <w:b/>
                <w:bCs/>
                <w:lang w:val="fr-FR"/>
              </w:rPr>
              <w:t> :</w:t>
            </w:r>
            <w:r w:rsidRPr="00F56A0E">
              <w:rPr>
                <w:lang w:val="fr-FR"/>
              </w:rPr>
              <w:t xml:space="preserve"> </w:t>
            </w:r>
          </w:p>
          <w:p w14:paraId="42C2E233" w14:textId="6B9CEC8A" w:rsidR="001323B1" w:rsidRPr="00F56A0E" w:rsidRDefault="001323B1" w:rsidP="005E14FB">
            <w:pPr>
              <w:spacing w:before="133" w:line="230" w:lineRule="exact"/>
              <w:ind w:left="72"/>
              <w:textAlignment w:val="baseline"/>
              <w:rPr>
                <w:rFonts w:eastAsia="Times New Roman"/>
                <w:color w:val="000000"/>
                <w:spacing w:val="1"/>
                <w:lang w:val="fr-FR"/>
              </w:rPr>
            </w:pPr>
            <w:r w:rsidRPr="00F56A0E">
              <w:rPr>
                <w:lang w:val="fr-FR"/>
              </w:rPr>
              <w:t>Dose de référence aiguë (DRfA)</w:t>
            </w:r>
            <w:r w:rsidR="00157D75" w:rsidRPr="00F56A0E">
              <w:rPr>
                <w:lang w:val="fr-FR"/>
              </w:rPr>
              <w:t> :</w:t>
            </w:r>
            <w:r w:rsidRPr="00F56A0E">
              <w:rPr>
                <w:lang w:val="fr-FR"/>
              </w:rPr>
              <w:t xml:space="preserve"> 0,00015 mg/kg p.c.</w:t>
            </w:r>
          </w:p>
          <w:p w14:paraId="496C8795" w14:textId="0CA9CB00" w:rsidR="001323B1" w:rsidRPr="00F56A0E" w:rsidRDefault="001323B1" w:rsidP="005E14FB">
            <w:pPr>
              <w:ind w:left="792" w:right="144"/>
              <w:textAlignment w:val="baseline"/>
              <w:rPr>
                <w:rFonts w:eastAsia="Times New Roman"/>
                <w:color w:val="000000"/>
                <w:lang w:val="fr-FR"/>
              </w:rPr>
            </w:pPr>
            <w:r w:rsidRPr="00F56A0E">
              <w:rPr>
                <w:lang w:val="fr-FR"/>
              </w:rPr>
              <w:t>Dans les études sur des animaux, les effets perceptibles à la dose la plus faible (</w:t>
            </w:r>
            <w:r w:rsidR="00902B6E" w:rsidRPr="00F56A0E">
              <w:rPr>
                <w:lang w:val="fr-FR"/>
              </w:rPr>
              <w:t>c</w:t>
            </w:r>
            <w:r w:rsidR="00870D0E" w:rsidRPr="00F56A0E">
              <w:rPr>
                <w:lang w:val="fr-FR"/>
              </w:rPr>
              <w:t>’</w:t>
            </w:r>
            <w:r w:rsidR="00902B6E" w:rsidRPr="00F56A0E">
              <w:rPr>
                <w:lang w:val="fr-FR"/>
              </w:rPr>
              <w:t>est-à-dire à la dose correspondant au seuil de toxicité</w:t>
            </w:r>
            <w:r w:rsidRPr="00F56A0E">
              <w:rPr>
                <w:lang w:val="fr-FR"/>
              </w:rPr>
              <w:t>) étaient des signes cliniques observés dans une étude de neurotoxicité aiguë sur des rats (DSENO = 0,15 mg/kg p.c.). Le coefficient d</w:t>
            </w:r>
            <w:r w:rsidR="00870D0E" w:rsidRPr="00F56A0E">
              <w:rPr>
                <w:lang w:val="fr-FR"/>
              </w:rPr>
              <w:t>’</w:t>
            </w:r>
            <w:r w:rsidRPr="00F56A0E">
              <w:rPr>
                <w:lang w:val="fr-FR"/>
              </w:rPr>
              <w:t>incertitude était de 100 (10 pour l</w:t>
            </w:r>
            <w:r w:rsidR="00870D0E" w:rsidRPr="00F56A0E">
              <w:rPr>
                <w:lang w:val="fr-FR"/>
              </w:rPr>
              <w:t>’</w:t>
            </w:r>
            <w:r w:rsidRPr="00F56A0E">
              <w:rPr>
                <w:lang w:val="fr-FR"/>
              </w:rPr>
              <w:t>extrapolation interspécifique et 10 pour la variabilité intraspécifique). Un coefficient de sécurité supplémentaire de 10 a été appliqué pour tenir compte de la forte pente de la courbe dose-réponse et du degré d</w:t>
            </w:r>
            <w:r w:rsidR="00870D0E" w:rsidRPr="00F56A0E">
              <w:rPr>
                <w:lang w:val="fr-FR"/>
              </w:rPr>
              <w:t>’</w:t>
            </w:r>
            <w:r w:rsidRPr="00F56A0E">
              <w:rPr>
                <w:lang w:val="fr-FR"/>
              </w:rPr>
              <w:t>activité élevé (vu la létalité à très faibles doses). Il en résulte une DRfA de 0,00015 mg/kg p.c. (0,15 mg/kg p.c. ÷ 1000), valeur considérée suffisante pour protéger les nourrissons et les enfants.</w:t>
            </w:r>
          </w:p>
          <w:p w14:paraId="639A3CCA" w14:textId="77777777" w:rsidR="001323B1" w:rsidRPr="00F56A0E" w:rsidRDefault="001323B1" w:rsidP="005E14FB">
            <w:pPr>
              <w:ind w:left="72"/>
              <w:textAlignment w:val="baseline"/>
              <w:rPr>
                <w:rFonts w:eastAsia="Times New Roman"/>
                <w:color w:val="000000"/>
                <w:spacing w:val="1"/>
                <w:lang w:val="fr-FR"/>
              </w:rPr>
            </w:pPr>
          </w:p>
          <w:p w14:paraId="2F1AED2C" w14:textId="610BA8E3" w:rsidR="001323B1" w:rsidRPr="00F56A0E" w:rsidRDefault="001323B1" w:rsidP="008149AD">
            <w:pPr>
              <w:keepNext/>
              <w:keepLines/>
              <w:ind w:left="72"/>
              <w:textAlignment w:val="baseline"/>
              <w:rPr>
                <w:rFonts w:eastAsia="Times New Roman"/>
                <w:color w:val="000000"/>
                <w:spacing w:val="1"/>
                <w:lang w:val="fr-FR"/>
              </w:rPr>
            </w:pPr>
            <w:r w:rsidRPr="00F56A0E">
              <w:rPr>
                <w:lang w:val="fr-FR"/>
              </w:rPr>
              <w:t>Dose journalière acceptable (DJA )</w:t>
            </w:r>
            <w:r w:rsidR="00157D75" w:rsidRPr="00F56A0E">
              <w:rPr>
                <w:lang w:val="fr-FR"/>
              </w:rPr>
              <w:t> :</w:t>
            </w:r>
            <w:r w:rsidRPr="00F56A0E">
              <w:rPr>
                <w:lang w:val="fr-FR"/>
              </w:rPr>
              <w:t xml:space="preserve"> 0,00015 mg/kg p.c./j</w:t>
            </w:r>
          </w:p>
          <w:p w14:paraId="37097804" w14:textId="5697DD1B" w:rsidR="001323B1" w:rsidRPr="00F56A0E" w:rsidRDefault="001323B1" w:rsidP="008149AD">
            <w:pPr>
              <w:keepNext/>
              <w:keepLines/>
              <w:spacing w:before="14" w:line="230" w:lineRule="exact"/>
              <w:ind w:left="792" w:right="432"/>
              <w:textAlignment w:val="baseline"/>
              <w:rPr>
                <w:rFonts w:eastAsia="Times New Roman"/>
                <w:color w:val="000000"/>
                <w:lang w:val="fr-FR"/>
              </w:rPr>
            </w:pPr>
            <w:r w:rsidRPr="00F56A0E">
              <w:rPr>
                <w:lang w:val="fr-FR"/>
              </w:rPr>
              <w:t>Comme la DRfA était inférieure à toutes les doses journalières acceptables (DJA) déterminées à partir des études de toxicité à doses répétées (en raison de la forte toxicité aiguë de la substance et de l</w:t>
            </w:r>
            <w:r w:rsidR="00870D0E" w:rsidRPr="00F56A0E">
              <w:rPr>
                <w:lang w:val="fr-FR"/>
              </w:rPr>
              <w:t>’</w:t>
            </w:r>
            <w:r w:rsidRPr="00F56A0E">
              <w:rPr>
                <w:lang w:val="fr-FR"/>
              </w:rPr>
              <w:t>utilisation d</w:t>
            </w:r>
            <w:r w:rsidR="00870D0E" w:rsidRPr="00F56A0E">
              <w:rPr>
                <w:lang w:val="fr-FR"/>
              </w:rPr>
              <w:t>’</w:t>
            </w:r>
            <w:r w:rsidRPr="00F56A0E">
              <w:rPr>
                <w:lang w:val="fr-FR"/>
              </w:rPr>
              <w:t>un coefficient de sécurité supplémentaire), la DJA a été établie à la même valeur que la DRfA, à savoir 0,00015 mg/kg p.c./j.</w:t>
            </w:r>
          </w:p>
          <w:p w14:paraId="014E12CA" w14:textId="77777777" w:rsidR="001323B1" w:rsidRPr="00F56A0E" w:rsidRDefault="001323B1" w:rsidP="005E14FB">
            <w:pPr>
              <w:ind w:right="431"/>
              <w:textAlignment w:val="baseline"/>
              <w:rPr>
                <w:rFonts w:eastAsia="Times New Roman"/>
                <w:color w:val="000000"/>
                <w:lang w:val="fr-FR"/>
              </w:rPr>
            </w:pPr>
          </w:p>
          <w:p w14:paraId="2B3380FD" w14:textId="77777777" w:rsidR="001323B1" w:rsidRPr="00F56A0E" w:rsidRDefault="001323B1" w:rsidP="005E14FB">
            <w:pPr>
              <w:ind w:right="431"/>
              <w:textAlignment w:val="baseline"/>
              <w:rPr>
                <w:rFonts w:eastAsia="Times New Roman"/>
                <w:color w:val="000000"/>
                <w:lang w:val="fr-FR"/>
              </w:rPr>
            </w:pPr>
            <w:r w:rsidRPr="00F56A0E">
              <w:rPr>
                <w:lang w:val="fr-FR"/>
              </w:rPr>
              <w:t>Quotients de risque environnemental</w:t>
            </w:r>
          </w:p>
          <w:p w14:paraId="71E826D3" w14:textId="70323890" w:rsidR="001323B1" w:rsidRPr="00F56A0E" w:rsidRDefault="001323B1" w:rsidP="005E14FB">
            <w:pPr>
              <w:ind w:left="750" w:right="288"/>
              <w:textAlignment w:val="baseline"/>
              <w:rPr>
                <w:rFonts w:eastAsia="Times New Roman"/>
                <w:spacing w:val="-3"/>
                <w:lang w:val="fr-FR"/>
              </w:rPr>
            </w:pPr>
            <w:r w:rsidRPr="00F56A0E">
              <w:rPr>
                <w:lang w:val="fr-FR"/>
              </w:rPr>
              <w:t>Les concentrations prévues dans l</w:t>
            </w:r>
            <w:r w:rsidR="00870D0E" w:rsidRPr="00F56A0E">
              <w:rPr>
                <w:lang w:val="fr-FR"/>
              </w:rPr>
              <w:t>’</w:t>
            </w:r>
            <w:r w:rsidRPr="00F56A0E">
              <w:rPr>
                <w:lang w:val="fr-FR"/>
              </w:rPr>
              <w:t>environnement dépassent les niveaux d</w:t>
            </w:r>
            <w:r w:rsidR="00870D0E" w:rsidRPr="00F56A0E">
              <w:rPr>
                <w:lang w:val="fr-FR"/>
              </w:rPr>
              <w:t>’</w:t>
            </w:r>
            <w:r w:rsidRPr="00F56A0E">
              <w:rPr>
                <w:lang w:val="fr-FR"/>
              </w:rPr>
              <w:t xml:space="preserve">effets aigus et chroniques chez les poissons et les invertébrés aquatiques. Les quotients de risque pour les effets aigus sur la majorité des invertébrés aquatiques testés étaient supérieurs à 1, </w:t>
            </w:r>
            <w:r w:rsidR="00A16264" w:rsidRPr="00F56A0E">
              <w:rPr>
                <w:lang w:val="fr-FR"/>
              </w:rPr>
              <w:t>le</w:t>
            </w:r>
            <w:r w:rsidRPr="00F56A0E">
              <w:rPr>
                <w:lang w:val="fr-FR"/>
              </w:rPr>
              <w:t xml:space="preserve"> seuil de préoccupation. Les valeurs étaient comprises entre 10 et 409 </w:t>
            </w:r>
            <w:r w:rsidR="0075172B" w:rsidRPr="00F56A0E">
              <w:rPr>
                <w:lang w:val="fr-FR"/>
              </w:rPr>
              <w:t>après application sur les cultures de</w:t>
            </w:r>
            <w:r w:rsidRPr="00F56A0E">
              <w:rPr>
                <w:lang w:val="fr-FR"/>
              </w:rPr>
              <w:t xml:space="preserve"> canola et entre 28 et 2795 </w:t>
            </w:r>
            <w:r w:rsidR="0075172B" w:rsidRPr="00F56A0E">
              <w:rPr>
                <w:lang w:val="fr-FR"/>
              </w:rPr>
              <w:t>après application sur les cultures de</w:t>
            </w:r>
            <w:r w:rsidRPr="00F56A0E">
              <w:rPr>
                <w:lang w:val="fr-FR"/>
              </w:rPr>
              <w:t xml:space="preserve"> maïs, </w:t>
            </w:r>
            <w:r w:rsidR="0075172B" w:rsidRPr="00F56A0E">
              <w:rPr>
                <w:lang w:val="fr-FR"/>
              </w:rPr>
              <w:t>de</w:t>
            </w:r>
            <w:r w:rsidRPr="00F56A0E">
              <w:rPr>
                <w:lang w:val="fr-FR"/>
              </w:rPr>
              <w:t xml:space="preserve"> betterave à sucre ou </w:t>
            </w:r>
            <w:r w:rsidR="0075172B" w:rsidRPr="00F56A0E">
              <w:rPr>
                <w:lang w:val="fr-FR"/>
              </w:rPr>
              <w:t>de</w:t>
            </w:r>
            <w:r w:rsidRPr="00F56A0E">
              <w:rPr>
                <w:lang w:val="fr-FR"/>
              </w:rPr>
              <w:t xml:space="preserve"> rutabaga. Ces </w:t>
            </w:r>
            <w:r w:rsidR="00A16264" w:rsidRPr="00F56A0E">
              <w:rPr>
                <w:lang w:val="fr-FR"/>
              </w:rPr>
              <w:t>quotients</w:t>
            </w:r>
            <w:r w:rsidRPr="00F56A0E">
              <w:rPr>
                <w:lang w:val="fr-FR"/>
              </w:rPr>
              <w:t xml:space="preserve"> </w:t>
            </w:r>
            <w:r w:rsidR="00A16264" w:rsidRPr="00F56A0E">
              <w:rPr>
                <w:lang w:val="fr-FR"/>
              </w:rPr>
              <w:t xml:space="preserve">correspondent à des niveaux de risque </w:t>
            </w:r>
            <w:r w:rsidRPr="00F56A0E">
              <w:rPr>
                <w:lang w:val="fr-FR"/>
              </w:rPr>
              <w:t xml:space="preserve">élevés à extrêmement élevés. Les quotients de risque pour les effets aigus sur les poissons étaient supérieurs à 1, </w:t>
            </w:r>
            <w:r w:rsidR="00A16264" w:rsidRPr="00F56A0E">
              <w:rPr>
                <w:lang w:val="fr-FR"/>
              </w:rPr>
              <w:t>le</w:t>
            </w:r>
            <w:r w:rsidRPr="00F56A0E">
              <w:rPr>
                <w:lang w:val="fr-FR"/>
              </w:rPr>
              <w:t xml:space="preserve"> seuil de préoccupation. Les valeurs allaient de 4 à 106 selon les taux d</w:t>
            </w:r>
            <w:r w:rsidR="00870D0E" w:rsidRPr="00F56A0E">
              <w:rPr>
                <w:lang w:val="fr-FR"/>
              </w:rPr>
              <w:t>’</w:t>
            </w:r>
            <w:r w:rsidRPr="00F56A0E">
              <w:rPr>
                <w:lang w:val="fr-FR"/>
              </w:rPr>
              <w:t xml:space="preserve">application pour le canola et de 11 à 726 </w:t>
            </w:r>
            <w:r w:rsidR="0075172B" w:rsidRPr="00F56A0E">
              <w:rPr>
                <w:lang w:val="fr-FR"/>
              </w:rPr>
              <w:t xml:space="preserve">après application sur les cultures de </w:t>
            </w:r>
            <w:r w:rsidRPr="00F56A0E">
              <w:rPr>
                <w:lang w:val="fr-FR"/>
              </w:rPr>
              <w:t xml:space="preserve">maïs, </w:t>
            </w:r>
            <w:r w:rsidR="0075172B" w:rsidRPr="00F56A0E">
              <w:rPr>
                <w:lang w:val="fr-FR"/>
              </w:rPr>
              <w:t>de</w:t>
            </w:r>
            <w:r w:rsidRPr="00F56A0E">
              <w:rPr>
                <w:lang w:val="fr-FR"/>
              </w:rPr>
              <w:t xml:space="preserve"> betterave à sucre ou </w:t>
            </w:r>
            <w:r w:rsidR="0075172B" w:rsidRPr="00F56A0E">
              <w:rPr>
                <w:lang w:val="fr-FR"/>
              </w:rPr>
              <w:t>de</w:t>
            </w:r>
            <w:r w:rsidRPr="00F56A0E">
              <w:rPr>
                <w:lang w:val="fr-FR"/>
              </w:rPr>
              <w:t xml:space="preserve"> rutabaga. Ces </w:t>
            </w:r>
            <w:r w:rsidR="00A16264" w:rsidRPr="00F56A0E">
              <w:rPr>
                <w:lang w:val="fr-FR"/>
              </w:rPr>
              <w:t>quotients</w:t>
            </w:r>
            <w:r w:rsidRPr="00F56A0E">
              <w:rPr>
                <w:lang w:val="fr-FR"/>
              </w:rPr>
              <w:t xml:space="preserve"> </w:t>
            </w:r>
            <w:r w:rsidR="00A16264" w:rsidRPr="00F56A0E">
              <w:rPr>
                <w:lang w:val="fr-FR"/>
              </w:rPr>
              <w:t xml:space="preserve">correspondent à des niveaux de risque </w:t>
            </w:r>
            <w:r w:rsidRPr="00F56A0E">
              <w:rPr>
                <w:lang w:val="fr-FR"/>
              </w:rPr>
              <w:t>modérés à très élevés.</w:t>
            </w:r>
          </w:p>
          <w:p w14:paraId="47041104" w14:textId="77777777" w:rsidR="001323B1" w:rsidRPr="00F56A0E" w:rsidRDefault="001323B1" w:rsidP="005E14FB">
            <w:pPr>
              <w:spacing w:before="18" w:line="230" w:lineRule="exact"/>
              <w:ind w:left="72"/>
              <w:textAlignment w:val="baseline"/>
              <w:rPr>
                <w:rFonts w:eastAsia="Times New Roman"/>
                <w:b/>
                <w:color w:val="000000"/>
                <w:u w:val="single"/>
                <w:lang w:val="fr-FR"/>
              </w:rPr>
            </w:pPr>
          </w:p>
          <w:p w14:paraId="020D8E50" w14:textId="77777777" w:rsidR="001323B1" w:rsidRPr="00F56A0E" w:rsidRDefault="001323B1" w:rsidP="00B9379E">
            <w:pPr>
              <w:keepNext/>
              <w:keepLines/>
              <w:spacing w:before="18" w:line="230" w:lineRule="exact"/>
              <w:ind w:left="72"/>
              <w:textAlignment w:val="baseline"/>
              <w:rPr>
                <w:rFonts w:eastAsia="Times New Roman"/>
                <w:b/>
                <w:color w:val="000000"/>
                <w:u w:val="single"/>
                <w:lang w:val="fr-FR"/>
              </w:rPr>
            </w:pPr>
            <w:r w:rsidRPr="00F56A0E">
              <w:rPr>
                <w:b/>
                <w:bCs/>
                <w:u w:val="single"/>
                <w:lang w:val="fr-FR"/>
              </w:rPr>
              <w:lastRenderedPageBreak/>
              <w:t>Limite maximale de résidus</w:t>
            </w:r>
          </w:p>
          <w:p w14:paraId="5D194DF4" w14:textId="77777777" w:rsidR="001323B1" w:rsidRPr="00F56A0E" w:rsidRDefault="001323B1" w:rsidP="00B9379E">
            <w:pPr>
              <w:keepNext/>
              <w:keepLines/>
              <w:spacing w:before="18" w:line="230" w:lineRule="exact"/>
              <w:ind w:left="72"/>
              <w:textAlignment w:val="baseline"/>
              <w:rPr>
                <w:b/>
                <w:u w:val="single"/>
                <w:lang w:val="fr-FR"/>
              </w:rPr>
            </w:pPr>
          </w:p>
          <w:p w14:paraId="2ED08101" w14:textId="77777777" w:rsidR="001323B1" w:rsidRPr="00F56A0E" w:rsidRDefault="001323B1" w:rsidP="00B9379E">
            <w:pPr>
              <w:keepNext/>
              <w:keepLines/>
              <w:spacing w:before="18" w:line="230" w:lineRule="exact"/>
              <w:ind w:left="72"/>
              <w:textAlignment w:val="baseline"/>
              <w:rPr>
                <w:lang w:val="fr-FR"/>
              </w:rPr>
            </w:pPr>
            <w:r w:rsidRPr="00F56A0E">
              <w:rPr>
                <w:b/>
                <w:bCs/>
                <w:lang w:val="fr-FR"/>
              </w:rPr>
              <w:t>JMPR (2005)</w:t>
            </w:r>
            <w:r w:rsidRPr="00F56A0E">
              <w:rPr>
                <w:lang w:val="fr-FR"/>
              </w:rPr>
              <w:t xml:space="preserve"> </w:t>
            </w:r>
          </w:p>
          <w:p w14:paraId="0FF1DB68" w14:textId="77777777" w:rsidR="001323B1" w:rsidRPr="00F56A0E" w:rsidRDefault="001323B1" w:rsidP="005E14FB">
            <w:pPr>
              <w:spacing w:before="18" w:line="230" w:lineRule="exact"/>
              <w:ind w:left="72"/>
              <w:textAlignment w:val="baseline"/>
              <w:rPr>
                <w:rFonts w:eastAsia="Times New Roman"/>
                <w:b/>
                <w:color w:val="000000"/>
                <w:lang w:val="fr-FR"/>
              </w:rPr>
            </w:pPr>
          </w:p>
          <w:tbl>
            <w:tblPr>
              <w:tblW w:w="80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1620"/>
              <w:gridCol w:w="1350"/>
            </w:tblGrid>
            <w:tr w:rsidR="001323B1" w:rsidRPr="00F56A0E" w14:paraId="7635A14B" w14:textId="77777777" w:rsidTr="008473C1">
              <w:trPr>
                <w:tblHeader/>
              </w:trPr>
              <w:tc>
                <w:tcPr>
                  <w:tcW w:w="5062" w:type="dxa"/>
                  <w:shd w:val="clear" w:color="auto" w:fill="auto"/>
                  <w:vAlign w:val="center"/>
                </w:tcPr>
                <w:p w14:paraId="4C7AE8AA" w14:textId="77777777" w:rsidR="001323B1" w:rsidRPr="00F56A0E" w:rsidRDefault="001323B1" w:rsidP="005E14FB">
                  <w:pPr>
                    <w:spacing w:before="20" w:after="20"/>
                    <w:rPr>
                      <w:rFonts w:eastAsia="Times New Roman"/>
                      <w:b/>
                      <w:bCs/>
                      <w:lang w:val="fr-FR"/>
                    </w:rPr>
                  </w:pPr>
                  <w:r w:rsidRPr="00F56A0E">
                    <w:rPr>
                      <w:b/>
                      <w:bCs/>
                      <w:lang w:val="fr-FR"/>
                    </w:rPr>
                    <w:t>Produit de base</w:t>
                  </w:r>
                </w:p>
              </w:tc>
              <w:tc>
                <w:tcPr>
                  <w:tcW w:w="1620" w:type="dxa"/>
                  <w:shd w:val="clear" w:color="auto" w:fill="auto"/>
                  <w:vAlign w:val="center"/>
                </w:tcPr>
                <w:p w14:paraId="223CB154" w14:textId="77777777" w:rsidR="001323B1" w:rsidRPr="00F56A0E" w:rsidRDefault="001323B1" w:rsidP="005E14FB">
                  <w:pPr>
                    <w:spacing w:before="20" w:after="20"/>
                    <w:rPr>
                      <w:rFonts w:eastAsia="Times New Roman"/>
                      <w:b/>
                      <w:bCs/>
                      <w:lang w:val="fr-FR"/>
                    </w:rPr>
                  </w:pPr>
                  <w:r w:rsidRPr="00F56A0E">
                    <w:rPr>
                      <w:lang w:val="fr-FR"/>
                    </w:rPr>
                    <w:t>LMR</w:t>
                  </w:r>
                </w:p>
              </w:tc>
              <w:tc>
                <w:tcPr>
                  <w:tcW w:w="1350" w:type="dxa"/>
                  <w:shd w:val="clear" w:color="auto" w:fill="auto"/>
                  <w:vAlign w:val="center"/>
                </w:tcPr>
                <w:p w14:paraId="0D6BA8C1" w14:textId="77777777" w:rsidR="001323B1" w:rsidRPr="00F56A0E" w:rsidRDefault="001323B1" w:rsidP="005E14FB">
                  <w:pPr>
                    <w:spacing w:before="20" w:after="20"/>
                    <w:rPr>
                      <w:rFonts w:eastAsia="Times New Roman"/>
                      <w:b/>
                      <w:bCs/>
                      <w:lang w:val="fr-FR"/>
                    </w:rPr>
                  </w:pPr>
                  <w:r w:rsidRPr="00F56A0E">
                    <w:rPr>
                      <w:b/>
                      <w:bCs/>
                      <w:lang w:val="fr-FR"/>
                    </w:rPr>
                    <w:t>Symbole</w:t>
                  </w:r>
                </w:p>
              </w:tc>
            </w:tr>
            <w:tr w:rsidR="001323B1" w:rsidRPr="00F56A0E" w14:paraId="4EB621C3" w14:textId="77777777" w:rsidTr="008473C1">
              <w:tc>
                <w:tcPr>
                  <w:tcW w:w="5062" w:type="dxa"/>
                  <w:shd w:val="clear" w:color="auto" w:fill="auto"/>
                </w:tcPr>
                <w:p w14:paraId="0279A865" w14:textId="77777777" w:rsidR="001323B1" w:rsidRPr="00F56A0E" w:rsidRDefault="000A03BD" w:rsidP="005E14FB">
                  <w:pPr>
                    <w:spacing w:before="20" w:after="20"/>
                    <w:rPr>
                      <w:rFonts w:eastAsia="Times New Roman"/>
                      <w:lang w:val="fr-FR"/>
                    </w:rPr>
                  </w:pPr>
                  <w:hyperlink r:id="rId23" w:anchor="CM131" w:history="1">
                    <w:r w:rsidR="00002921" w:rsidRPr="00F56A0E">
                      <w:rPr>
                        <w:lang w:val="fr-FR"/>
                      </w:rPr>
                      <w:t>http://www.fao.org/fao-who-codexalimentarius/codex-texts/dbs/pestres/commodities/en/?cm=131 - CM131 Banane</w:t>
                    </w:r>
                  </w:hyperlink>
                </w:p>
              </w:tc>
              <w:tc>
                <w:tcPr>
                  <w:tcW w:w="1620" w:type="dxa"/>
                  <w:shd w:val="clear" w:color="auto" w:fill="auto"/>
                </w:tcPr>
                <w:p w14:paraId="103DDEC5"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3097E843" w14:textId="00ED7063" w:rsidR="001323B1" w:rsidRPr="00F56A0E" w:rsidRDefault="00AD2712" w:rsidP="005E14FB">
                  <w:pPr>
                    <w:spacing w:before="20" w:after="20"/>
                    <w:rPr>
                      <w:rFonts w:eastAsia="Times New Roman"/>
                      <w:lang w:val="fr-FR" w:eastAsia="en-US"/>
                    </w:rPr>
                  </w:pPr>
                  <w:r w:rsidRPr="00F56A0E">
                    <w:rPr>
                      <w:rFonts w:eastAsia="Times New Roman"/>
                      <w:lang w:val="fr-FR" w:eastAsia="en-US"/>
                    </w:rPr>
                    <w:t xml:space="preserve"> </w:t>
                  </w:r>
                </w:p>
              </w:tc>
            </w:tr>
            <w:tr w:rsidR="001323B1" w:rsidRPr="00F56A0E" w14:paraId="023FF1F7" w14:textId="77777777" w:rsidTr="008473C1">
              <w:tc>
                <w:tcPr>
                  <w:tcW w:w="5062" w:type="dxa"/>
                  <w:shd w:val="clear" w:color="auto" w:fill="auto"/>
                </w:tcPr>
                <w:p w14:paraId="3C3A245C" w14:textId="77777777" w:rsidR="001323B1" w:rsidRPr="00F56A0E" w:rsidRDefault="000A03BD" w:rsidP="005E14FB">
                  <w:pPr>
                    <w:spacing w:before="20" w:after="20"/>
                    <w:rPr>
                      <w:rFonts w:eastAsia="Times New Roman"/>
                      <w:lang w:val="fr-FR"/>
                    </w:rPr>
                  </w:pPr>
                  <w:hyperlink r:id="rId24" w:anchor="CM240" w:history="1">
                    <w:r w:rsidR="00002921" w:rsidRPr="00F56A0E">
                      <w:rPr>
                        <w:lang w:val="fr-FR"/>
                      </w:rPr>
                      <w:t>http://www.fao.org/fao-who-codexalimentarius/codex-texts/dbs/pestres/commodities/en/?cm=240 - CM240 Grains de café</w:t>
                    </w:r>
                  </w:hyperlink>
                </w:p>
              </w:tc>
              <w:tc>
                <w:tcPr>
                  <w:tcW w:w="1620" w:type="dxa"/>
                  <w:shd w:val="clear" w:color="auto" w:fill="auto"/>
                </w:tcPr>
                <w:p w14:paraId="1D91B431"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79BA7C50" w14:textId="1D5E3A96"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5AE30FC0" w14:textId="77777777" w:rsidTr="008473C1">
              <w:tc>
                <w:tcPr>
                  <w:tcW w:w="5062" w:type="dxa"/>
                  <w:shd w:val="clear" w:color="auto" w:fill="auto"/>
                </w:tcPr>
                <w:p w14:paraId="6A324F98" w14:textId="77777777" w:rsidR="001323B1" w:rsidRPr="00F56A0E" w:rsidRDefault="000A03BD" w:rsidP="005E14FB">
                  <w:pPr>
                    <w:spacing w:before="20" w:after="20"/>
                    <w:rPr>
                      <w:rFonts w:eastAsia="Times New Roman"/>
                      <w:lang w:val="fr-FR"/>
                    </w:rPr>
                  </w:pPr>
                  <w:hyperlink r:id="rId25" w:anchor="CM198" w:history="1">
                    <w:r w:rsidR="00002921" w:rsidRPr="00F56A0E">
                      <w:rPr>
                        <w:lang w:val="fr-FR"/>
                      </w:rPr>
                      <w:t>http://www.fao.org/fao-who-codexalimentarius/codex-texts/dbs/pestres/commodities/en/?cm=198 - CM198 Abats comestibles (de mammifères)</w:t>
                    </w:r>
                  </w:hyperlink>
                </w:p>
              </w:tc>
              <w:tc>
                <w:tcPr>
                  <w:tcW w:w="1620" w:type="dxa"/>
                  <w:shd w:val="clear" w:color="auto" w:fill="auto"/>
                </w:tcPr>
                <w:p w14:paraId="27246346"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3A0131DF" w14:textId="14E6952C"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0E8D0959" w14:textId="77777777" w:rsidTr="008473C1">
              <w:tc>
                <w:tcPr>
                  <w:tcW w:w="5062" w:type="dxa"/>
                  <w:shd w:val="clear" w:color="auto" w:fill="auto"/>
                </w:tcPr>
                <w:p w14:paraId="53E02D7D" w14:textId="77777777" w:rsidR="001323B1" w:rsidRPr="00F56A0E" w:rsidRDefault="000A03BD" w:rsidP="005E14FB">
                  <w:pPr>
                    <w:spacing w:before="20" w:after="20"/>
                    <w:rPr>
                      <w:rFonts w:eastAsia="Times New Roman"/>
                      <w:lang w:val="fr-FR"/>
                    </w:rPr>
                  </w:pPr>
                  <w:hyperlink r:id="rId26" w:anchor="CM229" w:history="1">
                    <w:r w:rsidR="00002921" w:rsidRPr="00F56A0E">
                      <w:rPr>
                        <w:lang w:val="fr-FR"/>
                      </w:rPr>
                      <w:t>http://www.fao.org/fao-who-codexalimentarius/codex-texts/dbs/pestres/commodities/en/?cm=229 - CM229 Oeufs</w:t>
                    </w:r>
                  </w:hyperlink>
                </w:p>
              </w:tc>
              <w:tc>
                <w:tcPr>
                  <w:tcW w:w="1620" w:type="dxa"/>
                  <w:shd w:val="clear" w:color="auto" w:fill="auto"/>
                </w:tcPr>
                <w:p w14:paraId="5A3DEE19" w14:textId="77777777" w:rsidR="001323B1" w:rsidRPr="00F56A0E" w:rsidRDefault="001323B1" w:rsidP="005E14FB">
                  <w:pPr>
                    <w:spacing w:before="20" w:after="20"/>
                    <w:rPr>
                      <w:rFonts w:eastAsia="Times New Roman"/>
                      <w:lang w:val="fr-FR"/>
                    </w:rPr>
                  </w:pPr>
                  <w:r w:rsidRPr="00F56A0E">
                    <w:rPr>
                      <w:lang w:val="fr-FR"/>
                    </w:rPr>
                    <w:t>0,01 mg/kg</w:t>
                  </w:r>
                </w:p>
              </w:tc>
              <w:tc>
                <w:tcPr>
                  <w:tcW w:w="1350" w:type="dxa"/>
                  <w:shd w:val="clear" w:color="auto" w:fill="auto"/>
                </w:tcPr>
                <w:p w14:paraId="14E41F2F" w14:textId="1D322958"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1E89CC30" w14:textId="77777777" w:rsidTr="008473C1">
              <w:tc>
                <w:tcPr>
                  <w:tcW w:w="5062" w:type="dxa"/>
                  <w:shd w:val="clear" w:color="auto" w:fill="auto"/>
                </w:tcPr>
                <w:p w14:paraId="53AC4272" w14:textId="77777777" w:rsidR="001323B1" w:rsidRPr="00F56A0E" w:rsidRDefault="000A03BD" w:rsidP="005E14FB">
                  <w:pPr>
                    <w:spacing w:before="20" w:after="20"/>
                    <w:rPr>
                      <w:rFonts w:eastAsia="Times New Roman"/>
                      <w:lang w:val="fr-FR"/>
                    </w:rPr>
                  </w:pPr>
                  <w:hyperlink r:id="rId27" w:anchor="CM156" w:history="1">
                    <w:r w:rsidR="00002921" w:rsidRPr="00F56A0E">
                      <w:rPr>
                        <w:lang w:val="fr-FR"/>
                      </w:rPr>
                      <w:t>http://www.fao.org/fao-who-codexalimentarius/codex-texts/dbs/pestres/commodities/en/?cm=156 - CM156 Maïs</w:t>
                    </w:r>
                  </w:hyperlink>
                </w:p>
              </w:tc>
              <w:tc>
                <w:tcPr>
                  <w:tcW w:w="1620" w:type="dxa"/>
                  <w:shd w:val="clear" w:color="auto" w:fill="auto"/>
                </w:tcPr>
                <w:p w14:paraId="127DE237" w14:textId="77777777" w:rsidR="001323B1" w:rsidRPr="00F56A0E" w:rsidRDefault="001323B1" w:rsidP="005E14FB">
                  <w:pPr>
                    <w:spacing w:before="20" w:after="20"/>
                    <w:rPr>
                      <w:rFonts w:eastAsia="Times New Roman"/>
                      <w:lang w:val="fr-FR"/>
                    </w:rPr>
                  </w:pPr>
                  <w:r w:rsidRPr="00F56A0E">
                    <w:rPr>
                      <w:lang w:val="fr-FR"/>
                    </w:rPr>
                    <w:t>0,01 mg/kg</w:t>
                  </w:r>
                </w:p>
              </w:tc>
              <w:tc>
                <w:tcPr>
                  <w:tcW w:w="1350" w:type="dxa"/>
                  <w:shd w:val="clear" w:color="auto" w:fill="auto"/>
                </w:tcPr>
                <w:p w14:paraId="025C0072" w14:textId="5A7665B3"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4F3B0D82" w14:textId="77777777" w:rsidTr="008473C1">
              <w:tc>
                <w:tcPr>
                  <w:tcW w:w="5062" w:type="dxa"/>
                  <w:shd w:val="clear" w:color="auto" w:fill="auto"/>
                </w:tcPr>
                <w:p w14:paraId="276B1ED0" w14:textId="77777777" w:rsidR="001323B1" w:rsidRPr="00F56A0E" w:rsidRDefault="000A03BD" w:rsidP="005E14FB">
                  <w:pPr>
                    <w:spacing w:before="20" w:after="20"/>
                    <w:rPr>
                      <w:rFonts w:eastAsia="Times New Roman"/>
                      <w:lang w:val="fr-FR"/>
                    </w:rPr>
                  </w:pPr>
                  <w:hyperlink r:id="rId28" w:anchor="CM51" w:history="1">
                    <w:r w:rsidR="00002921" w:rsidRPr="00F56A0E">
                      <w:rPr>
                        <w:lang w:val="fr-FR"/>
                      </w:rPr>
                      <w:t>http://www.fao.org/fao-who-codexalimentarius/codex-texts/dbs/pestres/commodities/en/?cm=51 - CM51 Maïs fourrager</w:t>
                    </w:r>
                  </w:hyperlink>
                </w:p>
              </w:tc>
              <w:tc>
                <w:tcPr>
                  <w:tcW w:w="1620" w:type="dxa"/>
                  <w:shd w:val="clear" w:color="auto" w:fill="auto"/>
                </w:tcPr>
                <w:p w14:paraId="5389E615" w14:textId="77777777" w:rsidR="001323B1" w:rsidRPr="00F56A0E" w:rsidRDefault="001323B1" w:rsidP="005E14FB">
                  <w:pPr>
                    <w:spacing w:before="20" w:after="20"/>
                    <w:rPr>
                      <w:rFonts w:eastAsia="Times New Roman"/>
                      <w:lang w:val="fr-FR"/>
                    </w:rPr>
                  </w:pPr>
                  <w:r w:rsidRPr="00F56A0E">
                    <w:rPr>
                      <w:lang w:val="fr-FR"/>
                    </w:rPr>
                    <w:t>0,2 mg/kg</w:t>
                  </w:r>
                </w:p>
              </w:tc>
              <w:tc>
                <w:tcPr>
                  <w:tcW w:w="1350" w:type="dxa"/>
                  <w:shd w:val="clear" w:color="auto" w:fill="auto"/>
                </w:tcPr>
                <w:p w14:paraId="6C4C8945" w14:textId="2A2C76B7" w:rsidR="001323B1" w:rsidRPr="00F56A0E" w:rsidRDefault="00AD2712" w:rsidP="005E14FB">
                  <w:pPr>
                    <w:spacing w:before="20" w:after="20"/>
                    <w:rPr>
                      <w:rFonts w:eastAsia="Times New Roman"/>
                      <w:lang w:val="fr-FR" w:eastAsia="en-US"/>
                    </w:rPr>
                  </w:pPr>
                  <w:r w:rsidRPr="00F56A0E">
                    <w:rPr>
                      <w:rFonts w:eastAsia="Times New Roman"/>
                      <w:lang w:val="fr-FR" w:eastAsia="en-US"/>
                    </w:rPr>
                    <w:t xml:space="preserve"> </w:t>
                  </w:r>
                </w:p>
              </w:tc>
            </w:tr>
            <w:tr w:rsidR="001323B1" w:rsidRPr="00F56A0E" w14:paraId="27E90ABF" w14:textId="77777777" w:rsidTr="008473C1">
              <w:tc>
                <w:tcPr>
                  <w:tcW w:w="5062" w:type="dxa"/>
                  <w:shd w:val="clear" w:color="auto" w:fill="auto"/>
                </w:tcPr>
                <w:p w14:paraId="27820E5E" w14:textId="77777777" w:rsidR="001323B1" w:rsidRPr="00F56A0E" w:rsidRDefault="000A03BD" w:rsidP="005E14FB">
                  <w:pPr>
                    <w:spacing w:before="20" w:after="20"/>
                    <w:rPr>
                      <w:rFonts w:eastAsia="Times New Roman"/>
                      <w:lang w:val="fr-FR"/>
                    </w:rPr>
                  </w:pPr>
                  <w:hyperlink r:id="rId29" w:anchor="CM195" w:history="1">
                    <w:r w:rsidR="00002921" w:rsidRPr="00F56A0E">
                      <w:rPr>
                        <w:lang w:val="fr-FR"/>
                      </w:rPr>
                      <w:t>http://www.fao.org/fao-who-codexalimentarius/codex-texts/dbs/pestres/commodities/en/?cm=195 - CM195 Viande (de mammifères autres que les mammifères marins)</w:t>
                    </w:r>
                  </w:hyperlink>
                </w:p>
              </w:tc>
              <w:tc>
                <w:tcPr>
                  <w:tcW w:w="1620" w:type="dxa"/>
                  <w:shd w:val="clear" w:color="auto" w:fill="auto"/>
                </w:tcPr>
                <w:p w14:paraId="436DF355"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6C1CCCC8" w14:textId="68E0E09A"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27B14792" w14:textId="77777777" w:rsidTr="008473C1">
              <w:tc>
                <w:tcPr>
                  <w:tcW w:w="5062" w:type="dxa"/>
                  <w:shd w:val="clear" w:color="auto" w:fill="auto"/>
                </w:tcPr>
                <w:p w14:paraId="324DFF0E" w14:textId="77777777" w:rsidR="001323B1" w:rsidRPr="00F56A0E" w:rsidRDefault="000A03BD" w:rsidP="005E14FB">
                  <w:pPr>
                    <w:spacing w:before="20" w:after="20"/>
                    <w:rPr>
                      <w:rFonts w:eastAsia="Times New Roman"/>
                      <w:lang w:val="fr-FR"/>
                    </w:rPr>
                  </w:pPr>
                  <w:hyperlink r:id="rId30" w:anchor="CM187" w:history="1">
                    <w:r w:rsidR="00002921" w:rsidRPr="00F56A0E">
                      <w:rPr>
                        <w:lang w:val="fr-FR"/>
                      </w:rPr>
                      <w:t>http://www.fao.org/fao-who-codexalimentarius/codex-texts/dbs/pestres/commodities/en/?cm=187 - CM187 Lait</w:t>
                    </w:r>
                  </w:hyperlink>
                </w:p>
              </w:tc>
              <w:tc>
                <w:tcPr>
                  <w:tcW w:w="1620" w:type="dxa"/>
                  <w:shd w:val="clear" w:color="auto" w:fill="auto"/>
                </w:tcPr>
                <w:p w14:paraId="753E825E" w14:textId="77777777" w:rsidR="001323B1" w:rsidRPr="00F56A0E" w:rsidRDefault="001323B1" w:rsidP="005E14FB">
                  <w:pPr>
                    <w:spacing w:before="20" w:after="20"/>
                    <w:rPr>
                      <w:rFonts w:eastAsia="Times New Roman"/>
                      <w:lang w:val="fr-FR"/>
                    </w:rPr>
                  </w:pPr>
                  <w:r w:rsidRPr="00F56A0E">
                    <w:rPr>
                      <w:lang w:val="fr-FR"/>
                    </w:rPr>
                    <w:t>0,01 mg/kg</w:t>
                  </w:r>
                </w:p>
              </w:tc>
              <w:tc>
                <w:tcPr>
                  <w:tcW w:w="1350" w:type="dxa"/>
                  <w:shd w:val="clear" w:color="auto" w:fill="auto"/>
                </w:tcPr>
                <w:p w14:paraId="7A1C3885" w14:textId="4EFBF426"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46A67BA6" w14:textId="77777777" w:rsidTr="008473C1">
              <w:tc>
                <w:tcPr>
                  <w:tcW w:w="5062" w:type="dxa"/>
                  <w:shd w:val="clear" w:color="auto" w:fill="auto"/>
                </w:tcPr>
                <w:p w14:paraId="57136C40" w14:textId="77777777" w:rsidR="001323B1" w:rsidRPr="00F56A0E" w:rsidRDefault="000A03BD" w:rsidP="005E14FB">
                  <w:pPr>
                    <w:spacing w:before="20" w:after="20"/>
                    <w:rPr>
                      <w:rFonts w:eastAsia="Times New Roman"/>
                      <w:lang w:val="fr-FR"/>
                    </w:rPr>
                  </w:pPr>
                  <w:hyperlink r:id="rId31" w:anchor="CM233" w:history="1">
                    <w:r w:rsidR="00002921" w:rsidRPr="00F56A0E">
                      <w:rPr>
                        <w:lang w:val="fr-FR"/>
                      </w:rPr>
                      <w:t>http://www.fao.org/fao-who-codexalimentarius/codex-texts/dbs/pestres/commodities/en/?cm=233 - CM233 Chair de volaille</w:t>
                    </w:r>
                  </w:hyperlink>
                </w:p>
              </w:tc>
              <w:tc>
                <w:tcPr>
                  <w:tcW w:w="1620" w:type="dxa"/>
                  <w:shd w:val="clear" w:color="auto" w:fill="auto"/>
                </w:tcPr>
                <w:p w14:paraId="1F2CC6A4"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13CD50EE" w14:textId="47717C79"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3769942A" w14:textId="77777777" w:rsidTr="008473C1">
              <w:tc>
                <w:tcPr>
                  <w:tcW w:w="5062" w:type="dxa"/>
                  <w:shd w:val="clear" w:color="auto" w:fill="auto"/>
                </w:tcPr>
                <w:p w14:paraId="7BE26A30" w14:textId="77777777" w:rsidR="001323B1" w:rsidRPr="00F56A0E" w:rsidRDefault="000A03BD" w:rsidP="005E14FB">
                  <w:pPr>
                    <w:spacing w:before="20" w:after="20"/>
                    <w:rPr>
                      <w:rFonts w:eastAsia="Times New Roman"/>
                      <w:lang w:val="fr-FR"/>
                    </w:rPr>
                  </w:pPr>
                  <w:hyperlink r:id="rId32" w:anchor="CM236" w:history="1">
                    <w:r w:rsidR="00002921" w:rsidRPr="00F56A0E">
                      <w:rPr>
                        <w:lang w:val="fr-FR"/>
                      </w:rPr>
                      <w:t>http://www.fao.org/fao-who-codexalimentarius/codex-texts/dbs/pestres/commodities/en/?cm=236 - CM236 Abats comestibles de volaille</w:t>
                    </w:r>
                  </w:hyperlink>
                </w:p>
              </w:tc>
              <w:tc>
                <w:tcPr>
                  <w:tcW w:w="1620" w:type="dxa"/>
                  <w:shd w:val="clear" w:color="auto" w:fill="auto"/>
                </w:tcPr>
                <w:p w14:paraId="3810C04E" w14:textId="77777777" w:rsidR="001323B1" w:rsidRPr="00F56A0E" w:rsidRDefault="001323B1" w:rsidP="005E14FB">
                  <w:pPr>
                    <w:spacing w:before="20" w:after="20"/>
                    <w:rPr>
                      <w:rFonts w:eastAsia="Times New Roman"/>
                      <w:lang w:val="fr-FR"/>
                    </w:rPr>
                  </w:pPr>
                  <w:r w:rsidRPr="00F56A0E">
                    <w:rPr>
                      <w:lang w:val="fr-FR"/>
                    </w:rPr>
                    <w:t>0,05 mg/kg</w:t>
                  </w:r>
                </w:p>
              </w:tc>
              <w:tc>
                <w:tcPr>
                  <w:tcW w:w="1350" w:type="dxa"/>
                  <w:shd w:val="clear" w:color="auto" w:fill="auto"/>
                </w:tcPr>
                <w:p w14:paraId="75AE3664" w14:textId="7132C75A"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02E94DC6" w14:textId="77777777" w:rsidTr="008473C1">
              <w:tc>
                <w:tcPr>
                  <w:tcW w:w="5062" w:type="dxa"/>
                  <w:shd w:val="clear" w:color="auto" w:fill="auto"/>
                </w:tcPr>
                <w:p w14:paraId="6865D038" w14:textId="77777777" w:rsidR="001323B1" w:rsidRPr="00F56A0E" w:rsidRDefault="000A03BD" w:rsidP="005E14FB">
                  <w:pPr>
                    <w:spacing w:before="20" w:after="20"/>
                    <w:rPr>
                      <w:rFonts w:eastAsia="Times New Roman"/>
                      <w:lang w:val="fr-FR"/>
                    </w:rPr>
                  </w:pPr>
                  <w:hyperlink r:id="rId33" w:anchor="CM160" w:history="1">
                    <w:r w:rsidR="00002921" w:rsidRPr="00F56A0E">
                      <w:rPr>
                        <w:lang w:val="fr-FR"/>
                      </w:rPr>
                      <w:t>http://www.fao.org/fao-who-codexalimentarius/codex-texts/dbs/pestres/commodities/en/?cm=160 - CM160 Sorgho</w:t>
                    </w:r>
                  </w:hyperlink>
                </w:p>
              </w:tc>
              <w:tc>
                <w:tcPr>
                  <w:tcW w:w="1620" w:type="dxa"/>
                  <w:shd w:val="clear" w:color="auto" w:fill="auto"/>
                </w:tcPr>
                <w:p w14:paraId="24F1E0B1" w14:textId="77777777" w:rsidR="001323B1" w:rsidRPr="00F56A0E" w:rsidRDefault="001323B1" w:rsidP="005E14FB">
                  <w:pPr>
                    <w:spacing w:before="20" w:after="20"/>
                    <w:rPr>
                      <w:rFonts w:eastAsia="Times New Roman"/>
                      <w:lang w:val="fr-FR"/>
                    </w:rPr>
                  </w:pPr>
                  <w:r w:rsidRPr="00F56A0E">
                    <w:rPr>
                      <w:lang w:val="fr-FR"/>
                    </w:rPr>
                    <w:t>0,01 mg/kg</w:t>
                  </w:r>
                </w:p>
              </w:tc>
              <w:tc>
                <w:tcPr>
                  <w:tcW w:w="1350" w:type="dxa"/>
                  <w:shd w:val="clear" w:color="auto" w:fill="auto"/>
                </w:tcPr>
                <w:p w14:paraId="6E45B2CD" w14:textId="358A3C23" w:rsidR="001323B1" w:rsidRPr="00F56A0E" w:rsidRDefault="001323B1" w:rsidP="005E14FB">
                  <w:pPr>
                    <w:spacing w:before="20" w:after="20"/>
                    <w:rPr>
                      <w:rFonts w:eastAsia="Times New Roman"/>
                      <w:lang w:val="fr-FR"/>
                    </w:rPr>
                  </w:pPr>
                  <w:r w:rsidRPr="00F56A0E">
                    <w:rPr>
                      <w:lang w:val="fr-FR"/>
                    </w:rPr>
                    <w:t>(*)</w:t>
                  </w:r>
                  <w:r w:rsidR="00AD2712" w:rsidRPr="00F56A0E">
                    <w:rPr>
                      <w:lang w:val="fr-FR"/>
                    </w:rPr>
                    <w:t xml:space="preserve"> </w:t>
                  </w:r>
                </w:p>
              </w:tc>
            </w:tr>
            <w:tr w:rsidR="001323B1" w:rsidRPr="00F56A0E" w14:paraId="15D93949" w14:textId="77777777" w:rsidTr="008473C1">
              <w:tc>
                <w:tcPr>
                  <w:tcW w:w="5062" w:type="dxa"/>
                  <w:shd w:val="clear" w:color="auto" w:fill="auto"/>
                </w:tcPr>
                <w:p w14:paraId="4B595C9A" w14:textId="77777777" w:rsidR="001323B1" w:rsidRPr="00F56A0E" w:rsidRDefault="000A03BD" w:rsidP="005E14FB">
                  <w:pPr>
                    <w:spacing w:before="20" w:after="20"/>
                    <w:rPr>
                      <w:rFonts w:eastAsia="Times New Roman"/>
                      <w:lang w:val="fr-FR"/>
                    </w:rPr>
                  </w:pPr>
                  <w:hyperlink r:id="rId34" w:anchor="CM55" w:history="1">
                    <w:r w:rsidR="00002921" w:rsidRPr="00F56A0E">
                      <w:rPr>
                        <w:lang w:val="fr-FR"/>
                      </w:rPr>
                      <w:t>http://www.fao.org/fao-who-codexalimentarius/codex-texts/dbs/pestres/commodities/en/?cm=55 - CM55 Paille et fourrage sec de sorgho</w:t>
                    </w:r>
                  </w:hyperlink>
                </w:p>
              </w:tc>
              <w:tc>
                <w:tcPr>
                  <w:tcW w:w="1620" w:type="dxa"/>
                  <w:shd w:val="clear" w:color="auto" w:fill="auto"/>
                </w:tcPr>
                <w:p w14:paraId="3E425837" w14:textId="77777777" w:rsidR="001323B1" w:rsidRPr="00F56A0E" w:rsidRDefault="001323B1" w:rsidP="005E14FB">
                  <w:pPr>
                    <w:spacing w:before="20" w:after="20"/>
                    <w:rPr>
                      <w:rFonts w:eastAsia="Times New Roman"/>
                      <w:lang w:val="fr-FR"/>
                    </w:rPr>
                  </w:pPr>
                  <w:r w:rsidRPr="00F56A0E">
                    <w:rPr>
                      <w:lang w:val="fr-FR"/>
                    </w:rPr>
                    <w:t>0,3 mg/kg</w:t>
                  </w:r>
                </w:p>
              </w:tc>
              <w:tc>
                <w:tcPr>
                  <w:tcW w:w="1350" w:type="dxa"/>
                  <w:shd w:val="clear" w:color="auto" w:fill="auto"/>
                </w:tcPr>
                <w:p w14:paraId="123EFF6A" w14:textId="4FA5409F" w:rsidR="001323B1" w:rsidRPr="00F56A0E" w:rsidRDefault="001323B1" w:rsidP="005E14FB">
                  <w:pPr>
                    <w:spacing w:before="20" w:after="20"/>
                    <w:rPr>
                      <w:rFonts w:eastAsia="Times New Roman"/>
                      <w:lang w:val="fr-FR"/>
                    </w:rPr>
                  </w:pPr>
                  <w:r w:rsidRPr="00F56A0E">
                    <w:rPr>
                      <w:lang w:val="fr-FR"/>
                    </w:rPr>
                    <w:t>poids sec</w:t>
                  </w:r>
                </w:p>
              </w:tc>
            </w:tr>
            <w:tr w:rsidR="001323B1" w:rsidRPr="00F56A0E" w14:paraId="349C95E9" w14:textId="77777777" w:rsidTr="008473C1">
              <w:tc>
                <w:tcPr>
                  <w:tcW w:w="5062" w:type="dxa"/>
                  <w:shd w:val="clear" w:color="auto" w:fill="auto"/>
                </w:tcPr>
                <w:p w14:paraId="49776CB3" w14:textId="77777777" w:rsidR="001323B1" w:rsidRPr="00F56A0E" w:rsidRDefault="000A03BD" w:rsidP="005E14FB">
                  <w:pPr>
                    <w:spacing w:before="20" w:after="20"/>
                    <w:rPr>
                      <w:rFonts w:eastAsia="Times New Roman"/>
                      <w:lang w:val="fr-FR"/>
                    </w:rPr>
                  </w:pPr>
                  <w:hyperlink r:id="rId35" w:anchor="CM349" w:history="1">
                    <w:r w:rsidR="00002921" w:rsidRPr="00F56A0E">
                      <w:rPr>
                        <w:lang w:val="fr-FR"/>
                      </w:rPr>
                      <w:t>http://www.fao.org/fao-who-codexalimentarius/codex-texts/dbs/pestres/commodities/en/?cm=349 - CM349 Betterave sucrière</w:t>
                    </w:r>
                  </w:hyperlink>
                </w:p>
              </w:tc>
              <w:tc>
                <w:tcPr>
                  <w:tcW w:w="1620" w:type="dxa"/>
                  <w:shd w:val="clear" w:color="auto" w:fill="auto"/>
                </w:tcPr>
                <w:p w14:paraId="0591FE4D" w14:textId="77777777" w:rsidR="001323B1" w:rsidRPr="00F56A0E" w:rsidRDefault="001323B1" w:rsidP="005E14FB">
                  <w:pPr>
                    <w:spacing w:before="20" w:after="20"/>
                    <w:rPr>
                      <w:rFonts w:eastAsia="Times New Roman"/>
                      <w:lang w:val="fr-FR"/>
                    </w:rPr>
                  </w:pPr>
                  <w:r w:rsidRPr="00F56A0E">
                    <w:rPr>
                      <w:lang w:val="fr-FR"/>
                    </w:rPr>
                    <w:t>0,02 mg/L</w:t>
                  </w:r>
                </w:p>
              </w:tc>
              <w:tc>
                <w:tcPr>
                  <w:tcW w:w="1350" w:type="dxa"/>
                  <w:shd w:val="clear" w:color="auto" w:fill="auto"/>
                </w:tcPr>
                <w:p w14:paraId="4CD57955" w14:textId="77D2BE87" w:rsidR="001323B1" w:rsidRPr="00F56A0E" w:rsidRDefault="00AD2712" w:rsidP="005E14FB">
                  <w:pPr>
                    <w:spacing w:before="20" w:after="20"/>
                    <w:rPr>
                      <w:rFonts w:eastAsia="Times New Roman"/>
                      <w:lang w:val="fr-FR" w:eastAsia="en-US"/>
                    </w:rPr>
                  </w:pPr>
                  <w:r w:rsidRPr="00F56A0E">
                    <w:rPr>
                      <w:rFonts w:eastAsia="Times New Roman"/>
                      <w:lang w:val="fr-FR" w:eastAsia="en-US"/>
                    </w:rPr>
                    <w:t xml:space="preserve"> </w:t>
                  </w:r>
                </w:p>
              </w:tc>
            </w:tr>
            <w:tr w:rsidR="001323B1" w:rsidRPr="00F56A0E" w14:paraId="28CEB1F9" w14:textId="77777777" w:rsidTr="008473C1">
              <w:tc>
                <w:tcPr>
                  <w:tcW w:w="5062" w:type="dxa"/>
                  <w:shd w:val="clear" w:color="auto" w:fill="auto"/>
                </w:tcPr>
                <w:p w14:paraId="762FD1ED" w14:textId="77777777" w:rsidR="001323B1" w:rsidRPr="00F56A0E" w:rsidRDefault="000A03BD" w:rsidP="005E14FB">
                  <w:pPr>
                    <w:spacing w:before="20" w:after="20"/>
                    <w:rPr>
                      <w:rFonts w:eastAsia="Times New Roman"/>
                      <w:lang w:val="fr-FR"/>
                    </w:rPr>
                  </w:pPr>
                  <w:hyperlink r:id="rId36" w:anchor="CM319" w:history="1">
                    <w:r w:rsidR="00002921" w:rsidRPr="00F56A0E">
                      <w:rPr>
                        <w:lang w:val="fr-FR"/>
                      </w:rPr>
                      <w:t>http://www.fao.org/fao-who-codexalimentarius/codex-texts/dbs/pestres/commodities/en/?cm=319 - CM319 Maïs doux (maïs en épi)</w:t>
                    </w:r>
                  </w:hyperlink>
                </w:p>
              </w:tc>
              <w:tc>
                <w:tcPr>
                  <w:tcW w:w="1620" w:type="dxa"/>
                  <w:shd w:val="clear" w:color="auto" w:fill="auto"/>
                </w:tcPr>
                <w:p w14:paraId="2395597A" w14:textId="77777777" w:rsidR="001323B1" w:rsidRPr="00F56A0E" w:rsidRDefault="001323B1" w:rsidP="005E14FB">
                  <w:pPr>
                    <w:spacing w:before="20" w:after="20"/>
                    <w:rPr>
                      <w:rFonts w:eastAsia="Times New Roman"/>
                      <w:lang w:val="fr-FR"/>
                    </w:rPr>
                  </w:pPr>
                  <w:r w:rsidRPr="00F56A0E">
                    <w:rPr>
                      <w:lang w:val="fr-FR"/>
                    </w:rPr>
                    <w:t>0,01 mg/kg</w:t>
                  </w:r>
                </w:p>
              </w:tc>
              <w:tc>
                <w:tcPr>
                  <w:tcW w:w="1350" w:type="dxa"/>
                  <w:shd w:val="clear" w:color="auto" w:fill="auto"/>
                </w:tcPr>
                <w:p w14:paraId="339651D9" w14:textId="512C451E" w:rsidR="001323B1" w:rsidRPr="00F56A0E" w:rsidRDefault="00AD2712" w:rsidP="005E14FB">
                  <w:pPr>
                    <w:spacing w:before="20" w:after="20"/>
                    <w:rPr>
                      <w:rFonts w:eastAsia="Times New Roman"/>
                      <w:lang w:val="fr-FR" w:eastAsia="en-US"/>
                    </w:rPr>
                  </w:pPr>
                  <w:r w:rsidRPr="00F56A0E">
                    <w:rPr>
                      <w:rFonts w:eastAsia="Times New Roman"/>
                      <w:lang w:val="fr-FR" w:eastAsia="en-US"/>
                    </w:rPr>
                    <w:t xml:space="preserve"> </w:t>
                  </w:r>
                </w:p>
              </w:tc>
            </w:tr>
          </w:tbl>
          <w:p w14:paraId="1C8E6384" w14:textId="1A8ED2F8" w:rsidR="001323B1" w:rsidRPr="00F56A0E" w:rsidRDefault="001323B1" w:rsidP="005E14FB">
            <w:pPr>
              <w:spacing w:before="20" w:after="20"/>
              <w:rPr>
                <w:rFonts w:eastAsia="Times New Roman"/>
                <w:i/>
                <w:lang w:val="fr-FR"/>
              </w:rPr>
            </w:pPr>
            <w:r w:rsidRPr="00F56A0E">
              <w:rPr>
                <w:i/>
                <w:iCs/>
                <w:lang w:val="fr-FR"/>
              </w:rPr>
              <w:t>(*)</w:t>
            </w:r>
            <w:r w:rsidR="00157D75" w:rsidRPr="00F56A0E">
              <w:rPr>
                <w:i/>
                <w:iCs/>
                <w:lang w:val="fr-FR"/>
              </w:rPr>
              <w:t> :</w:t>
            </w:r>
            <w:r w:rsidRPr="00F56A0E">
              <w:rPr>
                <w:i/>
                <w:iCs/>
                <w:lang w:val="fr-FR"/>
              </w:rPr>
              <w:t xml:space="preserve"> à la limite de détermination ou à proximité.</w:t>
            </w:r>
          </w:p>
          <w:p w14:paraId="1D8C926D" w14:textId="5DDE8AD4" w:rsidR="001323B1" w:rsidRPr="00F56A0E" w:rsidRDefault="001323B1" w:rsidP="005E14FB">
            <w:pPr>
              <w:rPr>
                <w:rFonts w:eastAsia="Times New Roman"/>
                <w:i/>
                <w:lang w:val="fr-FR"/>
              </w:rPr>
            </w:pPr>
            <w:r w:rsidRPr="00F56A0E">
              <w:rPr>
                <w:i/>
                <w:iCs/>
                <w:lang w:val="fr-FR"/>
              </w:rPr>
              <w:t>Définition des résidus aux fins du contrôle du respect des LMR et de l</w:t>
            </w:r>
            <w:r w:rsidR="00870D0E" w:rsidRPr="00F56A0E">
              <w:rPr>
                <w:i/>
                <w:iCs/>
                <w:lang w:val="fr-FR"/>
              </w:rPr>
              <w:t>’</w:t>
            </w:r>
            <w:r w:rsidRPr="00F56A0E">
              <w:rPr>
                <w:i/>
                <w:iCs/>
                <w:lang w:val="fr-FR"/>
              </w:rPr>
              <w:t>estimation des quantités ingérées via les produits de base d</w:t>
            </w:r>
            <w:r w:rsidR="00870D0E" w:rsidRPr="00F56A0E">
              <w:rPr>
                <w:i/>
                <w:iCs/>
                <w:lang w:val="fr-FR"/>
              </w:rPr>
              <w:t>’</w:t>
            </w:r>
            <w:r w:rsidRPr="00F56A0E">
              <w:rPr>
                <w:i/>
                <w:iCs/>
                <w:lang w:val="fr-FR"/>
              </w:rPr>
              <w:t>origine végétale et animale</w:t>
            </w:r>
            <w:r w:rsidR="00157D75" w:rsidRPr="00F56A0E">
              <w:rPr>
                <w:i/>
                <w:iCs/>
                <w:lang w:val="fr-FR"/>
              </w:rPr>
              <w:t> :</w:t>
            </w:r>
            <w:r w:rsidRPr="00F56A0E">
              <w:rPr>
                <w:i/>
                <w:iCs/>
                <w:lang w:val="fr-FR"/>
              </w:rPr>
              <w:t xml:space="preserve"> somme du terbufos, de son analogue oxygéné et de leurs sulfoxydes et sulfones, exprimée en terbufos.</w:t>
            </w:r>
          </w:p>
          <w:p w14:paraId="34DA2069" w14:textId="77777777" w:rsidR="001323B1" w:rsidRPr="00F56A0E" w:rsidRDefault="001323B1" w:rsidP="005E14FB">
            <w:pPr>
              <w:rPr>
                <w:rFonts w:eastAsia="Times New Roman"/>
                <w:lang w:val="fr-FR" w:eastAsia="en-US"/>
              </w:rPr>
            </w:pPr>
          </w:p>
          <w:p w14:paraId="2F1A3A8E" w14:textId="77777777" w:rsidR="001323B1" w:rsidRPr="00F56A0E" w:rsidRDefault="001323B1" w:rsidP="005E14FB">
            <w:pPr>
              <w:rPr>
                <w:rFonts w:eastAsia="Times New Roman"/>
                <w:b/>
                <w:bCs/>
                <w:lang w:val="fr-FR"/>
              </w:rPr>
            </w:pPr>
            <w:r w:rsidRPr="00F56A0E">
              <w:rPr>
                <w:b/>
                <w:bCs/>
                <w:lang w:val="fr-FR"/>
              </w:rPr>
              <w:t>Union européenne</w:t>
            </w:r>
          </w:p>
          <w:p w14:paraId="1C452E55" w14:textId="77777777" w:rsidR="001323B1" w:rsidRPr="00F56A0E" w:rsidRDefault="001323B1" w:rsidP="005E14FB">
            <w:pPr>
              <w:rPr>
                <w:rFonts w:eastAsia="Times New Roman"/>
                <w:b/>
                <w:lang w:val="fr-FR" w:eastAsia="en-US"/>
              </w:rPr>
            </w:pPr>
          </w:p>
          <w:p w14:paraId="250F3711" w14:textId="7E216CB0" w:rsidR="001323B1" w:rsidRPr="00F56A0E" w:rsidRDefault="001323B1" w:rsidP="005E14FB">
            <w:pPr>
              <w:rPr>
                <w:lang w:val="fr-FR"/>
              </w:rPr>
            </w:pPr>
            <w:r w:rsidRPr="00F56A0E">
              <w:rPr>
                <w:lang w:val="fr-FR"/>
              </w:rPr>
              <w:t>Conformément au règlement (CE) n° 396/2005 du Parlement européen et du Conseil du 23 février 2005 concernant les limites maximales applicables aux résidus de pesticides présents dans ou sur les denrées alimentaires et les aliments pour animaux d</w:t>
            </w:r>
            <w:r w:rsidR="00870D0E" w:rsidRPr="00F56A0E">
              <w:rPr>
                <w:lang w:val="fr-FR"/>
              </w:rPr>
              <w:t>’</w:t>
            </w:r>
            <w:r w:rsidRPr="00F56A0E">
              <w:rPr>
                <w:lang w:val="fr-FR"/>
              </w:rPr>
              <w:t>origine végétale et animale (Journal officiel de l</w:t>
            </w:r>
            <w:r w:rsidR="00870D0E" w:rsidRPr="00F56A0E">
              <w:rPr>
                <w:lang w:val="fr-FR"/>
              </w:rPr>
              <w:t>’</w:t>
            </w:r>
            <w:r w:rsidRPr="00F56A0E">
              <w:rPr>
                <w:lang w:val="fr-FR"/>
              </w:rPr>
              <w:t>Union européenne L 70, 16.3.2005, p. 1), la LMR est de 0,01 mg/kg, sauf pour les bananes (0,05 mg/kg). Les valeurs limites sont précisées dans le règlement (CE) n° 149/2008 de la Commission (JO L 58 du 1.3.2008, p. 1-398).</w:t>
            </w:r>
          </w:p>
          <w:p w14:paraId="124616F2" w14:textId="10ADF3D1" w:rsidR="001323B1" w:rsidRPr="00F56A0E" w:rsidRDefault="000A03BD" w:rsidP="00E65839">
            <w:pPr>
              <w:rPr>
                <w:lang w:val="fr-FR"/>
              </w:rPr>
            </w:pPr>
            <w:hyperlink r:id="rId37" w:history="1">
              <w:r w:rsidR="00002921" w:rsidRPr="00F56A0E">
                <w:rPr>
                  <w:lang w:val="fr-FR"/>
                </w:rPr>
                <w:t>https://ec.europa.eu/food/plant/pesticides/eu-pesticides-database/mrls/?event=details&amp;pest_res_ids=384&amp;product_ids=&amp;v=1&amp;e=search.pr</w:t>
              </w:r>
            </w:hyperlink>
          </w:p>
        </w:tc>
      </w:tr>
      <w:tr w:rsidR="00E65839" w:rsidRPr="00F56A0E" w14:paraId="69A5BA8C" w14:textId="77777777" w:rsidTr="006E544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666" w:type="dxa"/>
            <w:gridSpan w:val="2"/>
            <w:tcBorders>
              <w:top w:val="nil"/>
              <w:left w:val="nil"/>
              <w:bottom w:val="nil"/>
              <w:right w:val="nil"/>
            </w:tcBorders>
          </w:tcPr>
          <w:p w14:paraId="7A960E0B" w14:textId="77777777" w:rsidR="00E65839" w:rsidRPr="00F56A0E" w:rsidRDefault="00E65839" w:rsidP="005E14FB">
            <w:pPr>
              <w:keepNext/>
              <w:outlineLvl w:val="1"/>
              <w:rPr>
                <w:b/>
                <w:bCs/>
                <w:lang w:val="fr-FR"/>
              </w:rPr>
            </w:pPr>
          </w:p>
        </w:tc>
      </w:tr>
      <w:tr w:rsidR="006E5445" w:rsidRPr="00F56A0E" w14:paraId="63B79D35" w14:textId="77777777" w:rsidTr="006E544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666" w:type="dxa"/>
            <w:gridSpan w:val="2"/>
            <w:tcBorders>
              <w:top w:val="nil"/>
              <w:left w:val="nil"/>
              <w:bottom w:val="single" w:sz="2" w:space="0" w:color="auto"/>
              <w:right w:val="nil"/>
            </w:tcBorders>
          </w:tcPr>
          <w:p w14:paraId="3E768420" w14:textId="77777777" w:rsidR="006E5445" w:rsidRPr="00F56A0E" w:rsidRDefault="006E5445" w:rsidP="005E14FB">
            <w:pPr>
              <w:keepNext/>
              <w:outlineLvl w:val="1"/>
              <w:rPr>
                <w:b/>
                <w:bCs/>
                <w:lang w:val="fr-FR"/>
              </w:rPr>
            </w:pPr>
          </w:p>
        </w:tc>
      </w:tr>
      <w:tr w:rsidR="001323B1" w:rsidRPr="00F56A0E" w14:paraId="0A7B9364" w14:textId="77777777" w:rsidTr="006E544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666" w:type="dxa"/>
            <w:gridSpan w:val="2"/>
            <w:tcBorders>
              <w:top w:val="single" w:sz="2" w:space="0" w:color="auto"/>
              <w:left w:val="single" w:sz="4" w:space="0" w:color="auto"/>
              <w:bottom w:val="single" w:sz="4" w:space="0" w:color="auto"/>
              <w:right w:val="single" w:sz="4" w:space="0" w:color="auto"/>
            </w:tcBorders>
          </w:tcPr>
          <w:p w14:paraId="411CD747" w14:textId="77777777" w:rsidR="001323B1" w:rsidRPr="00F56A0E" w:rsidRDefault="001323B1" w:rsidP="005E14FB">
            <w:pPr>
              <w:keepNext/>
              <w:outlineLvl w:val="1"/>
              <w:rPr>
                <w:rFonts w:eastAsia="Times New Roman"/>
                <w:b/>
                <w:bCs/>
                <w:szCs w:val="28"/>
                <w:lang w:val="fr-FR"/>
              </w:rPr>
            </w:pPr>
            <w:r w:rsidRPr="00F56A0E">
              <w:rPr>
                <w:b/>
                <w:bCs/>
                <w:lang w:val="fr-FR"/>
              </w:rPr>
              <w:t>4.3</w:t>
            </w:r>
            <w:r w:rsidRPr="00F56A0E">
              <w:rPr>
                <w:lang w:val="fr-FR"/>
              </w:rPr>
              <w:t xml:space="preserve"> </w:t>
            </w:r>
            <w:r w:rsidRPr="00F56A0E">
              <w:rPr>
                <w:b/>
                <w:bCs/>
                <w:lang w:val="fr-FR"/>
              </w:rPr>
              <w:t>Emballage et étiquetage</w:t>
            </w:r>
          </w:p>
        </w:tc>
      </w:tr>
      <w:tr w:rsidR="001323B1" w:rsidRPr="00F56A0E" w14:paraId="342C09B9" w14:textId="77777777" w:rsidTr="00A706AE">
        <w:tblPrEx>
          <w:tblCellMar>
            <w:left w:w="108" w:type="dxa"/>
            <w:right w:w="108" w:type="dxa"/>
          </w:tblCellMar>
        </w:tblPrEx>
        <w:trPr>
          <w:cantSplit/>
        </w:trPr>
        <w:tc>
          <w:tcPr>
            <w:tcW w:w="9666" w:type="dxa"/>
            <w:gridSpan w:val="2"/>
            <w:tcBorders>
              <w:top w:val="single" w:sz="4" w:space="0" w:color="auto"/>
              <w:left w:val="single" w:sz="4" w:space="0" w:color="auto"/>
              <w:bottom w:val="single" w:sz="6" w:space="0" w:color="auto"/>
              <w:right w:val="single" w:sz="4" w:space="0" w:color="auto"/>
            </w:tcBorders>
          </w:tcPr>
          <w:p w14:paraId="41D21994" w14:textId="1133CF0F" w:rsidR="001323B1" w:rsidRPr="00F56A0E" w:rsidRDefault="001323B1" w:rsidP="005E14FB">
            <w:pPr>
              <w:rPr>
                <w:rFonts w:eastAsia="Times New Roman"/>
                <w:snapToGrid w:val="0"/>
                <w:lang w:val="fr-FR"/>
              </w:rPr>
            </w:pPr>
            <w:r w:rsidRPr="00F56A0E">
              <w:rPr>
                <w:lang w:val="fr-FR"/>
              </w:rPr>
              <w:t>Le Comité d</w:t>
            </w:r>
            <w:r w:rsidR="00870D0E" w:rsidRPr="00F56A0E">
              <w:rPr>
                <w:lang w:val="fr-FR"/>
              </w:rPr>
              <w:t>’</w:t>
            </w:r>
            <w:r w:rsidRPr="00F56A0E">
              <w:rPr>
                <w:lang w:val="fr-FR"/>
              </w:rPr>
              <w:t>experts des Nations Unies sur le transport des marchandises dangereuses classe ce produit chimique comme suit</w:t>
            </w:r>
            <w:r w:rsidR="00157D75" w:rsidRPr="00F56A0E">
              <w:rPr>
                <w:lang w:val="fr-FR"/>
              </w:rPr>
              <w:t> :</w:t>
            </w:r>
            <w:r w:rsidRPr="00F56A0E">
              <w:rPr>
                <w:lang w:val="fr-FR"/>
              </w:rPr>
              <w:t xml:space="preserve"> </w:t>
            </w:r>
          </w:p>
        </w:tc>
      </w:tr>
      <w:tr w:rsidR="001323B1" w:rsidRPr="00F56A0E" w14:paraId="7B74227F" w14:textId="77777777" w:rsidTr="00A706AE">
        <w:trPr>
          <w:cantSplit/>
          <w:trHeight w:val="1395"/>
        </w:trPr>
        <w:tc>
          <w:tcPr>
            <w:tcW w:w="1561" w:type="dxa"/>
            <w:tcBorders>
              <w:top w:val="single" w:sz="6" w:space="0" w:color="auto"/>
              <w:left w:val="single" w:sz="4" w:space="0" w:color="auto"/>
              <w:bottom w:val="single" w:sz="6" w:space="0" w:color="auto"/>
              <w:right w:val="single" w:sz="6" w:space="0" w:color="auto"/>
            </w:tcBorders>
          </w:tcPr>
          <w:p w14:paraId="187DD893" w14:textId="5B5DF782" w:rsidR="001323B1" w:rsidRPr="00F56A0E" w:rsidRDefault="001323B1" w:rsidP="005E14FB">
            <w:pPr>
              <w:spacing w:before="20" w:after="20"/>
              <w:outlineLvl w:val="2"/>
              <w:rPr>
                <w:rFonts w:eastAsia="Times New Roman"/>
                <w:b/>
                <w:bCs/>
                <w:snapToGrid w:val="0"/>
                <w:lang w:val="fr-FR"/>
              </w:rPr>
            </w:pPr>
            <w:r w:rsidRPr="00F56A0E">
              <w:rPr>
                <w:b/>
                <w:bCs/>
                <w:lang w:val="fr-FR"/>
              </w:rPr>
              <w:t>Classe de danger et groupe d</w:t>
            </w:r>
            <w:r w:rsidR="00870D0E" w:rsidRPr="00F56A0E">
              <w:rPr>
                <w:b/>
                <w:bCs/>
                <w:lang w:val="fr-FR"/>
              </w:rPr>
              <w:t>’</w:t>
            </w:r>
            <w:r w:rsidRPr="00F56A0E">
              <w:rPr>
                <w:b/>
                <w:bCs/>
                <w:lang w:val="fr-FR"/>
              </w:rPr>
              <w:t>emballage</w:t>
            </w:r>
            <w:r w:rsidR="00157D75" w:rsidRPr="00F56A0E">
              <w:rPr>
                <w:b/>
                <w:bCs/>
                <w:lang w:val="fr-FR"/>
              </w:rPr>
              <w:t> :</w:t>
            </w:r>
          </w:p>
        </w:tc>
        <w:tc>
          <w:tcPr>
            <w:tcW w:w="8105" w:type="dxa"/>
            <w:tcBorders>
              <w:top w:val="single" w:sz="6" w:space="0" w:color="auto"/>
              <w:left w:val="single" w:sz="6" w:space="0" w:color="auto"/>
              <w:bottom w:val="single" w:sz="6" w:space="0" w:color="auto"/>
              <w:right w:val="single" w:sz="4" w:space="0" w:color="auto"/>
            </w:tcBorders>
          </w:tcPr>
          <w:p w14:paraId="2EEA3521" w14:textId="295A1928" w:rsidR="001323B1" w:rsidRPr="00F56A0E" w:rsidRDefault="001323B1" w:rsidP="005E14FB">
            <w:pPr>
              <w:widowControl w:val="0"/>
              <w:spacing w:before="40" w:after="40"/>
              <w:rPr>
                <w:lang w:val="fr-FR"/>
              </w:rPr>
            </w:pPr>
            <w:r w:rsidRPr="00F56A0E">
              <w:rPr>
                <w:lang w:val="fr-FR"/>
              </w:rPr>
              <w:t>Numéro ONU</w:t>
            </w:r>
            <w:r w:rsidR="00157D75" w:rsidRPr="00F56A0E">
              <w:rPr>
                <w:lang w:val="fr-FR"/>
              </w:rPr>
              <w:t> :</w:t>
            </w:r>
            <w:r w:rsidRPr="00F56A0E">
              <w:rPr>
                <w:lang w:val="fr-FR"/>
              </w:rPr>
              <w:t xml:space="preserve"> 2783</w:t>
            </w:r>
          </w:p>
          <w:p w14:paraId="6A04EF87" w14:textId="5F10F460" w:rsidR="001323B1" w:rsidRPr="00F56A0E" w:rsidRDefault="001323B1" w:rsidP="005E14FB">
            <w:pPr>
              <w:widowControl w:val="0"/>
              <w:spacing w:before="40" w:after="40"/>
              <w:rPr>
                <w:lang w:val="fr-FR"/>
              </w:rPr>
            </w:pPr>
            <w:r w:rsidRPr="00F56A0E">
              <w:rPr>
                <w:lang w:val="fr-FR"/>
              </w:rPr>
              <w:t>Classe de danger ONU</w:t>
            </w:r>
            <w:r w:rsidR="00157D75" w:rsidRPr="00F56A0E">
              <w:rPr>
                <w:lang w:val="fr-FR"/>
              </w:rPr>
              <w:t> :</w:t>
            </w:r>
            <w:r w:rsidRPr="00F56A0E">
              <w:rPr>
                <w:lang w:val="fr-FR"/>
              </w:rPr>
              <w:t xml:space="preserve"> 6.1</w:t>
            </w:r>
          </w:p>
          <w:p w14:paraId="5A660541" w14:textId="33182D3D" w:rsidR="001323B1" w:rsidRPr="00F56A0E" w:rsidRDefault="001323B1" w:rsidP="005E14FB">
            <w:pPr>
              <w:widowControl w:val="0"/>
              <w:spacing w:before="40" w:after="40"/>
              <w:rPr>
                <w:lang w:val="fr-FR"/>
              </w:rPr>
            </w:pPr>
            <w:r w:rsidRPr="00F56A0E">
              <w:rPr>
                <w:lang w:val="fr-FR"/>
              </w:rPr>
              <w:t>Groupe d</w:t>
            </w:r>
            <w:r w:rsidR="00870D0E" w:rsidRPr="00F56A0E">
              <w:rPr>
                <w:lang w:val="fr-FR"/>
              </w:rPr>
              <w:t>’</w:t>
            </w:r>
            <w:r w:rsidRPr="00F56A0E">
              <w:rPr>
                <w:lang w:val="fr-FR"/>
              </w:rPr>
              <w:t>emballage ONU</w:t>
            </w:r>
            <w:r w:rsidR="00157D75" w:rsidRPr="00F56A0E">
              <w:rPr>
                <w:lang w:val="fr-FR"/>
              </w:rPr>
              <w:t> :</w:t>
            </w:r>
            <w:r w:rsidRPr="00F56A0E">
              <w:rPr>
                <w:lang w:val="fr-FR"/>
              </w:rPr>
              <w:t xml:space="preserve"> I </w:t>
            </w:r>
          </w:p>
          <w:p w14:paraId="16E46815" w14:textId="77777777" w:rsidR="001323B1" w:rsidRPr="00F56A0E" w:rsidRDefault="001323B1" w:rsidP="005E14FB">
            <w:pPr>
              <w:widowControl w:val="0"/>
              <w:spacing w:before="40" w:after="40"/>
              <w:rPr>
                <w:lang w:val="fr-FR"/>
              </w:rPr>
            </w:pPr>
            <w:r w:rsidRPr="00F56A0E">
              <w:rPr>
                <w:lang w:val="fr-FR"/>
              </w:rPr>
              <w:t>Source: https://inchem.org/documents/icsc/icsc/eics1768.htm</w:t>
            </w:r>
          </w:p>
          <w:p w14:paraId="53799C75" w14:textId="77777777" w:rsidR="001323B1" w:rsidRPr="00F56A0E" w:rsidRDefault="001323B1" w:rsidP="005E14FB">
            <w:pPr>
              <w:widowControl w:val="0"/>
              <w:spacing w:before="40" w:after="40"/>
              <w:rPr>
                <w:lang w:val="fr-FR"/>
              </w:rPr>
            </w:pPr>
          </w:p>
        </w:tc>
      </w:tr>
      <w:tr w:rsidR="001323B1" w:rsidRPr="00F56A0E" w14:paraId="10E67A83" w14:textId="77777777" w:rsidTr="00A706AE">
        <w:trPr>
          <w:cantSplit/>
        </w:trPr>
        <w:tc>
          <w:tcPr>
            <w:tcW w:w="1561" w:type="dxa"/>
            <w:tcBorders>
              <w:top w:val="single" w:sz="6" w:space="0" w:color="auto"/>
              <w:left w:val="single" w:sz="4" w:space="0" w:color="auto"/>
              <w:bottom w:val="single" w:sz="6" w:space="0" w:color="auto"/>
              <w:right w:val="single" w:sz="6" w:space="0" w:color="auto"/>
            </w:tcBorders>
          </w:tcPr>
          <w:p w14:paraId="315C54DA" w14:textId="77777777" w:rsidR="001323B1" w:rsidRPr="00F56A0E" w:rsidRDefault="001323B1" w:rsidP="005E14FB">
            <w:pPr>
              <w:spacing w:before="40" w:after="40"/>
              <w:outlineLvl w:val="2"/>
              <w:rPr>
                <w:rFonts w:eastAsia="Times New Roman"/>
                <w:b/>
                <w:bCs/>
                <w:lang w:val="fr-FR"/>
              </w:rPr>
            </w:pPr>
            <w:r w:rsidRPr="00F56A0E">
              <w:rPr>
                <w:b/>
                <w:bCs/>
                <w:lang w:val="fr-FR"/>
              </w:rPr>
              <w:t>Code maritime international des marchandises dangereuses (code IMDG)</w:t>
            </w:r>
          </w:p>
        </w:tc>
        <w:tc>
          <w:tcPr>
            <w:tcW w:w="8105" w:type="dxa"/>
            <w:tcBorders>
              <w:top w:val="single" w:sz="6" w:space="0" w:color="auto"/>
              <w:left w:val="single" w:sz="6" w:space="0" w:color="auto"/>
              <w:bottom w:val="single" w:sz="6" w:space="0" w:color="auto"/>
              <w:right w:val="single" w:sz="4" w:space="0" w:color="auto"/>
            </w:tcBorders>
          </w:tcPr>
          <w:p w14:paraId="3E300CA2" w14:textId="77777777" w:rsidR="001323B1" w:rsidRPr="00F56A0E" w:rsidRDefault="001323B1" w:rsidP="005E14FB">
            <w:pPr>
              <w:widowControl w:val="0"/>
              <w:spacing w:before="40" w:after="40"/>
              <w:rPr>
                <w:rFonts w:eastAsia="Times New Roman"/>
                <w:snapToGrid w:val="0"/>
                <w:lang w:val="fr-FR"/>
              </w:rPr>
            </w:pPr>
            <w:r w:rsidRPr="00F56A0E">
              <w:rPr>
                <w:lang w:val="fr-FR"/>
              </w:rPr>
              <w:t xml:space="preserve">Polluant marin présentant des risques graves </w:t>
            </w:r>
          </w:p>
          <w:p w14:paraId="546169BC" w14:textId="3EB91AC5" w:rsidR="001323B1" w:rsidRPr="00F56A0E" w:rsidRDefault="001323B1" w:rsidP="005E14FB">
            <w:pPr>
              <w:widowControl w:val="0"/>
              <w:spacing w:before="40" w:after="40"/>
              <w:rPr>
                <w:rFonts w:eastAsia="Times New Roman"/>
                <w:snapToGrid w:val="0"/>
                <w:lang w:val="fr-FR"/>
              </w:rPr>
            </w:pPr>
            <w:r w:rsidRPr="00F56A0E">
              <w:rPr>
                <w:lang w:val="fr-FR"/>
              </w:rPr>
              <w:t>Source</w:t>
            </w:r>
            <w:r w:rsidR="00157D75" w:rsidRPr="00F56A0E">
              <w:rPr>
                <w:lang w:val="fr-FR"/>
              </w:rPr>
              <w:t> :</w:t>
            </w:r>
            <w:r w:rsidRPr="00F56A0E">
              <w:rPr>
                <w:lang w:val="fr-FR"/>
              </w:rPr>
              <w:t xml:space="preserve"> https://pubchem.ncbi.nlm.nih.gov/compound/Terbufos#section=Shipment-Methods-and-Regulations</w:t>
            </w:r>
          </w:p>
          <w:p w14:paraId="382224B1" w14:textId="77777777" w:rsidR="001323B1" w:rsidRPr="00F56A0E" w:rsidRDefault="001323B1" w:rsidP="005E14FB">
            <w:pPr>
              <w:widowControl w:val="0"/>
              <w:spacing w:before="40" w:after="40"/>
              <w:rPr>
                <w:rFonts w:eastAsia="Times New Roman"/>
                <w:snapToGrid w:val="0"/>
                <w:lang w:val="fr-FR" w:eastAsia="en-US"/>
              </w:rPr>
            </w:pPr>
          </w:p>
        </w:tc>
      </w:tr>
      <w:tr w:rsidR="001323B1" w:rsidRPr="00F56A0E" w14:paraId="376C41B0" w14:textId="77777777" w:rsidTr="00A706AE">
        <w:trPr>
          <w:cantSplit/>
        </w:trPr>
        <w:tc>
          <w:tcPr>
            <w:tcW w:w="1561" w:type="dxa"/>
            <w:tcBorders>
              <w:top w:val="single" w:sz="6" w:space="0" w:color="auto"/>
              <w:left w:val="single" w:sz="4" w:space="0" w:color="auto"/>
              <w:bottom w:val="single" w:sz="4" w:space="0" w:color="auto"/>
              <w:right w:val="single" w:sz="6" w:space="0" w:color="auto"/>
            </w:tcBorders>
          </w:tcPr>
          <w:p w14:paraId="74F6AFC1" w14:textId="48069410" w:rsidR="001323B1" w:rsidRPr="00F56A0E" w:rsidRDefault="001323B1" w:rsidP="005E14FB">
            <w:pPr>
              <w:spacing w:before="40" w:after="40"/>
              <w:outlineLvl w:val="2"/>
              <w:rPr>
                <w:rFonts w:eastAsia="Times New Roman"/>
                <w:b/>
                <w:bCs/>
                <w:lang w:val="fr-FR"/>
              </w:rPr>
            </w:pPr>
            <w:r w:rsidRPr="00F56A0E">
              <w:rPr>
                <w:b/>
                <w:bCs/>
                <w:lang w:val="fr-FR"/>
              </w:rPr>
              <w:t>Carte d</w:t>
            </w:r>
            <w:r w:rsidR="00870D0E" w:rsidRPr="00F56A0E">
              <w:rPr>
                <w:b/>
                <w:bCs/>
                <w:lang w:val="fr-FR"/>
              </w:rPr>
              <w:t>’</w:t>
            </w:r>
            <w:r w:rsidRPr="00F56A0E">
              <w:rPr>
                <w:b/>
                <w:bCs/>
                <w:lang w:val="fr-FR"/>
              </w:rPr>
              <w:t>informations d</w:t>
            </w:r>
            <w:r w:rsidR="00870D0E" w:rsidRPr="00F56A0E">
              <w:rPr>
                <w:b/>
                <w:bCs/>
                <w:lang w:val="fr-FR"/>
              </w:rPr>
              <w:t>’</w:t>
            </w:r>
            <w:r w:rsidRPr="00F56A0E">
              <w:rPr>
                <w:b/>
                <w:bCs/>
                <w:lang w:val="fr-FR"/>
              </w:rPr>
              <w:t>urgence pour le transport</w:t>
            </w:r>
          </w:p>
        </w:tc>
        <w:tc>
          <w:tcPr>
            <w:tcW w:w="8105" w:type="dxa"/>
            <w:tcBorders>
              <w:top w:val="single" w:sz="6" w:space="0" w:color="auto"/>
              <w:left w:val="single" w:sz="6" w:space="0" w:color="auto"/>
              <w:bottom w:val="single" w:sz="4" w:space="0" w:color="auto"/>
              <w:right w:val="single" w:sz="4" w:space="0" w:color="auto"/>
            </w:tcBorders>
          </w:tcPr>
          <w:p w14:paraId="36C179D9" w14:textId="77777777" w:rsidR="001323B1" w:rsidRPr="00F56A0E" w:rsidRDefault="001323B1" w:rsidP="005E14FB">
            <w:pPr>
              <w:widowControl w:val="0"/>
              <w:spacing w:before="40" w:after="40"/>
              <w:ind w:left="34" w:hanging="34"/>
              <w:rPr>
                <w:rFonts w:eastAsia="Times New Roman"/>
                <w:snapToGrid w:val="0"/>
                <w:lang w:val="fr-FR"/>
              </w:rPr>
            </w:pPr>
            <w:r w:rsidRPr="00F56A0E">
              <w:rPr>
                <w:lang w:val="fr-FR"/>
              </w:rPr>
              <w:t>Non disponible</w:t>
            </w:r>
          </w:p>
        </w:tc>
      </w:tr>
    </w:tbl>
    <w:p w14:paraId="4F20DE32" w14:textId="509EFA86" w:rsidR="001323B1" w:rsidRPr="00F56A0E" w:rsidRDefault="001323B1" w:rsidP="001323B1">
      <w:pPr>
        <w:rPr>
          <w:snapToGrid w:val="0"/>
          <w:lang w:val="fr-FR"/>
        </w:rPr>
      </w:pPr>
      <w:r w:rsidRPr="00F56A0E">
        <w:rPr>
          <w:lang w:val="fr-FR"/>
        </w:rPr>
        <w:t>Des orientations spécifiques supplémentaires concernant les symboles appropriés et les indications devant figurer sur l</w:t>
      </w:r>
      <w:r w:rsidR="00870D0E" w:rsidRPr="00F56A0E">
        <w:rPr>
          <w:lang w:val="fr-FR"/>
        </w:rPr>
        <w:t>’</w:t>
      </w:r>
      <w:r w:rsidRPr="00F56A0E">
        <w:rPr>
          <w:lang w:val="fr-FR"/>
        </w:rPr>
        <w:t>étiquette des produits à base de terbufos pourraient être disponibles dans les Directives de la FAO sur les bonnes pratiques d</w:t>
      </w:r>
      <w:r w:rsidR="00870D0E" w:rsidRPr="00F56A0E">
        <w:rPr>
          <w:lang w:val="fr-FR"/>
        </w:rPr>
        <w:t>’</w:t>
      </w:r>
      <w:r w:rsidRPr="00F56A0E">
        <w:rPr>
          <w:lang w:val="fr-FR"/>
        </w:rPr>
        <w:t>étiquetage des pesticides (FAO, 2015).</w:t>
      </w:r>
    </w:p>
    <w:p w14:paraId="3AF8F52A" w14:textId="77777777" w:rsidR="001323B1" w:rsidRPr="00F56A0E" w:rsidRDefault="001323B1" w:rsidP="001323B1">
      <w:pPr>
        <w:rPr>
          <w:snapToGrid w:val="0"/>
          <w:lang w:val="fr-FR"/>
        </w:rPr>
      </w:pPr>
    </w:p>
    <w:p w14:paraId="7BE20D4B" w14:textId="77777777" w:rsidR="001323B1" w:rsidRPr="00F56A0E" w:rsidRDefault="001323B1" w:rsidP="001323B1">
      <w:pPr>
        <w:rPr>
          <w:rFonts w:eastAsia="Times New Roman"/>
          <w:lang w:val="fr-FR"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9"/>
      </w:tblGrid>
      <w:tr w:rsidR="001323B1" w:rsidRPr="00F56A0E" w14:paraId="652101C4" w14:textId="77777777" w:rsidTr="005E14FB">
        <w:tc>
          <w:tcPr>
            <w:tcW w:w="9499" w:type="dxa"/>
            <w:tcBorders>
              <w:top w:val="single" w:sz="4" w:space="0" w:color="auto"/>
              <w:left w:val="single" w:sz="4" w:space="0" w:color="auto"/>
              <w:bottom w:val="single" w:sz="4" w:space="0" w:color="auto"/>
              <w:right w:val="single" w:sz="4" w:space="0" w:color="auto"/>
            </w:tcBorders>
          </w:tcPr>
          <w:p w14:paraId="2A24E990" w14:textId="77777777" w:rsidR="001323B1" w:rsidRPr="00F56A0E" w:rsidRDefault="001323B1" w:rsidP="005E14FB">
            <w:pPr>
              <w:keepNext/>
              <w:outlineLvl w:val="1"/>
              <w:rPr>
                <w:rFonts w:eastAsia="Times New Roman"/>
                <w:b/>
                <w:bCs/>
                <w:szCs w:val="28"/>
                <w:lang w:val="fr-FR"/>
              </w:rPr>
            </w:pPr>
            <w:r w:rsidRPr="00F56A0E">
              <w:rPr>
                <w:b/>
                <w:bCs/>
                <w:lang w:val="fr-FR"/>
              </w:rPr>
              <w:t>4.4</w:t>
            </w:r>
            <w:r w:rsidRPr="00F56A0E">
              <w:rPr>
                <w:lang w:val="fr-FR"/>
              </w:rPr>
              <w:t xml:space="preserve"> </w:t>
            </w:r>
            <w:r w:rsidRPr="00F56A0E">
              <w:rPr>
                <w:b/>
                <w:bCs/>
                <w:lang w:val="fr-FR"/>
              </w:rPr>
              <w:t>Premiers secours</w:t>
            </w:r>
          </w:p>
        </w:tc>
      </w:tr>
    </w:tbl>
    <w:p w14:paraId="3E4DAED8" w14:textId="0F64C880" w:rsidR="001323B1" w:rsidRPr="00F56A0E" w:rsidRDefault="001323B1" w:rsidP="001323B1">
      <w:pPr>
        <w:rPr>
          <w:rFonts w:eastAsia="Times New Roman"/>
          <w:b/>
          <w:bCs/>
          <w:i/>
          <w:iCs/>
          <w:lang w:val="fr-FR"/>
        </w:rPr>
      </w:pPr>
      <w:r w:rsidRPr="00F56A0E">
        <w:rPr>
          <w:b/>
          <w:bCs/>
          <w:i/>
          <w:iCs/>
          <w:lang w:val="fr-FR"/>
        </w:rPr>
        <w:t>NOTE</w:t>
      </w:r>
      <w:r w:rsidR="00157D75" w:rsidRPr="00F56A0E">
        <w:rPr>
          <w:b/>
          <w:bCs/>
          <w:i/>
          <w:iCs/>
          <w:lang w:val="fr-FR"/>
        </w:rPr>
        <w:t> :</w:t>
      </w:r>
      <w:r w:rsidRPr="00F56A0E">
        <w:rPr>
          <w:b/>
          <w:bCs/>
          <w:i/>
          <w:iCs/>
          <w:lang w:val="fr-FR"/>
        </w:rPr>
        <w:t xml:space="preserve"> les conseils qui suivent se fondent sur les informations disponibles auprès de l</w:t>
      </w:r>
      <w:r w:rsidR="00870D0E" w:rsidRPr="00F56A0E">
        <w:rPr>
          <w:b/>
          <w:bCs/>
          <w:i/>
          <w:iCs/>
          <w:lang w:val="fr-FR"/>
        </w:rPr>
        <w:t>’</w:t>
      </w:r>
      <w:r w:rsidRPr="00F56A0E">
        <w:rPr>
          <w:b/>
          <w:bCs/>
          <w:i/>
          <w:iCs/>
          <w:lang w:val="fr-FR"/>
        </w:rPr>
        <w:t>OMS et des pays ayant soumis les notifications et étaient valides à la date de publication.</w:t>
      </w:r>
      <w:r w:rsidRPr="00F56A0E">
        <w:rPr>
          <w:lang w:val="fr-FR"/>
        </w:rPr>
        <w:t xml:space="preserve"> </w:t>
      </w:r>
      <w:r w:rsidRPr="00F56A0E">
        <w:rPr>
          <w:b/>
          <w:bCs/>
          <w:i/>
          <w:iCs/>
          <w:lang w:val="fr-FR"/>
        </w:rPr>
        <w:t>Ils ne sont fournis qu</w:t>
      </w:r>
      <w:r w:rsidR="00870D0E" w:rsidRPr="00F56A0E">
        <w:rPr>
          <w:b/>
          <w:bCs/>
          <w:i/>
          <w:iCs/>
          <w:lang w:val="fr-FR"/>
        </w:rPr>
        <w:t>’</w:t>
      </w:r>
      <w:r w:rsidRPr="00F56A0E">
        <w:rPr>
          <w:b/>
          <w:bCs/>
          <w:i/>
          <w:iCs/>
          <w:lang w:val="fr-FR"/>
        </w:rPr>
        <w:t>à titre indicatif et ne sont pas destinés à remplacer les protocoles nationaux de premiers secours.</w:t>
      </w:r>
    </w:p>
    <w:p w14:paraId="45396ADC" w14:textId="77777777" w:rsidR="001323B1" w:rsidRPr="00F56A0E" w:rsidRDefault="001323B1" w:rsidP="001323B1">
      <w:pPr>
        <w:rPr>
          <w:rFonts w:eastAsia="Times New Roman"/>
          <w:b/>
          <w:bCs/>
          <w:i/>
          <w:iCs/>
          <w:lang w:val="fr-FR" w:eastAsia="en-US"/>
        </w:rPr>
      </w:pPr>
    </w:p>
    <w:p w14:paraId="46C56452" w14:textId="77777777" w:rsidR="001323B1" w:rsidRPr="00F56A0E" w:rsidRDefault="001323B1" w:rsidP="00890E2E">
      <w:pPr>
        <w:spacing w:line="229" w:lineRule="exact"/>
        <w:ind w:right="46"/>
        <w:textAlignment w:val="baseline"/>
        <w:rPr>
          <w:rFonts w:eastAsia="Times New Roman"/>
          <w:color w:val="000000"/>
          <w:lang w:val="fr-FR"/>
        </w:rPr>
      </w:pPr>
      <w:r w:rsidRPr="00F56A0E">
        <w:rPr>
          <w:b/>
          <w:bCs/>
          <w:u w:val="single"/>
          <w:lang w:val="fr-FR"/>
        </w:rPr>
        <w:t>Recommandations de sécurité et de premiers secours extraites de la fiche de sécurité chimique PISSC/OMS</w:t>
      </w:r>
      <w:r w:rsidRPr="00F56A0E">
        <w:rPr>
          <w:lang w:val="fr-FR"/>
        </w:rPr>
        <w:t xml:space="preserve"> </w:t>
      </w:r>
    </w:p>
    <w:p w14:paraId="1DA674EF" w14:textId="77777777" w:rsidR="001323B1" w:rsidRPr="00F56A0E" w:rsidRDefault="001323B1" w:rsidP="003C1E17">
      <w:pPr>
        <w:spacing w:line="229" w:lineRule="exact"/>
        <w:ind w:right="576"/>
        <w:textAlignment w:val="baseline"/>
        <w:rPr>
          <w:rFonts w:eastAsia="Times New Roman"/>
          <w:b/>
          <w:color w:val="000000"/>
          <w:u w:val="single"/>
          <w:lang w:val="fr-FR"/>
        </w:rPr>
      </w:pPr>
      <w:r w:rsidRPr="00F56A0E">
        <w:rPr>
          <w:lang w:val="fr-FR"/>
        </w:rPr>
        <w:t>(voir la fiche de sécurité chimique complète sur https://www.ilo.org/dyn/icsc/showcard.display?p_lang=fr&amp;p_card_id=1768&amp;p_version=2)</w:t>
      </w:r>
    </w:p>
    <w:p w14:paraId="15E0B1D2" w14:textId="6AA20333" w:rsidR="001323B1" w:rsidRPr="00F56A0E" w:rsidRDefault="003C1E17" w:rsidP="001323B1">
      <w:pPr>
        <w:spacing w:before="129" w:line="225" w:lineRule="exact"/>
        <w:textAlignment w:val="baseline"/>
        <w:rPr>
          <w:lang w:val="fr-FR"/>
        </w:rPr>
      </w:pPr>
      <w:r w:rsidRPr="00F56A0E">
        <w:rPr>
          <w:lang w:val="fr-FR"/>
        </w:rPr>
        <w:t>Éviter</w:t>
      </w:r>
      <w:r w:rsidR="001323B1" w:rsidRPr="00F56A0E">
        <w:rPr>
          <w:lang w:val="fr-FR"/>
        </w:rPr>
        <w:t xml:space="preserve"> l</w:t>
      </w:r>
      <w:r w:rsidR="00870D0E" w:rsidRPr="00F56A0E">
        <w:rPr>
          <w:lang w:val="fr-FR"/>
        </w:rPr>
        <w:t>’</w:t>
      </w:r>
      <w:r w:rsidR="001323B1" w:rsidRPr="00F56A0E">
        <w:rPr>
          <w:lang w:val="fr-FR"/>
        </w:rPr>
        <w:t>exposition des adolescents et des enfants ! Hygiène stricte ! Premiers secours</w:t>
      </w:r>
      <w:r w:rsidR="00157D75" w:rsidRPr="00F56A0E">
        <w:rPr>
          <w:lang w:val="fr-FR"/>
        </w:rPr>
        <w:t> :</w:t>
      </w:r>
      <w:r w:rsidR="001323B1" w:rsidRPr="00F56A0E">
        <w:rPr>
          <w:lang w:val="fr-FR"/>
        </w:rPr>
        <w:t xml:space="preserve"> porter une protection individuelle. Dans tous les cas, consulter un médecin !</w:t>
      </w:r>
    </w:p>
    <w:p w14:paraId="68127338" w14:textId="77777777" w:rsidR="001323B1" w:rsidRPr="00F56A0E" w:rsidRDefault="001323B1" w:rsidP="001323B1">
      <w:pPr>
        <w:spacing w:before="126" w:line="225" w:lineRule="exact"/>
        <w:textAlignment w:val="baseline"/>
        <w:rPr>
          <w:rFonts w:eastAsia="Times New Roman"/>
          <w:i/>
          <w:color w:val="000000"/>
          <w:u w:val="single"/>
          <w:lang w:val="fr-FR"/>
        </w:rPr>
      </w:pPr>
      <w:r w:rsidRPr="00F56A0E">
        <w:rPr>
          <w:i/>
          <w:iCs/>
          <w:u w:val="single"/>
          <w:lang w:val="fr-FR"/>
        </w:rPr>
        <w:t>Incendie et explosion</w:t>
      </w:r>
      <w:r w:rsidRPr="00F56A0E">
        <w:rPr>
          <w:lang w:val="fr-FR"/>
        </w:rPr>
        <w:t xml:space="preserve"> </w:t>
      </w:r>
    </w:p>
    <w:p w14:paraId="26DB1272" w14:textId="4156A369" w:rsidR="001323B1" w:rsidRPr="00F56A0E" w:rsidRDefault="001323B1" w:rsidP="001323B1">
      <w:pPr>
        <w:spacing w:line="229" w:lineRule="exact"/>
        <w:textAlignment w:val="baseline"/>
        <w:rPr>
          <w:rFonts w:eastAsia="Times New Roman"/>
          <w:color w:val="000000"/>
          <w:lang w:val="fr-FR"/>
        </w:rPr>
      </w:pPr>
      <w:r w:rsidRPr="00F56A0E">
        <w:rPr>
          <w:lang w:val="fr-FR"/>
        </w:rPr>
        <w:t>Dangers aigus</w:t>
      </w:r>
      <w:r w:rsidR="00157D75" w:rsidRPr="00F56A0E">
        <w:rPr>
          <w:lang w:val="fr-FR"/>
        </w:rPr>
        <w:t> :</w:t>
      </w:r>
      <w:r w:rsidRPr="00F56A0E">
        <w:rPr>
          <w:lang w:val="fr-FR"/>
        </w:rPr>
        <w:t xml:space="preserve"> Combustible. Prévention</w:t>
      </w:r>
      <w:r w:rsidR="00157D75" w:rsidRPr="00F56A0E">
        <w:rPr>
          <w:lang w:val="fr-FR"/>
        </w:rPr>
        <w:t> :</w:t>
      </w:r>
      <w:r w:rsidRPr="00F56A0E">
        <w:rPr>
          <w:lang w:val="fr-FR"/>
        </w:rPr>
        <w:t xml:space="preserve"> pas de flammes nues. Lutte contre l</w:t>
      </w:r>
      <w:r w:rsidR="00870D0E" w:rsidRPr="00F56A0E">
        <w:rPr>
          <w:lang w:val="fr-FR"/>
        </w:rPr>
        <w:t>’</w:t>
      </w:r>
      <w:r w:rsidRPr="00F56A0E">
        <w:rPr>
          <w:lang w:val="fr-FR"/>
        </w:rPr>
        <w:t>incendie</w:t>
      </w:r>
      <w:r w:rsidR="00157D75" w:rsidRPr="00F56A0E">
        <w:rPr>
          <w:lang w:val="fr-FR"/>
        </w:rPr>
        <w:t> :</w:t>
      </w:r>
      <w:r w:rsidRPr="00F56A0E">
        <w:rPr>
          <w:lang w:val="fr-FR"/>
        </w:rPr>
        <w:t xml:space="preserve"> En cas d</w:t>
      </w:r>
      <w:r w:rsidR="00870D0E" w:rsidRPr="00F56A0E">
        <w:rPr>
          <w:lang w:val="fr-FR"/>
        </w:rPr>
        <w:t>’</w:t>
      </w:r>
      <w:r w:rsidRPr="00F56A0E">
        <w:rPr>
          <w:lang w:val="fr-FR"/>
        </w:rPr>
        <w:t>incendie à proximité</w:t>
      </w:r>
      <w:r w:rsidR="00157D75" w:rsidRPr="00F56A0E">
        <w:rPr>
          <w:lang w:val="fr-FR"/>
        </w:rPr>
        <w:t> :</w:t>
      </w:r>
      <w:r w:rsidRPr="00F56A0E">
        <w:rPr>
          <w:lang w:val="fr-FR"/>
        </w:rPr>
        <w:t xml:space="preserve"> tous les agents extincteurs sont autorisés. </w:t>
      </w:r>
    </w:p>
    <w:p w14:paraId="3D5F76DB" w14:textId="77777777" w:rsidR="001323B1" w:rsidRPr="00F56A0E" w:rsidRDefault="001323B1" w:rsidP="00692184">
      <w:pPr>
        <w:keepNext/>
        <w:keepLines/>
        <w:spacing w:before="129" w:line="225" w:lineRule="exact"/>
        <w:textAlignment w:val="baseline"/>
        <w:rPr>
          <w:rFonts w:eastAsia="Times New Roman"/>
          <w:i/>
          <w:color w:val="000000"/>
          <w:spacing w:val="1"/>
          <w:u w:val="single"/>
          <w:lang w:val="fr-FR"/>
        </w:rPr>
      </w:pPr>
      <w:r w:rsidRPr="00F56A0E">
        <w:rPr>
          <w:i/>
          <w:iCs/>
          <w:u w:val="single"/>
          <w:lang w:val="fr-FR"/>
        </w:rPr>
        <w:t>Inhalation</w:t>
      </w:r>
      <w:r w:rsidRPr="00F56A0E">
        <w:rPr>
          <w:lang w:val="fr-FR"/>
        </w:rPr>
        <w:t xml:space="preserve"> </w:t>
      </w:r>
    </w:p>
    <w:p w14:paraId="125F886D" w14:textId="10079424" w:rsidR="001323B1" w:rsidRPr="00F56A0E" w:rsidRDefault="001323B1" w:rsidP="00692184">
      <w:pPr>
        <w:keepNext/>
        <w:keepLines/>
        <w:spacing w:line="230" w:lineRule="exact"/>
        <w:textAlignment w:val="baseline"/>
        <w:rPr>
          <w:lang w:val="fr-FR"/>
        </w:rPr>
      </w:pPr>
      <w:r w:rsidRPr="00F56A0E">
        <w:rPr>
          <w:lang w:val="fr-FR"/>
        </w:rPr>
        <w:t>Symptômes</w:t>
      </w:r>
      <w:r w:rsidR="00157D75" w:rsidRPr="00F56A0E">
        <w:rPr>
          <w:lang w:val="fr-FR"/>
        </w:rPr>
        <w:t> :</w:t>
      </w:r>
      <w:r w:rsidRPr="00F56A0E">
        <w:rPr>
          <w:lang w:val="fr-FR"/>
        </w:rPr>
        <w:t xml:space="preserve"> vision floue. Maux de tête. Vertiges. Spasmes musculaires. Faiblesse. Vomissements. Diarrhée. Douleur abdominale.</w:t>
      </w:r>
    </w:p>
    <w:p w14:paraId="76018168" w14:textId="3A7085C7" w:rsidR="001323B1" w:rsidRPr="00F56A0E" w:rsidRDefault="001323B1" w:rsidP="001323B1">
      <w:pPr>
        <w:spacing w:line="230" w:lineRule="exact"/>
        <w:textAlignment w:val="baseline"/>
        <w:rPr>
          <w:rFonts w:eastAsia="Times New Roman"/>
          <w:color w:val="000000"/>
          <w:lang w:val="fr-FR"/>
        </w:rPr>
      </w:pPr>
      <w:r w:rsidRPr="00F56A0E">
        <w:rPr>
          <w:lang w:val="fr-FR"/>
        </w:rPr>
        <w:t>Prévention</w:t>
      </w:r>
      <w:r w:rsidR="00157D75" w:rsidRPr="00F56A0E">
        <w:rPr>
          <w:lang w:val="fr-FR"/>
        </w:rPr>
        <w:t> :</w:t>
      </w:r>
      <w:r w:rsidRPr="00F56A0E">
        <w:rPr>
          <w:lang w:val="fr-FR"/>
        </w:rPr>
        <w:t xml:space="preserve"> éviter l</w:t>
      </w:r>
      <w:r w:rsidR="00870D0E" w:rsidRPr="00F56A0E">
        <w:rPr>
          <w:lang w:val="fr-FR"/>
        </w:rPr>
        <w:t>’</w:t>
      </w:r>
      <w:r w:rsidRPr="00F56A0E">
        <w:rPr>
          <w:lang w:val="fr-FR"/>
        </w:rPr>
        <w:t>inhalation d</w:t>
      </w:r>
      <w:r w:rsidR="00870D0E" w:rsidRPr="00F56A0E">
        <w:rPr>
          <w:lang w:val="fr-FR"/>
        </w:rPr>
        <w:t>’</w:t>
      </w:r>
      <w:r w:rsidRPr="00F56A0E">
        <w:rPr>
          <w:lang w:val="fr-FR"/>
        </w:rPr>
        <w:t>aérosol.</w:t>
      </w:r>
    </w:p>
    <w:p w14:paraId="32CE5B62" w14:textId="7B4B398F" w:rsidR="001323B1" w:rsidRPr="00F56A0E" w:rsidRDefault="001323B1" w:rsidP="001323B1">
      <w:pPr>
        <w:spacing w:line="229" w:lineRule="exact"/>
        <w:textAlignment w:val="baseline"/>
        <w:rPr>
          <w:rFonts w:eastAsia="Times New Roman"/>
          <w:color w:val="000000"/>
          <w:lang w:val="fr-FR"/>
        </w:rPr>
      </w:pPr>
      <w:r w:rsidRPr="00F56A0E">
        <w:rPr>
          <w:lang w:val="fr-FR"/>
        </w:rPr>
        <w:t>Premiers secours</w:t>
      </w:r>
      <w:r w:rsidR="00157D75" w:rsidRPr="00F56A0E">
        <w:rPr>
          <w:lang w:val="fr-FR"/>
        </w:rPr>
        <w:t> :</w:t>
      </w:r>
      <w:r w:rsidRPr="00F56A0E">
        <w:rPr>
          <w:lang w:val="fr-FR"/>
        </w:rPr>
        <w:t xml:space="preserve"> Air frais, repos. Consulter immédiatement un médecin.</w:t>
      </w:r>
    </w:p>
    <w:p w14:paraId="319487F5" w14:textId="77777777" w:rsidR="001323B1" w:rsidRPr="00F56A0E" w:rsidRDefault="001323B1" w:rsidP="001323B1">
      <w:pPr>
        <w:spacing w:before="127" w:line="225" w:lineRule="exact"/>
        <w:textAlignment w:val="baseline"/>
        <w:rPr>
          <w:rFonts w:eastAsia="Times New Roman"/>
          <w:i/>
          <w:color w:val="000000"/>
          <w:spacing w:val="-2"/>
          <w:u w:val="single"/>
          <w:lang w:val="fr-FR"/>
        </w:rPr>
      </w:pPr>
      <w:r w:rsidRPr="00F56A0E">
        <w:rPr>
          <w:i/>
          <w:iCs/>
          <w:u w:val="single"/>
          <w:lang w:val="fr-FR"/>
        </w:rPr>
        <w:t>Peau</w:t>
      </w:r>
    </w:p>
    <w:p w14:paraId="2A30952D" w14:textId="0C6A0C61" w:rsidR="001323B1" w:rsidRPr="00F56A0E" w:rsidRDefault="001323B1" w:rsidP="001323B1">
      <w:pPr>
        <w:spacing w:line="230" w:lineRule="exact"/>
        <w:textAlignment w:val="baseline"/>
        <w:rPr>
          <w:lang w:val="fr-FR"/>
        </w:rPr>
      </w:pPr>
      <w:r w:rsidRPr="00F56A0E">
        <w:rPr>
          <w:lang w:val="fr-FR"/>
        </w:rPr>
        <w:t>Symptômes</w:t>
      </w:r>
      <w:r w:rsidR="00157D75" w:rsidRPr="00F56A0E">
        <w:rPr>
          <w:lang w:val="fr-FR"/>
        </w:rPr>
        <w:t> :</w:t>
      </w:r>
      <w:r w:rsidRPr="00F56A0E">
        <w:rPr>
          <w:lang w:val="fr-FR"/>
        </w:rPr>
        <w:t xml:space="preserve"> FACILEMENT ABSORBÉ ! Vision floue</w:t>
      </w:r>
      <w:r w:rsidR="004F55F6" w:rsidRPr="00F56A0E">
        <w:rPr>
          <w:lang w:val="fr-FR"/>
        </w:rPr>
        <w:t>.</w:t>
      </w:r>
      <w:r w:rsidRPr="00F56A0E">
        <w:rPr>
          <w:lang w:val="fr-FR"/>
        </w:rPr>
        <w:t xml:space="preserve"> Maux de tête. Vertiges. Spasmes musculaires. Faiblesse. Vomissements. Diarrhée. Douleur abdominale. </w:t>
      </w:r>
    </w:p>
    <w:p w14:paraId="24D7AAA7" w14:textId="5CABCD67" w:rsidR="001323B1" w:rsidRPr="00F56A0E" w:rsidRDefault="001323B1" w:rsidP="001323B1">
      <w:pPr>
        <w:spacing w:line="223" w:lineRule="exact"/>
        <w:textAlignment w:val="baseline"/>
        <w:rPr>
          <w:rFonts w:eastAsia="Times New Roman"/>
          <w:color w:val="000000"/>
          <w:lang w:val="fr-FR"/>
        </w:rPr>
      </w:pPr>
      <w:r w:rsidRPr="00F56A0E">
        <w:rPr>
          <w:lang w:val="fr-FR"/>
        </w:rPr>
        <w:t>Prévention</w:t>
      </w:r>
      <w:r w:rsidR="00157D75" w:rsidRPr="00F56A0E">
        <w:rPr>
          <w:lang w:val="fr-FR"/>
        </w:rPr>
        <w:t> :</w:t>
      </w:r>
      <w:r w:rsidRPr="00F56A0E">
        <w:rPr>
          <w:lang w:val="fr-FR"/>
        </w:rPr>
        <w:t xml:space="preserve"> Gants de protection. Vêtements de protection. </w:t>
      </w:r>
    </w:p>
    <w:p w14:paraId="00BA9134" w14:textId="43297407" w:rsidR="001323B1" w:rsidRPr="00F56A0E" w:rsidRDefault="001323B1" w:rsidP="001323B1">
      <w:pPr>
        <w:spacing w:line="223" w:lineRule="exact"/>
        <w:textAlignment w:val="baseline"/>
        <w:rPr>
          <w:rFonts w:eastAsia="Times New Roman"/>
          <w:color w:val="000000"/>
          <w:lang w:val="fr-FR"/>
        </w:rPr>
      </w:pPr>
      <w:r w:rsidRPr="00F56A0E">
        <w:rPr>
          <w:lang w:val="fr-FR"/>
        </w:rPr>
        <w:t>Retirer les vêtements contaminés. Rincer puis laver la peau à l</w:t>
      </w:r>
      <w:r w:rsidR="00870D0E" w:rsidRPr="00F56A0E">
        <w:rPr>
          <w:lang w:val="fr-FR"/>
        </w:rPr>
        <w:t>’</w:t>
      </w:r>
      <w:r w:rsidRPr="00F56A0E">
        <w:rPr>
          <w:lang w:val="fr-FR"/>
        </w:rPr>
        <w:t xml:space="preserve">eau et au savon. Consulter immédiatement un médecin. </w:t>
      </w:r>
    </w:p>
    <w:p w14:paraId="106124C7" w14:textId="77777777" w:rsidR="001323B1" w:rsidRPr="00F56A0E" w:rsidRDefault="001323B1" w:rsidP="001323B1">
      <w:pPr>
        <w:spacing w:before="127" w:line="226" w:lineRule="exact"/>
        <w:textAlignment w:val="baseline"/>
        <w:rPr>
          <w:rFonts w:eastAsia="Times New Roman"/>
          <w:i/>
          <w:color w:val="000000"/>
          <w:spacing w:val="1"/>
          <w:u w:val="single"/>
          <w:lang w:val="fr-FR"/>
        </w:rPr>
      </w:pPr>
      <w:r w:rsidRPr="00F56A0E">
        <w:rPr>
          <w:i/>
          <w:iCs/>
          <w:u w:val="single"/>
          <w:lang w:val="fr-FR"/>
        </w:rPr>
        <w:t>Yeux</w:t>
      </w:r>
    </w:p>
    <w:p w14:paraId="79CC9233" w14:textId="3378CF43" w:rsidR="001323B1" w:rsidRPr="00F56A0E" w:rsidRDefault="001323B1" w:rsidP="001323B1">
      <w:pPr>
        <w:spacing w:line="229" w:lineRule="exact"/>
        <w:ind w:right="648"/>
        <w:textAlignment w:val="baseline"/>
        <w:rPr>
          <w:rFonts w:eastAsia="Times New Roman"/>
          <w:color w:val="000000"/>
          <w:lang w:val="fr-FR"/>
        </w:rPr>
      </w:pPr>
      <w:r w:rsidRPr="00F56A0E">
        <w:rPr>
          <w:lang w:val="fr-FR"/>
        </w:rPr>
        <w:t>Symptômes</w:t>
      </w:r>
      <w:r w:rsidR="00157D75" w:rsidRPr="00F56A0E">
        <w:rPr>
          <w:lang w:val="fr-FR"/>
        </w:rPr>
        <w:t> :</w:t>
      </w:r>
      <w:r w:rsidRPr="00F56A0E">
        <w:rPr>
          <w:lang w:val="fr-FR"/>
        </w:rPr>
        <w:t xml:space="preserve"> Aucune information </w:t>
      </w:r>
    </w:p>
    <w:p w14:paraId="3811A4CD" w14:textId="61FE877F" w:rsidR="001323B1" w:rsidRPr="00F56A0E" w:rsidRDefault="001323B1" w:rsidP="001323B1">
      <w:pPr>
        <w:spacing w:line="229" w:lineRule="exact"/>
        <w:ind w:right="648"/>
        <w:textAlignment w:val="baseline"/>
        <w:rPr>
          <w:rFonts w:eastAsia="Times New Roman"/>
          <w:color w:val="000000"/>
          <w:lang w:val="fr-FR"/>
        </w:rPr>
      </w:pPr>
      <w:r w:rsidRPr="00F56A0E">
        <w:rPr>
          <w:lang w:val="fr-FR"/>
        </w:rPr>
        <w:t>Prévention</w:t>
      </w:r>
      <w:r w:rsidR="00157D75" w:rsidRPr="00F56A0E">
        <w:rPr>
          <w:lang w:val="fr-FR"/>
        </w:rPr>
        <w:t> :</w:t>
      </w:r>
      <w:r w:rsidRPr="00F56A0E">
        <w:rPr>
          <w:lang w:val="fr-FR"/>
        </w:rPr>
        <w:t xml:space="preserve"> porter un écran facial</w:t>
      </w:r>
    </w:p>
    <w:p w14:paraId="17EC2EDB" w14:textId="46BE0CD3" w:rsidR="001323B1" w:rsidRPr="00F56A0E" w:rsidRDefault="001323B1" w:rsidP="001323B1">
      <w:pPr>
        <w:spacing w:line="229" w:lineRule="exact"/>
        <w:ind w:right="648"/>
        <w:textAlignment w:val="baseline"/>
        <w:rPr>
          <w:rFonts w:eastAsia="Times New Roman"/>
          <w:color w:val="000000"/>
          <w:lang w:val="fr-FR"/>
        </w:rPr>
      </w:pPr>
      <w:r w:rsidRPr="00F56A0E">
        <w:rPr>
          <w:lang w:val="fr-FR"/>
        </w:rPr>
        <w:t>Premiers secours</w:t>
      </w:r>
      <w:r w:rsidR="00157D75" w:rsidRPr="00F56A0E">
        <w:rPr>
          <w:lang w:val="fr-FR"/>
        </w:rPr>
        <w:t> :</w:t>
      </w:r>
      <w:r w:rsidRPr="00F56A0E">
        <w:rPr>
          <w:lang w:val="fr-FR"/>
        </w:rPr>
        <w:t xml:space="preserve"> Rincer abondamment à l</w:t>
      </w:r>
      <w:r w:rsidR="00870D0E" w:rsidRPr="00F56A0E">
        <w:rPr>
          <w:lang w:val="fr-FR"/>
        </w:rPr>
        <w:t>’</w:t>
      </w:r>
      <w:r w:rsidRPr="00F56A0E">
        <w:rPr>
          <w:lang w:val="fr-FR"/>
        </w:rPr>
        <w:t>eau (retirer si possible les lentilles de contact). Consulter un médecin.</w:t>
      </w:r>
    </w:p>
    <w:p w14:paraId="5ACE4DFD" w14:textId="77777777" w:rsidR="001323B1" w:rsidRPr="00F56A0E" w:rsidRDefault="001323B1" w:rsidP="001323B1">
      <w:pPr>
        <w:spacing w:before="125" w:line="225" w:lineRule="exact"/>
        <w:textAlignment w:val="baseline"/>
        <w:rPr>
          <w:rFonts w:eastAsia="Times New Roman"/>
          <w:i/>
          <w:color w:val="000000"/>
          <w:spacing w:val="1"/>
          <w:u w:val="single"/>
          <w:lang w:val="fr-FR"/>
        </w:rPr>
      </w:pPr>
      <w:r w:rsidRPr="00F56A0E">
        <w:rPr>
          <w:i/>
          <w:iCs/>
          <w:u w:val="single"/>
          <w:lang w:val="fr-FR"/>
        </w:rPr>
        <w:t>Ingestion</w:t>
      </w:r>
    </w:p>
    <w:p w14:paraId="3792D939" w14:textId="64136175" w:rsidR="001323B1" w:rsidRPr="00F56A0E" w:rsidRDefault="001323B1" w:rsidP="001323B1">
      <w:pPr>
        <w:spacing w:line="230" w:lineRule="exact"/>
        <w:ind w:right="432"/>
        <w:jc w:val="both"/>
        <w:textAlignment w:val="baseline"/>
        <w:rPr>
          <w:rFonts w:eastAsia="Times New Roman"/>
          <w:color w:val="000000"/>
          <w:lang w:val="fr-FR"/>
        </w:rPr>
      </w:pPr>
      <w:r w:rsidRPr="00F56A0E">
        <w:rPr>
          <w:lang w:val="fr-FR"/>
        </w:rPr>
        <w:t>Symptômes</w:t>
      </w:r>
      <w:r w:rsidR="00157D75" w:rsidRPr="00F56A0E">
        <w:rPr>
          <w:lang w:val="fr-FR"/>
        </w:rPr>
        <w:t> :</w:t>
      </w:r>
      <w:r w:rsidRPr="00F56A0E">
        <w:rPr>
          <w:lang w:val="fr-FR"/>
        </w:rPr>
        <w:t xml:space="preserve"> Vision floue. Maux de tête. Vertiges. Spasmes musculaires. Faiblesse. Vomissements. Diarrhée. Douleur abdominale.</w:t>
      </w:r>
    </w:p>
    <w:p w14:paraId="17A43248" w14:textId="77777777" w:rsidR="001323B1" w:rsidRPr="00F56A0E" w:rsidRDefault="001323B1" w:rsidP="001323B1">
      <w:pPr>
        <w:spacing w:line="230" w:lineRule="exact"/>
        <w:ind w:right="432"/>
        <w:jc w:val="both"/>
        <w:textAlignment w:val="baseline"/>
        <w:rPr>
          <w:rFonts w:eastAsia="Times New Roman"/>
          <w:color w:val="000000"/>
          <w:lang w:val="fr-FR"/>
        </w:rPr>
      </w:pPr>
      <w:r w:rsidRPr="00F56A0E">
        <w:rPr>
          <w:lang w:val="fr-FR"/>
        </w:rPr>
        <w:t xml:space="preserve">Ne pas manger, boire ou fumer pendant le travail. Se laver les mains avant de manger. </w:t>
      </w:r>
    </w:p>
    <w:p w14:paraId="1129AE14" w14:textId="3CB11488" w:rsidR="001323B1" w:rsidRPr="00F56A0E" w:rsidRDefault="001323B1" w:rsidP="001323B1">
      <w:pPr>
        <w:spacing w:line="230" w:lineRule="exact"/>
        <w:ind w:right="432"/>
        <w:jc w:val="both"/>
        <w:textAlignment w:val="baseline"/>
        <w:rPr>
          <w:rFonts w:eastAsia="Times New Roman"/>
          <w:color w:val="000000"/>
          <w:lang w:val="fr-FR"/>
        </w:rPr>
      </w:pPr>
      <w:r w:rsidRPr="00F56A0E">
        <w:rPr>
          <w:lang w:val="fr-FR"/>
        </w:rPr>
        <w:lastRenderedPageBreak/>
        <w:t>Premiers secours</w:t>
      </w:r>
      <w:r w:rsidR="00157D75" w:rsidRPr="00F56A0E">
        <w:rPr>
          <w:lang w:val="fr-FR"/>
        </w:rPr>
        <w:t> :</w:t>
      </w:r>
      <w:r w:rsidRPr="00F56A0E">
        <w:rPr>
          <w:lang w:val="fr-FR"/>
        </w:rPr>
        <w:t xml:space="preserve"> Rincer la bouche. Consulter immédiatement un médecin. Faire boire du charbon actif en suspension dans de l</w:t>
      </w:r>
      <w:r w:rsidR="00870D0E" w:rsidRPr="00F56A0E">
        <w:rPr>
          <w:lang w:val="fr-FR"/>
        </w:rPr>
        <w:t>’</w:t>
      </w:r>
      <w:r w:rsidRPr="00F56A0E">
        <w:rPr>
          <w:lang w:val="fr-FR"/>
        </w:rPr>
        <w:t xml:space="preserve">eau. </w:t>
      </w:r>
    </w:p>
    <w:p w14:paraId="0707F868" w14:textId="77777777" w:rsidR="001323B1" w:rsidRPr="00F56A0E" w:rsidRDefault="001323B1" w:rsidP="001323B1">
      <w:pPr>
        <w:spacing w:line="230" w:lineRule="exact"/>
        <w:ind w:right="432"/>
        <w:jc w:val="both"/>
        <w:textAlignment w:val="baseline"/>
        <w:rPr>
          <w:rFonts w:eastAsia="Times New Roman"/>
          <w:color w:val="000000"/>
          <w:lang w:val="fr-FR"/>
        </w:rPr>
      </w:pPr>
    </w:p>
    <w:p w14:paraId="57D157AA" w14:textId="77777777" w:rsidR="001323B1" w:rsidRPr="00F56A0E" w:rsidRDefault="001323B1" w:rsidP="00A23BB8">
      <w:pPr>
        <w:keepNext/>
        <w:keepLines/>
        <w:textAlignment w:val="baseline"/>
        <w:rPr>
          <w:rFonts w:eastAsia="Times New Roman"/>
          <w:i/>
          <w:color w:val="000000"/>
          <w:spacing w:val="1"/>
          <w:u w:val="single"/>
          <w:lang w:val="fr-FR"/>
        </w:rPr>
      </w:pPr>
      <w:r w:rsidRPr="00F56A0E">
        <w:rPr>
          <w:i/>
          <w:iCs/>
          <w:u w:val="single"/>
          <w:lang w:val="fr-FR"/>
        </w:rPr>
        <w:t>Mesures en cas de déversement ou de fuite</w:t>
      </w:r>
    </w:p>
    <w:p w14:paraId="151D0334" w14:textId="4BF82C71" w:rsidR="001323B1" w:rsidRPr="00F56A0E" w:rsidRDefault="001323B1" w:rsidP="00A23BB8">
      <w:pPr>
        <w:keepNext/>
        <w:keepLines/>
        <w:rPr>
          <w:rFonts w:eastAsia="Times New Roman"/>
          <w:color w:val="000000"/>
          <w:lang w:val="fr-FR"/>
        </w:rPr>
      </w:pPr>
      <w:r w:rsidRPr="00F56A0E">
        <w:rPr>
          <w:lang w:val="fr-FR"/>
        </w:rPr>
        <w:t>Protection individuelle</w:t>
      </w:r>
      <w:r w:rsidR="009A572E" w:rsidRPr="00F56A0E">
        <w:rPr>
          <w:lang w:val="fr-FR"/>
        </w:rPr>
        <w:t> </w:t>
      </w:r>
      <w:r w:rsidRPr="00F56A0E">
        <w:rPr>
          <w:lang w:val="fr-FR"/>
        </w:rPr>
        <w:t>: tenue de protection contre les produits chimiques comprenant un appareil de protection respiratoire autonome. NE PAS laisser ce produit contaminer l</w:t>
      </w:r>
      <w:r w:rsidR="00870D0E" w:rsidRPr="00F56A0E">
        <w:rPr>
          <w:lang w:val="fr-FR"/>
        </w:rPr>
        <w:t>’</w:t>
      </w:r>
      <w:r w:rsidRPr="00F56A0E">
        <w:rPr>
          <w:lang w:val="fr-FR"/>
        </w:rPr>
        <w:t xml:space="preserve">environnement. Recueillir le liquide en cas de fuite dans des récipients couverts. Puis stocker et éliminer conformément à la réglementation locale. </w:t>
      </w:r>
    </w:p>
    <w:p w14:paraId="1510B1B1" w14:textId="77777777" w:rsidR="001323B1" w:rsidRPr="00F56A0E" w:rsidRDefault="001323B1" w:rsidP="001323B1">
      <w:pPr>
        <w:rPr>
          <w:rFonts w:eastAsia="Times New Roman"/>
          <w:color w:val="000000"/>
          <w:lang w:val="fr-FR"/>
        </w:rPr>
      </w:pPr>
    </w:p>
    <w:p w14:paraId="3C7D97F0" w14:textId="77777777" w:rsidR="001323B1" w:rsidRPr="00F56A0E" w:rsidRDefault="001323B1" w:rsidP="001323B1">
      <w:pPr>
        <w:spacing w:line="230" w:lineRule="exact"/>
        <w:ind w:right="36"/>
        <w:textAlignment w:val="baseline"/>
        <w:rPr>
          <w:rFonts w:eastAsia="Times New Roman"/>
          <w:b/>
          <w:color w:val="000000"/>
          <w:lang w:val="fr-FR"/>
        </w:rPr>
      </w:pPr>
      <w:r w:rsidRPr="00F56A0E">
        <w:rPr>
          <w:b/>
          <w:bCs/>
          <w:lang w:val="fr-FR"/>
        </w:rPr>
        <w:t>PubChem [Internet]</w:t>
      </w:r>
    </w:p>
    <w:p w14:paraId="393A945A" w14:textId="77777777" w:rsidR="001323B1" w:rsidRPr="00F56A0E" w:rsidRDefault="001323B1" w:rsidP="001323B1">
      <w:pPr>
        <w:ind w:right="34"/>
        <w:textAlignment w:val="baseline"/>
        <w:rPr>
          <w:i/>
          <w:lang w:val="fr-FR"/>
        </w:rPr>
      </w:pPr>
    </w:p>
    <w:p w14:paraId="175A0316" w14:textId="33DFA3C0" w:rsidR="001323B1" w:rsidRPr="00F56A0E" w:rsidRDefault="001323B1" w:rsidP="001323B1">
      <w:pPr>
        <w:ind w:right="34"/>
        <w:textAlignment w:val="baseline"/>
        <w:rPr>
          <w:lang w:val="fr-FR"/>
        </w:rPr>
      </w:pPr>
      <w:r w:rsidRPr="00F56A0E">
        <w:rPr>
          <w:i/>
          <w:iCs/>
          <w:lang w:val="fr-FR"/>
        </w:rPr>
        <w:t>Note</w:t>
      </w:r>
      <w:r w:rsidR="00157D75" w:rsidRPr="00F56A0E">
        <w:rPr>
          <w:lang w:val="fr-FR"/>
        </w:rPr>
        <w:t> :</w:t>
      </w:r>
      <w:r w:rsidRPr="00F56A0E">
        <w:rPr>
          <w:lang w:val="fr-FR"/>
        </w:rPr>
        <w:t xml:space="preserve"> le terbufos est un inhibiteur de la cholinestérase. </w:t>
      </w:r>
    </w:p>
    <w:p w14:paraId="733513EB" w14:textId="77777777" w:rsidR="001323B1" w:rsidRPr="00F56A0E" w:rsidRDefault="001323B1" w:rsidP="001323B1">
      <w:pPr>
        <w:ind w:right="34"/>
        <w:textAlignment w:val="baseline"/>
        <w:rPr>
          <w:lang w:val="fr-FR"/>
        </w:rPr>
      </w:pPr>
    </w:p>
    <w:p w14:paraId="564A0FA9" w14:textId="44240153" w:rsidR="001323B1" w:rsidRPr="00F56A0E" w:rsidRDefault="001323B1" w:rsidP="001323B1">
      <w:pPr>
        <w:ind w:right="34"/>
        <w:textAlignment w:val="baseline"/>
        <w:rPr>
          <w:lang w:val="fr-FR"/>
        </w:rPr>
      </w:pPr>
      <w:r w:rsidRPr="00F56A0E">
        <w:rPr>
          <w:i/>
          <w:iCs/>
          <w:lang w:val="fr-FR"/>
        </w:rPr>
        <w:t>Signes et symptômes d</w:t>
      </w:r>
      <w:r w:rsidR="00870D0E" w:rsidRPr="00F56A0E">
        <w:rPr>
          <w:i/>
          <w:iCs/>
          <w:lang w:val="fr-FR"/>
        </w:rPr>
        <w:t>’</w:t>
      </w:r>
      <w:r w:rsidRPr="00F56A0E">
        <w:rPr>
          <w:i/>
          <w:iCs/>
          <w:lang w:val="fr-FR"/>
        </w:rPr>
        <w:t>une exposition aiguë au terbufos</w:t>
      </w:r>
      <w:r w:rsidR="00157D75" w:rsidRPr="00F56A0E">
        <w:rPr>
          <w:lang w:val="fr-FR"/>
        </w:rPr>
        <w:t> :</w:t>
      </w:r>
      <w:r w:rsidRPr="00F56A0E">
        <w:rPr>
          <w:lang w:val="fr-FR"/>
        </w:rPr>
        <w:t xml:space="preserve"> Une exposition aiguë au terbufos peut produire les signes et symptômes suivants</w:t>
      </w:r>
      <w:r w:rsidR="00157D75" w:rsidRPr="00F56A0E">
        <w:rPr>
          <w:lang w:val="fr-FR"/>
        </w:rPr>
        <w:t> :</w:t>
      </w:r>
      <w:r w:rsidRPr="00F56A0E">
        <w:rPr>
          <w:lang w:val="fr-FR"/>
        </w:rPr>
        <w:t xml:space="preserve"> myosis, vision floue, maux de tête, étourdissements, spasmes musculaires et grande faiblesse. Des vomissements, de la diarrhée, des douleurs abdominales, des convulsions et un coma peuvent également survenir. Le rythme cardiaque peut diminuer après une exposition orale ou augmenter après une exposition cutanée. Des douleurs thoraciques peuvent être ressenties. Une hypotension peut se constater, bien que l</w:t>
      </w:r>
      <w:r w:rsidR="00870D0E" w:rsidRPr="00F56A0E">
        <w:rPr>
          <w:lang w:val="fr-FR"/>
        </w:rPr>
        <w:t>’</w:t>
      </w:r>
      <w:r w:rsidRPr="00F56A0E">
        <w:rPr>
          <w:lang w:val="fr-FR"/>
        </w:rPr>
        <w:t xml:space="preserve">hypertension ne soit pas rare. Les symptômes respiratoires comprennent la dyspnée (essoufflement), la dépression respiratoire et la paralysie respiratoire. Une psychose peut se produire. </w:t>
      </w:r>
    </w:p>
    <w:p w14:paraId="7247B8CF" w14:textId="77777777" w:rsidR="001323B1" w:rsidRPr="00F56A0E" w:rsidRDefault="001323B1" w:rsidP="001323B1">
      <w:pPr>
        <w:ind w:right="34"/>
        <w:textAlignment w:val="baseline"/>
        <w:rPr>
          <w:lang w:val="fr-FR"/>
        </w:rPr>
      </w:pPr>
    </w:p>
    <w:p w14:paraId="4489C50D" w14:textId="0959A304" w:rsidR="001323B1" w:rsidRPr="00F56A0E" w:rsidRDefault="001323B1" w:rsidP="001323B1">
      <w:pPr>
        <w:ind w:right="34"/>
        <w:textAlignment w:val="baseline"/>
        <w:rPr>
          <w:lang w:val="fr-FR"/>
        </w:rPr>
      </w:pPr>
      <w:r w:rsidRPr="00F56A0E">
        <w:rPr>
          <w:i/>
          <w:iCs/>
          <w:lang w:val="fr-FR"/>
        </w:rPr>
        <w:t>Procédures d</w:t>
      </w:r>
      <w:r w:rsidR="00870D0E" w:rsidRPr="00F56A0E">
        <w:rPr>
          <w:i/>
          <w:iCs/>
          <w:lang w:val="fr-FR"/>
        </w:rPr>
        <w:t>’</w:t>
      </w:r>
      <w:r w:rsidRPr="00F56A0E">
        <w:rPr>
          <w:i/>
          <w:iCs/>
          <w:lang w:val="fr-FR"/>
        </w:rPr>
        <w:t>urgence pour le maintien des fonctions vitales</w:t>
      </w:r>
      <w:r w:rsidR="00157D75" w:rsidRPr="00F56A0E">
        <w:rPr>
          <w:lang w:val="fr-FR"/>
        </w:rPr>
        <w:t> :</w:t>
      </w:r>
      <w:r w:rsidRPr="00F56A0E">
        <w:rPr>
          <w:lang w:val="fr-FR"/>
        </w:rPr>
        <w:t xml:space="preserve"> Une exposition aiguë au terbufos peut nécessiter une décontamination et un maintien des fonctions vitales des victimes. Le personnel des services d</w:t>
      </w:r>
      <w:r w:rsidR="00870D0E" w:rsidRPr="00F56A0E">
        <w:rPr>
          <w:lang w:val="fr-FR"/>
        </w:rPr>
        <w:t>’</w:t>
      </w:r>
      <w:r w:rsidRPr="00F56A0E">
        <w:rPr>
          <w:lang w:val="fr-FR"/>
        </w:rPr>
        <w:t>urgence doit porter des vêtements de protection adaptés au type et au degré de la contamination. Le cas échéant, le port d</w:t>
      </w:r>
      <w:r w:rsidR="00870D0E" w:rsidRPr="00F56A0E">
        <w:rPr>
          <w:lang w:val="fr-FR"/>
        </w:rPr>
        <w:t>’</w:t>
      </w:r>
      <w:r w:rsidRPr="00F56A0E">
        <w:rPr>
          <w:lang w:val="fr-FR"/>
        </w:rPr>
        <w:t>un appareil de protection respiratoire à épuration d</w:t>
      </w:r>
      <w:r w:rsidR="00870D0E" w:rsidRPr="00F56A0E">
        <w:rPr>
          <w:lang w:val="fr-FR"/>
        </w:rPr>
        <w:t>’</w:t>
      </w:r>
      <w:r w:rsidRPr="00F56A0E">
        <w:rPr>
          <w:lang w:val="fr-FR"/>
        </w:rPr>
        <w:t>air ou à approvisionnement d</w:t>
      </w:r>
      <w:r w:rsidR="00870D0E" w:rsidRPr="00F56A0E">
        <w:rPr>
          <w:lang w:val="fr-FR"/>
        </w:rPr>
        <w:t>’</w:t>
      </w:r>
      <w:r w:rsidRPr="00F56A0E">
        <w:rPr>
          <w:lang w:val="fr-FR"/>
        </w:rPr>
        <w:t xml:space="preserve">air peut être nécessaire. Les véhicules de secours devraient être munis de fournitures comme, par exemple, des bâches en plastique et des sacs en plastique jetables pour aider à éviter que la contamination ne se propage. </w:t>
      </w:r>
    </w:p>
    <w:p w14:paraId="74595445" w14:textId="77777777" w:rsidR="001323B1" w:rsidRPr="00F56A0E" w:rsidRDefault="001323B1" w:rsidP="001323B1">
      <w:pPr>
        <w:ind w:right="34"/>
        <w:textAlignment w:val="baseline"/>
        <w:rPr>
          <w:lang w:val="fr-FR"/>
        </w:rPr>
      </w:pPr>
    </w:p>
    <w:p w14:paraId="2202BF06" w14:textId="0B6F42D7" w:rsidR="001323B1" w:rsidRPr="00F56A0E" w:rsidRDefault="001323B1" w:rsidP="001323B1">
      <w:pPr>
        <w:ind w:right="34"/>
        <w:textAlignment w:val="baseline"/>
        <w:rPr>
          <w:lang w:val="fr-FR"/>
        </w:rPr>
      </w:pPr>
      <w:r w:rsidRPr="00F56A0E">
        <w:rPr>
          <w:i/>
          <w:iCs/>
          <w:lang w:val="fr-FR"/>
        </w:rPr>
        <w:t>Exposition par inhalation</w:t>
      </w:r>
      <w:r w:rsidR="00157D75" w:rsidRPr="00F56A0E">
        <w:rPr>
          <w:lang w:val="fr-FR"/>
        </w:rPr>
        <w:t> :</w:t>
      </w:r>
      <w:r w:rsidRPr="00F56A0E">
        <w:rPr>
          <w:lang w:val="fr-FR"/>
        </w:rPr>
        <w:t xml:space="preserve"> 1. Transporter la victime au grand air. Il convient que le personnel d</w:t>
      </w:r>
      <w:r w:rsidR="00870D0E" w:rsidRPr="00F56A0E">
        <w:rPr>
          <w:lang w:val="fr-FR"/>
        </w:rPr>
        <w:t>’</w:t>
      </w:r>
      <w:r w:rsidRPr="00F56A0E">
        <w:rPr>
          <w:lang w:val="fr-FR"/>
        </w:rPr>
        <w:t>urgence évite de s</w:t>
      </w:r>
      <w:r w:rsidR="00870D0E" w:rsidRPr="00F56A0E">
        <w:rPr>
          <w:lang w:val="fr-FR"/>
        </w:rPr>
        <w:t>’</w:t>
      </w:r>
      <w:r w:rsidRPr="00F56A0E">
        <w:rPr>
          <w:lang w:val="fr-FR"/>
        </w:rPr>
        <w:t>exposer au terbufos. 2. Évaluer les signes vitaux, notamment le pouls et la fréquence respiratoire, et noter tout traumatisme. Si aucun pouls n</w:t>
      </w:r>
      <w:r w:rsidR="00870D0E" w:rsidRPr="00F56A0E">
        <w:rPr>
          <w:lang w:val="fr-FR"/>
        </w:rPr>
        <w:t>’</w:t>
      </w:r>
      <w:r w:rsidRPr="00F56A0E">
        <w:rPr>
          <w:lang w:val="fr-FR"/>
        </w:rPr>
        <w:t>est détecté, pratiquer la réanimation cardio-pulmonaire. Si la victime ne respire pas, pratiquer la respiration artificielle. Si la respiration est laborieuse, administrer de l</w:t>
      </w:r>
      <w:r w:rsidR="00870D0E" w:rsidRPr="00F56A0E">
        <w:rPr>
          <w:lang w:val="fr-FR"/>
        </w:rPr>
        <w:t>’</w:t>
      </w:r>
      <w:r w:rsidRPr="00F56A0E">
        <w:rPr>
          <w:lang w:val="fr-FR"/>
        </w:rPr>
        <w:t>oxygène ou fournir une autre aide respiratoire. 3. Demander à l</w:t>
      </w:r>
      <w:r w:rsidR="00870D0E" w:rsidRPr="00F56A0E">
        <w:rPr>
          <w:lang w:val="fr-FR"/>
        </w:rPr>
        <w:t>’</w:t>
      </w:r>
      <w:r w:rsidRPr="00F56A0E">
        <w:rPr>
          <w:lang w:val="fr-FR"/>
        </w:rPr>
        <w:t>hôpital local l</w:t>
      </w:r>
      <w:r w:rsidR="00870D0E" w:rsidRPr="00F56A0E">
        <w:rPr>
          <w:lang w:val="fr-FR"/>
        </w:rPr>
        <w:t>’</w:t>
      </w:r>
      <w:r w:rsidRPr="00F56A0E">
        <w:rPr>
          <w:lang w:val="fr-FR"/>
        </w:rPr>
        <w:t>autorisation et/ou des instructions supplémentaires en vue de l</w:t>
      </w:r>
      <w:r w:rsidR="00870D0E" w:rsidRPr="00F56A0E">
        <w:rPr>
          <w:lang w:val="fr-FR"/>
        </w:rPr>
        <w:t>’</w:t>
      </w:r>
      <w:r w:rsidRPr="00F56A0E">
        <w:rPr>
          <w:lang w:val="fr-FR"/>
        </w:rPr>
        <w:t>administration d</w:t>
      </w:r>
      <w:r w:rsidR="00870D0E" w:rsidRPr="00F56A0E">
        <w:rPr>
          <w:lang w:val="fr-FR"/>
        </w:rPr>
        <w:t>’</w:t>
      </w:r>
      <w:r w:rsidRPr="00F56A0E">
        <w:rPr>
          <w:lang w:val="fr-FR"/>
        </w:rPr>
        <w:t>un antidote ou de l</w:t>
      </w:r>
      <w:r w:rsidR="00870D0E" w:rsidRPr="00F56A0E">
        <w:rPr>
          <w:lang w:val="fr-FR"/>
        </w:rPr>
        <w:t>’</w:t>
      </w:r>
      <w:r w:rsidRPr="00F56A0E">
        <w:rPr>
          <w:lang w:val="fr-FR"/>
        </w:rPr>
        <w:t>application d</w:t>
      </w:r>
      <w:r w:rsidR="00870D0E" w:rsidRPr="00F56A0E">
        <w:rPr>
          <w:lang w:val="fr-FR"/>
        </w:rPr>
        <w:t>’</w:t>
      </w:r>
      <w:r w:rsidRPr="00F56A0E">
        <w:rPr>
          <w:lang w:val="fr-FR"/>
        </w:rPr>
        <w:t xml:space="preserve">autres procédures invasives. 4. Évacuer la victime vers un établissement de soins. </w:t>
      </w:r>
    </w:p>
    <w:p w14:paraId="5E6708A4" w14:textId="77777777" w:rsidR="001323B1" w:rsidRPr="00F56A0E" w:rsidRDefault="001323B1" w:rsidP="001323B1">
      <w:pPr>
        <w:ind w:right="34"/>
        <w:textAlignment w:val="baseline"/>
        <w:rPr>
          <w:lang w:val="fr-FR"/>
        </w:rPr>
      </w:pPr>
    </w:p>
    <w:p w14:paraId="31C37603" w14:textId="4B771334" w:rsidR="001323B1" w:rsidRPr="00F56A0E" w:rsidRDefault="001323B1" w:rsidP="001323B1">
      <w:pPr>
        <w:ind w:right="34"/>
        <w:textAlignment w:val="baseline"/>
        <w:rPr>
          <w:lang w:val="fr-FR"/>
        </w:rPr>
      </w:pPr>
      <w:r w:rsidRPr="00F56A0E">
        <w:rPr>
          <w:i/>
          <w:iCs/>
          <w:lang w:val="fr-FR"/>
        </w:rPr>
        <w:t>Exposition cutanée/oculaire</w:t>
      </w:r>
      <w:r w:rsidR="00157D75" w:rsidRPr="00F56A0E">
        <w:rPr>
          <w:lang w:val="fr-FR"/>
        </w:rPr>
        <w:t> :</w:t>
      </w:r>
      <w:r w:rsidRPr="00F56A0E">
        <w:rPr>
          <w:lang w:val="fr-FR"/>
        </w:rPr>
        <w:t xml:space="preserve"> 1. Éloigner la victime de la source d</w:t>
      </w:r>
      <w:r w:rsidR="00870D0E" w:rsidRPr="00F56A0E">
        <w:rPr>
          <w:lang w:val="fr-FR"/>
        </w:rPr>
        <w:t>’</w:t>
      </w:r>
      <w:r w:rsidRPr="00F56A0E">
        <w:rPr>
          <w:lang w:val="fr-FR"/>
        </w:rPr>
        <w:t>exposition. Il convient que le personnel d</w:t>
      </w:r>
      <w:r w:rsidR="00870D0E" w:rsidRPr="00F56A0E">
        <w:rPr>
          <w:lang w:val="fr-FR"/>
        </w:rPr>
        <w:t>’</w:t>
      </w:r>
      <w:r w:rsidRPr="00F56A0E">
        <w:rPr>
          <w:lang w:val="fr-FR"/>
        </w:rPr>
        <w:t>urgence évite de s</w:t>
      </w:r>
      <w:r w:rsidR="00870D0E" w:rsidRPr="00F56A0E">
        <w:rPr>
          <w:lang w:val="fr-FR"/>
        </w:rPr>
        <w:t>’</w:t>
      </w:r>
      <w:r w:rsidRPr="00F56A0E">
        <w:rPr>
          <w:lang w:val="fr-FR"/>
        </w:rPr>
        <w:t>exposer au terbufos. 2. Évaluer les signes vitaux, notamment le pouls et la fréquence respiratoire, et noter tout traumatisme. Si aucun pouls n</w:t>
      </w:r>
      <w:r w:rsidR="00870D0E" w:rsidRPr="00F56A0E">
        <w:rPr>
          <w:lang w:val="fr-FR"/>
        </w:rPr>
        <w:t>’</w:t>
      </w:r>
      <w:r w:rsidRPr="00F56A0E">
        <w:rPr>
          <w:lang w:val="fr-FR"/>
        </w:rPr>
        <w:t>est détecté, pratiquer la réanimation cardio-pulmonaire. Si la victime ne respire pas, pratiquer la respiration artificielle. Si la respiration est laborieuse, administrer de l</w:t>
      </w:r>
      <w:r w:rsidR="00870D0E" w:rsidRPr="00F56A0E">
        <w:rPr>
          <w:lang w:val="fr-FR"/>
        </w:rPr>
        <w:t>’</w:t>
      </w:r>
      <w:r w:rsidRPr="00F56A0E">
        <w:rPr>
          <w:lang w:val="fr-FR"/>
        </w:rPr>
        <w:t>oxygène ou fournir une autre aide respiratoire. 3. Enlever les vêtements contaminés dès que possible. 4. En cas d</w:t>
      </w:r>
      <w:r w:rsidR="00870D0E" w:rsidRPr="00F56A0E">
        <w:rPr>
          <w:lang w:val="fr-FR"/>
        </w:rPr>
        <w:t>’</w:t>
      </w:r>
      <w:r w:rsidRPr="00F56A0E">
        <w:rPr>
          <w:lang w:val="fr-FR"/>
        </w:rPr>
        <w:t>exposition oculaire, rincer les yeux à l</w:t>
      </w:r>
      <w:r w:rsidR="00870D0E" w:rsidRPr="00F56A0E">
        <w:rPr>
          <w:lang w:val="fr-FR"/>
        </w:rPr>
        <w:t>’</w:t>
      </w:r>
      <w:r w:rsidRPr="00F56A0E">
        <w:rPr>
          <w:lang w:val="fr-FR"/>
        </w:rPr>
        <w:t>eau tiède pendant au moins 15 minutes. 5. Laver les zones cutanées exposées trois fois à l</w:t>
      </w:r>
      <w:r w:rsidR="00870D0E" w:rsidRPr="00F56A0E">
        <w:rPr>
          <w:lang w:val="fr-FR"/>
        </w:rPr>
        <w:t>’</w:t>
      </w:r>
      <w:r w:rsidRPr="00F56A0E">
        <w:rPr>
          <w:lang w:val="fr-FR"/>
        </w:rPr>
        <w:t>eau et au savon. 6.</w:t>
      </w:r>
      <w:r w:rsidR="00BC5F58" w:rsidRPr="00F56A0E">
        <w:rPr>
          <w:lang w:val="fr-FR"/>
        </w:rPr>
        <w:t> </w:t>
      </w:r>
      <w:r w:rsidRPr="00F56A0E">
        <w:rPr>
          <w:lang w:val="fr-FR"/>
        </w:rPr>
        <w:t>Demander à l</w:t>
      </w:r>
      <w:r w:rsidR="00870D0E" w:rsidRPr="00F56A0E">
        <w:rPr>
          <w:lang w:val="fr-FR"/>
        </w:rPr>
        <w:t>’</w:t>
      </w:r>
      <w:r w:rsidRPr="00F56A0E">
        <w:rPr>
          <w:lang w:val="fr-FR"/>
        </w:rPr>
        <w:t>hôpital local l</w:t>
      </w:r>
      <w:r w:rsidR="00870D0E" w:rsidRPr="00F56A0E">
        <w:rPr>
          <w:lang w:val="fr-FR"/>
        </w:rPr>
        <w:t>’</w:t>
      </w:r>
      <w:r w:rsidRPr="00F56A0E">
        <w:rPr>
          <w:lang w:val="fr-FR"/>
        </w:rPr>
        <w:t>autorisation et/ou des instructions supplémentaires en vue de l</w:t>
      </w:r>
      <w:r w:rsidR="00870D0E" w:rsidRPr="00F56A0E">
        <w:rPr>
          <w:lang w:val="fr-FR"/>
        </w:rPr>
        <w:t>’</w:t>
      </w:r>
      <w:r w:rsidRPr="00F56A0E">
        <w:rPr>
          <w:lang w:val="fr-FR"/>
        </w:rPr>
        <w:t>administration d</w:t>
      </w:r>
      <w:r w:rsidR="00870D0E" w:rsidRPr="00F56A0E">
        <w:rPr>
          <w:lang w:val="fr-FR"/>
        </w:rPr>
        <w:t>’</w:t>
      </w:r>
      <w:r w:rsidRPr="00F56A0E">
        <w:rPr>
          <w:lang w:val="fr-FR"/>
        </w:rPr>
        <w:t>un antidote ou de l</w:t>
      </w:r>
      <w:r w:rsidR="00870D0E" w:rsidRPr="00F56A0E">
        <w:rPr>
          <w:lang w:val="fr-FR"/>
        </w:rPr>
        <w:t>’</w:t>
      </w:r>
      <w:r w:rsidRPr="00F56A0E">
        <w:rPr>
          <w:lang w:val="fr-FR"/>
        </w:rPr>
        <w:t>application d</w:t>
      </w:r>
      <w:r w:rsidR="00870D0E" w:rsidRPr="00F56A0E">
        <w:rPr>
          <w:lang w:val="fr-FR"/>
        </w:rPr>
        <w:t>’</w:t>
      </w:r>
      <w:r w:rsidRPr="00F56A0E">
        <w:rPr>
          <w:lang w:val="fr-FR"/>
        </w:rPr>
        <w:t xml:space="preserve">autres procédures invasives. 7. Évacuer la victime vers un établissement de soins. </w:t>
      </w:r>
    </w:p>
    <w:p w14:paraId="3293234A" w14:textId="77777777" w:rsidR="001323B1" w:rsidRPr="00F56A0E" w:rsidRDefault="001323B1" w:rsidP="001323B1">
      <w:pPr>
        <w:ind w:right="34"/>
        <w:textAlignment w:val="baseline"/>
        <w:rPr>
          <w:lang w:val="fr-FR"/>
        </w:rPr>
      </w:pPr>
    </w:p>
    <w:p w14:paraId="51BD8B53" w14:textId="46E27DF9" w:rsidR="001323B1" w:rsidRPr="00F56A0E" w:rsidRDefault="001323B1" w:rsidP="001323B1">
      <w:pPr>
        <w:ind w:right="34"/>
        <w:textAlignment w:val="baseline"/>
        <w:rPr>
          <w:rFonts w:eastAsia="Times New Roman"/>
          <w:b/>
          <w:lang w:val="fr-FR"/>
        </w:rPr>
      </w:pPr>
      <w:r w:rsidRPr="00F56A0E">
        <w:rPr>
          <w:i/>
          <w:iCs/>
          <w:lang w:val="fr-FR"/>
        </w:rPr>
        <w:t>Exposition par ingestion</w:t>
      </w:r>
      <w:r w:rsidR="00157D75" w:rsidRPr="00F56A0E">
        <w:rPr>
          <w:lang w:val="fr-FR"/>
        </w:rPr>
        <w:t> :</w:t>
      </w:r>
      <w:r w:rsidRPr="00F56A0E">
        <w:rPr>
          <w:lang w:val="fr-FR"/>
        </w:rPr>
        <w:t xml:space="preserve"> 1. Évaluer les signes vitaux, notamment le pouls et la fréquence respiratoire, et noter tout traumatisme. Si aucun pouls n</w:t>
      </w:r>
      <w:r w:rsidR="00870D0E" w:rsidRPr="00F56A0E">
        <w:rPr>
          <w:lang w:val="fr-FR"/>
        </w:rPr>
        <w:t>’</w:t>
      </w:r>
      <w:r w:rsidRPr="00F56A0E">
        <w:rPr>
          <w:lang w:val="fr-FR"/>
        </w:rPr>
        <w:t>est détecté, pratiquer la réanimation cardio-pulmonaire. Si la victime ne respire pas, pratiquer la respiration artificielle. Si la respiration est laborieuse, administrer de l</w:t>
      </w:r>
      <w:r w:rsidR="00870D0E" w:rsidRPr="00F56A0E">
        <w:rPr>
          <w:lang w:val="fr-FR"/>
        </w:rPr>
        <w:t>’</w:t>
      </w:r>
      <w:r w:rsidRPr="00F56A0E">
        <w:rPr>
          <w:lang w:val="fr-FR"/>
        </w:rPr>
        <w:t>oxygène ou fournir une autre aide respiratoire. 2. Demander à l</w:t>
      </w:r>
      <w:r w:rsidR="00870D0E" w:rsidRPr="00F56A0E">
        <w:rPr>
          <w:lang w:val="fr-FR"/>
        </w:rPr>
        <w:t>’</w:t>
      </w:r>
      <w:r w:rsidRPr="00F56A0E">
        <w:rPr>
          <w:lang w:val="fr-FR"/>
        </w:rPr>
        <w:t>hôpital local l</w:t>
      </w:r>
      <w:r w:rsidR="00870D0E" w:rsidRPr="00F56A0E">
        <w:rPr>
          <w:lang w:val="fr-FR"/>
        </w:rPr>
        <w:t>’</w:t>
      </w:r>
      <w:r w:rsidRPr="00F56A0E">
        <w:rPr>
          <w:lang w:val="fr-FR"/>
        </w:rPr>
        <w:t>autorisation et/ou des instructions supplémentaires en vue de l</w:t>
      </w:r>
      <w:r w:rsidR="00870D0E" w:rsidRPr="00F56A0E">
        <w:rPr>
          <w:lang w:val="fr-FR"/>
        </w:rPr>
        <w:t>’</w:t>
      </w:r>
      <w:r w:rsidRPr="00F56A0E">
        <w:rPr>
          <w:lang w:val="fr-FR"/>
        </w:rPr>
        <w:t>administration d</w:t>
      </w:r>
      <w:r w:rsidR="00870D0E" w:rsidRPr="00F56A0E">
        <w:rPr>
          <w:lang w:val="fr-FR"/>
        </w:rPr>
        <w:t>’</w:t>
      </w:r>
      <w:r w:rsidRPr="00F56A0E">
        <w:rPr>
          <w:lang w:val="fr-FR"/>
        </w:rPr>
        <w:t>un antidote ou de l</w:t>
      </w:r>
      <w:r w:rsidR="00870D0E" w:rsidRPr="00F56A0E">
        <w:rPr>
          <w:lang w:val="fr-FR"/>
        </w:rPr>
        <w:t>’</w:t>
      </w:r>
      <w:r w:rsidRPr="00F56A0E">
        <w:rPr>
          <w:lang w:val="fr-FR"/>
        </w:rPr>
        <w:t>application d</w:t>
      </w:r>
      <w:r w:rsidR="00870D0E" w:rsidRPr="00F56A0E">
        <w:rPr>
          <w:lang w:val="fr-FR"/>
        </w:rPr>
        <w:t>’</w:t>
      </w:r>
      <w:r w:rsidRPr="00F56A0E">
        <w:rPr>
          <w:lang w:val="fr-FR"/>
        </w:rPr>
        <w:t>autres procédures invasives. 3. Le cas échéant, induire un vomissement avec du sirop d</w:t>
      </w:r>
      <w:r w:rsidR="00870D0E" w:rsidRPr="00F56A0E">
        <w:rPr>
          <w:lang w:val="fr-FR"/>
        </w:rPr>
        <w:t>’</w:t>
      </w:r>
      <w:r w:rsidRPr="00F56A0E">
        <w:rPr>
          <w:lang w:val="fr-FR"/>
        </w:rPr>
        <w:t>ipéca. Si le temps écoulé depuis l</w:t>
      </w:r>
      <w:r w:rsidR="00870D0E" w:rsidRPr="00F56A0E">
        <w:rPr>
          <w:lang w:val="fr-FR"/>
        </w:rPr>
        <w:t>’</w:t>
      </w:r>
      <w:r w:rsidRPr="00F56A0E">
        <w:rPr>
          <w:lang w:val="fr-FR"/>
        </w:rPr>
        <w:t>ingestion de terbufos est inconnu ou susceptible d</w:t>
      </w:r>
      <w:r w:rsidR="00870D0E" w:rsidRPr="00F56A0E">
        <w:rPr>
          <w:lang w:val="fr-FR"/>
        </w:rPr>
        <w:t>’</w:t>
      </w:r>
      <w:r w:rsidRPr="00F56A0E">
        <w:rPr>
          <w:lang w:val="fr-FR"/>
        </w:rPr>
        <w:t>être supérieur à 30 minutes, ne pas provoquer de vomissement et passer à l</w:t>
      </w:r>
      <w:r w:rsidR="00870D0E" w:rsidRPr="00F56A0E">
        <w:rPr>
          <w:lang w:val="fr-FR"/>
        </w:rPr>
        <w:t>’</w:t>
      </w:r>
      <w:r w:rsidRPr="00F56A0E">
        <w:rPr>
          <w:lang w:val="fr-FR"/>
        </w:rPr>
        <w:t>étape 4. Il convient de ne pas administrer d</w:t>
      </w:r>
      <w:r w:rsidR="00870D0E" w:rsidRPr="00F56A0E">
        <w:rPr>
          <w:lang w:val="fr-FR"/>
        </w:rPr>
        <w:t>’</w:t>
      </w:r>
      <w:r w:rsidRPr="00F56A0E">
        <w:rPr>
          <w:lang w:val="fr-FR"/>
        </w:rPr>
        <w:t>ipéca aux enfants de moins de 6 mois. Attention</w:t>
      </w:r>
      <w:r w:rsidR="00157D75" w:rsidRPr="00F56A0E">
        <w:rPr>
          <w:lang w:val="fr-FR"/>
        </w:rPr>
        <w:t> :</w:t>
      </w:r>
      <w:r w:rsidRPr="00F56A0E">
        <w:rPr>
          <w:lang w:val="fr-FR"/>
        </w:rPr>
        <w:t xml:space="preserve"> l</w:t>
      </w:r>
      <w:r w:rsidR="00870D0E" w:rsidRPr="00F56A0E">
        <w:rPr>
          <w:lang w:val="fr-FR"/>
        </w:rPr>
        <w:t>’</w:t>
      </w:r>
      <w:r w:rsidRPr="00F56A0E">
        <w:rPr>
          <w:lang w:val="fr-FR"/>
        </w:rPr>
        <w:t>ingestion de terbufos peut entraîner de soudaines convulsions ou une perte de conscience. L</w:t>
      </w:r>
      <w:r w:rsidR="00870D0E" w:rsidRPr="00F56A0E">
        <w:rPr>
          <w:lang w:val="fr-FR"/>
        </w:rPr>
        <w:t>’</w:t>
      </w:r>
      <w:r w:rsidRPr="00F56A0E">
        <w:rPr>
          <w:lang w:val="fr-FR"/>
        </w:rPr>
        <w:t>administration de sirop d</w:t>
      </w:r>
      <w:r w:rsidR="00870D0E" w:rsidRPr="00F56A0E">
        <w:rPr>
          <w:lang w:val="fr-FR"/>
        </w:rPr>
        <w:t>’</w:t>
      </w:r>
      <w:r w:rsidRPr="00F56A0E">
        <w:rPr>
          <w:lang w:val="fr-FR"/>
        </w:rPr>
        <w:t>ipéca ne doit se faire que si la victimes est alerte, a un réflexe pharyngé actif et ne présente aucun signe de convulsions ou coma imminents. En cas de doute QUEL</w:t>
      </w:r>
      <w:r w:rsidR="00143DFC" w:rsidRPr="00F56A0E">
        <w:rPr>
          <w:lang w:val="fr-FR"/>
        </w:rPr>
        <w:t> </w:t>
      </w:r>
      <w:r w:rsidRPr="00F56A0E">
        <w:rPr>
          <w:lang w:val="fr-FR"/>
        </w:rPr>
        <w:t>QU</w:t>
      </w:r>
      <w:r w:rsidR="00870D0E" w:rsidRPr="00F56A0E">
        <w:rPr>
          <w:lang w:val="fr-FR"/>
        </w:rPr>
        <w:t>’</w:t>
      </w:r>
      <w:r w:rsidRPr="00F56A0E">
        <w:rPr>
          <w:lang w:val="fr-FR"/>
        </w:rPr>
        <w:t>IL SOIT, passer à l</w:t>
      </w:r>
      <w:r w:rsidR="00870D0E" w:rsidRPr="00F56A0E">
        <w:rPr>
          <w:lang w:val="fr-FR"/>
        </w:rPr>
        <w:t>’</w:t>
      </w:r>
      <w:r w:rsidRPr="00F56A0E">
        <w:rPr>
          <w:lang w:val="fr-FR"/>
        </w:rPr>
        <w:t>étape 4. Les posologies recommandées pour l</w:t>
      </w:r>
      <w:r w:rsidR="00870D0E" w:rsidRPr="00F56A0E">
        <w:rPr>
          <w:lang w:val="fr-FR"/>
        </w:rPr>
        <w:t>’</w:t>
      </w:r>
      <w:r w:rsidRPr="00F56A0E">
        <w:rPr>
          <w:lang w:val="fr-FR"/>
        </w:rPr>
        <w:t>ipéca sont les suivantes</w:t>
      </w:r>
      <w:r w:rsidR="00157D75" w:rsidRPr="00F56A0E">
        <w:rPr>
          <w:lang w:val="fr-FR"/>
        </w:rPr>
        <w:t> :</w:t>
      </w:r>
      <w:r w:rsidRPr="00F56A0E">
        <w:rPr>
          <w:lang w:val="fr-FR"/>
        </w:rPr>
        <w:t xml:space="preserve"> enfants de moins d</w:t>
      </w:r>
      <w:r w:rsidR="00870D0E" w:rsidRPr="00F56A0E">
        <w:rPr>
          <w:lang w:val="fr-FR"/>
        </w:rPr>
        <w:t>’</w:t>
      </w:r>
      <w:r w:rsidRPr="00F56A0E">
        <w:rPr>
          <w:lang w:val="fr-FR"/>
        </w:rPr>
        <w:t>un an, 10 ml (1/3 oz)</w:t>
      </w:r>
      <w:r w:rsidR="001349EA" w:rsidRPr="00F56A0E">
        <w:rPr>
          <w:lang w:val="fr-FR"/>
        </w:rPr>
        <w:t> ;</w:t>
      </w:r>
      <w:r w:rsidRPr="00F56A0E">
        <w:rPr>
          <w:lang w:val="fr-FR"/>
        </w:rPr>
        <w:t xml:space="preserve"> enfants de 1 à 12 ans, 15 ml (1/2 oz)</w:t>
      </w:r>
      <w:r w:rsidR="001349EA" w:rsidRPr="00F56A0E">
        <w:rPr>
          <w:lang w:val="fr-FR"/>
        </w:rPr>
        <w:t> ;</w:t>
      </w:r>
      <w:r w:rsidRPr="00F56A0E">
        <w:rPr>
          <w:lang w:val="fr-FR"/>
        </w:rPr>
        <w:t xml:space="preserve"> adultes, 30 ml (1 oz). Promener (faire marcher) la victime et lui faire boire de grandes quantités d</w:t>
      </w:r>
      <w:r w:rsidR="00870D0E" w:rsidRPr="00F56A0E">
        <w:rPr>
          <w:lang w:val="fr-FR"/>
        </w:rPr>
        <w:t>’</w:t>
      </w:r>
      <w:r w:rsidRPr="00F56A0E">
        <w:rPr>
          <w:lang w:val="fr-FR"/>
        </w:rPr>
        <w:t>eau. Si aucun vomissement ne s</w:t>
      </w:r>
      <w:r w:rsidR="00870D0E" w:rsidRPr="00F56A0E">
        <w:rPr>
          <w:lang w:val="fr-FR"/>
        </w:rPr>
        <w:t>’</w:t>
      </w:r>
      <w:r w:rsidRPr="00F56A0E">
        <w:rPr>
          <w:lang w:val="fr-FR"/>
        </w:rPr>
        <w:t>est produit au bout de 15 minutes, on peut de nouveau administrer de l</w:t>
      </w:r>
      <w:r w:rsidR="00870D0E" w:rsidRPr="00F56A0E">
        <w:rPr>
          <w:lang w:val="fr-FR"/>
        </w:rPr>
        <w:t>’</w:t>
      </w:r>
      <w:r w:rsidRPr="00F56A0E">
        <w:rPr>
          <w:lang w:val="fr-FR"/>
        </w:rPr>
        <w:t>ipéca. Continuer de promener la victime et de lui faire boire de l</w:t>
      </w:r>
      <w:r w:rsidR="00870D0E" w:rsidRPr="00F56A0E">
        <w:rPr>
          <w:lang w:val="fr-FR"/>
        </w:rPr>
        <w:t>’</w:t>
      </w:r>
      <w:r w:rsidRPr="00F56A0E">
        <w:rPr>
          <w:lang w:val="fr-FR"/>
        </w:rPr>
        <w:t>eau. Si</w:t>
      </w:r>
      <w:r w:rsidR="00143DFC" w:rsidRPr="00F56A0E">
        <w:rPr>
          <w:lang w:val="fr-FR"/>
        </w:rPr>
        <w:t> </w:t>
      </w:r>
      <w:r w:rsidRPr="00F56A0E">
        <w:rPr>
          <w:lang w:val="fr-FR"/>
        </w:rPr>
        <w:t>aucun</w:t>
      </w:r>
      <w:r w:rsidR="00143DFC" w:rsidRPr="00F56A0E">
        <w:rPr>
          <w:lang w:val="fr-FR"/>
        </w:rPr>
        <w:t> </w:t>
      </w:r>
      <w:r w:rsidRPr="00F56A0E">
        <w:rPr>
          <w:lang w:val="fr-FR"/>
        </w:rPr>
        <w:t>vomissement n</w:t>
      </w:r>
      <w:r w:rsidR="00870D0E" w:rsidRPr="00F56A0E">
        <w:rPr>
          <w:lang w:val="fr-FR"/>
        </w:rPr>
        <w:t>’</w:t>
      </w:r>
      <w:r w:rsidRPr="00F56A0E">
        <w:rPr>
          <w:lang w:val="fr-FR"/>
        </w:rPr>
        <w:t>a lieu au bout de 15 minutes après la deuxième dose d</w:t>
      </w:r>
      <w:r w:rsidR="00870D0E" w:rsidRPr="00F56A0E">
        <w:rPr>
          <w:lang w:val="fr-FR"/>
        </w:rPr>
        <w:t>’</w:t>
      </w:r>
      <w:r w:rsidRPr="00F56A0E">
        <w:rPr>
          <w:lang w:val="fr-FR"/>
        </w:rPr>
        <w:t>ipéca, administrer du charbon actif. 4.</w:t>
      </w:r>
      <w:r w:rsidR="00143DFC" w:rsidRPr="00F56A0E">
        <w:rPr>
          <w:lang w:val="fr-FR"/>
        </w:rPr>
        <w:t> </w:t>
      </w:r>
      <w:r w:rsidRPr="00F56A0E">
        <w:rPr>
          <w:lang w:val="fr-FR"/>
        </w:rPr>
        <w:t>Du</w:t>
      </w:r>
      <w:r w:rsidR="00143DFC" w:rsidRPr="00F56A0E">
        <w:rPr>
          <w:lang w:val="fr-FR"/>
        </w:rPr>
        <w:t> </w:t>
      </w:r>
      <w:r w:rsidRPr="00F56A0E">
        <w:rPr>
          <w:lang w:val="fr-FR"/>
        </w:rPr>
        <w:t>charbon actif peut être administré si la victime est consciente et alerte. Utiliser 15 à 30 g (1/2 à 1 oz) pour les enfants et 50 à 100 g (1-3/4 à 3-1/2 oz) pour les adultes, avec 125 à 250 ml (1/2 à 1 tasse) d</w:t>
      </w:r>
      <w:r w:rsidR="00870D0E" w:rsidRPr="00F56A0E">
        <w:rPr>
          <w:lang w:val="fr-FR"/>
        </w:rPr>
        <w:t>’</w:t>
      </w:r>
      <w:r w:rsidRPr="00F56A0E">
        <w:rPr>
          <w:lang w:val="fr-FR"/>
        </w:rPr>
        <w:t xml:space="preserve">eau. 5. Favoriser les excrétions en administrant un purgatif salin ou du sorbitol si la victime est consciente et alerte. Une dose de 15 à 30 g </w:t>
      </w:r>
      <w:r w:rsidRPr="00F56A0E">
        <w:rPr>
          <w:lang w:val="fr-FR"/>
        </w:rPr>
        <w:lastRenderedPageBreak/>
        <w:t>(1/2 à 1 oz) de purgatif est nécessaire pour les enfants</w:t>
      </w:r>
      <w:r w:rsidR="001349EA" w:rsidRPr="00F56A0E">
        <w:rPr>
          <w:lang w:val="fr-FR"/>
        </w:rPr>
        <w:t> ;</w:t>
      </w:r>
      <w:r w:rsidRPr="00F56A0E">
        <w:rPr>
          <w:lang w:val="fr-FR"/>
        </w:rPr>
        <w:t xml:space="preserve"> Une dose de 50 à 100 g (1-3/4 à 3-1/2 oz) est recommandée pour les adultes. 6. Évacuer la victime vers un établissement de soins. </w:t>
      </w:r>
    </w:p>
    <w:p w14:paraId="6F96C6E4" w14:textId="77777777" w:rsidR="001323B1" w:rsidRPr="00F56A0E" w:rsidRDefault="001323B1" w:rsidP="001323B1">
      <w:pPr>
        <w:rPr>
          <w:rFonts w:eastAsia="Times New Roman"/>
          <w:i/>
          <w:color w:val="000000"/>
          <w:lang w:val="fr-FR"/>
        </w:rPr>
      </w:pPr>
    </w:p>
    <w:p w14:paraId="06590D92" w14:textId="1D2F0C19" w:rsidR="001323B1" w:rsidRPr="00F56A0E" w:rsidRDefault="001323B1" w:rsidP="001323B1">
      <w:pPr>
        <w:rPr>
          <w:rFonts w:eastAsia="Times New Roman"/>
          <w:bCs/>
          <w:iCs/>
          <w:lang w:val="fr-FR"/>
        </w:rPr>
      </w:pPr>
      <w:r w:rsidRPr="00F56A0E">
        <w:rPr>
          <w:lang w:val="fr-FR"/>
        </w:rPr>
        <w:t>Médicaments et antidotes</w:t>
      </w:r>
      <w:r w:rsidR="00157D75" w:rsidRPr="00F56A0E">
        <w:rPr>
          <w:lang w:val="fr-FR"/>
        </w:rPr>
        <w:t> :</w:t>
      </w:r>
      <w:r w:rsidRPr="00F56A0E">
        <w:rPr>
          <w:lang w:val="fr-FR"/>
        </w:rPr>
        <w:t xml:space="preserve"> Le traitement spécifique comprend l</w:t>
      </w:r>
      <w:r w:rsidR="00870D0E" w:rsidRPr="00F56A0E">
        <w:rPr>
          <w:lang w:val="fr-FR"/>
        </w:rPr>
        <w:t>’</w:t>
      </w:r>
      <w:r w:rsidRPr="00F56A0E">
        <w:rPr>
          <w:lang w:val="fr-FR"/>
        </w:rPr>
        <w:t>agent antimuscarinique atropine et le réactivateur enzymatique pralidoxime.</w:t>
      </w:r>
    </w:p>
    <w:p w14:paraId="216A4D84" w14:textId="77777777" w:rsidR="001323B1" w:rsidRPr="00F56A0E" w:rsidRDefault="001323B1" w:rsidP="001323B1">
      <w:pPr>
        <w:tabs>
          <w:tab w:val="left" w:pos="-720"/>
          <w:tab w:val="left" w:pos="0"/>
          <w:tab w:val="left" w:pos="720"/>
        </w:tabs>
        <w:suppressAutoHyphens/>
        <w:rPr>
          <w:rFonts w:eastAsia="Times New Roman"/>
          <w:snapToGrid w:val="0"/>
          <w:sz w:val="10"/>
          <w:szCs w:val="10"/>
          <w:lang w:val="fr-FR" w:eastAsia="en-US"/>
        </w:rPr>
      </w:pPr>
    </w:p>
    <w:tbl>
      <w:tblPr>
        <w:tblW w:w="9611"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11"/>
      </w:tblGrid>
      <w:tr w:rsidR="001323B1" w:rsidRPr="00F56A0E" w14:paraId="7701DD83" w14:textId="77777777" w:rsidTr="00394B44">
        <w:tc>
          <w:tcPr>
            <w:tcW w:w="9611" w:type="dxa"/>
            <w:tcBorders>
              <w:top w:val="single" w:sz="4" w:space="0" w:color="auto"/>
              <w:left w:val="single" w:sz="4" w:space="0" w:color="auto"/>
              <w:bottom w:val="single" w:sz="4" w:space="0" w:color="auto"/>
              <w:right w:val="single" w:sz="4" w:space="0" w:color="auto"/>
            </w:tcBorders>
          </w:tcPr>
          <w:p w14:paraId="062C92A1" w14:textId="77777777" w:rsidR="001323B1" w:rsidRPr="00F56A0E" w:rsidRDefault="001323B1" w:rsidP="005E14FB">
            <w:pPr>
              <w:keepNext/>
              <w:outlineLvl w:val="1"/>
              <w:rPr>
                <w:rFonts w:eastAsia="Times New Roman"/>
                <w:b/>
                <w:bCs/>
                <w:szCs w:val="28"/>
                <w:lang w:val="fr-FR"/>
              </w:rPr>
            </w:pPr>
            <w:r w:rsidRPr="00F56A0E">
              <w:rPr>
                <w:b/>
                <w:bCs/>
                <w:lang w:val="fr-FR"/>
              </w:rPr>
              <w:t>4.5</w:t>
            </w:r>
            <w:r w:rsidRPr="00F56A0E">
              <w:rPr>
                <w:lang w:val="fr-FR"/>
              </w:rPr>
              <w:t xml:space="preserve"> </w:t>
            </w:r>
            <w:r w:rsidRPr="00F56A0E">
              <w:rPr>
                <w:b/>
                <w:bCs/>
                <w:lang w:val="fr-FR"/>
              </w:rPr>
              <w:t>Gestion des déchets</w:t>
            </w:r>
            <w:r w:rsidRPr="00F56A0E">
              <w:rPr>
                <w:lang w:val="fr-FR"/>
              </w:rPr>
              <w:t xml:space="preserve"> </w:t>
            </w:r>
          </w:p>
        </w:tc>
      </w:tr>
      <w:tr w:rsidR="001323B1" w:rsidRPr="00F56A0E" w14:paraId="2E68FCEA" w14:textId="77777777" w:rsidTr="00394B44">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9611" w:type="dxa"/>
            <w:tcBorders>
              <w:bottom w:val="nil"/>
            </w:tcBorders>
          </w:tcPr>
          <w:p w14:paraId="1D9BDF2E" w14:textId="147237BE" w:rsidR="001323B1" w:rsidRPr="00F56A0E" w:rsidRDefault="001323B1" w:rsidP="005E14FB">
            <w:pPr>
              <w:spacing w:line="229" w:lineRule="exact"/>
              <w:ind w:right="216"/>
              <w:textAlignment w:val="baseline"/>
              <w:rPr>
                <w:rFonts w:eastAsia="Times New Roman"/>
                <w:color w:val="000000"/>
                <w:lang w:val="fr-FR"/>
              </w:rPr>
            </w:pPr>
            <w:r w:rsidRPr="00F56A0E">
              <w:rPr>
                <w:lang w:val="fr-FR"/>
              </w:rPr>
              <w:t>Les mesures de réglementation interdisant un produit chimique ne devraient pas entraîner la constitution de stocks nécessitant d</w:t>
            </w:r>
            <w:r w:rsidR="00870D0E" w:rsidRPr="00F56A0E">
              <w:rPr>
                <w:lang w:val="fr-FR"/>
              </w:rPr>
              <w:t>’</w:t>
            </w:r>
            <w:r w:rsidRPr="00F56A0E">
              <w:rPr>
                <w:lang w:val="fr-FR"/>
              </w:rPr>
              <w:t>être éliminés en tant que déchets. On trouvera des orientations sur les moyens d</w:t>
            </w:r>
            <w:r w:rsidR="00870D0E" w:rsidRPr="00F56A0E">
              <w:rPr>
                <w:lang w:val="fr-FR"/>
              </w:rPr>
              <w:t>’</w:t>
            </w:r>
            <w:r w:rsidRPr="00F56A0E">
              <w:rPr>
                <w:lang w:val="fr-FR"/>
              </w:rPr>
              <w:t>éviter l</w:t>
            </w:r>
            <w:r w:rsidR="00870D0E" w:rsidRPr="00F56A0E">
              <w:rPr>
                <w:lang w:val="fr-FR"/>
              </w:rPr>
              <w:t>’</w:t>
            </w:r>
            <w:r w:rsidRPr="00F56A0E">
              <w:rPr>
                <w:lang w:val="fr-FR"/>
              </w:rPr>
              <w:t>accumulation de stocks de pesticides périmés dans les documents suivants</w:t>
            </w:r>
            <w:r w:rsidR="00157D75" w:rsidRPr="00F56A0E">
              <w:rPr>
                <w:lang w:val="fr-FR"/>
              </w:rPr>
              <w:t> :</w:t>
            </w:r>
            <w:r w:rsidRPr="00F56A0E">
              <w:rPr>
                <w:lang w:val="fr-FR"/>
              </w:rPr>
              <w:t xml:space="preserve"> directives de la FAO sur la </w:t>
            </w:r>
            <w:r w:rsidRPr="00F56A0E">
              <w:rPr>
                <w:i/>
                <w:iCs/>
                <w:lang w:val="fr-FR"/>
              </w:rPr>
              <w:t>Prévention de l</w:t>
            </w:r>
            <w:r w:rsidR="00870D0E" w:rsidRPr="00F56A0E">
              <w:rPr>
                <w:i/>
                <w:iCs/>
                <w:lang w:val="fr-FR"/>
              </w:rPr>
              <w:t>’</w:t>
            </w:r>
            <w:r w:rsidRPr="00F56A0E">
              <w:rPr>
                <w:i/>
                <w:iCs/>
                <w:lang w:val="fr-FR"/>
              </w:rPr>
              <w:t>accumulation de stocks de pesticides périmés</w:t>
            </w:r>
            <w:r w:rsidRPr="00F56A0E">
              <w:rPr>
                <w:lang w:val="fr-FR"/>
              </w:rPr>
              <w:t xml:space="preserve"> (FAO, 1995), </w:t>
            </w:r>
            <w:r w:rsidR="00403BFD" w:rsidRPr="00F56A0E">
              <w:rPr>
                <w:lang w:val="fr-FR"/>
              </w:rPr>
              <w:t xml:space="preserve">manuel </w:t>
            </w:r>
            <w:r w:rsidRPr="00F56A0E">
              <w:rPr>
                <w:lang w:val="fr-FR"/>
              </w:rPr>
              <w:t>de</w:t>
            </w:r>
            <w:r w:rsidRPr="00F56A0E">
              <w:rPr>
                <w:i/>
                <w:iCs/>
                <w:lang w:val="fr-FR"/>
              </w:rPr>
              <w:t xml:space="preserve"> </w:t>
            </w:r>
            <w:r w:rsidR="00403BFD" w:rsidRPr="00F56A0E">
              <w:rPr>
                <w:i/>
                <w:iCs/>
                <w:lang w:val="fr-FR"/>
              </w:rPr>
              <w:t xml:space="preserve">Stockage </w:t>
            </w:r>
            <w:r w:rsidRPr="00F56A0E">
              <w:rPr>
                <w:i/>
                <w:iCs/>
                <w:lang w:val="fr-FR"/>
              </w:rPr>
              <w:t>des pesticides et contrôle des stocks</w:t>
            </w:r>
            <w:r w:rsidRPr="00F56A0E">
              <w:rPr>
                <w:lang w:val="fr-FR"/>
              </w:rPr>
              <w:t xml:space="preserve"> (FAO, 1996</w:t>
            </w:r>
            <w:r w:rsidR="00D52D6E" w:rsidRPr="00F56A0E">
              <w:rPr>
                <w:lang w:val="fr-FR"/>
              </w:rPr>
              <w:t>a</w:t>
            </w:r>
            <w:r w:rsidRPr="00F56A0E">
              <w:rPr>
                <w:lang w:val="fr-FR"/>
              </w:rPr>
              <w:t xml:space="preserve">), et </w:t>
            </w:r>
            <w:r w:rsidRPr="00F56A0E">
              <w:rPr>
                <w:i/>
                <w:iCs/>
                <w:lang w:val="fr-FR"/>
              </w:rPr>
              <w:t>Directives pour la gestion de petites quantités de pesticides indésirables et périmés</w:t>
            </w:r>
            <w:r w:rsidRPr="00F56A0E">
              <w:rPr>
                <w:lang w:val="fr-FR"/>
              </w:rPr>
              <w:t xml:space="preserve"> (FAO, 1999).</w:t>
            </w:r>
          </w:p>
          <w:p w14:paraId="7FCDB376" w14:textId="77777777" w:rsidR="001323B1" w:rsidRPr="00F56A0E" w:rsidRDefault="001323B1" w:rsidP="005E14FB">
            <w:pPr>
              <w:spacing w:before="119" w:line="230" w:lineRule="exact"/>
              <w:ind w:right="216"/>
              <w:textAlignment w:val="baseline"/>
              <w:rPr>
                <w:rFonts w:eastAsia="Times New Roman"/>
                <w:color w:val="000000"/>
                <w:lang w:val="fr-FR"/>
              </w:rPr>
            </w:pPr>
            <w:r w:rsidRPr="00F56A0E">
              <w:rPr>
                <w:lang w:val="fr-FR"/>
              </w:rPr>
              <w:t>Dans tous les cas, les déchets devraient être éliminés conformément aux dispositions de la Convention de Bâle sur le contrôle des mouvements transfrontières de déchets dangereux et de leur élimination (1996), des directives en la matière et de tout accord régional pertinent.</w:t>
            </w:r>
          </w:p>
          <w:p w14:paraId="116AA836" w14:textId="571D82CD" w:rsidR="001323B1" w:rsidRPr="00F56A0E" w:rsidRDefault="00F92E18" w:rsidP="005E14FB">
            <w:pPr>
              <w:spacing w:before="118" w:line="230" w:lineRule="exact"/>
              <w:ind w:right="216"/>
              <w:textAlignment w:val="baseline"/>
              <w:rPr>
                <w:rFonts w:eastAsia="Times New Roman"/>
                <w:color w:val="000000"/>
                <w:spacing w:val="-1"/>
                <w:lang w:val="fr-FR"/>
              </w:rPr>
            </w:pPr>
            <w:r w:rsidRPr="00F56A0E">
              <w:rPr>
                <w:lang w:val="fr-FR"/>
              </w:rPr>
              <w:t xml:space="preserve">Il convient de </w:t>
            </w:r>
            <w:r w:rsidR="001323B1" w:rsidRPr="00F56A0E">
              <w:rPr>
                <w:lang w:val="fr-FR"/>
              </w:rPr>
              <w:t>noter qu</w:t>
            </w:r>
            <w:r w:rsidRPr="00F56A0E">
              <w:rPr>
                <w:lang w:val="fr-FR"/>
              </w:rPr>
              <w:t>e bien</w:t>
            </w:r>
            <w:r w:rsidR="001323B1" w:rsidRPr="00F56A0E">
              <w:rPr>
                <w:lang w:val="fr-FR"/>
              </w:rPr>
              <w:t xml:space="preserve"> souvent</w:t>
            </w:r>
            <w:r w:rsidRPr="00F56A0E">
              <w:rPr>
                <w:lang w:val="fr-FR"/>
              </w:rPr>
              <w:t>,</w:t>
            </w:r>
            <w:r w:rsidR="001323B1" w:rsidRPr="00F56A0E">
              <w:rPr>
                <w:lang w:val="fr-FR"/>
              </w:rPr>
              <w:t xml:space="preserve"> les procédés d</w:t>
            </w:r>
            <w:r w:rsidR="00870D0E" w:rsidRPr="00F56A0E">
              <w:rPr>
                <w:lang w:val="fr-FR"/>
              </w:rPr>
              <w:t>’</w:t>
            </w:r>
            <w:r w:rsidR="001323B1" w:rsidRPr="00F56A0E">
              <w:rPr>
                <w:lang w:val="fr-FR"/>
              </w:rPr>
              <w:t>élimination/de destruction recommandés dans la littérature ne sont pas accessibles ou adaptés à tous les pays. D</w:t>
            </w:r>
            <w:r w:rsidR="00870D0E" w:rsidRPr="00F56A0E">
              <w:rPr>
                <w:lang w:val="fr-FR"/>
              </w:rPr>
              <w:t>’</w:t>
            </w:r>
            <w:r w:rsidR="001323B1" w:rsidRPr="00F56A0E">
              <w:rPr>
                <w:lang w:val="fr-FR"/>
              </w:rPr>
              <w:t>aucuns peuvent, par exemple, ne pas disposer d</w:t>
            </w:r>
            <w:r w:rsidR="00870D0E" w:rsidRPr="00F56A0E">
              <w:rPr>
                <w:lang w:val="fr-FR"/>
              </w:rPr>
              <w:t>’</w:t>
            </w:r>
            <w:r w:rsidR="001323B1" w:rsidRPr="00F56A0E">
              <w:rPr>
                <w:lang w:val="fr-FR"/>
              </w:rPr>
              <w:t>incinérateurs à haute température. Le recours à d</w:t>
            </w:r>
            <w:r w:rsidR="00870D0E" w:rsidRPr="00F56A0E">
              <w:rPr>
                <w:lang w:val="fr-FR"/>
              </w:rPr>
              <w:t>’</w:t>
            </w:r>
            <w:r w:rsidR="001323B1" w:rsidRPr="00F56A0E">
              <w:rPr>
                <w:lang w:val="fr-FR"/>
              </w:rPr>
              <w:t>autres technologies de destruction devrait alors être envisagé. On trouvera de plus amples informations sur les solutions possibles dans les directives techniques pour l</w:t>
            </w:r>
            <w:r w:rsidR="00870D0E" w:rsidRPr="00F56A0E">
              <w:rPr>
                <w:lang w:val="fr-FR"/>
              </w:rPr>
              <w:t>’</w:t>
            </w:r>
            <w:r w:rsidR="001323B1" w:rsidRPr="00F56A0E">
              <w:rPr>
                <w:i/>
                <w:iCs/>
                <w:lang w:val="fr-FR"/>
              </w:rPr>
              <w:t>Élimination de grandes quantités de pesticides périmés dans les pays en développement</w:t>
            </w:r>
            <w:r w:rsidR="001323B1" w:rsidRPr="00F56A0E">
              <w:rPr>
                <w:lang w:val="fr-FR"/>
              </w:rPr>
              <w:t xml:space="preserve"> (FAO, 1996b).</w:t>
            </w:r>
          </w:p>
          <w:p w14:paraId="43C3DA49" w14:textId="41E16D09" w:rsidR="001323B1" w:rsidRPr="00F56A0E" w:rsidRDefault="001323B1" w:rsidP="00912525">
            <w:pPr>
              <w:keepNext/>
              <w:keepLines/>
              <w:spacing w:before="118" w:line="230" w:lineRule="exact"/>
              <w:ind w:right="216"/>
              <w:textAlignment w:val="baseline"/>
              <w:rPr>
                <w:color w:val="1F497D"/>
                <w:lang w:val="fr-FR"/>
              </w:rPr>
            </w:pPr>
            <w:r w:rsidRPr="00F56A0E">
              <w:rPr>
                <w:lang w:val="fr-FR"/>
              </w:rPr>
              <w:t>Les outils et ressources les plus récents de la FAO sur la gestion des déchets liés aux pesticides sont disponibles dans la section Lutte contre les organismes nuisibles et gestion des pesticides du site Web du Code de conduite international sur la gestion des pesticides (https://www.fao.org/pest-and-pesticide-management/pesticide-management/code-de-conduite-international-sur-la-gestion-des-pesticides/fr/) et sur la page Web de la série de la FAO sur l</w:t>
            </w:r>
            <w:r w:rsidR="00870D0E" w:rsidRPr="00F56A0E">
              <w:rPr>
                <w:lang w:val="fr-FR"/>
              </w:rPr>
              <w:t>’</w:t>
            </w:r>
            <w:r w:rsidRPr="00F56A0E">
              <w:rPr>
                <w:lang w:val="fr-FR"/>
              </w:rPr>
              <w:t>élimination des pesticides</w:t>
            </w:r>
            <w:r w:rsidR="00403BFD" w:rsidRPr="00F56A0E">
              <w:rPr>
                <w:lang w:val="fr-FR"/>
              </w:rPr>
              <w:t>,</w:t>
            </w:r>
            <w:r w:rsidRPr="00F56A0E">
              <w:rPr>
                <w:lang w:val="fr-FR"/>
              </w:rPr>
              <w:t xml:space="preserve"> à l</w:t>
            </w:r>
            <w:r w:rsidR="00870D0E" w:rsidRPr="00F56A0E">
              <w:rPr>
                <w:lang w:val="fr-FR"/>
              </w:rPr>
              <w:t>’</w:t>
            </w:r>
            <w:r w:rsidRPr="00F56A0E">
              <w:rPr>
                <w:lang w:val="fr-FR"/>
              </w:rPr>
              <w:t>adresse https://www.fao.org/publications/search/en/?serialtitle=RkFPIFBlc3RpY2lkZSBEaXNwb3NhbCBTZXJpZXM.</w:t>
            </w:r>
          </w:p>
          <w:p w14:paraId="4B9A04FA" w14:textId="77777777" w:rsidR="001323B1" w:rsidRPr="00F56A0E" w:rsidRDefault="001323B1" w:rsidP="005E14FB">
            <w:pPr>
              <w:spacing w:before="118" w:line="230" w:lineRule="exact"/>
              <w:ind w:right="216"/>
              <w:textAlignment w:val="baseline"/>
              <w:rPr>
                <w:rFonts w:eastAsia="Times New Roman"/>
                <w:color w:val="000000"/>
                <w:spacing w:val="-1"/>
                <w:lang w:val="fr-FR"/>
              </w:rPr>
            </w:pPr>
            <w:r w:rsidRPr="00F56A0E">
              <w:rPr>
                <w:color w:val="1F497D"/>
                <w:lang w:val="fr-FR"/>
              </w:rPr>
              <w:t> </w:t>
            </w:r>
          </w:p>
          <w:p w14:paraId="6EBDB838" w14:textId="032C77E7" w:rsidR="001323B1" w:rsidRPr="00F56A0E" w:rsidRDefault="001323B1" w:rsidP="005E14FB">
            <w:pPr>
              <w:spacing w:line="230" w:lineRule="exact"/>
              <w:ind w:right="36"/>
              <w:textAlignment w:val="baseline"/>
              <w:rPr>
                <w:rFonts w:eastAsia="Times New Roman"/>
                <w:b/>
                <w:color w:val="000000"/>
                <w:u w:val="single"/>
                <w:lang w:val="fr-FR"/>
              </w:rPr>
            </w:pPr>
            <w:r w:rsidRPr="00F56A0E">
              <w:rPr>
                <w:b/>
                <w:bCs/>
                <w:u w:val="single"/>
                <w:lang w:val="fr-FR"/>
              </w:rPr>
              <w:t>Méthodes d</w:t>
            </w:r>
            <w:r w:rsidR="00870D0E" w:rsidRPr="00F56A0E">
              <w:rPr>
                <w:b/>
                <w:bCs/>
                <w:u w:val="single"/>
                <w:lang w:val="fr-FR"/>
              </w:rPr>
              <w:t>’</w:t>
            </w:r>
            <w:r w:rsidRPr="00F56A0E">
              <w:rPr>
                <w:b/>
                <w:bCs/>
                <w:u w:val="single"/>
                <w:lang w:val="fr-FR"/>
              </w:rPr>
              <w:t>élimination de ce produit chimique</w:t>
            </w:r>
            <w:r w:rsidRPr="00F56A0E">
              <w:rPr>
                <w:lang w:val="fr-FR"/>
              </w:rPr>
              <w:t xml:space="preserve"> </w:t>
            </w:r>
          </w:p>
          <w:p w14:paraId="7F512E88" w14:textId="77777777" w:rsidR="001323B1" w:rsidRPr="00F56A0E" w:rsidRDefault="001323B1" w:rsidP="005E14FB">
            <w:pPr>
              <w:spacing w:line="230" w:lineRule="exact"/>
              <w:ind w:right="36"/>
              <w:textAlignment w:val="baseline"/>
              <w:rPr>
                <w:rFonts w:eastAsia="Times New Roman"/>
                <w:b/>
                <w:color w:val="000000"/>
                <w:u w:val="single"/>
                <w:lang w:val="fr-FR"/>
              </w:rPr>
            </w:pPr>
          </w:p>
          <w:p w14:paraId="687310B7" w14:textId="77777777" w:rsidR="001323B1" w:rsidRPr="00F56A0E" w:rsidRDefault="001323B1" w:rsidP="005E14FB">
            <w:pPr>
              <w:spacing w:line="230" w:lineRule="exact"/>
              <w:ind w:right="36"/>
              <w:textAlignment w:val="baseline"/>
              <w:rPr>
                <w:rFonts w:eastAsia="Times New Roman"/>
                <w:color w:val="000000"/>
                <w:lang w:val="fr-FR"/>
              </w:rPr>
            </w:pPr>
            <w:r w:rsidRPr="00F56A0E">
              <w:rPr>
                <w:b/>
                <w:bCs/>
                <w:lang w:val="fr-FR"/>
              </w:rPr>
              <w:t>PubChem [Internet]</w:t>
            </w:r>
            <w:r w:rsidRPr="00F56A0E">
              <w:rPr>
                <w:lang w:val="fr-FR"/>
              </w:rPr>
              <w:t xml:space="preserve"> </w:t>
            </w:r>
          </w:p>
          <w:p w14:paraId="21551952" w14:textId="2FD3AABF" w:rsidR="001323B1" w:rsidRPr="00F56A0E" w:rsidRDefault="001323B1" w:rsidP="005E14FB">
            <w:pPr>
              <w:spacing w:line="230" w:lineRule="exact"/>
              <w:ind w:right="36"/>
              <w:textAlignment w:val="baseline"/>
              <w:rPr>
                <w:lang w:val="fr-FR"/>
              </w:rPr>
            </w:pPr>
            <w:r w:rsidRPr="00F56A0E">
              <w:rPr>
                <w:lang w:val="fr-FR"/>
              </w:rPr>
              <w:t>Recycler toutes les quantités inutilisées du produit en vue d</w:t>
            </w:r>
            <w:r w:rsidR="00870D0E" w:rsidRPr="00F56A0E">
              <w:rPr>
                <w:lang w:val="fr-FR"/>
              </w:rPr>
              <w:t>’</w:t>
            </w:r>
            <w:r w:rsidRPr="00F56A0E">
              <w:rPr>
                <w:lang w:val="fr-FR"/>
              </w:rPr>
              <w:t>une application homologuée ou les renvoyer au fabricant ou au fournisseur. L</w:t>
            </w:r>
            <w:r w:rsidR="00870D0E" w:rsidRPr="00F56A0E">
              <w:rPr>
                <w:lang w:val="fr-FR"/>
              </w:rPr>
              <w:t>’</w:t>
            </w:r>
            <w:r w:rsidRPr="00F56A0E">
              <w:rPr>
                <w:lang w:val="fr-FR"/>
              </w:rPr>
              <w:t>élimination finale du produit doit tenir en compte de</w:t>
            </w:r>
            <w:r w:rsidR="00157D75" w:rsidRPr="00F56A0E">
              <w:rPr>
                <w:lang w:val="fr-FR"/>
              </w:rPr>
              <w:t> :</w:t>
            </w:r>
            <w:r w:rsidRPr="00F56A0E">
              <w:rPr>
                <w:lang w:val="fr-FR"/>
              </w:rPr>
              <w:t xml:space="preserve"> son impact sur la qualité de l</w:t>
            </w:r>
            <w:r w:rsidR="00870D0E" w:rsidRPr="00F56A0E">
              <w:rPr>
                <w:lang w:val="fr-FR"/>
              </w:rPr>
              <w:t>’</w:t>
            </w:r>
            <w:r w:rsidRPr="00F56A0E">
              <w:rPr>
                <w:lang w:val="fr-FR"/>
              </w:rPr>
              <w:t>air</w:t>
            </w:r>
            <w:r w:rsidR="001349EA" w:rsidRPr="00F56A0E">
              <w:rPr>
                <w:lang w:val="fr-FR"/>
              </w:rPr>
              <w:t> ;</w:t>
            </w:r>
            <w:r w:rsidRPr="00F56A0E">
              <w:rPr>
                <w:lang w:val="fr-FR"/>
              </w:rPr>
              <w:t xml:space="preserve"> sa migration potentielle dans le sol ou l</w:t>
            </w:r>
            <w:r w:rsidR="00870D0E" w:rsidRPr="00F56A0E">
              <w:rPr>
                <w:lang w:val="fr-FR"/>
              </w:rPr>
              <w:t>’</w:t>
            </w:r>
            <w:r w:rsidRPr="00F56A0E">
              <w:rPr>
                <w:lang w:val="fr-FR"/>
              </w:rPr>
              <w:t>eau</w:t>
            </w:r>
            <w:r w:rsidR="001349EA" w:rsidRPr="00F56A0E">
              <w:rPr>
                <w:lang w:val="fr-FR"/>
              </w:rPr>
              <w:t> ;</w:t>
            </w:r>
            <w:r w:rsidRPr="00F56A0E">
              <w:rPr>
                <w:lang w:val="fr-FR"/>
              </w:rPr>
              <w:t xml:space="preserve"> ses effets sur la vie animale, aquatique et végétale</w:t>
            </w:r>
            <w:r w:rsidR="001349EA" w:rsidRPr="00F56A0E">
              <w:rPr>
                <w:lang w:val="fr-FR"/>
              </w:rPr>
              <w:t> ;</w:t>
            </w:r>
            <w:r w:rsidRPr="00F56A0E">
              <w:rPr>
                <w:lang w:val="fr-FR"/>
              </w:rPr>
              <w:t xml:space="preserve"> et la conformité des opérations avec les réglementations en matière d</w:t>
            </w:r>
            <w:r w:rsidR="00870D0E" w:rsidRPr="00F56A0E">
              <w:rPr>
                <w:lang w:val="fr-FR"/>
              </w:rPr>
              <w:t>’</w:t>
            </w:r>
            <w:r w:rsidRPr="00F56A0E">
              <w:rPr>
                <w:lang w:val="fr-FR"/>
              </w:rPr>
              <w:t>environnement et de santé publique.</w:t>
            </w:r>
          </w:p>
          <w:p w14:paraId="58B91449" w14:textId="77777777" w:rsidR="001323B1" w:rsidRPr="00F56A0E" w:rsidRDefault="001323B1" w:rsidP="005E14FB">
            <w:pPr>
              <w:spacing w:line="230" w:lineRule="exact"/>
              <w:ind w:right="36"/>
              <w:textAlignment w:val="baseline"/>
              <w:rPr>
                <w:rFonts w:eastAsia="Times New Roman"/>
                <w:i/>
                <w:color w:val="000000"/>
                <w:spacing w:val="-1"/>
                <w:lang w:val="fr-FR"/>
              </w:rPr>
            </w:pPr>
          </w:p>
          <w:p w14:paraId="4F4C28E2" w14:textId="06E62580" w:rsidR="001323B1" w:rsidRPr="00F56A0E" w:rsidRDefault="001323B1" w:rsidP="005E14FB">
            <w:pPr>
              <w:spacing w:line="230" w:lineRule="exact"/>
              <w:ind w:right="36"/>
              <w:textAlignment w:val="baseline"/>
              <w:rPr>
                <w:color w:val="000000"/>
                <w:spacing w:val="-1"/>
                <w:lang w:val="fr-FR"/>
              </w:rPr>
            </w:pPr>
            <w:r w:rsidRPr="00F56A0E">
              <w:rPr>
                <w:lang w:val="fr-FR"/>
              </w:rPr>
              <w:t>Les fiches de données de sécurité (FDS) des produits antiparasitaires typiques à base de terbufos, tels que Counter® 20G ou Terbufos 150, recommandent de confier les déchets à une entreprise agréée en vue de leur élimination par mise en décharge ou incinération, en tant que déchets dangereux. La méthode d</w:t>
            </w:r>
            <w:r w:rsidR="00870D0E" w:rsidRPr="00F56A0E">
              <w:rPr>
                <w:lang w:val="fr-FR"/>
              </w:rPr>
              <w:t>’</w:t>
            </w:r>
            <w:r w:rsidRPr="00F56A0E">
              <w:rPr>
                <w:lang w:val="fr-FR"/>
              </w:rPr>
              <w:t>élimination recommandée pour le Terbufos 150 est l</w:t>
            </w:r>
            <w:r w:rsidR="00870D0E" w:rsidRPr="00F56A0E">
              <w:rPr>
                <w:lang w:val="fr-FR"/>
              </w:rPr>
              <w:t>’</w:t>
            </w:r>
            <w:r w:rsidRPr="00F56A0E">
              <w:rPr>
                <w:lang w:val="fr-FR"/>
              </w:rPr>
              <w:t>incinération. Les indications relatives à la gestion et à l</w:t>
            </w:r>
            <w:r w:rsidR="00870D0E" w:rsidRPr="00F56A0E">
              <w:rPr>
                <w:lang w:val="fr-FR"/>
              </w:rPr>
              <w:t>’</w:t>
            </w:r>
            <w:r w:rsidRPr="00F56A0E">
              <w:rPr>
                <w:lang w:val="fr-FR"/>
              </w:rPr>
              <w:t>élimination des déchets précisent qu</w:t>
            </w:r>
            <w:r w:rsidR="00870D0E" w:rsidRPr="00F56A0E">
              <w:rPr>
                <w:lang w:val="fr-FR"/>
              </w:rPr>
              <w:t>’</w:t>
            </w:r>
            <w:r w:rsidRPr="00F56A0E">
              <w:rPr>
                <w:lang w:val="fr-FR"/>
              </w:rPr>
              <w:t>il ne faut pas déverser le produit dans les égouts et qu</w:t>
            </w:r>
            <w:r w:rsidR="00870D0E" w:rsidRPr="00F56A0E">
              <w:rPr>
                <w:lang w:val="fr-FR"/>
              </w:rPr>
              <w:t>’</w:t>
            </w:r>
            <w:r w:rsidRPr="00F56A0E">
              <w:rPr>
                <w:lang w:val="fr-FR"/>
              </w:rPr>
              <w:t>il faut éviter que le produit chimique ou les récipients utilisés ne contaminent les cultures, les pâturages, les rivières ou les bassins de retenue. Les récipients vides peuvent conserver des résidus de produit. Il est conseillé de ne pas réutiliser les récipients, de les rincer trois fois, de les rendre inutilisables en les écrasant et/ou en les perforant et de les confier à une entreprise agréée pour leur élimination sans danger par mise en décharge ou incinération. La nécessité de respecter toutes les législations locales applicables à l</w:t>
            </w:r>
            <w:r w:rsidR="00870D0E" w:rsidRPr="00F56A0E">
              <w:rPr>
                <w:lang w:val="fr-FR"/>
              </w:rPr>
              <w:t>’</w:t>
            </w:r>
            <w:r w:rsidRPr="00F56A0E">
              <w:rPr>
                <w:lang w:val="fr-FR"/>
              </w:rPr>
              <w:t>élimination des déchets est rappelée.</w:t>
            </w:r>
          </w:p>
          <w:p w14:paraId="37C94350" w14:textId="77777777" w:rsidR="001323B1" w:rsidRPr="00F56A0E" w:rsidRDefault="001323B1" w:rsidP="005E14FB">
            <w:pPr>
              <w:spacing w:line="230" w:lineRule="exact"/>
              <w:ind w:right="36"/>
              <w:textAlignment w:val="baseline"/>
              <w:rPr>
                <w:rFonts w:eastAsia="Times New Roman"/>
                <w:i/>
                <w:color w:val="000000"/>
                <w:spacing w:val="-1"/>
                <w:lang w:val="fr-FR"/>
              </w:rPr>
            </w:pPr>
          </w:p>
          <w:p w14:paraId="3F282C67" w14:textId="331DE30A" w:rsidR="001323B1" w:rsidRPr="00F56A0E" w:rsidRDefault="001323B1" w:rsidP="005E14FB">
            <w:pPr>
              <w:spacing w:line="230" w:lineRule="exact"/>
              <w:ind w:right="36"/>
              <w:textAlignment w:val="baseline"/>
              <w:rPr>
                <w:rFonts w:eastAsia="Times New Roman"/>
                <w:color w:val="000000"/>
                <w:spacing w:val="-1"/>
                <w:lang w:val="fr-FR"/>
              </w:rPr>
            </w:pPr>
            <w:r w:rsidRPr="00F56A0E">
              <w:rPr>
                <w:lang w:val="fr-FR"/>
              </w:rPr>
              <w:t>Counter® 20G - FDS</w:t>
            </w:r>
            <w:r w:rsidR="00157D75" w:rsidRPr="00F56A0E">
              <w:rPr>
                <w:lang w:val="fr-FR"/>
              </w:rPr>
              <w:t> :</w:t>
            </w:r>
            <w:r w:rsidRPr="00F56A0E">
              <w:rPr>
                <w:lang w:val="fr-FR"/>
              </w:rPr>
              <w:t xml:space="preserve"> https://s3-us-west-1.amazonaws.com/agrian-cg-fs1-production/pdfs/Counter_20G_Lock_n_Load_MSDS1n.pdf</w:t>
            </w:r>
          </w:p>
          <w:p w14:paraId="033C4B2E" w14:textId="77777777" w:rsidR="001323B1" w:rsidRPr="00F56A0E" w:rsidRDefault="001323B1" w:rsidP="005E14FB">
            <w:pPr>
              <w:spacing w:line="230" w:lineRule="exact"/>
              <w:ind w:right="36"/>
              <w:textAlignment w:val="baseline"/>
              <w:rPr>
                <w:lang w:val="fr-FR"/>
              </w:rPr>
            </w:pPr>
          </w:p>
          <w:p w14:paraId="3B1CDC6F" w14:textId="1CF34DAA" w:rsidR="001323B1" w:rsidRPr="00F56A0E" w:rsidRDefault="001323B1" w:rsidP="005E14FB">
            <w:pPr>
              <w:spacing w:line="230" w:lineRule="exact"/>
              <w:ind w:right="36"/>
              <w:textAlignment w:val="baseline"/>
              <w:rPr>
                <w:color w:val="000000"/>
                <w:spacing w:val="-1"/>
                <w:lang w:val="fr-FR"/>
              </w:rPr>
            </w:pPr>
            <w:r w:rsidRPr="00F56A0E">
              <w:rPr>
                <w:lang w:val="fr-FR"/>
              </w:rPr>
              <w:t>Terbufos 150 - FDS</w:t>
            </w:r>
            <w:r w:rsidR="00157D75" w:rsidRPr="00F56A0E">
              <w:rPr>
                <w:lang w:val="fr-FR"/>
              </w:rPr>
              <w:t> :</w:t>
            </w:r>
            <w:r w:rsidRPr="00F56A0E">
              <w:rPr>
                <w:lang w:val="fr-FR"/>
              </w:rPr>
              <w:t xml:space="preserve"> http://envirobiochem.co.za/Resources/productPDFs/Terbufos%20150_MSDS.pdf</w:t>
            </w:r>
          </w:p>
          <w:p w14:paraId="5D41550F" w14:textId="77777777" w:rsidR="001323B1" w:rsidRPr="00F56A0E" w:rsidRDefault="001323B1" w:rsidP="005E14FB">
            <w:pPr>
              <w:rPr>
                <w:sz w:val="22"/>
                <w:lang w:val="fr-FR"/>
              </w:rPr>
            </w:pPr>
          </w:p>
        </w:tc>
      </w:tr>
    </w:tbl>
    <w:p w14:paraId="09E02D27" w14:textId="77777777" w:rsidR="001323B1" w:rsidRPr="00F56A0E" w:rsidRDefault="001323B1" w:rsidP="001323B1">
      <w:pPr>
        <w:tabs>
          <w:tab w:val="left" w:pos="-720"/>
          <w:tab w:val="left" w:pos="0"/>
          <w:tab w:val="left" w:pos="720"/>
        </w:tabs>
        <w:suppressAutoHyphens/>
        <w:rPr>
          <w:lang w:val="fr-FR"/>
        </w:rPr>
      </w:pPr>
    </w:p>
    <w:tbl>
      <w:tblPr>
        <w:tblW w:w="9614" w:type="dxa"/>
        <w:tblInd w:w="-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614"/>
      </w:tblGrid>
      <w:tr w:rsidR="001323B1" w:rsidRPr="00F56A0E" w14:paraId="06F9DD08" w14:textId="77777777" w:rsidTr="003273F8">
        <w:tc>
          <w:tcPr>
            <w:tcW w:w="9614" w:type="dxa"/>
            <w:shd w:val="pct12" w:color="000000" w:fill="FFFFFF"/>
          </w:tcPr>
          <w:p w14:paraId="7830E624" w14:textId="77777777" w:rsidR="001323B1" w:rsidRPr="00F56A0E" w:rsidRDefault="001323B1" w:rsidP="005E14FB">
            <w:pPr>
              <w:keepNext/>
              <w:spacing w:before="40" w:after="60"/>
              <w:outlineLvl w:val="0"/>
              <w:rPr>
                <w:rFonts w:eastAsia="Times New Roman"/>
                <w:b/>
                <w:bCs/>
                <w:kern w:val="28"/>
                <w:szCs w:val="29"/>
                <w:lang w:val="fr-FR"/>
              </w:rPr>
            </w:pPr>
            <w:r w:rsidRPr="00F56A0E">
              <w:rPr>
                <w:lang w:val="fr-FR"/>
              </w:rPr>
              <w:t xml:space="preserve"> </w:t>
            </w:r>
            <w:r w:rsidRPr="00F56A0E">
              <w:rPr>
                <w:b/>
                <w:bCs/>
                <w:lang w:val="fr-FR"/>
              </w:rPr>
              <w:t>Annexes</w:t>
            </w:r>
          </w:p>
        </w:tc>
      </w:tr>
    </w:tbl>
    <w:p w14:paraId="3AA12963" w14:textId="77777777" w:rsidR="001323B1" w:rsidRPr="00F56A0E" w:rsidRDefault="001323B1" w:rsidP="001323B1">
      <w:pPr>
        <w:tabs>
          <w:tab w:val="left" w:pos="-720"/>
          <w:tab w:val="left" w:pos="0"/>
          <w:tab w:val="left" w:pos="720"/>
        </w:tabs>
        <w:suppressAutoHyphens/>
        <w:rPr>
          <w:rFonts w:eastAsia="Times New Roman"/>
          <w:sz w:val="10"/>
          <w:szCs w:val="10"/>
          <w:lang w:val="fr-FR" w:eastAsia="en-US"/>
        </w:rPr>
      </w:pPr>
    </w:p>
    <w:tbl>
      <w:tblPr>
        <w:tblW w:w="9639" w:type="dxa"/>
        <w:tblLayout w:type="fixed"/>
        <w:tblLook w:val="0000" w:firstRow="0" w:lastRow="0" w:firstColumn="0" w:lastColumn="0" w:noHBand="0" w:noVBand="0"/>
      </w:tblPr>
      <w:tblGrid>
        <w:gridCol w:w="1278"/>
        <w:gridCol w:w="8336"/>
        <w:gridCol w:w="25"/>
      </w:tblGrid>
      <w:tr w:rsidR="001323B1" w:rsidRPr="00F56A0E" w14:paraId="0644A84C" w14:textId="77777777" w:rsidTr="00A76290">
        <w:trPr>
          <w:cantSplit/>
        </w:trPr>
        <w:tc>
          <w:tcPr>
            <w:tcW w:w="1278" w:type="dxa"/>
          </w:tcPr>
          <w:p w14:paraId="53BD9E9E" w14:textId="77777777" w:rsidR="001323B1" w:rsidRPr="00F56A0E" w:rsidRDefault="001323B1" w:rsidP="005E14FB">
            <w:pPr>
              <w:spacing w:before="40" w:after="40"/>
              <w:rPr>
                <w:rFonts w:eastAsia="Times New Roman"/>
                <w:lang w:val="fr-FR"/>
              </w:rPr>
            </w:pPr>
            <w:r w:rsidRPr="00F56A0E">
              <w:rPr>
                <w:lang w:val="fr-FR"/>
              </w:rPr>
              <w:t>Annexe 1</w:t>
            </w:r>
          </w:p>
        </w:tc>
        <w:tc>
          <w:tcPr>
            <w:tcW w:w="8361" w:type="dxa"/>
            <w:gridSpan w:val="2"/>
          </w:tcPr>
          <w:p w14:paraId="2C7B0391" w14:textId="217BA39F" w:rsidR="001323B1" w:rsidRPr="00F56A0E" w:rsidRDefault="001323B1" w:rsidP="005E14FB">
            <w:pPr>
              <w:spacing w:before="40" w:after="40"/>
              <w:rPr>
                <w:rFonts w:eastAsia="Times New Roman"/>
                <w:b/>
                <w:lang w:val="fr-FR"/>
              </w:rPr>
            </w:pPr>
            <w:r w:rsidRPr="00F56A0E">
              <w:rPr>
                <w:b/>
                <w:bCs/>
                <w:lang w:val="fr-FR"/>
              </w:rPr>
              <w:t>Complément d</w:t>
            </w:r>
            <w:r w:rsidR="00870D0E" w:rsidRPr="00F56A0E">
              <w:rPr>
                <w:b/>
                <w:bCs/>
                <w:lang w:val="fr-FR"/>
              </w:rPr>
              <w:t>’</w:t>
            </w:r>
            <w:r w:rsidRPr="00F56A0E">
              <w:rPr>
                <w:b/>
                <w:bCs/>
                <w:lang w:val="fr-FR"/>
              </w:rPr>
              <w:t>information sur la substance</w:t>
            </w:r>
          </w:p>
        </w:tc>
      </w:tr>
      <w:tr w:rsidR="001323B1" w:rsidRPr="00F56A0E" w14:paraId="1B7E3C76" w14:textId="77777777" w:rsidTr="00A76290">
        <w:trPr>
          <w:cantSplit/>
        </w:trPr>
        <w:tc>
          <w:tcPr>
            <w:tcW w:w="1278" w:type="dxa"/>
          </w:tcPr>
          <w:p w14:paraId="12F91E30" w14:textId="77777777" w:rsidR="001323B1" w:rsidRPr="00F56A0E" w:rsidRDefault="001323B1" w:rsidP="005E14FB">
            <w:pPr>
              <w:spacing w:before="40" w:after="40"/>
              <w:rPr>
                <w:rFonts w:eastAsia="Times New Roman"/>
                <w:lang w:val="fr-FR"/>
              </w:rPr>
            </w:pPr>
            <w:r w:rsidRPr="00F56A0E">
              <w:rPr>
                <w:lang w:val="fr-FR"/>
              </w:rPr>
              <w:t>Annexe 2</w:t>
            </w:r>
          </w:p>
        </w:tc>
        <w:tc>
          <w:tcPr>
            <w:tcW w:w="8361" w:type="dxa"/>
            <w:gridSpan w:val="2"/>
          </w:tcPr>
          <w:p w14:paraId="7A07E236" w14:textId="77777777" w:rsidR="001323B1" w:rsidRPr="00F56A0E" w:rsidRDefault="001323B1" w:rsidP="005E14FB">
            <w:pPr>
              <w:spacing w:before="40" w:after="40"/>
              <w:rPr>
                <w:rFonts w:eastAsia="Times New Roman"/>
                <w:b/>
                <w:lang w:val="fr-FR"/>
              </w:rPr>
            </w:pPr>
            <w:r w:rsidRPr="00F56A0E">
              <w:rPr>
                <w:b/>
                <w:bCs/>
                <w:lang w:val="fr-FR"/>
              </w:rPr>
              <w:t>Détails des mesures de réglementation finales</w:t>
            </w:r>
          </w:p>
        </w:tc>
      </w:tr>
      <w:tr w:rsidR="001323B1" w:rsidRPr="00F56A0E" w14:paraId="21412B63" w14:textId="77777777" w:rsidTr="00A76290">
        <w:trPr>
          <w:cantSplit/>
        </w:trPr>
        <w:tc>
          <w:tcPr>
            <w:tcW w:w="1278" w:type="dxa"/>
          </w:tcPr>
          <w:p w14:paraId="54E244AC" w14:textId="77777777" w:rsidR="001323B1" w:rsidRPr="00F56A0E" w:rsidRDefault="001323B1" w:rsidP="005E14FB">
            <w:pPr>
              <w:spacing w:before="40" w:after="40"/>
              <w:rPr>
                <w:rFonts w:eastAsia="Times New Roman"/>
                <w:lang w:val="fr-FR"/>
              </w:rPr>
            </w:pPr>
            <w:r w:rsidRPr="00F56A0E">
              <w:rPr>
                <w:lang w:val="fr-FR"/>
              </w:rPr>
              <w:t>Annexe 3</w:t>
            </w:r>
          </w:p>
        </w:tc>
        <w:tc>
          <w:tcPr>
            <w:tcW w:w="8361" w:type="dxa"/>
            <w:gridSpan w:val="2"/>
          </w:tcPr>
          <w:p w14:paraId="0771511B" w14:textId="77777777" w:rsidR="001323B1" w:rsidRPr="00F56A0E" w:rsidRDefault="001323B1" w:rsidP="005E14FB">
            <w:pPr>
              <w:spacing w:before="40" w:after="40"/>
              <w:rPr>
                <w:rFonts w:eastAsia="Times New Roman"/>
                <w:b/>
                <w:lang w:val="fr-FR"/>
              </w:rPr>
            </w:pPr>
            <w:r w:rsidRPr="00F56A0E">
              <w:rPr>
                <w:b/>
                <w:bCs/>
                <w:lang w:val="fr-FR"/>
              </w:rPr>
              <w:t>Coordonnées des autorités nationales désignées</w:t>
            </w:r>
          </w:p>
        </w:tc>
      </w:tr>
      <w:tr w:rsidR="001323B1" w:rsidRPr="00F56A0E" w14:paraId="2BA35E98" w14:textId="77777777" w:rsidTr="00A76290">
        <w:trPr>
          <w:cantSplit/>
        </w:trPr>
        <w:tc>
          <w:tcPr>
            <w:tcW w:w="1278" w:type="dxa"/>
          </w:tcPr>
          <w:p w14:paraId="5C2A3FBE" w14:textId="77777777" w:rsidR="001323B1" w:rsidRPr="00F56A0E" w:rsidRDefault="001323B1" w:rsidP="005E14FB">
            <w:pPr>
              <w:spacing w:before="40" w:after="40"/>
              <w:rPr>
                <w:rFonts w:eastAsia="Times New Roman"/>
                <w:lang w:val="fr-FR"/>
              </w:rPr>
            </w:pPr>
            <w:r w:rsidRPr="00F56A0E">
              <w:rPr>
                <w:lang w:val="fr-FR"/>
              </w:rPr>
              <w:t>Annexe 4</w:t>
            </w:r>
          </w:p>
        </w:tc>
        <w:tc>
          <w:tcPr>
            <w:tcW w:w="8361" w:type="dxa"/>
            <w:gridSpan w:val="2"/>
          </w:tcPr>
          <w:p w14:paraId="5BDC4080" w14:textId="77777777" w:rsidR="001323B1" w:rsidRPr="00F56A0E" w:rsidRDefault="001323B1" w:rsidP="005E14FB">
            <w:pPr>
              <w:spacing w:before="40" w:after="40"/>
              <w:rPr>
                <w:rFonts w:eastAsia="Times New Roman"/>
                <w:b/>
                <w:bCs/>
                <w:lang w:val="fr-FR"/>
              </w:rPr>
            </w:pPr>
            <w:r w:rsidRPr="00F56A0E">
              <w:rPr>
                <w:b/>
                <w:bCs/>
                <w:lang w:val="fr-FR"/>
              </w:rPr>
              <w:t>Références</w:t>
            </w:r>
          </w:p>
        </w:tc>
      </w:tr>
      <w:tr w:rsidR="006F1716" w:rsidRPr="00F56A0E" w14:paraId="02661116" w14:textId="77777777" w:rsidTr="00A76290">
        <w:tblPrEx>
          <w:tblBorders>
            <w:top w:val="single" w:sz="6" w:space="0" w:color="808080"/>
            <w:left w:val="single" w:sz="6" w:space="0" w:color="808080"/>
            <w:bottom w:val="single" w:sz="6" w:space="0" w:color="808080"/>
            <w:right w:val="single" w:sz="6" w:space="0" w:color="808080"/>
          </w:tblBorders>
        </w:tblPrEx>
        <w:trPr>
          <w:gridAfter w:val="1"/>
          <w:wAfter w:w="25" w:type="dxa"/>
        </w:trPr>
        <w:tc>
          <w:tcPr>
            <w:tcW w:w="9614" w:type="dxa"/>
            <w:gridSpan w:val="2"/>
            <w:shd w:val="pct12" w:color="000000" w:fill="FFFFFF"/>
          </w:tcPr>
          <w:p w14:paraId="6E991922" w14:textId="157531CE" w:rsidR="006F1716" w:rsidRPr="00F56A0E" w:rsidRDefault="006F1716" w:rsidP="00D076A8">
            <w:pPr>
              <w:keepNext/>
              <w:spacing w:before="40" w:after="60"/>
              <w:outlineLvl w:val="0"/>
              <w:rPr>
                <w:rFonts w:eastAsia="Times New Roman"/>
                <w:b/>
                <w:bCs/>
                <w:kern w:val="28"/>
                <w:szCs w:val="29"/>
                <w:lang w:val="fr-FR"/>
              </w:rPr>
            </w:pPr>
            <w:r w:rsidRPr="00F56A0E">
              <w:rPr>
                <w:b/>
                <w:lang w:val="fr-FR"/>
              </w:rPr>
              <w:lastRenderedPageBreak/>
              <w:t>Annexe 1</w:t>
            </w:r>
            <w:r w:rsidRPr="00F56A0E">
              <w:rPr>
                <w:b/>
                <w:lang w:val="fr-FR"/>
              </w:rPr>
              <w:tab/>
            </w:r>
            <w:r w:rsidRPr="00F56A0E">
              <w:rPr>
                <w:b/>
                <w:lang w:val="fr-FR"/>
              </w:rPr>
              <w:tab/>
              <w:t>Complément d</w:t>
            </w:r>
            <w:r w:rsidR="00870D0E" w:rsidRPr="00F56A0E">
              <w:rPr>
                <w:b/>
                <w:lang w:val="fr-FR"/>
              </w:rPr>
              <w:t>’</w:t>
            </w:r>
            <w:r w:rsidRPr="00F56A0E">
              <w:rPr>
                <w:b/>
                <w:lang w:val="fr-FR"/>
              </w:rPr>
              <w:t>information sur la substance</w:t>
            </w:r>
          </w:p>
        </w:tc>
      </w:tr>
    </w:tbl>
    <w:p w14:paraId="20AA237B" w14:textId="77777777" w:rsidR="006F1716" w:rsidRPr="00F56A0E" w:rsidRDefault="006F1716" w:rsidP="006F1716">
      <w:pPr>
        <w:tabs>
          <w:tab w:val="left" w:pos="-720"/>
          <w:tab w:val="left" w:pos="0"/>
          <w:tab w:val="left" w:pos="720"/>
        </w:tabs>
        <w:suppressAutoHyphens/>
        <w:rPr>
          <w:rFonts w:eastAsia="Times New Roman"/>
          <w:lang w:val="fr-FR" w:eastAsia="en-US"/>
        </w:rPr>
      </w:pPr>
    </w:p>
    <w:p w14:paraId="3A1FD8CA" w14:textId="77777777" w:rsidR="006F1716" w:rsidRPr="00F56A0E" w:rsidRDefault="006F1716" w:rsidP="006F1716">
      <w:pPr>
        <w:spacing w:line="230" w:lineRule="exact"/>
        <w:ind w:right="505"/>
        <w:textAlignment w:val="baseline"/>
        <w:rPr>
          <w:rFonts w:eastAsia="Times New Roman"/>
          <w:color w:val="000000"/>
          <w:lang w:val="fr-FR"/>
        </w:rPr>
      </w:pPr>
      <w:r w:rsidRPr="00F56A0E">
        <w:rPr>
          <w:color w:val="000000"/>
          <w:lang w:val="fr-FR"/>
        </w:rPr>
        <w:t>Les informations fournies dans la présente annexe reprennent les conclusions des deux Parties ayant soumis des notifications, à savoir le Canada et le Mozambique. La notification du Canada a été publiée dans la circulaire PIC XXVII de juin 2008</w:t>
      </w:r>
      <w:r w:rsidRPr="00F56A0E">
        <w:rPr>
          <w:rStyle w:val="FootnoteReference"/>
          <w:rFonts w:eastAsia="Times New Roman"/>
          <w:color w:val="000000"/>
          <w:lang w:val="fr-FR"/>
        </w:rPr>
        <w:footnoteReference w:id="4"/>
      </w:r>
      <w:r w:rsidRPr="00F56A0E">
        <w:rPr>
          <w:color w:val="000000"/>
          <w:lang w:val="fr-FR"/>
        </w:rPr>
        <w:t>, et celle du Mozambique dans la circulaire PIC LI de juin 2020.</w:t>
      </w:r>
    </w:p>
    <w:p w14:paraId="72CC8337" w14:textId="0C49D013" w:rsidR="006F1716" w:rsidRPr="00F56A0E" w:rsidRDefault="006F1716" w:rsidP="006F1716">
      <w:pPr>
        <w:spacing w:before="124" w:line="230" w:lineRule="exact"/>
        <w:ind w:right="648"/>
        <w:textAlignment w:val="baseline"/>
        <w:rPr>
          <w:rFonts w:eastAsia="Times New Roman"/>
          <w:color w:val="000000"/>
          <w:lang w:val="fr-FR"/>
        </w:rPr>
      </w:pPr>
      <w:r w:rsidRPr="00F56A0E">
        <w:rPr>
          <w:color w:val="000000"/>
          <w:lang w:val="fr-FR"/>
        </w:rPr>
        <w:t>Dans la mesure du possible, les informations relatives aux dangers communiquées par les Parties à l</w:t>
      </w:r>
      <w:r w:rsidR="00870D0E" w:rsidRPr="00F56A0E">
        <w:rPr>
          <w:color w:val="000000"/>
          <w:lang w:val="fr-FR"/>
        </w:rPr>
        <w:t>’</w:t>
      </w:r>
      <w:r w:rsidRPr="00F56A0E">
        <w:rPr>
          <w:color w:val="000000"/>
          <w:lang w:val="fr-FR"/>
        </w:rPr>
        <w:t>origine des notifications ont été regroupées, tandis que les évaluations des risques, qui sont propres aux conditions rencontrées dans les pays concernés, sont présentées séparément. Ces informations sont tirées des documents indiqués en référence dans les notifications à l</w:t>
      </w:r>
      <w:r w:rsidR="00870D0E" w:rsidRPr="00F56A0E">
        <w:rPr>
          <w:color w:val="000000"/>
          <w:lang w:val="fr-FR"/>
        </w:rPr>
        <w:t>’</w:t>
      </w:r>
      <w:r w:rsidRPr="00F56A0E">
        <w:rPr>
          <w:color w:val="000000"/>
          <w:lang w:val="fr-FR"/>
        </w:rPr>
        <w:t>appui des mesures de réglementation finales visant à interdire le terbufos.</w:t>
      </w:r>
    </w:p>
    <w:p w14:paraId="2AD2B9E9" w14:textId="571906F8" w:rsidR="006F1716" w:rsidRPr="00F56A0E" w:rsidRDefault="006F1716" w:rsidP="006F1716">
      <w:pPr>
        <w:spacing w:before="113" w:line="231" w:lineRule="exact"/>
        <w:ind w:right="144"/>
        <w:textAlignment w:val="baseline"/>
        <w:rPr>
          <w:rFonts w:eastAsia="Times New Roman"/>
          <w:color w:val="000000"/>
          <w:lang w:val="fr-FR"/>
        </w:rPr>
      </w:pPr>
      <w:r w:rsidRPr="00F56A0E">
        <w:rPr>
          <w:color w:val="000000"/>
          <w:lang w:val="fr-FR"/>
        </w:rPr>
        <w:t>En outre, les données issues de la monographie de la JMPR (Réunion conjointe FAO/OMS sur les résidus de pesticides) relative à l</w:t>
      </w:r>
      <w:r w:rsidR="00870D0E" w:rsidRPr="00F56A0E">
        <w:rPr>
          <w:color w:val="000000"/>
          <w:lang w:val="fr-FR"/>
        </w:rPr>
        <w:t>’</w:t>
      </w:r>
      <w:r w:rsidRPr="00F56A0E">
        <w:rPr>
          <w:color w:val="000000"/>
          <w:lang w:val="fr-FR"/>
        </w:rPr>
        <w:t>évaluation toxicologique du terbufos, publiée en 2004, ainsi que d</w:t>
      </w:r>
      <w:r w:rsidR="00870D0E" w:rsidRPr="00F56A0E">
        <w:rPr>
          <w:color w:val="000000"/>
          <w:lang w:val="fr-FR"/>
        </w:rPr>
        <w:t>’</w:t>
      </w:r>
      <w:r w:rsidRPr="00F56A0E">
        <w:rPr>
          <w:color w:val="000000"/>
          <w:lang w:val="fr-FR"/>
        </w:rPr>
        <w:t>autres sources telles que PubChem, ont été prises en compte.</w:t>
      </w:r>
    </w:p>
    <w:p w14:paraId="7132ECE5" w14:textId="77777777" w:rsidR="006F1716" w:rsidRPr="00F56A0E" w:rsidRDefault="006F1716" w:rsidP="006F1716">
      <w:pPr>
        <w:spacing w:after="60"/>
        <w:rPr>
          <w:rFonts w:eastAsia="Times New Roman"/>
          <w:lang w:val="fr-FR" w:eastAsia="en-US"/>
        </w:rPr>
      </w:pPr>
    </w:p>
    <w:tbl>
      <w:tblPr>
        <w:tblW w:w="9639" w:type="dxa"/>
        <w:tblInd w:w="-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639"/>
      </w:tblGrid>
      <w:tr w:rsidR="006F1716" w:rsidRPr="00F56A0E" w14:paraId="0A597DC1" w14:textId="77777777" w:rsidTr="00D076A8">
        <w:trPr>
          <w:cantSplit/>
        </w:trPr>
        <w:tc>
          <w:tcPr>
            <w:tcW w:w="9639" w:type="dxa"/>
            <w:shd w:val="pct12" w:color="000000" w:fill="FFFFFF"/>
          </w:tcPr>
          <w:p w14:paraId="49B6F172" w14:textId="3FC48548" w:rsidR="006F1716" w:rsidRPr="00F56A0E" w:rsidRDefault="006F1716" w:rsidP="00D076A8">
            <w:pPr>
              <w:spacing w:before="40" w:after="60"/>
              <w:outlineLvl w:val="0"/>
              <w:rPr>
                <w:rFonts w:eastAsia="Times New Roman"/>
                <w:bCs/>
                <w:kern w:val="28"/>
                <w:szCs w:val="29"/>
                <w:lang w:val="fr-FR"/>
              </w:rPr>
            </w:pPr>
            <w:r w:rsidRPr="00F56A0E">
              <w:rPr>
                <w:lang w:val="fr-FR"/>
              </w:rPr>
              <w:br w:type="page"/>
            </w:r>
            <w:r w:rsidRPr="00F56A0E">
              <w:rPr>
                <w:b/>
                <w:lang w:val="fr-FR"/>
              </w:rPr>
              <w:br w:type="page"/>
              <w:t>Annexe 1 – Complément d</w:t>
            </w:r>
            <w:r w:rsidR="00870D0E" w:rsidRPr="00F56A0E">
              <w:rPr>
                <w:b/>
                <w:lang w:val="fr-FR"/>
              </w:rPr>
              <w:t>’</w:t>
            </w:r>
            <w:r w:rsidRPr="00F56A0E">
              <w:rPr>
                <w:b/>
                <w:lang w:val="fr-FR"/>
              </w:rPr>
              <w:t>information sur le terbufos</w:t>
            </w:r>
          </w:p>
        </w:tc>
      </w:tr>
    </w:tbl>
    <w:p w14:paraId="263A18B3" w14:textId="77777777" w:rsidR="006F1716" w:rsidRPr="00F56A0E" w:rsidRDefault="006F1716" w:rsidP="006F1716">
      <w:pPr>
        <w:tabs>
          <w:tab w:val="left" w:pos="-720"/>
          <w:tab w:val="left" w:pos="0"/>
          <w:tab w:val="left" w:pos="720"/>
        </w:tabs>
        <w:suppressAutoHyphens/>
        <w:rPr>
          <w:rFonts w:eastAsia="Times New Roman"/>
          <w:sz w:val="10"/>
          <w:szCs w:val="10"/>
          <w:lang w:val="fr-FR" w:eastAsia="en-US"/>
        </w:rPr>
      </w:pPr>
    </w:p>
    <w:tbl>
      <w:tblPr>
        <w:tblW w:w="9639" w:type="dxa"/>
        <w:tblLayout w:type="fixed"/>
        <w:tblLook w:val="0000" w:firstRow="0" w:lastRow="0" w:firstColumn="0" w:lastColumn="0" w:noHBand="0" w:noVBand="0"/>
      </w:tblPr>
      <w:tblGrid>
        <w:gridCol w:w="817"/>
        <w:gridCol w:w="1701"/>
        <w:gridCol w:w="7121"/>
      </w:tblGrid>
      <w:tr w:rsidR="006F1716" w:rsidRPr="00F56A0E" w14:paraId="469EF34F" w14:textId="77777777" w:rsidTr="00D076A8">
        <w:tc>
          <w:tcPr>
            <w:tcW w:w="817" w:type="dxa"/>
            <w:shd w:val="clear" w:color="auto" w:fill="auto"/>
          </w:tcPr>
          <w:p w14:paraId="1DD25EBA" w14:textId="77777777" w:rsidR="006F1716" w:rsidRPr="00F56A0E" w:rsidRDefault="006F1716" w:rsidP="00D076A8">
            <w:pPr>
              <w:outlineLvl w:val="1"/>
              <w:rPr>
                <w:rFonts w:eastAsia="Times New Roman"/>
                <w:szCs w:val="28"/>
                <w:lang w:val="fr-FR"/>
              </w:rPr>
            </w:pPr>
            <w:r w:rsidRPr="00F56A0E">
              <w:rPr>
                <w:lang w:val="fr-FR"/>
              </w:rPr>
              <w:t>1.</w:t>
            </w:r>
          </w:p>
        </w:tc>
        <w:tc>
          <w:tcPr>
            <w:tcW w:w="8822" w:type="dxa"/>
            <w:gridSpan w:val="2"/>
            <w:shd w:val="clear" w:color="auto" w:fill="auto"/>
          </w:tcPr>
          <w:p w14:paraId="2A88B4ED" w14:textId="77777777" w:rsidR="006F1716" w:rsidRPr="00F56A0E" w:rsidRDefault="006F1716" w:rsidP="00D076A8">
            <w:pPr>
              <w:outlineLvl w:val="1"/>
              <w:rPr>
                <w:rFonts w:eastAsia="Times New Roman"/>
                <w:szCs w:val="28"/>
                <w:lang w:val="fr-FR"/>
              </w:rPr>
            </w:pPr>
            <w:r w:rsidRPr="00F56A0E">
              <w:rPr>
                <w:lang w:val="fr-FR"/>
              </w:rPr>
              <w:t xml:space="preserve">Propriétés physico-chimiques </w:t>
            </w:r>
          </w:p>
          <w:p w14:paraId="5991BA25" w14:textId="77777777" w:rsidR="006F1716" w:rsidRPr="00F56A0E" w:rsidRDefault="006F1716" w:rsidP="00D076A8">
            <w:pPr>
              <w:outlineLvl w:val="1"/>
              <w:rPr>
                <w:rFonts w:eastAsia="Times New Roman"/>
                <w:i/>
                <w:szCs w:val="28"/>
                <w:lang w:val="fr-FR" w:eastAsia="en-US"/>
              </w:rPr>
            </w:pPr>
          </w:p>
        </w:tc>
      </w:tr>
      <w:tr w:rsidR="006F1716" w:rsidRPr="00F56A0E" w14:paraId="550AE163" w14:textId="77777777" w:rsidTr="00D076A8">
        <w:tc>
          <w:tcPr>
            <w:tcW w:w="817" w:type="dxa"/>
            <w:shd w:val="clear" w:color="auto" w:fill="auto"/>
          </w:tcPr>
          <w:p w14:paraId="5AE8FDAE" w14:textId="77777777" w:rsidR="006F1716" w:rsidRPr="00F56A0E" w:rsidRDefault="006F1716" w:rsidP="00D076A8">
            <w:pPr>
              <w:spacing w:after="60"/>
              <w:rPr>
                <w:rFonts w:eastAsia="Times New Roman"/>
                <w:lang w:val="fr-FR"/>
              </w:rPr>
            </w:pPr>
            <w:r w:rsidRPr="00F56A0E">
              <w:rPr>
                <w:lang w:val="fr-FR"/>
              </w:rPr>
              <w:t>1.1</w:t>
            </w:r>
          </w:p>
        </w:tc>
        <w:tc>
          <w:tcPr>
            <w:tcW w:w="1701" w:type="dxa"/>
            <w:shd w:val="clear" w:color="auto" w:fill="auto"/>
          </w:tcPr>
          <w:p w14:paraId="3758F033" w14:textId="77777777" w:rsidR="006F1716" w:rsidRPr="00F56A0E" w:rsidRDefault="006F1716" w:rsidP="00D076A8">
            <w:pPr>
              <w:rPr>
                <w:rFonts w:eastAsia="Times New Roman"/>
                <w:lang w:val="fr-FR"/>
              </w:rPr>
            </w:pPr>
            <w:r w:rsidRPr="00F56A0E">
              <w:rPr>
                <w:lang w:val="fr-FR"/>
              </w:rPr>
              <w:t>Identité</w:t>
            </w:r>
          </w:p>
        </w:tc>
        <w:tc>
          <w:tcPr>
            <w:tcW w:w="7121" w:type="dxa"/>
            <w:shd w:val="clear" w:color="auto" w:fill="auto"/>
          </w:tcPr>
          <w:p w14:paraId="6A03B542" w14:textId="6FF00410" w:rsidR="006F1716" w:rsidRPr="00F56A0E" w:rsidRDefault="006F1716" w:rsidP="00D076A8">
            <w:pPr>
              <w:rPr>
                <w:rFonts w:eastAsia="Times New Roman"/>
                <w:u w:val="single"/>
                <w:lang w:val="fr-FR"/>
              </w:rPr>
            </w:pPr>
            <w:r w:rsidRPr="00F56A0E">
              <w:rPr>
                <w:u w:val="single"/>
                <w:lang w:val="fr-FR"/>
              </w:rPr>
              <w:t>ISO</w:t>
            </w:r>
            <w:r w:rsidR="00157D75" w:rsidRPr="00F56A0E">
              <w:rPr>
                <w:lang w:val="fr-FR"/>
              </w:rPr>
              <w:t> :</w:t>
            </w:r>
            <w:r w:rsidRPr="00F56A0E">
              <w:rPr>
                <w:lang w:val="fr-FR"/>
              </w:rPr>
              <w:t xml:space="preserve"> Terbufos</w:t>
            </w:r>
          </w:p>
          <w:p w14:paraId="2B4D91ED" w14:textId="481FE095" w:rsidR="006F1716" w:rsidRPr="00F56A0E" w:rsidRDefault="006F1716" w:rsidP="00D076A8">
            <w:pPr>
              <w:rPr>
                <w:lang w:val="fr-FR"/>
              </w:rPr>
            </w:pPr>
            <w:r w:rsidRPr="00F56A0E">
              <w:rPr>
                <w:u w:val="single"/>
                <w:lang w:val="fr-FR"/>
              </w:rPr>
              <w:t>UICPA</w:t>
            </w:r>
            <w:r w:rsidR="00157D75" w:rsidRPr="00F56A0E">
              <w:rPr>
                <w:lang w:val="fr-FR"/>
              </w:rPr>
              <w:t> :</w:t>
            </w:r>
            <w:r w:rsidRPr="00F56A0E">
              <w:rPr>
                <w:lang w:val="fr-FR"/>
              </w:rPr>
              <w:t xml:space="preserve"> dithiophosphate de </w:t>
            </w:r>
            <w:r w:rsidRPr="00F56A0E">
              <w:rPr>
                <w:i/>
                <w:iCs/>
                <w:lang w:val="fr-FR"/>
              </w:rPr>
              <w:t>S</w:t>
            </w:r>
            <w:r w:rsidRPr="00F56A0E">
              <w:rPr>
                <w:lang w:val="fr-FR"/>
              </w:rPr>
              <w:t>-[(</w:t>
            </w:r>
            <w:r w:rsidRPr="00F56A0E">
              <w:rPr>
                <w:i/>
                <w:iCs/>
                <w:lang w:val="fr-FR"/>
              </w:rPr>
              <w:t>tert</w:t>
            </w:r>
            <w:r w:rsidRPr="00F56A0E">
              <w:rPr>
                <w:lang w:val="fr-FR"/>
              </w:rPr>
              <w:t xml:space="preserve">-butylthio)méthyle] et de </w:t>
            </w:r>
            <w:r w:rsidRPr="00F56A0E">
              <w:rPr>
                <w:i/>
                <w:iCs/>
                <w:lang w:val="fr-FR"/>
              </w:rPr>
              <w:t>O,O</w:t>
            </w:r>
            <w:r w:rsidRPr="00F56A0E">
              <w:rPr>
                <w:lang w:val="fr-FR"/>
              </w:rPr>
              <w:t>-diéthyle</w:t>
            </w:r>
          </w:p>
          <w:p w14:paraId="59E3E89E" w14:textId="7733EA1A" w:rsidR="006F1716" w:rsidRPr="00F56A0E" w:rsidRDefault="006F1716" w:rsidP="00D076A8">
            <w:pPr>
              <w:rPr>
                <w:lang w:val="fr-FR"/>
              </w:rPr>
            </w:pPr>
            <w:r w:rsidRPr="00F56A0E">
              <w:rPr>
                <w:u w:val="single"/>
                <w:lang w:val="fr-FR"/>
              </w:rPr>
              <w:t>CAS</w:t>
            </w:r>
            <w:r w:rsidR="00157D75" w:rsidRPr="00F56A0E">
              <w:rPr>
                <w:lang w:val="fr-FR"/>
              </w:rPr>
              <w:t> :</w:t>
            </w:r>
            <w:r w:rsidRPr="00F56A0E">
              <w:rPr>
                <w:lang w:val="fr-FR"/>
              </w:rPr>
              <w:t xml:space="preserve"> dithiophosphate de </w:t>
            </w:r>
            <w:r w:rsidRPr="00F56A0E">
              <w:rPr>
                <w:i/>
                <w:iCs/>
                <w:lang w:val="fr-FR"/>
              </w:rPr>
              <w:t>S</w:t>
            </w:r>
            <w:r w:rsidRPr="00F56A0E">
              <w:rPr>
                <w:lang w:val="fr-FR"/>
              </w:rPr>
              <w:t xml:space="preserve">-[[(1,1-diméthyléthyl)thio]méthyle] et de </w:t>
            </w:r>
            <w:r w:rsidRPr="00F56A0E">
              <w:rPr>
                <w:i/>
                <w:iCs/>
                <w:lang w:val="fr-FR"/>
              </w:rPr>
              <w:t>O,O</w:t>
            </w:r>
            <w:r w:rsidRPr="00F56A0E">
              <w:rPr>
                <w:lang w:val="fr-FR"/>
              </w:rPr>
              <w:t>-diéthyle</w:t>
            </w:r>
          </w:p>
          <w:p w14:paraId="175FE618" w14:textId="77777777" w:rsidR="006F1716" w:rsidRPr="00F56A0E" w:rsidRDefault="006F1716" w:rsidP="00D076A8">
            <w:pPr>
              <w:rPr>
                <w:rFonts w:eastAsia="Times New Roman"/>
                <w:lang w:val="fr-FR" w:eastAsia="en-US"/>
              </w:rPr>
            </w:pPr>
          </w:p>
        </w:tc>
      </w:tr>
      <w:tr w:rsidR="006F1716" w:rsidRPr="00F56A0E" w14:paraId="778B52F0" w14:textId="77777777" w:rsidTr="00D076A8">
        <w:tc>
          <w:tcPr>
            <w:tcW w:w="817" w:type="dxa"/>
            <w:shd w:val="clear" w:color="auto" w:fill="auto"/>
          </w:tcPr>
          <w:p w14:paraId="1D75756C" w14:textId="77777777" w:rsidR="006F1716" w:rsidRPr="00F56A0E" w:rsidRDefault="006F1716" w:rsidP="00D076A8">
            <w:pPr>
              <w:rPr>
                <w:rFonts w:eastAsia="Times New Roman"/>
                <w:lang w:val="fr-FR"/>
              </w:rPr>
            </w:pPr>
            <w:r w:rsidRPr="00F56A0E">
              <w:rPr>
                <w:lang w:val="fr-FR"/>
              </w:rPr>
              <w:t>1.2</w:t>
            </w:r>
          </w:p>
        </w:tc>
        <w:tc>
          <w:tcPr>
            <w:tcW w:w="1701" w:type="dxa"/>
            <w:shd w:val="clear" w:color="auto" w:fill="auto"/>
          </w:tcPr>
          <w:p w14:paraId="3E267DA3" w14:textId="77777777" w:rsidR="006F1716" w:rsidRPr="00F56A0E" w:rsidRDefault="006F1716" w:rsidP="00D076A8">
            <w:pPr>
              <w:rPr>
                <w:rFonts w:eastAsia="Times New Roman"/>
                <w:lang w:val="fr-FR"/>
              </w:rPr>
            </w:pPr>
            <w:r w:rsidRPr="00F56A0E">
              <w:rPr>
                <w:lang w:val="fr-FR"/>
              </w:rPr>
              <w:t>Formule moléculaire</w:t>
            </w:r>
          </w:p>
        </w:tc>
        <w:tc>
          <w:tcPr>
            <w:tcW w:w="7121" w:type="dxa"/>
            <w:shd w:val="clear" w:color="auto" w:fill="auto"/>
          </w:tcPr>
          <w:p w14:paraId="65AEA20A" w14:textId="77777777" w:rsidR="006F1716" w:rsidRPr="00F56A0E" w:rsidRDefault="006F1716" w:rsidP="00D076A8">
            <w:pPr>
              <w:rPr>
                <w:rFonts w:eastAsia="Times New Roman"/>
                <w:u w:val="single"/>
                <w:lang w:val="fr-FR"/>
              </w:rPr>
            </w:pPr>
            <w:r w:rsidRPr="00F56A0E">
              <w:rPr>
                <w:lang w:val="fr-FR"/>
              </w:rPr>
              <w:t>C</w:t>
            </w:r>
            <w:r w:rsidRPr="00F56A0E">
              <w:rPr>
                <w:vertAlign w:val="subscript"/>
                <w:lang w:val="fr-FR"/>
              </w:rPr>
              <w:t>9</w:t>
            </w:r>
            <w:r w:rsidRPr="00F56A0E">
              <w:rPr>
                <w:lang w:val="fr-FR"/>
              </w:rPr>
              <w:t>H</w:t>
            </w:r>
            <w:r w:rsidRPr="00F56A0E">
              <w:rPr>
                <w:vertAlign w:val="subscript"/>
                <w:lang w:val="fr-FR"/>
              </w:rPr>
              <w:t>21</w:t>
            </w:r>
            <w:r w:rsidRPr="00F56A0E">
              <w:rPr>
                <w:lang w:val="fr-FR"/>
              </w:rPr>
              <w:t>O</w:t>
            </w:r>
            <w:r w:rsidRPr="00F56A0E">
              <w:rPr>
                <w:vertAlign w:val="subscript"/>
                <w:lang w:val="fr-FR"/>
              </w:rPr>
              <w:t>2</w:t>
            </w:r>
            <w:r w:rsidRPr="00F56A0E">
              <w:rPr>
                <w:lang w:val="fr-FR"/>
              </w:rPr>
              <w:t>PS</w:t>
            </w:r>
            <w:r w:rsidRPr="00F56A0E">
              <w:rPr>
                <w:vertAlign w:val="subscript"/>
                <w:lang w:val="fr-FR"/>
              </w:rPr>
              <w:t>3</w:t>
            </w:r>
          </w:p>
        </w:tc>
      </w:tr>
      <w:tr w:rsidR="006F1716" w:rsidRPr="00F56A0E" w14:paraId="176A2E9F" w14:textId="77777777" w:rsidTr="00D076A8">
        <w:tc>
          <w:tcPr>
            <w:tcW w:w="817" w:type="dxa"/>
            <w:shd w:val="clear" w:color="auto" w:fill="auto"/>
          </w:tcPr>
          <w:p w14:paraId="36F9C450" w14:textId="77777777" w:rsidR="006F1716" w:rsidRPr="00F56A0E" w:rsidRDefault="006F1716" w:rsidP="00D076A8">
            <w:pPr>
              <w:rPr>
                <w:rFonts w:eastAsia="Times New Roman"/>
                <w:lang w:val="fr-FR"/>
              </w:rPr>
            </w:pPr>
            <w:r w:rsidRPr="00F56A0E">
              <w:rPr>
                <w:lang w:val="fr-FR"/>
              </w:rPr>
              <w:t>1.3</w:t>
            </w:r>
          </w:p>
        </w:tc>
        <w:tc>
          <w:tcPr>
            <w:tcW w:w="1701" w:type="dxa"/>
            <w:shd w:val="clear" w:color="auto" w:fill="auto"/>
          </w:tcPr>
          <w:p w14:paraId="26ED061C" w14:textId="77777777" w:rsidR="006F1716" w:rsidRPr="00F56A0E" w:rsidRDefault="006F1716" w:rsidP="00D076A8">
            <w:pPr>
              <w:rPr>
                <w:rFonts w:eastAsia="Times New Roman"/>
                <w:lang w:val="fr-FR"/>
              </w:rPr>
            </w:pPr>
            <w:r w:rsidRPr="00F56A0E">
              <w:rPr>
                <w:lang w:val="fr-FR"/>
              </w:rPr>
              <w:t>Poids moléculaire</w:t>
            </w:r>
          </w:p>
          <w:p w14:paraId="6E1019DD" w14:textId="77777777" w:rsidR="006F1716" w:rsidRPr="00F56A0E" w:rsidRDefault="006F1716" w:rsidP="00D076A8">
            <w:pPr>
              <w:rPr>
                <w:rFonts w:eastAsia="Times New Roman"/>
                <w:lang w:val="fr-FR" w:eastAsia="en-US"/>
              </w:rPr>
            </w:pPr>
          </w:p>
        </w:tc>
        <w:tc>
          <w:tcPr>
            <w:tcW w:w="7121" w:type="dxa"/>
            <w:shd w:val="clear" w:color="auto" w:fill="auto"/>
          </w:tcPr>
          <w:p w14:paraId="7ABD2E3D" w14:textId="77777777" w:rsidR="006F1716" w:rsidRPr="00F56A0E" w:rsidRDefault="006F1716" w:rsidP="00D076A8">
            <w:pPr>
              <w:rPr>
                <w:rFonts w:eastAsia="Times New Roman"/>
                <w:lang w:val="fr-FR"/>
              </w:rPr>
            </w:pPr>
            <w:r w:rsidRPr="00F56A0E">
              <w:rPr>
                <w:lang w:val="fr-FR"/>
              </w:rPr>
              <w:t>288,43 g/mol</w:t>
            </w:r>
          </w:p>
          <w:p w14:paraId="46A3DD36" w14:textId="77777777" w:rsidR="006F1716" w:rsidRPr="00F56A0E" w:rsidRDefault="006F1716" w:rsidP="00D076A8">
            <w:pPr>
              <w:rPr>
                <w:rFonts w:eastAsia="Times New Roman"/>
                <w:u w:val="single"/>
                <w:lang w:val="fr-FR" w:eastAsia="en-US"/>
              </w:rPr>
            </w:pPr>
          </w:p>
        </w:tc>
      </w:tr>
      <w:tr w:rsidR="006F1716" w:rsidRPr="00F56A0E" w14:paraId="4539090C" w14:textId="77777777" w:rsidTr="00D076A8">
        <w:tc>
          <w:tcPr>
            <w:tcW w:w="817" w:type="dxa"/>
            <w:shd w:val="clear" w:color="auto" w:fill="auto"/>
          </w:tcPr>
          <w:p w14:paraId="5F8B409C" w14:textId="77777777" w:rsidR="006F1716" w:rsidRPr="00F56A0E" w:rsidRDefault="006F1716" w:rsidP="00D076A8">
            <w:pPr>
              <w:spacing w:after="60"/>
              <w:rPr>
                <w:rFonts w:eastAsia="Times New Roman"/>
                <w:lang w:val="fr-FR"/>
              </w:rPr>
            </w:pPr>
            <w:r w:rsidRPr="00F56A0E">
              <w:rPr>
                <w:lang w:val="fr-FR"/>
              </w:rPr>
              <w:t>1.4</w:t>
            </w:r>
          </w:p>
        </w:tc>
        <w:tc>
          <w:tcPr>
            <w:tcW w:w="1701" w:type="dxa"/>
            <w:shd w:val="clear" w:color="auto" w:fill="auto"/>
          </w:tcPr>
          <w:p w14:paraId="7C3A7902" w14:textId="77777777" w:rsidR="006F1716" w:rsidRPr="00F56A0E" w:rsidRDefault="006F1716" w:rsidP="00D076A8">
            <w:pPr>
              <w:rPr>
                <w:rFonts w:eastAsia="Times New Roman"/>
                <w:lang w:val="fr-FR"/>
              </w:rPr>
            </w:pPr>
            <w:r w:rsidRPr="00F56A0E">
              <w:rPr>
                <w:lang w:val="fr-FR"/>
              </w:rPr>
              <w:t>Couleur et texture</w:t>
            </w:r>
          </w:p>
        </w:tc>
        <w:tc>
          <w:tcPr>
            <w:tcW w:w="7121" w:type="dxa"/>
            <w:shd w:val="clear" w:color="auto" w:fill="auto"/>
          </w:tcPr>
          <w:p w14:paraId="6A4147D9" w14:textId="77777777" w:rsidR="006F1716" w:rsidRPr="00F56A0E" w:rsidRDefault="006F1716" w:rsidP="00D076A8">
            <w:pPr>
              <w:rPr>
                <w:rFonts w:eastAsia="Times New Roman"/>
                <w:lang w:val="fr-FR" w:eastAsia="en-US"/>
              </w:rPr>
            </w:pPr>
          </w:p>
          <w:p w14:paraId="656E2F10" w14:textId="77777777" w:rsidR="006F1716" w:rsidRPr="00F56A0E" w:rsidRDefault="006F1716" w:rsidP="00D076A8">
            <w:pPr>
              <w:rPr>
                <w:rFonts w:eastAsia="Times New Roman"/>
                <w:lang w:val="fr-FR"/>
              </w:rPr>
            </w:pPr>
            <w:r w:rsidRPr="00F56A0E">
              <w:rPr>
                <w:lang w:val="fr-FR"/>
              </w:rPr>
              <w:t>Incolore à jaune pâle avec une odeur de mercaptan</w:t>
            </w:r>
          </w:p>
          <w:p w14:paraId="4F1073D8" w14:textId="77777777" w:rsidR="006F1716" w:rsidRPr="00F56A0E" w:rsidRDefault="006F1716" w:rsidP="00D076A8">
            <w:pPr>
              <w:rPr>
                <w:rFonts w:eastAsia="Times New Roman"/>
                <w:u w:val="single"/>
                <w:lang w:val="fr-FR" w:eastAsia="en-US"/>
              </w:rPr>
            </w:pPr>
          </w:p>
        </w:tc>
      </w:tr>
      <w:tr w:rsidR="006F1716" w:rsidRPr="00F56A0E" w14:paraId="5668BB0A" w14:textId="77777777" w:rsidTr="00D076A8">
        <w:tc>
          <w:tcPr>
            <w:tcW w:w="817" w:type="dxa"/>
            <w:shd w:val="clear" w:color="auto" w:fill="auto"/>
          </w:tcPr>
          <w:p w14:paraId="381CFA8F" w14:textId="77777777" w:rsidR="006F1716" w:rsidRPr="00F56A0E" w:rsidRDefault="006F1716" w:rsidP="00D076A8">
            <w:pPr>
              <w:rPr>
                <w:rFonts w:eastAsia="Times New Roman"/>
                <w:lang w:val="fr-FR"/>
              </w:rPr>
            </w:pPr>
            <w:r w:rsidRPr="00F56A0E">
              <w:rPr>
                <w:lang w:val="fr-FR"/>
              </w:rPr>
              <w:t>1.5</w:t>
            </w:r>
          </w:p>
        </w:tc>
        <w:tc>
          <w:tcPr>
            <w:tcW w:w="1701" w:type="dxa"/>
            <w:shd w:val="clear" w:color="auto" w:fill="auto"/>
          </w:tcPr>
          <w:p w14:paraId="4AC51AB0" w14:textId="77777777" w:rsidR="006F1716" w:rsidRPr="00F56A0E" w:rsidRDefault="006F1716" w:rsidP="00D076A8">
            <w:pPr>
              <w:rPr>
                <w:rFonts w:eastAsia="Times New Roman"/>
                <w:lang w:val="fr-FR"/>
              </w:rPr>
            </w:pPr>
            <w:r w:rsidRPr="00F56A0E">
              <w:rPr>
                <w:lang w:val="fr-FR"/>
              </w:rPr>
              <w:t>Point de fusion</w:t>
            </w:r>
          </w:p>
          <w:p w14:paraId="069DAA82" w14:textId="77777777" w:rsidR="006F1716" w:rsidRPr="00F56A0E" w:rsidRDefault="006F1716" w:rsidP="00D076A8">
            <w:pPr>
              <w:rPr>
                <w:rFonts w:eastAsia="Times New Roman"/>
                <w:lang w:val="fr-FR" w:eastAsia="en-US"/>
              </w:rPr>
            </w:pPr>
          </w:p>
        </w:tc>
        <w:tc>
          <w:tcPr>
            <w:tcW w:w="7121" w:type="dxa"/>
            <w:shd w:val="clear" w:color="auto" w:fill="auto"/>
          </w:tcPr>
          <w:p w14:paraId="69A2E529" w14:textId="77777777" w:rsidR="006F1716" w:rsidRPr="00F56A0E" w:rsidRDefault="006F1716" w:rsidP="00D076A8">
            <w:pPr>
              <w:rPr>
                <w:rFonts w:eastAsia="Times New Roman"/>
                <w:lang w:val="fr-FR"/>
              </w:rPr>
            </w:pPr>
            <w:r w:rsidRPr="00F56A0E">
              <w:rPr>
                <w:lang w:val="fr-FR"/>
              </w:rPr>
              <w:t>Le produit est liquide à température ambiante</w:t>
            </w:r>
          </w:p>
          <w:p w14:paraId="293E4EFB" w14:textId="77777777" w:rsidR="006F1716" w:rsidRPr="00F56A0E" w:rsidRDefault="006F1716" w:rsidP="00D076A8">
            <w:pPr>
              <w:rPr>
                <w:rFonts w:eastAsia="Times New Roman"/>
                <w:u w:val="single"/>
                <w:lang w:val="fr-FR" w:eastAsia="en-US"/>
              </w:rPr>
            </w:pPr>
          </w:p>
        </w:tc>
      </w:tr>
      <w:tr w:rsidR="006F1716" w:rsidRPr="00F56A0E" w14:paraId="2B4DC8C3" w14:textId="77777777" w:rsidTr="00D076A8">
        <w:tc>
          <w:tcPr>
            <w:tcW w:w="817" w:type="dxa"/>
            <w:shd w:val="clear" w:color="auto" w:fill="auto"/>
          </w:tcPr>
          <w:p w14:paraId="0ADC4FE5" w14:textId="77777777" w:rsidR="006F1716" w:rsidRPr="00F56A0E" w:rsidRDefault="006F1716" w:rsidP="00D076A8">
            <w:pPr>
              <w:rPr>
                <w:rFonts w:eastAsia="Times New Roman"/>
                <w:lang w:val="fr-FR"/>
              </w:rPr>
            </w:pPr>
            <w:r w:rsidRPr="00F56A0E">
              <w:rPr>
                <w:lang w:val="fr-FR"/>
              </w:rPr>
              <w:t>1.6</w:t>
            </w:r>
          </w:p>
        </w:tc>
        <w:tc>
          <w:tcPr>
            <w:tcW w:w="1701" w:type="dxa"/>
            <w:shd w:val="clear" w:color="auto" w:fill="auto"/>
          </w:tcPr>
          <w:p w14:paraId="40F1AED3" w14:textId="549E8D28" w:rsidR="006F1716" w:rsidRPr="00F56A0E" w:rsidRDefault="006F1716" w:rsidP="00D076A8">
            <w:pPr>
              <w:rPr>
                <w:rFonts w:eastAsia="Times New Roman"/>
                <w:lang w:val="fr-FR"/>
              </w:rPr>
            </w:pPr>
            <w:r w:rsidRPr="00F56A0E">
              <w:rPr>
                <w:lang w:val="fr-FR"/>
              </w:rPr>
              <w:t>Point d</w:t>
            </w:r>
            <w:r w:rsidR="00870D0E" w:rsidRPr="00F56A0E">
              <w:rPr>
                <w:lang w:val="fr-FR"/>
              </w:rPr>
              <w:t>’</w:t>
            </w:r>
            <w:r w:rsidRPr="00F56A0E">
              <w:rPr>
                <w:lang w:val="fr-FR"/>
              </w:rPr>
              <w:t>ébullition</w:t>
            </w:r>
          </w:p>
          <w:p w14:paraId="12CCBC0E" w14:textId="77777777" w:rsidR="006F1716" w:rsidRPr="00F56A0E" w:rsidRDefault="006F1716" w:rsidP="00D076A8">
            <w:pPr>
              <w:rPr>
                <w:rFonts w:eastAsia="Times New Roman"/>
                <w:lang w:val="fr-FR" w:eastAsia="en-US"/>
              </w:rPr>
            </w:pPr>
          </w:p>
        </w:tc>
        <w:tc>
          <w:tcPr>
            <w:tcW w:w="7121" w:type="dxa"/>
            <w:shd w:val="clear" w:color="auto" w:fill="auto"/>
          </w:tcPr>
          <w:p w14:paraId="53573209" w14:textId="77777777" w:rsidR="006F1716" w:rsidRPr="00F56A0E" w:rsidRDefault="006F1716" w:rsidP="00D076A8">
            <w:pPr>
              <w:rPr>
                <w:rFonts w:eastAsia="Times New Roman"/>
                <w:lang w:val="fr-FR"/>
              </w:rPr>
            </w:pPr>
            <w:r w:rsidRPr="00F56A0E">
              <w:rPr>
                <w:lang w:val="fr-FR"/>
              </w:rPr>
              <w:t xml:space="preserve">55 °C à 0,02 mm Hg </w:t>
            </w:r>
          </w:p>
          <w:p w14:paraId="53277203" w14:textId="77777777" w:rsidR="006F1716" w:rsidRPr="00F56A0E" w:rsidRDefault="006F1716" w:rsidP="00D076A8">
            <w:pPr>
              <w:rPr>
                <w:rFonts w:eastAsia="Times New Roman"/>
                <w:u w:val="single"/>
                <w:lang w:val="fr-FR" w:eastAsia="en-US"/>
              </w:rPr>
            </w:pPr>
          </w:p>
        </w:tc>
      </w:tr>
      <w:tr w:rsidR="006F1716" w:rsidRPr="00F56A0E" w14:paraId="197B4B13" w14:textId="77777777" w:rsidTr="00D076A8">
        <w:tc>
          <w:tcPr>
            <w:tcW w:w="817" w:type="dxa"/>
            <w:shd w:val="clear" w:color="auto" w:fill="auto"/>
          </w:tcPr>
          <w:p w14:paraId="621BBB5A" w14:textId="77777777" w:rsidR="006F1716" w:rsidRPr="00F56A0E" w:rsidRDefault="006F1716" w:rsidP="00D076A8">
            <w:pPr>
              <w:rPr>
                <w:rFonts w:eastAsia="Times New Roman"/>
                <w:lang w:val="fr-FR"/>
              </w:rPr>
            </w:pPr>
            <w:r w:rsidRPr="00F56A0E">
              <w:rPr>
                <w:lang w:val="fr-FR"/>
              </w:rPr>
              <w:t>1.7</w:t>
            </w:r>
          </w:p>
        </w:tc>
        <w:tc>
          <w:tcPr>
            <w:tcW w:w="1701" w:type="dxa"/>
            <w:shd w:val="clear" w:color="auto" w:fill="auto"/>
          </w:tcPr>
          <w:p w14:paraId="5CEF55B8" w14:textId="77777777" w:rsidR="006F1716" w:rsidRPr="00F56A0E" w:rsidRDefault="006F1716" w:rsidP="00D076A8">
            <w:pPr>
              <w:rPr>
                <w:rFonts w:eastAsia="Times New Roman"/>
                <w:lang w:val="fr-FR"/>
              </w:rPr>
            </w:pPr>
            <w:r w:rsidRPr="00F56A0E">
              <w:rPr>
                <w:lang w:val="fr-FR"/>
              </w:rPr>
              <w:t>Tension de vapeur</w:t>
            </w:r>
          </w:p>
        </w:tc>
        <w:tc>
          <w:tcPr>
            <w:tcW w:w="7121" w:type="dxa"/>
            <w:shd w:val="clear" w:color="auto" w:fill="auto"/>
          </w:tcPr>
          <w:p w14:paraId="64B84E81" w14:textId="77777777" w:rsidR="006F1716" w:rsidRPr="00F56A0E" w:rsidRDefault="006F1716" w:rsidP="00D076A8">
            <w:pPr>
              <w:rPr>
                <w:rFonts w:eastAsia="Times New Roman"/>
                <w:lang w:val="fr-FR"/>
              </w:rPr>
            </w:pPr>
            <w:r w:rsidRPr="00F56A0E">
              <w:rPr>
                <w:lang w:val="fr-FR"/>
              </w:rPr>
              <w:t>3,16 x 10</w:t>
            </w:r>
            <w:r w:rsidRPr="00F56A0E">
              <w:rPr>
                <w:vertAlign w:val="superscript"/>
                <w:lang w:val="fr-FR"/>
              </w:rPr>
              <w:t>-4</w:t>
            </w:r>
            <w:r w:rsidRPr="00F56A0E">
              <w:rPr>
                <w:lang w:val="fr-FR"/>
              </w:rPr>
              <w:t xml:space="preserve"> mm Hg à 25 °C </w:t>
            </w:r>
            <w:r w:rsidRPr="00F56A0E">
              <w:rPr>
                <w:lang w:val="fr-FR"/>
              </w:rPr>
              <w:br/>
              <w:t>6,98 x 10</w:t>
            </w:r>
            <w:r w:rsidRPr="00F56A0E">
              <w:rPr>
                <w:vertAlign w:val="superscript"/>
                <w:lang w:val="fr-FR"/>
              </w:rPr>
              <w:t>-4</w:t>
            </w:r>
            <w:r w:rsidRPr="00F56A0E">
              <w:rPr>
                <w:lang w:val="fr-FR"/>
              </w:rPr>
              <w:t xml:space="preserve"> mm Hg à 35 °C </w:t>
            </w:r>
            <w:r w:rsidRPr="00F56A0E">
              <w:rPr>
                <w:lang w:val="fr-FR"/>
              </w:rPr>
              <w:br/>
              <w:t>12,4 x 10</w:t>
            </w:r>
            <w:r w:rsidRPr="00F56A0E">
              <w:rPr>
                <w:vertAlign w:val="superscript"/>
                <w:lang w:val="fr-FR"/>
              </w:rPr>
              <w:t>-4</w:t>
            </w:r>
            <w:r w:rsidRPr="00F56A0E">
              <w:rPr>
                <w:lang w:val="fr-FR"/>
              </w:rPr>
              <w:t xml:space="preserve"> mm Hg à 45 °C</w:t>
            </w:r>
          </w:p>
          <w:p w14:paraId="0DA8A2D4" w14:textId="77777777" w:rsidR="006F1716" w:rsidRPr="00F56A0E" w:rsidRDefault="006F1716" w:rsidP="00D076A8">
            <w:pPr>
              <w:rPr>
                <w:rFonts w:eastAsia="Times New Roman"/>
                <w:u w:val="single"/>
                <w:lang w:val="fr-FR" w:eastAsia="en-US"/>
              </w:rPr>
            </w:pPr>
          </w:p>
        </w:tc>
      </w:tr>
      <w:tr w:rsidR="006F1716" w:rsidRPr="00F56A0E" w14:paraId="1533FBEB" w14:textId="77777777" w:rsidTr="00D076A8">
        <w:tc>
          <w:tcPr>
            <w:tcW w:w="817" w:type="dxa"/>
            <w:shd w:val="clear" w:color="auto" w:fill="auto"/>
          </w:tcPr>
          <w:p w14:paraId="29FBEA40" w14:textId="77777777" w:rsidR="006F1716" w:rsidRPr="00F56A0E" w:rsidRDefault="006F1716" w:rsidP="00D076A8">
            <w:pPr>
              <w:rPr>
                <w:rFonts w:eastAsia="Times New Roman"/>
                <w:lang w:val="fr-FR"/>
              </w:rPr>
            </w:pPr>
            <w:r w:rsidRPr="00F56A0E">
              <w:rPr>
                <w:lang w:val="fr-FR"/>
              </w:rPr>
              <w:t>1.8</w:t>
            </w:r>
          </w:p>
        </w:tc>
        <w:tc>
          <w:tcPr>
            <w:tcW w:w="1701" w:type="dxa"/>
            <w:shd w:val="clear" w:color="auto" w:fill="auto"/>
          </w:tcPr>
          <w:p w14:paraId="405664A1" w14:textId="77777777" w:rsidR="006F1716" w:rsidRPr="00F56A0E" w:rsidRDefault="006F1716" w:rsidP="00D076A8">
            <w:pPr>
              <w:rPr>
                <w:rFonts w:eastAsia="Times New Roman"/>
                <w:lang w:val="fr-FR"/>
              </w:rPr>
            </w:pPr>
            <w:r w:rsidRPr="00F56A0E">
              <w:rPr>
                <w:lang w:val="fr-FR"/>
              </w:rPr>
              <w:t>Constante de Henry</w:t>
            </w:r>
          </w:p>
          <w:p w14:paraId="4D5F43FD" w14:textId="77777777" w:rsidR="006F1716" w:rsidRPr="00F56A0E" w:rsidRDefault="006F1716" w:rsidP="00D076A8">
            <w:pPr>
              <w:rPr>
                <w:rFonts w:eastAsia="Times New Roman"/>
                <w:lang w:val="fr-FR" w:eastAsia="en-US"/>
              </w:rPr>
            </w:pPr>
          </w:p>
        </w:tc>
        <w:tc>
          <w:tcPr>
            <w:tcW w:w="7121" w:type="dxa"/>
            <w:shd w:val="clear" w:color="auto" w:fill="auto"/>
          </w:tcPr>
          <w:p w14:paraId="5AC01008" w14:textId="77777777" w:rsidR="006F1716" w:rsidRPr="00F56A0E" w:rsidRDefault="006F1716" w:rsidP="00D076A8">
            <w:pPr>
              <w:rPr>
                <w:rFonts w:eastAsia="Times New Roman"/>
                <w:highlight w:val="yellow"/>
                <w:lang w:val="fr-FR"/>
              </w:rPr>
            </w:pPr>
            <w:r w:rsidRPr="00F56A0E">
              <w:rPr>
                <w:lang w:val="fr-FR"/>
              </w:rPr>
              <w:t>0,000024 atm.m</w:t>
            </w:r>
            <w:r w:rsidRPr="00F56A0E">
              <w:rPr>
                <w:vertAlign w:val="superscript"/>
                <w:lang w:val="fr-FR"/>
              </w:rPr>
              <w:t>3</w:t>
            </w:r>
            <w:r w:rsidRPr="00F56A0E">
              <w:rPr>
                <w:lang w:val="fr-FR"/>
              </w:rPr>
              <w:t>/mol, calculée à partir de sa tension de vapeur à 25 °C, à savoir 3,16 x 10</w:t>
            </w:r>
            <w:r w:rsidRPr="00F56A0E">
              <w:rPr>
                <w:vertAlign w:val="superscript"/>
                <w:lang w:val="fr-FR"/>
              </w:rPr>
              <w:t>-4</w:t>
            </w:r>
            <w:r w:rsidRPr="00F56A0E">
              <w:rPr>
                <w:lang w:val="fr-FR"/>
              </w:rPr>
              <w:t xml:space="preserve"> mm Hg </w:t>
            </w:r>
          </w:p>
        </w:tc>
      </w:tr>
      <w:tr w:rsidR="006F1716" w:rsidRPr="00F56A0E" w14:paraId="4632074D" w14:textId="77777777" w:rsidTr="00D076A8">
        <w:tc>
          <w:tcPr>
            <w:tcW w:w="817" w:type="dxa"/>
            <w:shd w:val="clear" w:color="auto" w:fill="auto"/>
          </w:tcPr>
          <w:p w14:paraId="06542743" w14:textId="77777777" w:rsidR="006F1716" w:rsidRPr="00F56A0E" w:rsidRDefault="006F1716" w:rsidP="00D076A8">
            <w:pPr>
              <w:rPr>
                <w:rFonts w:eastAsia="Times New Roman"/>
                <w:lang w:val="fr-FR"/>
              </w:rPr>
            </w:pPr>
            <w:r w:rsidRPr="00F56A0E">
              <w:rPr>
                <w:lang w:val="fr-FR"/>
              </w:rPr>
              <w:t>1.9</w:t>
            </w:r>
          </w:p>
        </w:tc>
        <w:tc>
          <w:tcPr>
            <w:tcW w:w="1701" w:type="dxa"/>
            <w:shd w:val="clear" w:color="auto" w:fill="auto"/>
          </w:tcPr>
          <w:p w14:paraId="6572F45A" w14:textId="77777777" w:rsidR="006F1716" w:rsidRPr="00F56A0E" w:rsidRDefault="006F1716" w:rsidP="00D076A8">
            <w:pPr>
              <w:rPr>
                <w:rFonts w:eastAsia="Times New Roman"/>
                <w:lang w:val="fr-FR"/>
              </w:rPr>
            </w:pPr>
            <w:r w:rsidRPr="00F56A0E">
              <w:rPr>
                <w:lang w:val="fr-FR"/>
              </w:rPr>
              <w:t>Densité relative</w:t>
            </w:r>
          </w:p>
          <w:p w14:paraId="061517AF" w14:textId="77777777" w:rsidR="006F1716" w:rsidRPr="00F56A0E" w:rsidRDefault="006F1716" w:rsidP="00D076A8">
            <w:pPr>
              <w:rPr>
                <w:rFonts w:eastAsia="Times New Roman"/>
                <w:lang w:val="fr-FR" w:eastAsia="en-US"/>
              </w:rPr>
            </w:pPr>
          </w:p>
        </w:tc>
        <w:tc>
          <w:tcPr>
            <w:tcW w:w="7121" w:type="dxa"/>
            <w:shd w:val="clear" w:color="auto" w:fill="auto"/>
          </w:tcPr>
          <w:p w14:paraId="723A5922" w14:textId="77777777" w:rsidR="006F1716" w:rsidRPr="00F56A0E" w:rsidRDefault="006F1716" w:rsidP="00D076A8">
            <w:pPr>
              <w:rPr>
                <w:rFonts w:eastAsia="Times New Roman"/>
                <w:lang w:val="fr-FR"/>
              </w:rPr>
            </w:pPr>
            <w:r w:rsidRPr="00F56A0E">
              <w:rPr>
                <w:lang w:val="fr-FR"/>
              </w:rPr>
              <w:t>1,11 à 20 °C</w:t>
            </w:r>
          </w:p>
          <w:p w14:paraId="437A4EE9" w14:textId="77777777" w:rsidR="006F1716" w:rsidRPr="00F56A0E" w:rsidRDefault="006F1716" w:rsidP="00D076A8">
            <w:pPr>
              <w:rPr>
                <w:rFonts w:eastAsia="Times New Roman"/>
                <w:u w:val="single"/>
                <w:lang w:val="fr-FR" w:eastAsia="en-US"/>
              </w:rPr>
            </w:pPr>
          </w:p>
        </w:tc>
      </w:tr>
      <w:tr w:rsidR="006F1716" w:rsidRPr="00F56A0E" w14:paraId="3B36A1C1" w14:textId="77777777" w:rsidTr="00D076A8">
        <w:tc>
          <w:tcPr>
            <w:tcW w:w="817" w:type="dxa"/>
            <w:shd w:val="clear" w:color="auto" w:fill="auto"/>
          </w:tcPr>
          <w:p w14:paraId="084EF9D4" w14:textId="77777777" w:rsidR="006F1716" w:rsidRPr="00F56A0E" w:rsidRDefault="006F1716" w:rsidP="00D076A8">
            <w:pPr>
              <w:rPr>
                <w:rFonts w:eastAsia="Times New Roman"/>
                <w:lang w:val="fr-FR"/>
              </w:rPr>
            </w:pPr>
            <w:r w:rsidRPr="00F56A0E">
              <w:rPr>
                <w:lang w:val="fr-FR"/>
              </w:rPr>
              <w:t>1.10</w:t>
            </w:r>
          </w:p>
        </w:tc>
        <w:tc>
          <w:tcPr>
            <w:tcW w:w="1701" w:type="dxa"/>
            <w:shd w:val="clear" w:color="auto" w:fill="auto"/>
          </w:tcPr>
          <w:p w14:paraId="58D30039" w14:textId="702BA913" w:rsidR="006F1716" w:rsidRPr="00F56A0E" w:rsidRDefault="006F1716" w:rsidP="00D076A8">
            <w:pPr>
              <w:rPr>
                <w:rFonts w:eastAsia="Times New Roman"/>
                <w:lang w:val="fr-FR"/>
              </w:rPr>
            </w:pPr>
            <w:r w:rsidRPr="00F56A0E">
              <w:rPr>
                <w:lang w:val="fr-FR"/>
              </w:rPr>
              <w:t>Solubilité dans l</w:t>
            </w:r>
            <w:r w:rsidR="00870D0E" w:rsidRPr="00F56A0E">
              <w:rPr>
                <w:lang w:val="fr-FR"/>
              </w:rPr>
              <w:t>’</w:t>
            </w:r>
            <w:r w:rsidRPr="00F56A0E">
              <w:rPr>
                <w:lang w:val="fr-FR"/>
              </w:rPr>
              <w:t>eau</w:t>
            </w:r>
          </w:p>
          <w:p w14:paraId="31BC6C1D" w14:textId="77777777" w:rsidR="006F1716" w:rsidRPr="00F56A0E" w:rsidRDefault="006F1716" w:rsidP="00D076A8">
            <w:pPr>
              <w:rPr>
                <w:rFonts w:eastAsia="Times New Roman"/>
                <w:lang w:val="fr-FR" w:eastAsia="en-US"/>
              </w:rPr>
            </w:pPr>
          </w:p>
        </w:tc>
        <w:tc>
          <w:tcPr>
            <w:tcW w:w="7121" w:type="dxa"/>
            <w:shd w:val="clear" w:color="auto" w:fill="auto"/>
          </w:tcPr>
          <w:p w14:paraId="248C7379" w14:textId="77777777" w:rsidR="006F1716" w:rsidRPr="00F56A0E" w:rsidRDefault="006F1716" w:rsidP="00D076A8">
            <w:pPr>
              <w:rPr>
                <w:rFonts w:eastAsia="Times New Roman"/>
                <w:u w:val="single"/>
                <w:lang w:val="fr-FR"/>
              </w:rPr>
            </w:pPr>
            <w:r w:rsidRPr="00F56A0E">
              <w:rPr>
                <w:lang w:val="fr-FR"/>
              </w:rPr>
              <w:t>4,5 mg/l à 27 °C</w:t>
            </w:r>
          </w:p>
        </w:tc>
      </w:tr>
      <w:tr w:rsidR="006F1716" w:rsidRPr="00F56A0E" w14:paraId="2FAECA21" w14:textId="77777777" w:rsidTr="00D076A8">
        <w:tc>
          <w:tcPr>
            <w:tcW w:w="817" w:type="dxa"/>
            <w:shd w:val="clear" w:color="auto" w:fill="auto"/>
          </w:tcPr>
          <w:p w14:paraId="39E836D1" w14:textId="77777777" w:rsidR="006F1716" w:rsidRPr="00F56A0E" w:rsidRDefault="006F1716" w:rsidP="00D076A8">
            <w:pPr>
              <w:spacing w:after="60"/>
              <w:rPr>
                <w:rFonts w:eastAsia="Times New Roman"/>
                <w:lang w:val="fr-FR"/>
              </w:rPr>
            </w:pPr>
            <w:r w:rsidRPr="00F56A0E">
              <w:rPr>
                <w:lang w:val="fr-FR"/>
              </w:rPr>
              <w:t>1.11</w:t>
            </w:r>
          </w:p>
        </w:tc>
        <w:tc>
          <w:tcPr>
            <w:tcW w:w="1701" w:type="dxa"/>
            <w:shd w:val="clear" w:color="auto" w:fill="auto"/>
          </w:tcPr>
          <w:p w14:paraId="1C8BB144" w14:textId="77777777" w:rsidR="006F1716" w:rsidRPr="00F56A0E" w:rsidRDefault="006F1716" w:rsidP="00D076A8">
            <w:pPr>
              <w:rPr>
                <w:rFonts w:eastAsia="Times New Roman"/>
                <w:lang w:val="fr-FR"/>
              </w:rPr>
            </w:pPr>
            <w:r w:rsidRPr="00F56A0E">
              <w:rPr>
                <w:lang w:val="fr-FR"/>
              </w:rPr>
              <w:t>Solubilité dans les solvants organiques</w:t>
            </w:r>
          </w:p>
          <w:p w14:paraId="361C402A" w14:textId="77777777" w:rsidR="006F1716" w:rsidRPr="00F56A0E" w:rsidRDefault="006F1716" w:rsidP="00D076A8">
            <w:pPr>
              <w:rPr>
                <w:rFonts w:eastAsia="Times New Roman"/>
                <w:lang w:val="fr-FR" w:eastAsia="en-US"/>
              </w:rPr>
            </w:pPr>
          </w:p>
        </w:tc>
        <w:tc>
          <w:tcPr>
            <w:tcW w:w="7121" w:type="dxa"/>
            <w:shd w:val="clear" w:color="auto" w:fill="auto"/>
          </w:tcPr>
          <w:p w14:paraId="74D66984" w14:textId="72250FFC" w:rsidR="006F1716" w:rsidRPr="00F56A0E" w:rsidRDefault="006F1716" w:rsidP="00D076A8">
            <w:pPr>
              <w:rPr>
                <w:rFonts w:eastAsia="Times New Roman"/>
                <w:lang w:val="fr-FR"/>
              </w:rPr>
            </w:pPr>
            <w:r w:rsidRPr="00F56A0E">
              <w:rPr>
                <w:lang w:val="fr-FR"/>
              </w:rPr>
              <w:t>Solubilité à 20 °C &gt; 100 g/100 ml de solvant pour chacun des solvants suivants</w:t>
            </w:r>
            <w:r w:rsidR="00157D75" w:rsidRPr="00F56A0E">
              <w:rPr>
                <w:lang w:val="fr-FR"/>
              </w:rPr>
              <w:t> :</w:t>
            </w:r>
            <w:r w:rsidRPr="00F56A0E">
              <w:rPr>
                <w:lang w:val="fr-FR"/>
              </w:rPr>
              <w:t xml:space="preserve"> acétone, acétonitrile, benzène, chloroforme, dichloroéthane, éthanol, n-heptane, dichlorométhane et toluène </w:t>
            </w:r>
          </w:p>
          <w:p w14:paraId="609ADA1F" w14:textId="77777777" w:rsidR="006F1716" w:rsidRPr="00F56A0E" w:rsidRDefault="006F1716" w:rsidP="00D076A8">
            <w:pPr>
              <w:rPr>
                <w:rFonts w:eastAsia="Times New Roman"/>
                <w:lang w:val="fr-FR" w:eastAsia="en-US"/>
              </w:rPr>
            </w:pPr>
          </w:p>
        </w:tc>
      </w:tr>
      <w:tr w:rsidR="006F1716" w:rsidRPr="00F56A0E" w14:paraId="3B3C4CD4" w14:textId="77777777" w:rsidTr="00D076A8">
        <w:tc>
          <w:tcPr>
            <w:tcW w:w="817" w:type="dxa"/>
            <w:shd w:val="clear" w:color="auto" w:fill="auto"/>
          </w:tcPr>
          <w:p w14:paraId="5F8D18EC" w14:textId="77777777" w:rsidR="006F1716" w:rsidRPr="00F56A0E" w:rsidRDefault="006F1716" w:rsidP="00D076A8">
            <w:pPr>
              <w:spacing w:after="60"/>
              <w:rPr>
                <w:rFonts w:eastAsia="Times New Roman"/>
                <w:lang w:val="fr-FR"/>
              </w:rPr>
            </w:pPr>
            <w:r w:rsidRPr="00F56A0E">
              <w:rPr>
                <w:lang w:val="fr-FR"/>
              </w:rPr>
              <w:t>1.12</w:t>
            </w:r>
          </w:p>
        </w:tc>
        <w:tc>
          <w:tcPr>
            <w:tcW w:w="1701" w:type="dxa"/>
            <w:shd w:val="clear" w:color="auto" w:fill="auto"/>
          </w:tcPr>
          <w:p w14:paraId="4301F3C5" w14:textId="77777777" w:rsidR="006F1716" w:rsidRPr="00F56A0E" w:rsidRDefault="006F1716" w:rsidP="00D076A8">
            <w:pPr>
              <w:rPr>
                <w:rFonts w:eastAsia="Times New Roman"/>
                <w:lang w:val="fr-FR"/>
              </w:rPr>
            </w:pPr>
            <w:r w:rsidRPr="00F56A0E">
              <w:rPr>
                <w:lang w:val="fr-FR"/>
              </w:rPr>
              <w:t>Coefficient de partage octanol/eau (Koe)</w:t>
            </w:r>
          </w:p>
          <w:p w14:paraId="3CF1A4D5" w14:textId="77777777" w:rsidR="006F1716" w:rsidRPr="00F56A0E" w:rsidRDefault="006F1716" w:rsidP="00D076A8">
            <w:pPr>
              <w:rPr>
                <w:rFonts w:eastAsia="Times New Roman"/>
                <w:lang w:val="fr-FR" w:eastAsia="en-US"/>
              </w:rPr>
            </w:pPr>
          </w:p>
        </w:tc>
        <w:tc>
          <w:tcPr>
            <w:tcW w:w="7121" w:type="dxa"/>
            <w:shd w:val="clear" w:color="auto" w:fill="auto"/>
          </w:tcPr>
          <w:p w14:paraId="1D4D582C" w14:textId="77777777" w:rsidR="006F1716" w:rsidRPr="00F56A0E" w:rsidRDefault="006F1716" w:rsidP="00D076A8">
            <w:pPr>
              <w:rPr>
                <w:rFonts w:eastAsia="Times New Roman"/>
                <w:lang w:val="fr-FR"/>
              </w:rPr>
            </w:pPr>
            <w:r w:rsidRPr="00F56A0E">
              <w:rPr>
                <w:lang w:val="fr-FR"/>
              </w:rPr>
              <w:t>Log Koe = 4,71</w:t>
            </w:r>
          </w:p>
        </w:tc>
      </w:tr>
      <w:tr w:rsidR="006F1716" w:rsidRPr="00F56A0E" w14:paraId="18F55214" w14:textId="77777777" w:rsidTr="00D076A8">
        <w:tc>
          <w:tcPr>
            <w:tcW w:w="817" w:type="dxa"/>
            <w:shd w:val="clear" w:color="auto" w:fill="auto"/>
          </w:tcPr>
          <w:p w14:paraId="135C2760" w14:textId="77777777" w:rsidR="006F1716" w:rsidRPr="00F56A0E" w:rsidRDefault="006F1716" w:rsidP="00D076A8">
            <w:pPr>
              <w:spacing w:after="60"/>
              <w:rPr>
                <w:rFonts w:eastAsia="Times New Roman"/>
                <w:lang w:val="fr-FR"/>
              </w:rPr>
            </w:pPr>
            <w:r w:rsidRPr="00F56A0E">
              <w:rPr>
                <w:lang w:val="fr-FR"/>
              </w:rPr>
              <w:t>1.13</w:t>
            </w:r>
          </w:p>
        </w:tc>
        <w:tc>
          <w:tcPr>
            <w:tcW w:w="1701" w:type="dxa"/>
            <w:shd w:val="clear" w:color="auto" w:fill="auto"/>
          </w:tcPr>
          <w:p w14:paraId="515F56DB" w14:textId="77777777" w:rsidR="006F1716" w:rsidRPr="00F56A0E" w:rsidRDefault="006F1716" w:rsidP="00D076A8">
            <w:pPr>
              <w:rPr>
                <w:rFonts w:eastAsia="Times New Roman"/>
                <w:lang w:val="fr-FR"/>
              </w:rPr>
            </w:pPr>
            <w:r w:rsidRPr="00F56A0E">
              <w:rPr>
                <w:lang w:val="fr-FR"/>
              </w:rPr>
              <w:t>Constante de dissociation</w:t>
            </w:r>
          </w:p>
          <w:p w14:paraId="5193E640" w14:textId="77777777" w:rsidR="006F1716" w:rsidRPr="00F56A0E" w:rsidRDefault="006F1716" w:rsidP="00D076A8">
            <w:pPr>
              <w:rPr>
                <w:rFonts w:eastAsia="Times New Roman"/>
                <w:lang w:val="fr-FR" w:eastAsia="en-US"/>
              </w:rPr>
            </w:pPr>
          </w:p>
        </w:tc>
        <w:tc>
          <w:tcPr>
            <w:tcW w:w="7121" w:type="dxa"/>
            <w:shd w:val="clear" w:color="auto" w:fill="auto"/>
          </w:tcPr>
          <w:p w14:paraId="31F50529" w14:textId="41A66C02" w:rsidR="006F1716" w:rsidRPr="00F56A0E" w:rsidRDefault="006F1716" w:rsidP="00D076A8">
            <w:pPr>
              <w:rPr>
                <w:rFonts w:eastAsia="Times New Roman"/>
                <w:lang w:val="fr-FR"/>
              </w:rPr>
            </w:pPr>
            <w:r w:rsidRPr="00F56A0E">
              <w:rPr>
                <w:lang w:val="fr-FR"/>
              </w:rPr>
              <w:t>Non applicable</w:t>
            </w:r>
            <w:r w:rsidR="001349EA" w:rsidRPr="00F56A0E">
              <w:rPr>
                <w:lang w:val="fr-FR"/>
              </w:rPr>
              <w:t> ;</w:t>
            </w:r>
            <w:r w:rsidRPr="00F56A0E">
              <w:rPr>
                <w:lang w:val="fr-FR"/>
              </w:rPr>
              <w:t xml:space="preserve"> le composé ne se dissocie pas</w:t>
            </w:r>
          </w:p>
          <w:p w14:paraId="1FD3BC8E" w14:textId="77777777" w:rsidR="006F1716" w:rsidRPr="00F56A0E" w:rsidRDefault="006F1716" w:rsidP="00D076A8">
            <w:pPr>
              <w:rPr>
                <w:rFonts w:eastAsia="Times New Roman"/>
                <w:lang w:val="fr-FR" w:eastAsia="en-US"/>
              </w:rPr>
            </w:pPr>
          </w:p>
        </w:tc>
      </w:tr>
      <w:tr w:rsidR="006F1716" w:rsidRPr="00F56A0E" w14:paraId="3DBE4F84" w14:textId="77777777" w:rsidTr="00D076A8">
        <w:tc>
          <w:tcPr>
            <w:tcW w:w="817" w:type="dxa"/>
            <w:shd w:val="clear" w:color="auto" w:fill="auto"/>
          </w:tcPr>
          <w:p w14:paraId="165A8F7A" w14:textId="77777777" w:rsidR="006F1716" w:rsidRPr="00F56A0E" w:rsidRDefault="006F1716" w:rsidP="00D076A8">
            <w:pPr>
              <w:spacing w:after="60"/>
              <w:rPr>
                <w:rFonts w:eastAsia="Times New Roman"/>
                <w:lang w:val="fr-FR"/>
              </w:rPr>
            </w:pPr>
            <w:r w:rsidRPr="00F56A0E">
              <w:rPr>
                <w:lang w:val="fr-FR"/>
              </w:rPr>
              <w:lastRenderedPageBreak/>
              <w:t>1.14</w:t>
            </w:r>
          </w:p>
        </w:tc>
        <w:tc>
          <w:tcPr>
            <w:tcW w:w="1701" w:type="dxa"/>
            <w:shd w:val="clear" w:color="auto" w:fill="auto"/>
          </w:tcPr>
          <w:p w14:paraId="2B3EF65E" w14:textId="77777777" w:rsidR="006F1716" w:rsidRPr="00F56A0E" w:rsidRDefault="006F1716" w:rsidP="00D076A8">
            <w:pPr>
              <w:rPr>
                <w:rFonts w:eastAsia="Times New Roman"/>
                <w:lang w:val="fr-FR"/>
              </w:rPr>
            </w:pPr>
            <w:r w:rsidRPr="00F56A0E">
              <w:rPr>
                <w:lang w:val="fr-FR"/>
              </w:rPr>
              <w:t>Hydrolyse</w:t>
            </w:r>
          </w:p>
        </w:tc>
        <w:tc>
          <w:tcPr>
            <w:tcW w:w="7121" w:type="dxa"/>
            <w:shd w:val="clear" w:color="auto" w:fill="auto"/>
          </w:tcPr>
          <w:p w14:paraId="297E2CB9" w14:textId="77777777" w:rsidR="006F1716" w:rsidRPr="00F56A0E" w:rsidRDefault="006F1716" w:rsidP="00D076A8">
            <w:pPr>
              <w:spacing w:line="252" w:lineRule="exact"/>
              <w:textAlignment w:val="baseline"/>
              <w:rPr>
                <w:rFonts w:eastAsia="Times New Roman"/>
                <w:lang w:val="fr-FR"/>
              </w:rPr>
            </w:pPr>
            <w:r w:rsidRPr="00F56A0E">
              <w:rPr>
                <w:lang w:val="fr-FR"/>
              </w:rPr>
              <w:t>À pH 5 et 20-25 °C, demi-vie de 4,5 jours</w:t>
            </w:r>
            <w:r w:rsidRPr="00F56A0E">
              <w:rPr>
                <w:lang w:val="fr-FR"/>
              </w:rPr>
              <w:br/>
              <w:t>À pH 7 et 25 °C, demi-vie de 5,5 jours</w:t>
            </w:r>
            <w:r w:rsidRPr="00F56A0E">
              <w:rPr>
                <w:lang w:val="fr-FR"/>
              </w:rPr>
              <w:br/>
              <w:t>À pH 9 et 25 °C, demi-vie de 8,5 jours</w:t>
            </w:r>
          </w:p>
          <w:p w14:paraId="68866E00" w14:textId="2ECAA6EB" w:rsidR="006F1716" w:rsidRPr="00F56A0E" w:rsidRDefault="006F1716" w:rsidP="00D076A8">
            <w:pPr>
              <w:rPr>
                <w:rFonts w:eastAsia="Times New Roman"/>
                <w:lang w:val="fr-FR"/>
              </w:rPr>
            </w:pPr>
            <w:r w:rsidRPr="00F56A0E">
              <w:rPr>
                <w:lang w:val="fr-FR"/>
              </w:rPr>
              <w:t>Au terme d</w:t>
            </w:r>
            <w:r w:rsidR="00870D0E" w:rsidRPr="00F56A0E">
              <w:rPr>
                <w:lang w:val="fr-FR"/>
              </w:rPr>
              <w:t>’</w:t>
            </w:r>
            <w:r w:rsidRPr="00F56A0E">
              <w:rPr>
                <w:lang w:val="fr-FR"/>
              </w:rPr>
              <w:t>une étude de quatre semaines, 75,1, 72,4 et 68,3 % de la radioactivité à pH 5, 7 et 9, respectivement, était associée à des composés hydrophiles, le formaldéhyde constituant le principal produit de dégradation. Les produits organophiles étaient des métabolites oxydatifs phosphorylés.</w:t>
            </w:r>
          </w:p>
          <w:p w14:paraId="0836EA11" w14:textId="77777777" w:rsidR="006F1716" w:rsidRPr="00F56A0E" w:rsidRDefault="006F1716" w:rsidP="00D076A8">
            <w:pPr>
              <w:rPr>
                <w:rFonts w:eastAsia="Times New Roman"/>
                <w:lang w:val="fr-FR"/>
              </w:rPr>
            </w:pPr>
          </w:p>
        </w:tc>
      </w:tr>
      <w:tr w:rsidR="006F1716" w:rsidRPr="00F56A0E" w14:paraId="171DBA4E" w14:textId="77777777" w:rsidTr="00D076A8">
        <w:tc>
          <w:tcPr>
            <w:tcW w:w="817" w:type="dxa"/>
            <w:shd w:val="clear" w:color="auto" w:fill="auto"/>
          </w:tcPr>
          <w:p w14:paraId="48FD3D6A" w14:textId="77777777" w:rsidR="006F1716" w:rsidRPr="00F56A0E" w:rsidRDefault="006F1716" w:rsidP="00D076A8">
            <w:pPr>
              <w:spacing w:after="60"/>
              <w:rPr>
                <w:rFonts w:eastAsia="Times New Roman"/>
                <w:lang w:val="fr-FR"/>
              </w:rPr>
            </w:pPr>
            <w:r w:rsidRPr="00F56A0E">
              <w:rPr>
                <w:lang w:val="fr-FR"/>
              </w:rPr>
              <w:t>1.15</w:t>
            </w:r>
          </w:p>
        </w:tc>
        <w:tc>
          <w:tcPr>
            <w:tcW w:w="1701" w:type="dxa"/>
            <w:shd w:val="clear" w:color="auto" w:fill="auto"/>
          </w:tcPr>
          <w:p w14:paraId="3629E9C5" w14:textId="77777777" w:rsidR="006F1716" w:rsidRPr="00F56A0E" w:rsidRDefault="006F1716" w:rsidP="00D076A8">
            <w:pPr>
              <w:rPr>
                <w:rFonts w:eastAsia="Times New Roman"/>
                <w:lang w:val="fr-FR"/>
              </w:rPr>
            </w:pPr>
            <w:r w:rsidRPr="00F56A0E">
              <w:rPr>
                <w:lang w:val="fr-FR"/>
              </w:rPr>
              <w:t>Photolyse</w:t>
            </w:r>
          </w:p>
        </w:tc>
        <w:tc>
          <w:tcPr>
            <w:tcW w:w="7121" w:type="dxa"/>
            <w:shd w:val="clear" w:color="auto" w:fill="auto"/>
          </w:tcPr>
          <w:p w14:paraId="00F9F161" w14:textId="3BD62180" w:rsidR="006F1716" w:rsidRPr="00F56A0E" w:rsidRDefault="006F1716" w:rsidP="00D076A8">
            <w:pPr>
              <w:rPr>
                <w:rFonts w:eastAsia="Times New Roman"/>
                <w:lang w:val="fr-FR"/>
              </w:rPr>
            </w:pPr>
            <w:r w:rsidRPr="00F56A0E">
              <w:rPr>
                <w:lang w:val="fr-FR"/>
              </w:rPr>
              <w:t>Il restait moins de 1 % de la dose appliquée de terbufos (4 ppm) après un jour d</w:t>
            </w:r>
            <w:r w:rsidR="00870D0E" w:rsidRPr="00F56A0E">
              <w:rPr>
                <w:lang w:val="fr-FR"/>
              </w:rPr>
              <w:t>’</w:t>
            </w:r>
            <w:r w:rsidRPr="00F56A0E">
              <w:rPr>
                <w:lang w:val="fr-FR"/>
              </w:rPr>
              <w:t>exposition à la lumière naturelle dans l</w:t>
            </w:r>
            <w:r w:rsidR="00870D0E" w:rsidRPr="00F56A0E">
              <w:rPr>
                <w:lang w:val="fr-FR"/>
              </w:rPr>
              <w:t>’</w:t>
            </w:r>
            <w:r w:rsidRPr="00F56A0E">
              <w:rPr>
                <w:lang w:val="fr-FR"/>
              </w:rPr>
              <w:t>eau d</w:t>
            </w:r>
            <w:r w:rsidR="00870D0E" w:rsidRPr="00F56A0E">
              <w:rPr>
                <w:lang w:val="fr-FR"/>
              </w:rPr>
              <w:t>’</w:t>
            </w:r>
            <w:r w:rsidR="00D076A8" w:rsidRPr="00F56A0E">
              <w:rPr>
                <w:lang w:val="fr-FR"/>
              </w:rPr>
              <w:t xml:space="preserve">un </w:t>
            </w:r>
            <w:r w:rsidRPr="00F56A0E">
              <w:rPr>
                <w:lang w:val="fr-FR"/>
              </w:rPr>
              <w:t>étang, le terbufos-sulfoxyde (CL 94301) représentant 45,2 % de cette quantité. Il semble que le formaldéhyde soit le principal produit de réaction soluble dans l</w:t>
            </w:r>
            <w:r w:rsidR="00870D0E" w:rsidRPr="00F56A0E">
              <w:rPr>
                <w:lang w:val="fr-FR"/>
              </w:rPr>
              <w:t>’</w:t>
            </w:r>
            <w:r w:rsidRPr="00F56A0E">
              <w:rPr>
                <w:lang w:val="fr-FR"/>
              </w:rPr>
              <w:t>eau. La radioactivité associée aux composés organophiles correspondait principalement aux métabolites oxydatifs phosphorylés et à une petite quantité de mercaptans méthylés.</w:t>
            </w:r>
          </w:p>
          <w:p w14:paraId="0FADBC4E" w14:textId="77777777" w:rsidR="006F1716" w:rsidRPr="00F56A0E" w:rsidRDefault="006F1716" w:rsidP="00D076A8">
            <w:pPr>
              <w:rPr>
                <w:rFonts w:eastAsia="Times New Roman"/>
                <w:lang w:val="fr-FR"/>
              </w:rPr>
            </w:pPr>
          </w:p>
        </w:tc>
      </w:tr>
      <w:tr w:rsidR="006F1716" w:rsidRPr="00F56A0E" w14:paraId="2D86D662" w14:textId="77777777" w:rsidTr="00D076A8">
        <w:tc>
          <w:tcPr>
            <w:tcW w:w="817" w:type="dxa"/>
            <w:shd w:val="clear" w:color="auto" w:fill="auto"/>
          </w:tcPr>
          <w:p w14:paraId="6A8109A1" w14:textId="77777777" w:rsidR="006F1716" w:rsidRPr="00F56A0E" w:rsidRDefault="006F1716" w:rsidP="00D076A8">
            <w:pPr>
              <w:spacing w:after="60"/>
              <w:rPr>
                <w:rFonts w:eastAsia="Times New Roman"/>
                <w:lang w:val="fr-FR"/>
              </w:rPr>
            </w:pPr>
            <w:r w:rsidRPr="00F56A0E">
              <w:rPr>
                <w:lang w:val="fr-FR"/>
              </w:rPr>
              <w:t>1.16</w:t>
            </w:r>
          </w:p>
        </w:tc>
        <w:tc>
          <w:tcPr>
            <w:tcW w:w="1701" w:type="dxa"/>
            <w:shd w:val="clear" w:color="auto" w:fill="auto"/>
          </w:tcPr>
          <w:p w14:paraId="735B4C06" w14:textId="77777777" w:rsidR="006F1716" w:rsidRPr="00F56A0E" w:rsidRDefault="006F1716" w:rsidP="00D076A8">
            <w:pPr>
              <w:rPr>
                <w:rFonts w:eastAsia="Times New Roman"/>
                <w:lang w:val="fr-FR"/>
              </w:rPr>
            </w:pPr>
            <w:r w:rsidRPr="00F56A0E">
              <w:rPr>
                <w:lang w:val="fr-FR"/>
              </w:rPr>
              <w:t>Température de décomposition</w:t>
            </w:r>
          </w:p>
        </w:tc>
        <w:tc>
          <w:tcPr>
            <w:tcW w:w="7121" w:type="dxa"/>
            <w:shd w:val="clear" w:color="auto" w:fill="auto"/>
          </w:tcPr>
          <w:p w14:paraId="1080854F" w14:textId="77777777" w:rsidR="006F1716" w:rsidRPr="00F56A0E" w:rsidRDefault="006F1716" w:rsidP="00D076A8">
            <w:pPr>
              <w:rPr>
                <w:rFonts w:eastAsia="Times New Roman"/>
                <w:lang w:val="fr-FR"/>
              </w:rPr>
            </w:pPr>
            <w:r w:rsidRPr="00F56A0E">
              <w:rPr>
                <w:lang w:val="fr-FR"/>
              </w:rPr>
              <w:t>Se décompose en cas de chauffage prolongé à plus de 120 °C</w:t>
            </w:r>
          </w:p>
        </w:tc>
      </w:tr>
      <w:tr w:rsidR="006F1716" w:rsidRPr="00F56A0E" w14:paraId="198681D3" w14:textId="77777777" w:rsidTr="00D076A8">
        <w:tc>
          <w:tcPr>
            <w:tcW w:w="817" w:type="dxa"/>
            <w:shd w:val="clear" w:color="auto" w:fill="auto"/>
          </w:tcPr>
          <w:p w14:paraId="28DB274C" w14:textId="77777777" w:rsidR="006F1716" w:rsidRPr="00F56A0E" w:rsidRDefault="006F1716" w:rsidP="00D076A8">
            <w:pPr>
              <w:spacing w:after="60"/>
              <w:rPr>
                <w:rFonts w:eastAsia="Times New Roman"/>
                <w:lang w:val="fr-FR"/>
              </w:rPr>
            </w:pPr>
            <w:r w:rsidRPr="00F56A0E">
              <w:rPr>
                <w:lang w:val="fr-FR"/>
              </w:rPr>
              <w:t>1.17</w:t>
            </w:r>
          </w:p>
        </w:tc>
        <w:tc>
          <w:tcPr>
            <w:tcW w:w="1701" w:type="dxa"/>
            <w:shd w:val="clear" w:color="auto" w:fill="auto"/>
          </w:tcPr>
          <w:p w14:paraId="7A7F6333" w14:textId="77777777" w:rsidR="006F1716" w:rsidRPr="00F56A0E" w:rsidRDefault="006F1716" w:rsidP="00D076A8">
            <w:pPr>
              <w:rPr>
                <w:rFonts w:eastAsia="Times New Roman"/>
                <w:lang w:val="fr-FR"/>
              </w:rPr>
            </w:pPr>
            <w:r w:rsidRPr="00F56A0E">
              <w:rPr>
                <w:lang w:val="fr-FR"/>
              </w:rPr>
              <w:t>Résistance aux acides</w:t>
            </w:r>
          </w:p>
        </w:tc>
        <w:tc>
          <w:tcPr>
            <w:tcW w:w="7121" w:type="dxa"/>
            <w:shd w:val="clear" w:color="auto" w:fill="auto"/>
          </w:tcPr>
          <w:p w14:paraId="040D9E82" w14:textId="504A1C0D" w:rsidR="006F1716" w:rsidRPr="00F56A0E" w:rsidRDefault="00033C6B" w:rsidP="00D076A8">
            <w:pPr>
              <w:rPr>
                <w:rFonts w:eastAsia="Times New Roman"/>
                <w:lang w:val="fr-FR"/>
              </w:rPr>
            </w:pPr>
            <w:r w:rsidRPr="00F56A0E">
              <w:rPr>
                <w:lang w:val="fr-FR"/>
              </w:rPr>
              <w:t>S</w:t>
            </w:r>
            <w:r w:rsidR="00870D0E" w:rsidRPr="00F56A0E">
              <w:rPr>
                <w:lang w:val="fr-FR"/>
              </w:rPr>
              <w:t>’</w:t>
            </w:r>
            <w:r w:rsidRPr="00F56A0E">
              <w:rPr>
                <w:lang w:val="fr-FR"/>
              </w:rPr>
              <w:t>h</w:t>
            </w:r>
            <w:r w:rsidR="006F1716" w:rsidRPr="00F56A0E">
              <w:rPr>
                <w:lang w:val="fr-FR"/>
              </w:rPr>
              <w:t>ydrolys</w:t>
            </w:r>
            <w:r w:rsidRPr="00F56A0E">
              <w:rPr>
                <w:lang w:val="fr-FR"/>
              </w:rPr>
              <w:t>e en présence d</w:t>
            </w:r>
            <w:r w:rsidR="00870D0E" w:rsidRPr="00F56A0E">
              <w:rPr>
                <w:lang w:val="fr-FR"/>
              </w:rPr>
              <w:t>’</w:t>
            </w:r>
            <w:r w:rsidR="006F1716" w:rsidRPr="00F56A0E">
              <w:rPr>
                <w:lang w:val="fr-FR"/>
              </w:rPr>
              <w:t>acides forts (pH&lt; 2)</w:t>
            </w:r>
          </w:p>
        </w:tc>
      </w:tr>
      <w:tr w:rsidR="006F1716" w:rsidRPr="00F56A0E" w14:paraId="673420A9" w14:textId="77777777" w:rsidTr="00D076A8">
        <w:tc>
          <w:tcPr>
            <w:tcW w:w="817" w:type="dxa"/>
            <w:shd w:val="clear" w:color="auto" w:fill="auto"/>
          </w:tcPr>
          <w:p w14:paraId="582F2FA7" w14:textId="77777777" w:rsidR="006F1716" w:rsidRPr="00F56A0E" w:rsidRDefault="006F1716" w:rsidP="00D076A8">
            <w:pPr>
              <w:spacing w:after="60"/>
              <w:rPr>
                <w:rFonts w:eastAsia="Times New Roman"/>
                <w:lang w:val="fr-FR" w:eastAsia="en-US"/>
              </w:rPr>
            </w:pPr>
          </w:p>
        </w:tc>
        <w:tc>
          <w:tcPr>
            <w:tcW w:w="1701" w:type="dxa"/>
            <w:shd w:val="clear" w:color="auto" w:fill="auto"/>
          </w:tcPr>
          <w:p w14:paraId="2543F5C2" w14:textId="77777777" w:rsidR="006F1716" w:rsidRPr="00F56A0E" w:rsidRDefault="006F1716" w:rsidP="00D076A8">
            <w:pPr>
              <w:rPr>
                <w:rFonts w:eastAsia="Times New Roman"/>
                <w:lang w:val="fr-FR"/>
              </w:rPr>
            </w:pPr>
            <w:r w:rsidRPr="00F56A0E">
              <w:rPr>
                <w:lang w:val="fr-FR"/>
              </w:rPr>
              <w:t>Résistance aux bases</w:t>
            </w:r>
          </w:p>
        </w:tc>
        <w:tc>
          <w:tcPr>
            <w:tcW w:w="7121" w:type="dxa"/>
            <w:shd w:val="clear" w:color="auto" w:fill="auto"/>
          </w:tcPr>
          <w:p w14:paraId="3B37D005" w14:textId="460B44F8" w:rsidR="006F1716" w:rsidRPr="00F56A0E" w:rsidRDefault="00033C6B" w:rsidP="00D076A8">
            <w:pPr>
              <w:rPr>
                <w:rFonts w:eastAsia="Times New Roman"/>
                <w:lang w:val="fr-FR"/>
              </w:rPr>
            </w:pPr>
            <w:r w:rsidRPr="00F56A0E">
              <w:rPr>
                <w:lang w:val="fr-FR"/>
              </w:rPr>
              <w:t>S</w:t>
            </w:r>
            <w:r w:rsidR="00870D0E" w:rsidRPr="00F56A0E">
              <w:rPr>
                <w:lang w:val="fr-FR"/>
              </w:rPr>
              <w:t>’</w:t>
            </w:r>
            <w:r w:rsidRPr="00F56A0E">
              <w:rPr>
                <w:lang w:val="fr-FR"/>
              </w:rPr>
              <w:t>hydrolyse en présence de</w:t>
            </w:r>
            <w:r w:rsidR="006F1716" w:rsidRPr="00F56A0E">
              <w:rPr>
                <w:lang w:val="fr-FR"/>
              </w:rPr>
              <w:t xml:space="preserve"> bases fortes (pH &gt; 9)</w:t>
            </w:r>
          </w:p>
        </w:tc>
      </w:tr>
      <w:tr w:rsidR="006F1716" w:rsidRPr="00F56A0E" w14:paraId="0C47F494" w14:textId="77777777" w:rsidTr="00D076A8">
        <w:tc>
          <w:tcPr>
            <w:tcW w:w="817" w:type="dxa"/>
            <w:shd w:val="clear" w:color="auto" w:fill="auto"/>
          </w:tcPr>
          <w:p w14:paraId="55D5F339" w14:textId="77777777" w:rsidR="006F1716" w:rsidRPr="00F56A0E" w:rsidRDefault="006F1716" w:rsidP="00D076A8">
            <w:pPr>
              <w:rPr>
                <w:rFonts w:eastAsia="Times New Roman"/>
                <w:lang w:val="fr-FR"/>
              </w:rPr>
            </w:pPr>
            <w:r w:rsidRPr="00F56A0E">
              <w:rPr>
                <w:lang w:val="fr-FR"/>
              </w:rPr>
              <w:t>1.18</w:t>
            </w:r>
          </w:p>
        </w:tc>
        <w:tc>
          <w:tcPr>
            <w:tcW w:w="1701" w:type="dxa"/>
            <w:shd w:val="clear" w:color="auto" w:fill="auto"/>
          </w:tcPr>
          <w:p w14:paraId="0BE0A6E7" w14:textId="77777777" w:rsidR="006F1716" w:rsidRPr="00F56A0E" w:rsidRDefault="006F1716" w:rsidP="00D076A8">
            <w:pPr>
              <w:spacing w:before="20" w:after="20"/>
              <w:outlineLvl w:val="2"/>
              <w:rPr>
                <w:rFonts w:eastAsia="Times New Roman"/>
                <w:lang w:val="fr-FR"/>
              </w:rPr>
            </w:pPr>
            <w:r w:rsidRPr="00F56A0E">
              <w:rPr>
                <w:lang w:val="fr-FR"/>
              </w:rPr>
              <w:t>Stabilité au stockage</w:t>
            </w:r>
          </w:p>
        </w:tc>
        <w:tc>
          <w:tcPr>
            <w:tcW w:w="7121" w:type="dxa"/>
            <w:shd w:val="clear" w:color="auto" w:fill="auto"/>
          </w:tcPr>
          <w:p w14:paraId="446FB38D" w14:textId="77777777" w:rsidR="006F1716" w:rsidRPr="00F56A0E" w:rsidRDefault="006F1716" w:rsidP="00D076A8">
            <w:pPr>
              <w:rPr>
                <w:rFonts w:eastAsia="Times New Roman"/>
                <w:lang w:val="fr-FR"/>
              </w:rPr>
            </w:pPr>
            <w:r w:rsidRPr="00F56A0E">
              <w:rPr>
                <w:lang w:val="fr-FR"/>
              </w:rPr>
              <w:t>Stable pendant plus de deux ans à température ambiante.</w:t>
            </w:r>
          </w:p>
        </w:tc>
      </w:tr>
      <w:tr w:rsidR="006F1716" w:rsidRPr="00F56A0E" w14:paraId="76B96169" w14:textId="77777777" w:rsidTr="00D076A8">
        <w:tc>
          <w:tcPr>
            <w:tcW w:w="817" w:type="dxa"/>
            <w:shd w:val="clear" w:color="auto" w:fill="auto"/>
          </w:tcPr>
          <w:p w14:paraId="3F7E88C3" w14:textId="77777777" w:rsidR="006F1716" w:rsidRPr="00F56A0E" w:rsidRDefault="006F1716" w:rsidP="00D076A8">
            <w:pPr>
              <w:rPr>
                <w:rFonts w:eastAsia="Times New Roman"/>
                <w:lang w:val="fr-FR" w:eastAsia="en-US"/>
              </w:rPr>
            </w:pPr>
          </w:p>
        </w:tc>
        <w:tc>
          <w:tcPr>
            <w:tcW w:w="8822" w:type="dxa"/>
            <w:gridSpan w:val="2"/>
            <w:shd w:val="clear" w:color="auto" w:fill="auto"/>
          </w:tcPr>
          <w:p w14:paraId="7451871D" w14:textId="77777777" w:rsidR="006F1716" w:rsidRPr="00F56A0E" w:rsidRDefault="006F1716" w:rsidP="00D076A8">
            <w:pPr>
              <w:rPr>
                <w:rFonts w:eastAsia="Times New Roman"/>
                <w:lang w:val="fr-FR" w:eastAsia="en-US"/>
              </w:rPr>
            </w:pPr>
          </w:p>
        </w:tc>
      </w:tr>
      <w:tr w:rsidR="006F1716" w:rsidRPr="00F56A0E" w14:paraId="2843FFE1" w14:textId="77777777" w:rsidTr="00D076A8">
        <w:tc>
          <w:tcPr>
            <w:tcW w:w="817" w:type="dxa"/>
            <w:shd w:val="clear" w:color="auto" w:fill="auto"/>
          </w:tcPr>
          <w:p w14:paraId="40DAFF57" w14:textId="77777777" w:rsidR="006F1716" w:rsidRPr="00F56A0E" w:rsidRDefault="006F1716" w:rsidP="00D076A8">
            <w:pPr>
              <w:keepNext/>
              <w:spacing w:before="40" w:after="60"/>
              <w:outlineLvl w:val="0"/>
              <w:rPr>
                <w:rFonts w:eastAsia="Times New Roman"/>
                <w:kern w:val="28"/>
                <w:szCs w:val="29"/>
                <w:lang w:val="fr-FR"/>
              </w:rPr>
            </w:pPr>
            <w:r w:rsidRPr="00F56A0E">
              <w:rPr>
                <w:lang w:val="fr-FR"/>
              </w:rPr>
              <w:t>2</w:t>
            </w:r>
          </w:p>
        </w:tc>
        <w:tc>
          <w:tcPr>
            <w:tcW w:w="8822" w:type="dxa"/>
            <w:gridSpan w:val="2"/>
            <w:shd w:val="clear" w:color="auto" w:fill="auto"/>
          </w:tcPr>
          <w:p w14:paraId="2C8292BC" w14:textId="77777777" w:rsidR="006F1716" w:rsidRPr="00F56A0E" w:rsidRDefault="006F1716" w:rsidP="00D076A8">
            <w:pPr>
              <w:keepNext/>
              <w:spacing w:before="40" w:after="60"/>
              <w:outlineLvl w:val="0"/>
              <w:rPr>
                <w:rFonts w:eastAsia="Times New Roman"/>
                <w:kern w:val="28"/>
                <w:szCs w:val="29"/>
                <w:lang w:val="fr-FR"/>
              </w:rPr>
            </w:pPr>
            <w:r w:rsidRPr="00F56A0E">
              <w:rPr>
                <w:lang w:val="fr-FR"/>
              </w:rPr>
              <w:t xml:space="preserve">Propriétés toxicologiques </w:t>
            </w:r>
          </w:p>
        </w:tc>
      </w:tr>
      <w:tr w:rsidR="006F1716" w:rsidRPr="00F56A0E" w14:paraId="21ED0147" w14:textId="77777777" w:rsidTr="00D076A8">
        <w:tc>
          <w:tcPr>
            <w:tcW w:w="817" w:type="dxa"/>
            <w:shd w:val="clear" w:color="auto" w:fill="auto"/>
          </w:tcPr>
          <w:p w14:paraId="53BC1C73" w14:textId="77777777" w:rsidR="006F1716" w:rsidRPr="00F56A0E" w:rsidRDefault="006F1716" w:rsidP="00D076A8">
            <w:pPr>
              <w:spacing w:after="60"/>
              <w:rPr>
                <w:rFonts w:eastAsia="Times New Roman"/>
                <w:lang w:val="fr-FR"/>
              </w:rPr>
            </w:pPr>
            <w:r w:rsidRPr="00F56A0E">
              <w:rPr>
                <w:lang w:val="fr-FR"/>
              </w:rPr>
              <w:t>2.1</w:t>
            </w:r>
          </w:p>
        </w:tc>
        <w:tc>
          <w:tcPr>
            <w:tcW w:w="1701" w:type="dxa"/>
            <w:shd w:val="clear" w:color="auto" w:fill="auto"/>
          </w:tcPr>
          <w:p w14:paraId="729C4D14" w14:textId="77777777" w:rsidR="006F1716" w:rsidRPr="00F56A0E" w:rsidRDefault="006F1716" w:rsidP="00D076A8">
            <w:pPr>
              <w:spacing w:before="20" w:after="20"/>
              <w:outlineLvl w:val="2"/>
              <w:rPr>
                <w:rFonts w:eastAsia="Times New Roman"/>
                <w:lang w:val="fr-FR"/>
              </w:rPr>
            </w:pPr>
            <w:r w:rsidRPr="00F56A0E">
              <w:rPr>
                <w:lang w:val="fr-FR"/>
              </w:rPr>
              <w:t xml:space="preserve">Généralités </w:t>
            </w:r>
          </w:p>
        </w:tc>
        <w:tc>
          <w:tcPr>
            <w:tcW w:w="7121" w:type="dxa"/>
            <w:shd w:val="clear" w:color="auto" w:fill="auto"/>
          </w:tcPr>
          <w:p w14:paraId="7145E848" w14:textId="77777777" w:rsidR="006F1716" w:rsidRPr="00F56A0E" w:rsidRDefault="006F1716" w:rsidP="00D076A8">
            <w:pPr>
              <w:spacing w:after="40"/>
              <w:rPr>
                <w:rFonts w:eastAsia="Times New Roman"/>
                <w:lang w:val="fr-FR" w:eastAsia="en-US"/>
              </w:rPr>
            </w:pPr>
          </w:p>
        </w:tc>
      </w:tr>
      <w:tr w:rsidR="006F1716" w:rsidRPr="00F56A0E" w14:paraId="562EB082" w14:textId="77777777" w:rsidTr="00D076A8">
        <w:tc>
          <w:tcPr>
            <w:tcW w:w="817" w:type="dxa"/>
            <w:shd w:val="clear" w:color="auto" w:fill="auto"/>
          </w:tcPr>
          <w:p w14:paraId="1C56C2A8" w14:textId="77777777" w:rsidR="006F1716" w:rsidRPr="00F56A0E" w:rsidRDefault="006F1716" w:rsidP="00D076A8">
            <w:pPr>
              <w:rPr>
                <w:rFonts w:eastAsia="Times New Roman"/>
                <w:lang w:val="fr-FR"/>
              </w:rPr>
            </w:pPr>
            <w:r w:rsidRPr="00F56A0E">
              <w:rPr>
                <w:lang w:val="fr-FR"/>
              </w:rPr>
              <w:t>2.1.1</w:t>
            </w:r>
          </w:p>
        </w:tc>
        <w:tc>
          <w:tcPr>
            <w:tcW w:w="1701" w:type="dxa"/>
            <w:shd w:val="clear" w:color="auto" w:fill="auto"/>
          </w:tcPr>
          <w:p w14:paraId="477673E8" w14:textId="73A3AB76" w:rsidR="006F1716" w:rsidRPr="00F56A0E" w:rsidRDefault="006F1716" w:rsidP="00D076A8">
            <w:pPr>
              <w:rPr>
                <w:rFonts w:eastAsia="Times New Roman"/>
                <w:lang w:val="fr-FR"/>
              </w:rPr>
            </w:pPr>
            <w:r w:rsidRPr="00F56A0E">
              <w:rPr>
                <w:lang w:val="fr-FR"/>
              </w:rPr>
              <w:t>Mode d</w:t>
            </w:r>
            <w:r w:rsidR="00870D0E" w:rsidRPr="00F56A0E">
              <w:rPr>
                <w:lang w:val="fr-FR"/>
              </w:rPr>
              <w:t>’</w:t>
            </w:r>
            <w:r w:rsidRPr="00F56A0E">
              <w:rPr>
                <w:lang w:val="fr-FR"/>
              </w:rPr>
              <w:t>action</w:t>
            </w:r>
          </w:p>
        </w:tc>
        <w:tc>
          <w:tcPr>
            <w:tcW w:w="7121" w:type="dxa"/>
            <w:shd w:val="clear" w:color="auto" w:fill="auto"/>
          </w:tcPr>
          <w:p w14:paraId="2649730F" w14:textId="3037ED6E" w:rsidR="006F1716" w:rsidRPr="00F56A0E" w:rsidRDefault="00987A22" w:rsidP="00D076A8">
            <w:pPr>
              <w:spacing w:after="40"/>
              <w:rPr>
                <w:rFonts w:eastAsia="Times New Roman"/>
                <w:b/>
                <w:u w:val="single"/>
                <w:lang w:val="fr-FR"/>
              </w:rPr>
            </w:pPr>
            <w:r w:rsidRPr="00F56A0E">
              <w:rPr>
                <w:b/>
                <w:u w:val="single"/>
                <w:lang w:val="fr-FR"/>
              </w:rPr>
              <w:t>Canada</w:t>
            </w:r>
          </w:p>
          <w:p w14:paraId="6ACFCFE0" w14:textId="3693B572" w:rsidR="006F1716" w:rsidRPr="00F56A0E" w:rsidRDefault="006F1716" w:rsidP="00D076A8">
            <w:pPr>
              <w:spacing w:after="40"/>
              <w:rPr>
                <w:rFonts w:eastAsia="Times New Roman"/>
                <w:lang w:val="fr-FR"/>
              </w:rPr>
            </w:pPr>
            <w:r w:rsidRPr="00F56A0E">
              <w:rPr>
                <w:lang w:val="fr-FR"/>
              </w:rPr>
              <w:t>Inhibition de l</w:t>
            </w:r>
            <w:r w:rsidR="00870D0E" w:rsidRPr="00F56A0E">
              <w:rPr>
                <w:lang w:val="fr-FR"/>
              </w:rPr>
              <w:t>’</w:t>
            </w:r>
            <w:r w:rsidRPr="00F56A0E">
              <w:rPr>
                <w:lang w:val="fr-FR"/>
              </w:rPr>
              <w:t>acétylcholinestérase (AChE)</w:t>
            </w:r>
          </w:p>
          <w:p w14:paraId="4166C4E1" w14:textId="7A646422" w:rsidR="006F1716" w:rsidRPr="00F56A0E" w:rsidRDefault="00AD2712" w:rsidP="00D076A8">
            <w:pPr>
              <w:spacing w:after="40"/>
              <w:rPr>
                <w:lang w:val="fr-FR"/>
              </w:rPr>
            </w:pPr>
            <w:r w:rsidRPr="00F56A0E">
              <w:rPr>
                <w:lang w:val="fr-FR"/>
              </w:rPr>
              <w:t xml:space="preserve">Inhibition de l’acétylcholinestérase, une enzyme nécessaire au bon fonctionnement du système nerveux, </w:t>
            </w:r>
            <w:r w:rsidR="0010063B" w:rsidRPr="00F56A0E">
              <w:rPr>
                <w:lang w:val="fr-FR"/>
              </w:rPr>
              <w:t>entraînant une toxicité cholinergique manifestée par des signes cliniques. La toxicité des métabolites phosphorylés du terbufos (terbufos-sulfoxyde et terbufos-sulfone) est comparable à celle du terbufos</w:t>
            </w:r>
            <w:r w:rsidR="006F1716" w:rsidRPr="00F56A0E">
              <w:rPr>
                <w:lang w:val="fr-FR"/>
              </w:rPr>
              <w:t>.</w:t>
            </w:r>
          </w:p>
          <w:p w14:paraId="1E9BB2FF" w14:textId="77777777" w:rsidR="006F1716" w:rsidRPr="00F56A0E" w:rsidRDefault="006F1716" w:rsidP="00D076A8">
            <w:pPr>
              <w:spacing w:after="40"/>
              <w:rPr>
                <w:rFonts w:eastAsia="Times New Roman"/>
                <w:lang w:val="fr-FR" w:eastAsia="en-US"/>
              </w:rPr>
            </w:pPr>
          </w:p>
        </w:tc>
      </w:tr>
      <w:tr w:rsidR="006F1716" w:rsidRPr="00F56A0E" w14:paraId="00EB980B" w14:textId="77777777" w:rsidTr="00D076A8">
        <w:tc>
          <w:tcPr>
            <w:tcW w:w="817" w:type="dxa"/>
            <w:shd w:val="clear" w:color="auto" w:fill="auto"/>
          </w:tcPr>
          <w:p w14:paraId="58365D31" w14:textId="77777777" w:rsidR="006F1716" w:rsidRPr="00F56A0E" w:rsidRDefault="006F1716" w:rsidP="00D076A8">
            <w:pPr>
              <w:rPr>
                <w:rFonts w:eastAsia="Times New Roman"/>
                <w:lang w:val="fr-FR"/>
              </w:rPr>
            </w:pPr>
            <w:r w:rsidRPr="00F56A0E">
              <w:rPr>
                <w:lang w:val="fr-FR"/>
              </w:rPr>
              <w:t>2.1.2</w:t>
            </w:r>
          </w:p>
        </w:tc>
        <w:tc>
          <w:tcPr>
            <w:tcW w:w="1701" w:type="dxa"/>
            <w:shd w:val="clear" w:color="auto" w:fill="auto"/>
          </w:tcPr>
          <w:p w14:paraId="38A20535" w14:textId="78D3CD6C" w:rsidR="006F1716" w:rsidRPr="00F56A0E" w:rsidRDefault="006F1716" w:rsidP="00D076A8">
            <w:pPr>
              <w:rPr>
                <w:rFonts w:eastAsia="Times New Roman"/>
                <w:lang w:val="fr-FR"/>
              </w:rPr>
            </w:pPr>
            <w:r w:rsidRPr="00F56A0E">
              <w:rPr>
                <w:lang w:val="fr-FR"/>
              </w:rPr>
              <w:t>Symptômes d</w:t>
            </w:r>
            <w:r w:rsidR="00870D0E" w:rsidRPr="00F56A0E">
              <w:rPr>
                <w:lang w:val="fr-FR"/>
              </w:rPr>
              <w:t>’</w:t>
            </w:r>
            <w:r w:rsidRPr="00F56A0E">
              <w:rPr>
                <w:lang w:val="fr-FR"/>
              </w:rPr>
              <w:t>intoxication</w:t>
            </w:r>
          </w:p>
        </w:tc>
        <w:tc>
          <w:tcPr>
            <w:tcW w:w="7121" w:type="dxa"/>
            <w:shd w:val="clear" w:color="auto" w:fill="auto"/>
          </w:tcPr>
          <w:p w14:paraId="3AAE8504" w14:textId="77777777" w:rsidR="006F1716" w:rsidRPr="00F56A0E" w:rsidRDefault="006F1716" w:rsidP="00D076A8">
            <w:pPr>
              <w:spacing w:after="40"/>
              <w:rPr>
                <w:rFonts w:eastAsia="Times New Roman"/>
                <w:b/>
                <w:u w:val="single"/>
                <w:lang w:val="fr-FR"/>
              </w:rPr>
            </w:pPr>
            <w:r w:rsidRPr="00F56A0E">
              <w:rPr>
                <w:b/>
                <w:u w:val="single"/>
                <w:lang w:val="fr-FR"/>
              </w:rPr>
              <w:t>PubChem [Internet]</w:t>
            </w:r>
          </w:p>
          <w:p w14:paraId="5431BE39" w14:textId="30736430" w:rsidR="006F1716" w:rsidRPr="00F56A0E" w:rsidRDefault="006F1716" w:rsidP="00D076A8">
            <w:pPr>
              <w:ind w:right="646"/>
              <w:textAlignment w:val="baseline"/>
              <w:rPr>
                <w:lang w:val="fr-FR"/>
              </w:rPr>
            </w:pPr>
            <w:r w:rsidRPr="00F56A0E">
              <w:rPr>
                <w:lang w:val="fr-FR"/>
              </w:rPr>
              <w:t>Une exposition aiguë au terbufos peut se traduire par les signes et symptômes suivants</w:t>
            </w:r>
            <w:r w:rsidR="00157D75" w:rsidRPr="00F56A0E">
              <w:rPr>
                <w:lang w:val="fr-FR"/>
              </w:rPr>
              <w:t> :</w:t>
            </w:r>
            <w:r w:rsidRPr="00F56A0E">
              <w:rPr>
                <w:lang w:val="fr-FR"/>
              </w:rPr>
              <w:t xml:space="preserve"> myosis (constriction des pupilles), vision trouble, céphalées, vertiges, spasmes musculaires et grande faiblesse. Des vomissements, des diarrhées, des douleurs abdominales, des convulsions ou un coma peuvent également survenir. Il arrive que la fréquence cardiaque diminue suite à une exposition orale, ou augmente suite à une exposition cutanée. Des douleurs thoraciques peuvent apparaître. On peut également observer une hypotension, bien que l</w:t>
            </w:r>
            <w:r w:rsidR="00870D0E" w:rsidRPr="00F56A0E">
              <w:rPr>
                <w:lang w:val="fr-FR"/>
              </w:rPr>
              <w:t>’</w:t>
            </w:r>
            <w:r w:rsidRPr="00F56A0E">
              <w:rPr>
                <w:lang w:val="fr-FR"/>
              </w:rPr>
              <w:t>hypertension ne soit pas rare. Parmi les symptômes respiratoires, on peut citer la dyspnée (essoufflement), la dépression respiratoire et la paralysie respiratoire. Une psychose peut survenir.</w:t>
            </w:r>
          </w:p>
          <w:p w14:paraId="135B6D65" w14:textId="77777777" w:rsidR="006F1716" w:rsidRPr="00F56A0E" w:rsidRDefault="006F1716" w:rsidP="00D076A8">
            <w:pPr>
              <w:spacing w:before="42" w:line="229" w:lineRule="exact"/>
              <w:ind w:right="648"/>
              <w:textAlignment w:val="baseline"/>
              <w:rPr>
                <w:lang w:val="fr-FR"/>
              </w:rPr>
            </w:pPr>
          </w:p>
          <w:p w14:paraId="3580899E" w14:textId="7222C282" w:rsidR="006F1716" w:rsidRPr="00F56A0E" w:rsidRDefault="006F1716" w:rsidP="00D076A8">
            <w:pPr>
              <w:spacing w:before="42" w:line="229" w:lineRule="exact"/>
              <w:ind w:right="648"/>
              <w:textAlignment w:val="baseline"/>
              <w:rPr>
                <w:lang w:val="fr-FR"/>
              </w:rPr>
            </w:pPr>
            <w:r w:rsidRPr="00F56A0E">
              <w:rPr>
                <w:lang w:val="fr-FR"/>
              </w:rPr>
              <w:t>Les signes et symptômes d</w:t>
            </w:r>
            <w:r w:rsidR="00870D0E" w:rsidRPr="00F56A0E">
              <w:rPr>
                <w:lang w:val="fr-FR"/>
              </w:rPr>
              <w:t>’</w:t>
            </w:r>
            <w:r w:rsidRPr="00F56A0E">
              <w:rPr>
                <w:lang w:val="fr-FR"/>
              </w:rPr>
              <w:t>une intoxication aiguë par des insecticides organophosphorés comprennent des manifestations muscariniques, nicotiniques et du système nerveux central (SNC). Les symptômes peuvent se développer rapidement, ou se manifester plusieurs heures après l</w:t>
            </w:r>
            <w:r w:rsidR="00870D0E" w:rsidRPr="00F56A0E">
              <w:rPr>
                <w:lang w:val="fr-FR"/>
              </w:rPr>
              <w:t>’</w:t>
            </w:r>
            <w:r w:rsidRPr="00F56A0E">
              <w:rPr>
                <w:lang w:val="fr-FR"/>
              </w:rPr>
              <w:t>exposition. Le délai est généralement plus important dans le cas de composés lipophiles, qui nécessitent également une activation métabolique. Les symptômes peuvent s</w:t>
            </w:r>
            <w:r w:rsidR="00870D0E" w:rsidRPr="00F56A0E">
              <w:rPr>
                <w:lang w:val="fr-FR"/>
              </w:rPr>
              <w:t>’</w:t>
            </w:r>
            <w:r w:rsidRPr="00F56A0E">
              <w:rPr>
                <w:lang w:val="fr-FR"/>
              </w:rPr>
              <w:t>aggraver pendant plus d</w:t>
            </w:r>
            <w:r w:rsidR="00870D0E" w:rsidRPr="00F56A0E">
              <w:rPr>
                <w:lang w:val="fr-FR"/>
              </w:rPr>
              <w:t>’</w:t>
            </w:r>
            <w:r w:rsidRPr="00F56A0E">
              <w:rPr>
                <w:lang w:val="fr-FR"/>
              </w:rPr>
              <w:t>une journée et persister plusieurs jours. Dans les cas graves, l</w:t>
            </w:r>
            <w:r w:rsidR="00870D0E" w:rsidRPr="00F56A0E">
              <w:rPr>
                <w:lang w:val="fr-FR"/>
              </w:rPr>
              <w:t>’</w:t>
            </w:r>
            <w:r w:rsidRPr="00F56A0E">
              <w:rPr>
                <w:lang w:val="fr-FR"/>
              </w:rPr>
              <w:t xml:space="preserve">insuffisance respiratoire est prépondérante. </w:t>
            </w:r>
          </w:p>
          <w:p w14:paraId="1F2C48A5" w14:textId="77777777" w:rsidR="006F1716" w:rsidRPr="00F56A0E" w:rsidRDefault="006F1716" w:rsidP="00D076A8">
            <w:pPr>
              <w:spacing w:before="42" w:line="229" w:lineRule="exact"/>
              <w:ind w:right="648"/>
              <w:textAlignment w:val="baseline"/>
              <w:rPr>
                <w:lang w:val="fr-FR"/>
              </w:rPr>
            </w:pPr>
          </w:p>
        </w:tc>
      </w:tr>
      <w:tr w:rsidR="006F1716" w:rsidRPr="00F56A0E" w14:paraId="6A7CFB5C" w14:textId="77777777" w:rsidTr="00D076A8">
        <w:tc>
          <w:tcPr>
            <w:tcW w:w="817" w:type="dxa"/>
            <w:shd w:val="clear" w:color="auto" w:fill="auto"/>
          </w:tcPr>
          <w:p w14:paraId="69349704" w14:textId="77777777" w:rsidR="006F1716" w:rsidRPr="00F56A0E" w:rsidRDefault="006F1716" w:rsidP="00D076A8">
            <w:pPr>
              <w:rPr>
                <w:rFonts w:eastAsia="Times New Roman"/>
                <w:lang w:val="fr-FR"/>
              </w:rPr>
            </w:pPr>
            <w:r w:rsidRPr="00F56A0E">
              <w:rPr>
                <w:lang w:val="fr-FR"/>
              </w:rPr>
              <w:lastRenderedPageBreak/>
              <w:t>2.1.3</w:t>
            </w:r>
          </w:p>
        </w:tc>
        <w:tc>
          <w:tcPr>
            <w:tcW w:w="1701" w:type="dxa"/>
            <w:shd w:val="clear" w:color="auto" w:fill="auto"/>
          </w:tcPr>
          <w:p w14:paraId="21925710" w14:textId="77777777" w:rsidR="006F1716" w:rsidRPr="00F56A0E" w:rsidRDefault="006F1716" w:rsidP="002B7233">
            <w:pPr>
              <w:keepNext/>
              <w:keepLines/>
              <w:rPr>
                <w:rFonts w:eastAsia="Times New Roman"/>
                <w:lang w:val="fr-FR"/>
              </w:rPr>
            </w:pPr>
            <w:r w:rsidRPr="00F56A0E">
              <w:rPr>
                <w:lang w:val="fr-FR"/>
              </w:rPr>
              <w:t>Absorption, répartition, excrétion et métabolisme chez les mammifères</w:t>
            </w:r>
          </w:p>
        </w:tc>
        <w:tc>
          <w:tcPr>
            <w:tcW w:w="7121" w:type="dxa"/>
            <w:shd w:val="clear" w:color="auto" w:fill="auto"/>
          </w:tcPr>
          <w:p w14:paraId="0622C141" w14:textId="77777777" w:rsidR="006F1716" w:rsidRPr="00F56A0E" w:rsidRDefault="006F1716" w:rsidP="002B7233">
            <w:pPr>
              <w:keepNext/>
              <w:keepLines/>
              <w:rPr>
                <w:rFonts w:eastAsia="Times New Roman"/>
                <w:b/>
                <w:u w:val="single"/>
                <w:lang w:val="fr-FR"/>
              </w:rPr>
            </w:pPr>
            <w:r w:rsidRPr="00F56A0E">
              <w:rPr>
                <w:b/>
                <w:u w:val="single"/>
                <w:lang w:val="fr-FR"/>
              </w:rPr>
              <w:t>Canada</w:t>
            </w:r>
          </w:p>
          <w:p w14:paraId="7E5C962E" w14:textId="4C4E931B" w:rsidR="006F1716" w:rsidRPr="00F56A0E" w:rsidRDefault="006F1716" w:rsidP="002B7233">
            <w:pPr>
              <w:keepNext/>
              <w:keepLines/>
              <w:ind w:right="646"/>
              <w:textAlignment w:val="baseline"/>
              <w:rPr>
                <w:rFonts w:eastAsia="Times New Roman"/>
                <w:spacing w:val="-3"/>
                <w:lang w:val="fr-FR"/>
              </w:rPr>
            </w:pPr>
            <w:r w:rsidRPr="00F56A0E">
              <w:rPr>
                <w:color w:val="000000"/>
                <w:lang w:val="fr-FR"/>
              </w:rPr>
              <w:t>Le potentiel d</w:t>
            </w:r>
            <w:r w:rsidR="00870D0E" w:rsidRPr="00F56A0E">
              <w:rPr>
                <w:color w:val="000000"/>
                <w:lang w:val="fr-FR"/>
              </w:rPr>
              <w:t>’</w:t>
            </w:r>
            <w:r w:rsidRPr="00F56A0E">
              <w:rPr>
                <w:color w:val="000000"/>
                <w:lang w:val="fr-FR"/>
              </w:rPr>
              <w:t xml:space="preserve">absorption cutanée du terbufos est élevé. </w:t>
            </w:r>
            <w:r w:rsidRPr="00F56A0E">
              <w:rPr>
                <w:lang w:val="fr-FR"/>
              </w:rPr>
              <w:t xml:space="preserve">La toxicité des métabolites phosphorylés du terbufos (terbufos-sulfoxyde et terbufos-sulfone) est comparable à celle du terbufos. </w:t>
            </w:r>
          </w:p>
          <w:p w14:paraId="40FA4C0F" w14:textId="77777777" w:rsidR="006F1716" w:rsidRPr="00F56A0E" w:rsidRDefault="006F1716" w:rsidP="002B7233">
            <w:pPr>
              <w:keepNext/>
              <w:keepLines/>
              <w:spacing w:after="40"/>
              <w:rPr>
                <w:b/>
                <w:lang w:val="fr-FR"/>
              </w:rPr>
            </w:pPr>
          </w:p>
          <w:p w14:paraId="5D44C446" w14:textId="77777777" w:rsidR="006F1716" w:rsidRPr="00F56A0E" w:rsidRDefault="006F1716" w:rsidP="002B7233">
            <w:pPr>
              <w:keepNext/>
              <w:keepLines/>
              <w:spacing w:after="40"/>
              <w:rPr>
                <w:b/>
                <w:u w:val="single"/>
                <w:lang w:val="fr-FR"/>
              </w:rPr>
            </w:pPr>
            <w:r w:rsidRPr="00F56A0E">
              <w:rPr>
                <w:b/>
                <w:u w:val="single"/>
                <w:lang w:val="fr-FR"/>
              </w:rPr>
              <w:t>JMPR (2004)</w:t>
            </w:r>
          </w:p>
          <w:p w14:paraId="3D4A67CD" w14:textId="6C7C0019" w:rsidR="006F1716" w:rsidRPr="00F56A0E" w:rsidRDefault="006F1716" w:rsidP="0089280B">
            <w:pPr>
              <w:keepNext/>
              <w:keepLines/>
              <w:spacing w:after="40"/>
              <w:rPr>
                <w:lang w:val="fr-FR"/>
              </w:rPr>
            </w:pPr>
            <w:r w:rsidRPr="00F56A0E">
              <w:rPr>
                <w:lang w:val="fr-FR"/>
              </w:rPr>
              <w:t>Vitesse et taux d</w:t>
            </w:r>
            <w:r w:rsidR="00870D0E" w:rsidRPr="00F56A0E">
              <w:rPr>
                <w:lang w:val="fr-FR"/>
              </w:rPr>
              <w:t>’</w:t>
            </w:r>
            <w:r w:rsidRPr="00F56A0E">
              <w:rPr>
                <w:lang w:val="fr-FR"/>
              </w:rPr>
              <w:t>absorption orale</w:t>
            </w:r>
            <w:r w:rsidR="00157D75" w:rsidRPr="00F56A0E">
              <w:rPr>
                <w:lang w:val="fr-FR"/>
              </w:rPr>
              <w:t> :</w:t>
            </w:r>
            <w:r w:rsidRPr="00F56A0E">
              <w:rPr>
                <w:lang w:val="fr-FR"/>
              </w:rPr>
              <w:t xml:space="preserve"> rapide, proche de 100 %. Absorption cutanée</w:t>
            </w:r>
            <w:r w:rsidR="00157D75" w:rsidRPr="00F56A0E">
              <w:rPr>
                <w:lang w:val="fr-FR"/>
              </w:rPr>
              <w:t> :</w:t>
            </w:r>
            <w:r w:rsidRPr="00F56A0E">
              <w:rPr>
                <w:lang w:val="fr-FR"/>
              </w:rPr>
              <w:t xml:space="preserve"> pénétration rapide après application cutanée ou oculaire. Distribution</w:t>
            </w:r>
            <w:r w:rsidR="00157D75" w:rsidRPr="00F56A0E">
              <w:rPr>
                <w:lang w:val="fr-FR"/>
              </w:rPr>
              <w:t> :</w:t>
            </w:r>
            <w:r w:rsidRPr="00F56A0E">
              <w:rPr>
                <w:lang w:val="fr-FR"/>
              </w:rPr>
              <w:t xml:space="preserve"> relativement rapide et pratiquement homogène. Potentiel d</w:t>
            </w:r>
            <w:r w:rsidR="00870D0E" w:rsidRPr="00F56A0E">
              <w:rPr>
                <w:lang w:val="fr-FR"/>
              </w:rPr>
              <w:t>’</w:t>
            </w:r>
            <w:r w:rsidRPr="00F56A0E">
              <w:rPr>
                <w:lang w:val="fr-FR"/>
              </w:rPr>
              <w:t>accumulation</w:t>
            </w:r>
            <w:r w:rsidR="00157D75" w:rsidRPr="00F56A0E">
              <w:rPr>
                <w:lang w:val="fr-FR"/>
              </w:rPr>
              <w:t> :</w:t>
            </w:r>
            <w:r w:rsidRPr="00F56A0E">
              <w:rPr>
                <w:lang w:val="fr-FR"/>
              </w:rPr>
              <w:t xml:space="preserve"> faible. Vitesse et taux d</w:t>
            </w:r>
            <w:r w:rsidR="00870D0E" w:rsidRPr="00F56A0E">
              <w:rPr>
                <w:lang w:val="fr-FR"/>
              </w:rPr>
              <w:t>’</w:t>
            </w:r>
            <w:r w:rsidRPr="00F56A0E">
              <w:rPr>
                <w:lang w:val="fr-FR"/>
              </w:rPr>
              <w:t>excrétion</w:t>
            </w:r>
            <w:r w:rsidR="00157D75" w:rsidRPr="00F56A0E">
              <w:rPr>
                <w:lang w:val="fr-FR"/>
              </w:rPr>
              <w:t> :</w:t>
            </w:r>
            <w:r w:rsidRPr="00F56A0E">
              <w:rPr>
                <w:lang w:val="fr-FR"/>
              </w:rPr>
              <w:t xml:space="preserve"> relativement rapide, égal à 100 %</w:t>
            </w:r>
            <w:r w:rsidR="001349EA" w:rsidRPr="00F56A0E">
              <w:rPr>
                <w:lang w:val="fr-FR"/>
              </w:rPr>
              <w:t> ;</w:t>
            </w:r>
            <w:r w:rsidRPr="00F56A0E">
              <w:rPr>
                <w:lang w:val="fr-FR"/>
              </w:rPr>
              <w:t xml:space="preserve"> la plupart des substances sont éliminées en 24-48 h</w:t>
            </w:r>
            <w:r w:rsidR="001349EA" w:rsidRPr="00F56A0E">
              <w:rPr>
                <w:lang w:val="fr-FR"/>
              </w:rPr>
              <w:t> ;</w:t>
            </w:r>
            <w:r w:rsidRPr="00F56A0E">
              <w:rPr>
                <w:lang w:val="fr-FR"/>
              </w:rPr>
              <w:t xml:space="preserve"> prédominance de l</w:t>
            </w:r>
            <w:r w:rsidR="00870D0E" w:rsidRPr="00F56A0E">
              <w:rPr>
                <w:lang w:val="fr-FR"/>
              </w:rPr>
              <w:t>’</w:t>
            </w:r>
            <w:r w:rsidRPr="00F56A0E">
              <w:rPr>
                <w:lang w:val="fr-FR"/>
              </w:rPr>
              <w:t>excrétion urinaire. Métabolisme chez les animaux</w:t>
            </w:r>
            <w:r w:rsidR="00157D75" w:rsidRPr="00F56A0E">
              <w:rPr>
                <w:lang w:val="fr-FR"/>
              </w:rPr>
              <w:t> :</w:t>
            </w:r>
            <w:r w:rsidRPr="00F56A0E">
              <w:rPr>
                <w:lang w:val="fr-FR"/>
              </w:rPr>
              <w:t xml:space="preserve"> la sulfoxydation et la désulfuration du terbufos sont suivies d</w:t>
            </w:r>
            <w:r w:rsidR="00870D0E" w:rsidRPr="00F56A0E">
              <w:rPr>
                <w:lang w:val="fr-FR"/>
              </w:rPr>
              <w:t>’</w:t>
            </w:r>
            <w:r w:rsidRPr="00F56A0E">
              <w:rPr>
                <w:lang w:val="fr-FR"/>
              </w:rPr>
              <w:t>une hydrolyse de la double liaison soufre-phosphore (S</w:t>
            </w:r>
            <w:r w:rsidRPr="00F56A0E">
              <w:rPr>
                <w:lang w:val="fr-FR"/>
              </w:rPr>
              <w:noBreakHyphen/>
              <w:t>P), d</w:t>
            </w:r>
            <w:r w:rsidR="00870D0E" w:rsidRPr="00F56A0E">
              <w:rPr>
                <w:lang w:val="fr-FR"/>
              </w:rPr>
              <w:t>’</w:t>
            </w:r>
            <w:r w:rsidRPr="00F56A0E">
              <w:rPr>
                <w:lang w:val="fr-FR"/>
              </w:rPr>
              <w:t>une méthylation enzymatique de l</w:t>
            </w:r>
            <w:r w:rsidR="00870D0E" w:rsidRPr="00F56A0E">
              <w:rPr>
                <w:lang w:val="fr-FR"/>
              </w:rPr>
              <w:t>’</w:t>
            </w:r>
            <w:r w:rsidRPr="00F56A0E">
              <w:rPr>
                <w:lang w:val="fr-FR"/>
              </w:rPr>
              <w:t>atome de soufre S puis d</w:t>
            </w:r>
            <w:r w:rsidR="00870D0E" w:rsidRPr="00F56A0E">
              <w:rPr>
                <w:lang w:val="fr-FR"/>
              </w:rPr>
              <w:t>’</w:t>
            </w:r>
            <w:r w:rsidRPr="00F56A0E">
              <w:rPr>
                <w:lang w:val="fr-FR"/>
              </w:rPr>
              <w:t>une oxydation de celui-ci.</w:t>
            </w:r>
          </w:p>
        </w:tc>
      </w:tr>
      <w:tr w:rsidR="006F1716" w:rsidRPr="00F56A0E" w14:paraId="7FF46D6A" w14:textId="77777777" w:rsidTr="00D076A8">
        <w:tc>
          <w:tcPr>
            <w:tcW w:w="817" w:type="dxa"/>
            <w:shd w:val="clear" w:color="auto" w:fill="auto"/>
          </w:tcPr>
          <w:p w14:paraId="57C3FB18" w14:textId="77777777" w:rsidR="006F1716" w:rsidRPr="00F56A0E" w:rsidRDefault="006F1716" w:rsidP="00D076A8">
            <w:pPr>
              <w:rPr>
                <w:rFonts w:eastAsia="Times New Roman"/>
                <w:lang w:val="fr-FR"/>
              </w:rPr>
            </w:pPr>
            <w:r w:rsidRPr="00F56A0E">
              <w:rPr>
                <w:lang w:val="fr-FR"/>
              </w:rPr>
              <w:t>2.2</w:t>
            </w:r>
          </w:p>
        </w:tc>
        <w:tc>
          <w:tcPr>
            <w:tcW w:w="1701" w:type="dxa"/>
            <w:shd w:val="clear" w:color="auto" w:fill="auto"/>
          </w:tcPr>
          <w:p w14:paraId="1484BF88" w14:textId="77777777" w:rsidR="006F1716" w:rsidRPr="00F56A0E" w:rsidRDefault="006F1716" w:rsidP="00D076A8">
            <w:pPr>
              <w:rPr>
                <w:rFonts w:eastAsia="Times New Roman"/>
                <w:lang w:val="fr-FR"/>
              </w:rPr>
            </w:pPr>
            <w:r w:rsidRPr="00F56A0E">
              <w:rPr>
                <w:lang w:val="fr-FR"/>
              </w:rPr>
              <w:t>Études toxicologiques</w:t>
            </w:r>
          </w:p>
        </w:tc>
        <w:tc>
          <w:tcPr>
            <w:tcW w:w="7121" w:type="dxa"/>
            <w:shd w:val="clear" w:color="auto" w:fill="auto"/>
          </w:tcPr>
          <w:p w14:paraId="43B488E4" w14:textId="77777777" w:rsidR="006F1716" w:rsidRPr="00F56A0E" w:rsidRDefault="006F1716" w:rsidP="00D076A8">
            <w:pPr>
              <w:ind w:right="142"/>
              <w:textAlignment w:val="baseline"/>
              <w:rPr>
                <w:rFonts w:eastAsia="Times New Roman"/>
                <w:color w:val="000000"/>
                <w:spacing w:val="-4"/>
                <w:lang w:val="fr-FR"/>
              </w:rPr>
            </w:pPr>
          </w:p>
        </w:tc>
      </w:tr>
      <w:tr w:rsidR="006F1716" w:rsidRPr="00F56A0E" w14:paraId="64B4623B" w14:textId="77777777" w:rsidTr="00D076A8">
        <w:trPr>
          <w:trHeight w:val="1580"/>
        </w:trPr>
        <w:tc>
          <w:tcPr>
            <w:tcW w:w="817" w:type="dxa"/>
            <w:shd w:val="clear" w:color="auto" w:fill="auto"/>
          </w:tcPr>
          <w:p w14:paraId="5F166C80" w14:textId="77777777" w:rsidR="006F1716" w:rsidRPr="00F56A0E" w:rsidRDefault="006F1716" w:rsidP="00D076A8">
            <w:pPr>
              <w:rPr>
                <w:rFonts w:eastAsia="Times New Roman"/>
                <w:lang w:val="fr-FR"/>
              </w:rPr>
            </w:pPr>
            <w:r w:rsidRPr="00F56A0E">
              <w:rPr>
                <w:lang w:val="fr-FR"/>
              </w:rPr>
              <w:t>2.2.1</w:t>
            </w:r>
          </w:p>
        </w:tc>
        <w:tc>
          <w:tcPr>
            <w:tcW w:w="1701" w:type="dxa"/>
            <w:shd w:val="clear" w:color="auto" w:fill="auto"/>
          </w:tcPr>
          <w:p w14:paraId="7A4D410A" w14:textId="77777777" w:rsidR="006F1716" w:rsidRPr="00F56A0E" w:rsidRDefault="006F1716" w:rsidP="00D076A8">
            <w:pPr>
              <w:rPr>
                <w:rFonts w:eastAsia="Times New Roman"/>
                <w:lang w:val="fr-FR"/>
              </w:rPr>
            </w:pPr>
            <w:r w:rsidRPr="00F56A0E">
              <w:rPr>
                <w:lang w:val="fr-FR"/>
              </w:rPr>
              <w:t>Toxicité aiguë</w:t>
            </w:r>
          </w:p>
          <w:p w14:paraId="00C514F9" w14:textId="77777777" w:rsidR="006F1716" w:rsidRPr="00F56A0E" w:rsidRDefault="006F1716" w:rsidP="00D076A8">
            <w:pPr>
              <w:jc w:val="center"/>
              <w:rPr>
                <w:rFonts w:eastAsia="Times New Roman"/>
                <w:lang w:val="fr-FR" w:eastAsia="en-US"/>
              </w:rPr>
            </w:pPr>
          </w:p>
        </w:tc>
        <w:tc>
          <w:tcPr>
            <w:tcW w:w="7121" w:type="dxa"/>
            <w:shd w:val="clear" w:color="auto" w:fill="auto"/>
          </w:tcPr>
          <w:p w14:paraId="23C23D25" w14:textId="77777777" w:rsidR="006F1716" w:rsidRPr="00F56A0E" w:rsidRDefault="006F1716" w:rsidP="00D076A8">
            <w:pPr>
              <w:rPr>
                <w:rFonts w:eastAsia="Times New Roman"/>
                <w:b/>
                <w:u w:val="single"/>
                <w:lang w:val="fr-FR"/>
              </w:rPr>
            </w:pPr>
            <w:r w:rsidRPr="00F56A0E">
              <w:rPr>
                <w:b/>
                <w:u w:val="single"/>
                <w:lang w:val="fr-FR"/>
              </w:rPr>
              <w:t>Canada</w:t>
            </w:r>
          </w:p>
          <w:p w14:paraId="6DB0801E" w14:textId="44E76849" w:rsidR="006F1716" w:rsidRPr="00F56A0E" w:rsidRDefault="006F1716" w:rsidP="00D076A8">
            <w:pPr>
              <w:ind w:right="646"/>
              <w:textAlignment w:val="baseline"/>
              <w:rPr>
                <w:rFonts w:eastAsia="Times New Roman"/>
                <w:color w:val="000000"/>
                <w:spacing w:val="-4"/>
                <w:lang w:val="fr-FR"/>
              </w:rPr>
            </w:pPr>
            <w:r w:rsidRPr="00F56A0E">
              <w:rPr>
                <w:color w:val="000000"/>
                <w:lang w:val="fr-FR"/>
              </w:rPr>
              <w:t xml:space="preserve">Les études menées sur </w:t>
            </w:r>
            <w:r w:rsidR="00033C6B" w:rsidRPr="00F56A0E">
              <w:rPr>
                <w:color w:val="000000"/>
                <w:lang w:val="fr-FR"/>
              </w:rPr>
              <w:t>d</w:t>
            </w:r>
            <w:r w:rsidRPr="00F56A0E">
              <w:rPr>
                <w:color w:val="000000"/>
                <w:lang w:val="fr-FR"/>
              </w:rPr>
              <w:t>es animaux de laboratoire ont montré que le terbufos présente une toxicité aiguë extrême par voie orale, par voie cutanée et par inhalation. Après l</w:t>
            </w:r>
            <w:r w:rsidR="00870D0E" w:rsidRPr="00F56A0E">
              <w:rPr>
                <w:color w:val="000000"/>
                <w:lang w:val="fr-FR"/>
              </w:rPr>
              <w:t>’</w:t>
            </w:r>
            <w:r w:rsidRPr="00F56A0E">
              <w:rPr>
                <w:color w:val="000000"/>
                <w:lang w:val="fr-FR"/>
              </w:rPr>
              <w:t>administration de doses uniques comme de doses répétées, les indicateurs de toxicité les plus sensibles étaient l</w:t>
            </w:r>
            <w:r w:rsidR="00870D0E" w:rsidRPr="00F56A0E">
              <w:rPr>
                <w:color w:val="000000"/>
                <w:lang w:val="fr-FR"/>
              </w:rPr>
              <w:t>’</w:t>
            </w:r>
            <w:r w:rsidRPr="00F56A0E">
              <w:rPr>
                <w:color w:val="000000"/>
                <w:lang w:val="fr-FR"/>
              </w:rPr>
              <w:t>inhibition de l</w:t>
            </w:r>
            <w:r w:rsidR="00870D0E" w:rsidRPr="00F56A0E">
              <w:rPr>
                <w:color w:val="000000"/>
                <w:lang w:val="fr-FR"/>
              </w:rPr>
              <w:t>’</w:t>
            </w:r>
            <w:r w:rsidRPr="00F56A0E">
              <w:rPr>
                <w:color w:val="000000"/>
                <w:lang w:val="fr-FR"/>
              </w:rPr>
              <w:t xml:space="preserve">acétylcholinestérase, une enzyme nécessaire au bon fonctionnement du système nerveux, ou des signes cliniques de toxicité cholinergique. La toxicité des métabolites phosphorylés du terbufos (terbufos-sulfoxyde et terbufos-sulfone) est comparable à celle du terbufos. </w:t>
            </w:r>
          </w:p>
          <w:p w14:paraId="272FF5C6" w14:textId="77777777" w:rsidR="006F1716" w:rsidRPr="00F56A0E" w:rsidRDefault="006F1716" w:rsidP="00D076A8">
            <w:pPr>
              <w:ind w:right="646"/>
              <w:textAlignment w:val="baseline"/>
              <w:rPr>
                <w:rFonts w:eastAsia="Times New Roman"/>
                <w:color w:val="000000"/>
                <w:spacing w:val="-4"/>
                <w:lang w:val="fr-FR"/>
              </w:rPr>
            </w:pPr>
          </w:p>
          <w:p w14:paraId="75F47A54" w14:textId="0A2F4875" w:rsidR="006F1716" w:rsidRPr="00F56A0E" w:rsidRDefault="006F1716" w:rsidP="00D076A8">
            <w:pPr>
              <w:ind w:right="646"/>
              <w:textAlignment w:val="baseline"/>
              <w:rPr>
                <w:rFonts w:eastAsia="Times New Roman"/>
                <w:spacing w:val="-4"/>
                <w:lang w:val="fr-FR"/>
              </w:rPr>
            </w:pPr>
            <w:r w:rsidRPr="00F56A0E">
              <w:rPr>
                <w:color w:val="000000"/>
                <w:lang w:val="fr-FR"/>
              </w:rPr>
              <w:t>L</w:t>
            </w:r>
            <w:r w:rsidR="00870D0E" w:rsidRPr="00F56A0E">
              <w:rPr>
                <w:color w:val="000000"/>
                <w:lang w:val="fr-FR"/>
              </w:rPr>
              <w:t>’</w:t>
            </w:r>
            <w:r w:rsidRPr="00F56A0E">
              <w:rPr>
                <w:color w:val="000000"/>
                <w:lang w:val="fr-FR"/>
              </w:rPr>
              <w:t>une des principales caractéristiques du terbufos était la forte pente de sa courbe dose-réponse et son activité élevée en cas d</w:t>
            </w:r>
            <w:r w:rsidR="00870D0E" w:rsidRPr="00F56A0E">
              <w:rPr>
                <w:color w:val="000000"/>
                <w:lang w:val="fr-FR"/>
              </w:rPr>
              <w:t>’</w:t>
            </w:r>
            <w:r w:rsidRPr="00F56A0E">
              <w:rPr>
                <w:color w:val="000000"/>
                <w:lang w:val="fr-FR"/>
              </w:rPr>
              <w:t xml:space="preserve">exposition aiguë par voie orale et par inhalation. Les doses sans effet nocif observé (DSENO) étaient très proches des niveaux ayant entraîné la mortalité chez les animaux de laboratoire. </w:t>
            </w:r>
            <w:r w:rsidRPr="00F56A0E">
              <w:rPr>
                <w:lang w:val="fr-FR"/>
              </w:rPr>
              <w:t>Le potentiel d</w:t>
            </w:r>
            <w:r w:rsidR="00870D0E" w:rsidRPr="00F56A0E">
              <w:rPr>
                <w:lang w:val="fr-FR"/>
              </w:rPr>
              <w:t>’</w:t>
            </w:r>
            <w:r w:rsidRPr="00F56A0E">
              <w:rPr>
                <w:lang w:val="fr-FR"/>
              </w:rPr>
              <w:t>absorption cutanée du terbufos est élevé</w:t>
            </w:r>
            <w:r w:rsidR="001349EA" w:rsidRPr="00F56A0E">
              <w:rPr>
                <w:color w:val="000000"/>
                <w:lang w:val="fr-FR"/>
              </w:rPr>
              <w:t> ;</w:t>
            </w:r>
            <w:r w:rsidRPr="00F56A0E">
              <w:rPr>
                <w:color w:val="000000"/>
                <w:lang w:val="fr-FR"/>
              </w:rPr>
              <w:t xml:space="preserve"> cependant, la forte pente de la courbe dose-réponse et l</w:t>
            </w:r>
            <w:r w:rsidR="00870D0E" w:rsidRPr="00F56A0E">
              <w:rPr>
                <w:color w:val="000000"/>
                <w:lang w:val="fr-FR"/>
              </w:rPr>
              <w:t>’</w:t>
            </w:r>
            <w:r w:rsidRPr="00F56A0E">
              <w:rPr>
                <w:color w:val="000000"/>
                <w:lang w:val="fr-FR"/>
              </w:rPr>
              <w:t>activité élevée mises en évidence dans les études d</w:t>
            </w:r>
            <w:r w:rsidR="00870D0E" w:rsidRPr="00F56A0E">
              <w:rPr>
                <w:color w:val="000000"/>
                <w:lang w:val="fr-FR"/>
              </w:rPr>
              <w:t>’</w:t>
            </w:r>
            <w:r w:rsidRPr="00F56A0E">
              <w:rPr>
                <w:color w:val="000000"/>
                <w:lang w:val="fr-FR"/>
              </w:rPr>
              <w:t>exposition par voie orale n</w:t>
            </w:r>
            <w:r w:rsidR="00870D0E" w:rsidRPr="00F56A0E">
              <w:rPr>
                <w:color w:val="000000"/>
                <w:lang w:val="fr-FR"/>
              </w:rPr>
              <w:t>’</w:t>
            </w:r>
            <w:r w:rsidRPr="00F56A0E">
              <w:rPr>
                <w:color w:val="000000"/>
                <w:lang w:val="fr-FR"/>
              </w:rPr>
              <w:t>ont pas été observées après administration de doses répétées par voie cutanée.</w:t>
            </w:r>
          </w:p>
          <w:p w14:paraId="3F05DAB5" w14:textId="77777777" w:rsidR="006F1716" w:rsidRPr="00F56A0E" w:rsidRDefault="006F1716" w:rsidP="00D076A8">
            <w:pPr>
              <w:ind w:right="646"/>
              <w:textAlignment w:val="baseline"/>
              <w:rPr>
                <w:rFonts w:eastAsia="Times New Roman"/>
                <w:spacing w:val="-4"/>
                <w:lang w:val="fr-FR"/>
              </w:rPr>
            </w:pPr>
          </w:p>
          <w:p w14:paraId="5EA424B3" w14:textId="77777777" w:rsidR="006F1716" w:rsidRPr="00F56A0E" w:rsidRDefault="006F1716" w:rsidP="00D076A8">
            <w:pPr>
              <w:tabs>
                <w:tab w:val="left" w:pos="1944"/>
              </w:tabs>
              <w:spacing w:line="228" w:lineRule="exact"/>
              <w:ind w:right="504"/>
              <w:textAlignment w:val="baseline"/>
              <w:rPr>
                <w:rFonts w:eastAsia="PMingLiU"/>
                <w:b/>
                <w:u w:val="single"/>
                <w:lang w:val="fr-FR"/>
              </w:rPr>
            </w:pPr>
            <w:r w:rsidRPr="00F56A0E">
              <w:rPr>
                <w:b/>
                <w:u w:val="single"/>
                <w:lang w:val="fr-FR"/>
              </w:rPr>
              <w:t>Mozambique</w:t>
            </w:r>
          </w:p>
          <w:p w14:paraId="5A20C3CA" w14:textId="341AB9D8" w:rsidR="006F1716" w:rsidRPr="00F56A0E" w:rsidRDefault="006F1716" w:rsidP="00D076A8">
            <w:pPr>
              <w:tabs>
                <w:tab w:val="left" w:pos="1944"/>
              </w:tabs>
              <w:spacing w:line="228" w:lineRule="exact"/>
              <w:ind w:right="504"/>
              <w:textAlignment w:val="baseline"/>
              <w:rPr>
                <w:rFonts w:eastAsia="PMingLiU"/>
                <w:lang w:val="fr-FR"/>
              </w:rPr>
            </w:pPr>
            <w:r w:rsidRPr="00F56A0E">
              <w:rPr>
                <w:lang w:val="fr-FR"/>
              </w:rPr>
              <w:t>Les formulations du terbufos homologuées au Mozambique ont été classées comme extrêmement dangereuses (classe Ia) selon les critères de la JMPM relatifs aux pesticides très dangereux, établis sur la base de la Classification OMS recommandée des pesticides en fonction des dangers qu</w:t>
            </w:r>
            <w:r w:rsidR="00870D0E" w:rsidRPr="00F56A0E">
              <w:rPr>
                <w:lang w:val="fr-FR"/>
              </w:rPr>
              <w:t>’</w:t>
            </w:r>
            <w:r w:rsidRPr="00F56A0E">
              <w:rPr>
                <w:lang w:val="fr-FR"/>
              </w:rPr>
              <w:t>ils présentent.</w:t>
            </w:r>
          </w:p>
          <w:p w14:paraId="3603F147" w14:textId="77777777" w:rsidR="006F1716" w:rsidRPr="00F56A0E" w:rsidRDefault="006F1716" w:rsidP="00D076A8">
            <w:pPr>
              <w:tabs>
                <w:tab w:val="left" w:pos="1944"/>
              </w:tabs>
              <w:spacing w:line="228" w:lineRule="exact"/>
              <w:ind w:right="504"/>
              <w:textAlignment w:val="baseline"/>
              <w:rPr>
                <w:rFonts w:eastAsia="PMingLiU"/>
                <w:lang w:val="fr-FR" w:eastAsia="en-US"/>
              </w:rPr>
            </w:pPr>
          </w:p>
          <w:p w14:paraId="504C02EA" w14:textId="77777777" w:rsidR="006F1716" w:rsidRPr="00F56A0E" w:rsidRDefault="006F1716" w:rsidP="00D076A8">
            <w:pPr>
              <w:tabs>
                <w:tab w:val="left" w:pos="1944"/>
              </w:tabs>
              <w:spacing w:line="228" w:lineRule="exact"/>
              <w:ind w:right="504"/>
              <w:textAlignment w:val="baseline"/>
              <w:rPr>
                <w:rFonts w:eastAsia="PMingLiU"/>
                <w:b/>
                <w:bCs/>
                <w:u w:val="single"/>
                <w:lang w:val="fr-FR"/>
              </w:rPr>
            </w:pPr>
            <w:r w:rsidRPr="00F56A0E">
              <w:rPr>
                <w:b/>
                <w:u w:val="single"/>
                <w:lang w:val="fr-FR"/>
              </w:rPr>
              <w:t>JMPR (2004)</w:t>
            </w:r>
            <w:r w:rsidRPr="00F56A0E">
              <w:rPr>
                <w:rFonts w:eastAsia="PMingLiU"/>
                <w:b/>
                <w:bCs/>
                <w:u w:val="single"/>
                <w:lang w:val="fr-FR"/>
              </w:rPr>
              <w:t xml:space="preserve"> </w:t>
            </w:r>
          </w:p>
          <w:p w14:paraId="0F18A7D9" w14:textId="13A2959F" w:rsidR="006F1716" w:rsidRPr="00F56A0E" w:rsidRDefault="006F1716" w:rsidP="00D076A8">
            <w:pPr>
              <w:ind w:right="646"/>
              <w:textAlignment w:val="baseline"/>
              <w:rPr>
                <w:rFonts w:eastAsia="Times New Roman"/>
                <w:color w:val="000000"/>
                <w:spacing w:val="-4"/>
                <w:lang w:val="fr-FR"/>
              </w:rPr>
            </w:pPr>
            <w:r w:rsidRPr="00F56A0E">
              <w:rPr>
                <w:color w:val="000000"/>
                <w:lang w:val="fr-FR"/>
              </w:rPr>
              <w:t>Le</w:t>
            </w:r>
            <w:r w:rsidRPr="00F56A0E">
              <w:rPr>
                <w:lang w:val="fr-FR"/>
              </w:rPr>
              <w:t xml:space="preserve"> terbufos</w:t>
            </w:r>
            <w:r w:rsidRPr="00F56A0E">
              <w:rPr>
                <w:color w:val="000000"/>
                <w:lang w:val="fr-FR"/>
              </w:rPr>
              <w:t xml:space="preserve"> présente une toxicité aiguë extrême par voie orale, par voie cutanée ou par inhalation. Les valeurs de DL</w:t>
            </w:r>
            <w:r w:rsidRPr="00F56A0E">
              <w:rPr>
                <w:color w:val="000000"/>
                <w:vertAlign w:val="subscript"/>
                <w:lang w:val="fr-FR"/>
              </w:rPr>
              <w:t>50</w:t>
            </w:r>
            <w:r w:rsidRPr="00F56A0E">
              <w:rPr>
                <w:color w:val="000000"/>
                <w:lang w:val="fr-FR"/>
              </w:rPr>
              <w:t xml:space="preserve"> pour la toxicité aiguë par voie orale étaient similaires chez les rongeurs et les chiens, et comprises entre 1,4 et 9,2 mg/kg p.c. La DL</w:t>
            </w:r>
            <w:r w:rsidRPr="00F56A0E">
              <w:rPr>
                <w:color w:val="000000"/>
                <w:vertAlign w:val="subscript"/>
                <w:lang w:val="fr-FR"/>
              </w:rPr>
              <w:t>50</w:t>
            </w:r>
            <w:r w:rsidRPr="00F56A0E">
              <w:rPr>
                <w:color w:val="000000"/>
                <w:lang w:val="fr-FR"/>
              </w:rPr>
              <w:t xml:space="preserve"> aiguë par voie cutanée était d</w:t>
            </w:r>
            <w:r w:rsidR="00870D0E" w:rsidRPr="00F56A0E">
              <w:rPr>
                <w:color w:val="000000"/>
                <w:lang w:val="fr-FR"/>
              </w:rPr>
              <w:t>’</w:t>
            </w:r>
            <w:r w:rsidRPr="00F56A0E">
              <w:rPr>
                <w:color w:val="000000"/>
                <w:lang w:val="fr-FR"/>
              </w:rPr>
              <w:t>environ 1 mg/kg p.c. chez les lapins, et la CL</w:t>
            </w:r>
            <w:r w:rsidRPr="00F56A0E">
              <w:rPr>
                <w:color w:val="000000"/>
                <w:vertAlign w:val="subscript"/>
                <w:lang w:val="fr-FR"/>
              </w:rPr>
              <w:t>50</w:t>
            </w:r>
            <w:r w:rsidRPr="00F56A0E">
              <w:rPr>
                <w:color w:val="000000"/>
                <w:lang w:val="fr-FR"/>
              </w:rPr>
              <w:t xml:space="preserve"> aiguë par inhalation chez les rats était comprise entre 0,0012 et 0,0061 mg/l. Les signes cliniques observés étaient typiques de la toxicité cholinergique et, selon l</w:t>
            </w:r>
            <w:r w:rsidR="00870D0E" w:rsidRPr="00F56A0E">
              <w:rPr>
                <w:color w:val="000000"/>
                <w:lang w:val="fr-FR"/>
              </w:rPr>
              <w:t>’</w:t>
            </w:r>
            <w:r w:rsidRPr="00F56A0E">
              <w:rPr>
                <w:color w:val="000000"/>
                <w:lang w:val="fr-FR"/>
              </w:rPr>
              <w:t>étude, la voie d</w:t>
            </w:r>
            <w:r w:rsidR="00870D0E" w:rsidRPr="00F56A0E">
              <w:rPr>
                <w:color w:val="000000"/>
                <w:lang w:val="fr-FR"/>
              </w:rPr>
              <w:t>’</w:t>
            </w:r>
            <w:r w:rsidRPr="00F56A0E">
              <w:rPr>
                <w:color w:val="000000"/>
                <w:lang w:val="fr-FR"/>
              </w:rPr>
              <w:t>administration et l</w:t>
            </w:r>
            <w:r w:rsidR="00870D0E" w:rsidRPr="00F56A0E">
              <w:rPr>
                <w:color w:val="000000"/>
                <w:lang w:val="fr-FR"/>
              </w:rPr>
              <w:t>’</w:t>
            </w:r>
            <w:r w:rsidRPr="00F56A0E">
              <w:rPr>
                <w:color w:val="000000"/>
                <w:lang w:val="fr-FR"/>
              </w:rPr>
              <w:t>espèce, comprenaient les suivants</w:t>
            </w:r>
            <w:r w:rsidR="00157D75" w:rsidRPr="00F56A0E">
              <w:rPr>
                <w:color w:val="000000"/>
                <w:lang w:val="fr-FR"/>
              </w:rPr>
              <w:t> :</w:t>
            </w:r>
            <w:r w:rsidRPr="00F56A0E">
              <w:rPr>
                <w:color w:val="000000"/>
                <w:lang w:val="fr-FR"/>
              </w:rPr>
              <w:t xml:space="preserve"> tremblements, salivation, exophtalmie, prostration, diminution de l</w:t>
            </w:r>
            <w:r w:rsidR="00870D0E" w:rsidRPr="00F56A0E">
              <w:rPr>
                <w:color w:val="000000"/>
                <w:lang w:val="fr-FR"/>
              </w:rPr>
              <w:t>’</w:t>
            </w:r>
            <w:r w:rsidRPr="00F56A0E">
              <w:rPr>
                <w:color w:val="000000"/>
                <w:lang w:val="fr-FR"/>
              </w:rPr>
              <w:t>activité, chromodacryorrhée (larmes rouges), diurèse, horripilation, ataxie, coloration urogénitale, écoulement nasal, anorexie et respiration laborieuse. Les décès consécutifs à des expositions aiguës sont survenus entre quelques minutes ou quelques heures et jusqu</w:t>
            </w:r>
            <w:r w:rsidR="00870D0E" w:rsidRPr="00F56A0E">
              <w:rPr>
                <w:color w:val="000000"/>
                <w:lang w:val="fr-FR"/>
              </w:rPr>
              <w:t>’</w:t>
            </w:r>
            <w:r w:rsidRPr="00F56A0E">
              <w:rPr>
                <w:color w:val="000000"/>
                <w:lang w:val="fr-FR"/>
              </w:rPr>
              <w:t>à une semaine après l</w:t>
            </w:r>
            <w:r w:rsidR="00870D0E" w:rsidRPr="00F56A0E">
              <w:rPr>
                <w:color w:val="000000"/>
                <w:lang w:val="fr-FR"/>
              </w:rPr>
              <w:t>’</w:t>
            </w:r>
            <w:r w:rsidRPr="00F56A0E">
              <w:rPr>
                <w:color w:val="000000"/>
                <w:lang w:val="fr-FR"/>
              </w:rPr>
              <w:t>administration.</w:t>
            </w:r>
          </w:p>
          <w:p w14:paraId="3FEBE555" w14:textId="77777777" w:rsidR="006F1716" w:rsidRPr="00F56A0E" w:rsidRDefault="006F1716" w:rsidP="00D076A8">
            <w:pPr>
              <w:ind w:right="646"/>
              <w:textAlignment w:val="baseline"/>
              <w:rPr>
                <w:rFonts w:eastAsia="Times New Roman"/>
                <w:color w:val="000000"/>
                <w:spacing w:val="-4"/>
                <w:lang w:val="fr-FR"/>
              </w:rPr>
            </w:pPr>
          </w:p>
          <w:p w14:paraId="57C9BBE1" w14:textId="77777777" w:rsidR="006F1716" w:rsidRPr="00F56A0E" w:rsidRDefault="006F1716" w:rsidP="003112B7">
            <w:pPr>
              <w:keepNext/>
              <w:keepLines/>
              <w:ind w:right="648"/>
              <w:textAlignment w:val="baseline"/>
              <w:rPr>
                <w:rFonts w:eastAsia="Times New Roman"/>
                <w:b/>
                <w:spacing w:val="-4"/>
                <w:u w:val="single"/>
                <w:lang w:val="fr-FR"/>
              </w:rPr>
            </w:pPr>
            <w:r w:rsidRPr="00F56A0E">
              <w:rPr>
                <w:b/>
                <w:u w:val="single"/>
                <w:lang w:val="fr-FR"/>
              </w:rPr>
              <w:lastRenderedPageBreak/>
              <w:t>The Pesticide Manual (16</w:t>
            </w:r>
            <w:r w:rsidRPr="00F56A0E">
              <w:rPr>
                <w:b/>
                <w:u w:val="single"/>
                <w:vertAlign w:val="superscript"/>
                <w:lang w:val="fr-FR"/>
              </w:rPr>
              <w:t>e</w:t>
            </w:r>
            <w:r w:rsidRPr="00F56A0E">
              <w:rPr>
                <w:b/>
                <w:u w:val="single"/>
                <w:lang w:val="fr-FR"/>
              </w:rPr>
              <w:t> édition)</w:t>
            </w:r>
          </w:p>
          <w:p w14:paraId="713983F2" w14:textId="431FE361" w:rsidR="006F1716" w:rsidRPr="00F56A0E" w:rsidRDefault="006F1716" w:rsidP="003112B7">
            <w:pPr>
              <w:keepNext/>
              <w:keepLines/>
              <w:ind w:right="648"/>
              <w:textAlignment w:val="baseline"/>
              <w:rPr>
                <w:rFonts w:eastAsia="Times New Roman"/>
                <w:spacing w:val="-4"/>
                <w:lang w:val="fr-FR"/>
              </w:rPr>
            </w:pPr>
            <w:r w:rsidRPr="00F56A0E">
              <w:rPr>
                <w:lang w:val="fr-FR"/>
              </w:rPr>
              <w:t>DL</w:t>
            </w:r>
            <w:r w:rsidRPr="00F56A0E">
              <w:rPr>
                <w:vertAlign w:val="subscript"/>
                <w:lang w:val="fr-FR"/>
              </w:rPr>
              <w:t>50</w:t>
            </w:r>
            <w:r w:rsidRPr="00F56A0E">
              <w:rPr>
                <w:lang w:val="fr-FR"/>
              </w:rPr>
              <w:t xml:space="preserve"> aiguë par voie orale pour les rats albinos mâles et femelles</w:t>
            </w:r>
            <w:r w:rsidR="00157D75" w:rsidRPr="00F56A0E">
              <w:rPr>
                <w:lang w:val="fr-FR"/>
              </w:rPr>
              <w:t> :</w:t>
            </w:r>
            <w:r w:rsidRPr="00F56A0E">
              <w:rPr>
                <w:lang w:val="fr-FR"/>
              </w:rPr>
              <w:t xml:space="preserve"> 1,6 mg/kg p.c. et 5,4 mg/kg p.c., respectivement. DL</w:t>
            </w:r>
            <w:r w:rsidRPr="00F56A0E">
              <w:rPr>
                <w:vertAlign w:val="subscript"/>
                <w:lang w:val="fr-FR"/>
              </w:rPr>
              <w:t>50</w:t>
            </w:r>
            <w:r w:rsidRPr="00F56A0E">
              <w:rPr>
                <w:lang w:val="fr-FR"/>
              </w:rPr>
              <w:t xml:space="preserve"> aiguë par voies cutanée et oculaire pour les rats et les lapins</w:t>
            </w:r>
            <w:r w:rsidR="00157D75" w:rsidRPr="00F56A0E">
              <w:rPr>
                <w:lang w:val="fr-FR"/>
              </w:rPr>
              <w:t> :</w:t>
            </w:r>
            <w:r w:rsidRPr="00F56A0E">
              <w:rPr>
                <w:lang w:val="fr-FR"/>
              </w:rPr>
              <w:t xml:space="preserve"> 9,8 mg/kg p.c. et 1,0 mg/kg p.c., respectivement. Irritant pour la peau et les yeux. CL</w:t>
            </w:r>
            <w:r w:rsidRPr="00F56A0E">
              <w:rPr>
                <w:vertAlign w:val="subscript"/>
                <w:lang w:val="fr-FR"/>
              </w:rPr>
              <w:t>50</w:t>
            </w:r>
            <w:r w:rsidRPr="00F56A0E">
              <w:rPr>
                <w:lang w:val="fr-FR"/>
              </w:rPr>
              <w:t xml:space="preserve"> (4 h) par inhalation pour les rats mâles et femelles</w:t>
            </w:r>
            <w:r w:rsidR="00157D75" w:rsidRPr="00F56A0E">
              <w:rPr>
                <w:lang w:val="fr-FR"/>
              </w:rPr>
              <w:t> :</w:t>
            </w:r>
            <w:r w:rsidRPr="00F56A0E">
              <w:rPr>
                <w:lang w:val="fr-FR"/>
              </w:rPr>
              <w:t xml:space="preserve"> 0,0061 mg/l d</w:t>
            </w:r>
            <w:r w:rsidR="00870D0E" w:rsidRPr="00F56A0E">
              <w:rPr>
                <w:lang w:val="fr-FR"/>
              </w:rPr>
              <w:t>’</w:t>
            </w:r>
            <w:r w:rsidRPr="00F56A0E">
              <w:rPr>
                <w:lang w:val="fr-FR"/>
              </w:rPr>
              <w:t>air et 0,0012 mg/l d</w:t>
            </w:r>
            <w:r w:rsidR="00870D0E" w:rsidRPr="00F56A0E">
              <w:rPr>
                <w:lang w:val="fr-FR"/>
              </w:rPr>
              <w:t>’</w:t>
            </w:r>
            <w:r w:rsidRPr="00F56A0E">
              <w:rPr>
                <w:lang w:val="fr-FR"/>
              </w:rPr>
              <w:t>air, respectivement</w:t>
            </w:r>
          </w:p>
          <w:p w14:paraId="4687D99E" w14:textId="77777777" w:rsidR="006F1716" w:rsidRPr="00F56A0E" w:rsidRDefault="006F1716" w:rsidP="00D076A8">
            <w:pPr>
              <w:ind w:right="646"/>
              <w:textAlignment w:val="baseline"/>
              <w:rPr>
                <w:rFonts w:eastAsia="Times New Roman"/>
                <w:color w:val="000000"/>
                <w:spacing w:val="-4"/>
                <w:lang w:val="fr-FR"/>
              </w:rPr>
            </w:pPr>
          </w:p>
        </w:tc>
      </w:tr>
      <w:tr w:rsidR="006F1716" w:rsidRPr="00F56A0E" w14:paraId="487E8445" w14:textId="77777777" w:rsidTr="00D076A8">
        <w:tc>
          <w:tcPr>
            <w:tcW w:w="817" w:type="dxa"/>
            <w:shd w:val="clear" w:color="auto" w:fill="auto"/>
          </w:tcPr>
          <w:p w14:paraId="7729577C" w14:textId="77777777" w:rsidR="006F1716" w:rsidRPr="00F56A0E" w:rsidRDefault="006F1716" w:rsidP="00D076A8">
            <w:pPr>
              <w:rPr>
                <w:rFonts w:eastAsia="Times New Roman"/>
                <w:lang w:val="fr-FR"/>
              </w:rPr>
            </w:pPr>
            <w:r w:rsidRPr="00F56A0E">
              <w:rPr>
                <w:lang w:val="fr-FR"/>
              </w:rPr>
              <w:lastRenderedPageBreak/>
              <w:t>2.2.2</w:t>
            </w:r>
          </w:p>
        </w:tc>
        <w:tc>
          <w:tcPr>
            <w:tcW w:w="1701" w:type="dxa"/>
            <w:shd w:val="clear" w:color="auto" w:fill="auto"/>
          </w:tcPr>
          <w:p w14:paraId="080E1906" w14:textId="77777777" w:rsidR="006F1716" w:rsidRPr="00F56A0E" w:rsidRDefault="006F1716" w:rsidP="00D076A8">
            <w:pPr>
              <w:rPr>
                <w:rFonts w:eastAsia="Times New Roman"/>
                <w:lang w:val="fr-FR"/>
              </w:rPr>
            </w:pPr>
            <w:r w:rsidRPr="00F56A0E">
              <w:rPr>
                <w:lang w:val="fr-FR"/>
              </w:rPr>
              <w:t>Toxicité à court terme</w:t>
            </w:r>
          </w:p>
        </w:tc>
        <w:tc>
          <w:tcPr>
            <w:tcW w:w="7121" w:type="dxa"/>
            <w:shd w:val="clear" w:color="auto" w:fill="auto"/>
          </w:tcPr>
          <w:p w14:paraId="1FE2C117" w14:textId="77777777" w:rsidR="006F1716" w:rsidRPr="00F56A0E" w:rsidRDefault="006F1716" w:rsidP="00D076A8">
            <w:pPr>
              <w:rPr>
                <w:rFonts w:eastAsia="Times New Roman"/>
                <w:b/>
                <w:u w:val="single"/>
                <w:lang w:val="fr-FR"/>
              </w:rPr>
            </w:pPr>
            <w:r w:rsidRPr="00F56A0E">
              <w:rPr>
                <w:b/>
                <w:u w:val="single"/>
                <w:lang w:val="fr-FR"/>
              </w:rPr>
              <w:t>Canada</w:t>
            </w:r>
          </w:p>
          <w:p w14:paraId="591654E3" w14:textId="68C43DC4" w:rsidR="006F1716" w:rsidRPr="00F56A0E" w:rsidRDefault="006F1716" w:rsidP="00D076A8">
            <w:pPr>
              <w:spacing w:after="40"/>
              <w:rPr>
                <w:rFonts w:eastAsia="Times New Roman"/>
                <w:color w:val="000000"/>
                <w:spacing w:val="-2"/>
                <w:lang w:val="fr-FR"/>
              </w:rPr>
            </w:pPr>
            <w:r w:rsidRPr="00F56A0E">
              <w:rPr>
                <w:color w:val="000000"/>
                <w:lang w:val="fr-FR"/>
              </w:rPr>
              <w:t>Dans les études animales, les effets nocifs constatés à la dose la plus faible (c</w:t>
            </w:r>
            <w:r w:rsidR="00870D0E" w:rsidRPr="00F56A0E">
              <w:rPr>
                <w:color w:val="000000"/>
                <w:lang w:val="fr-FR"/>
              </w:rPr>
              <w:t>’</w:t>
            </w:r>
            <w:r w:rsidRPr="00F56A0E">
              <w:rPr>
                <w:color w:val="000000"/>
                <w:lang w:val="fr-FR"/>
              </w:rPr>
              <w:t>est-à-dire à la dose correspondant au seuil de toxicité) étaient des signes cliniques observés dans une étude de neurotoxicité aiguë chez le rat (DSENO de 0,15 mg/kg p.c.). Parmi les autres DSENO à retenir pour fixer des seuils de toxicité en milieu professionnel, on peut citer une DSENO de 0,1 mg/kg p.c./jour provenant d</w:t>
            </w:r>
            <w:r w:rsidR="00870D0E" w:rsidRPr="00F56A0E">
              <w:rPr>
                <w:color w:val="000000"/>
                <w:lang w:val="fr-FR"/>
              </w:rPr>
              <w:t>’</w:t>
            </w:r>
            <w:r w:rsidRPr="00F56A0E">
              <w:rPr>
                <w:color w:val="000000"/>
                <w:lang w:val="fr-FR"/>
              </w:rPr>
              <w:t>une étude du développement destinée à évaluer les risques cutanés à court terme, qui mettait en évidence une augmentation des résorptions fœtales et des pertes post-implantation à la dose supérieure</w:t>
            </w:r>
            <w:r w:rsidR="001349EA" w:rsidRPr="00F56A0E">
              <w:rPr>
                <w:color w:val="000000"/>
                <w:lang w:val="fr-FR"/>
              </w:rPr>
              <w:t> ;</w:t>
            </w:r>
            <w:r w:rsidRPr="00F56A0E">
              <w:rPr>
                <w:color w:val="000000"/>
                <w:lang w:val="fr-FR"/>
              </w:rPr>
              <w:t xml:space="preserve"> une DSENO de 0,072 mg/kg p.c./jour, issue d</w:t>
            </w:r>
            <w:r w:rsidR="00870D0E" w:rsidRPr="00F56A0E">
              <w:rPr>
                <w:color w:val="000000"/>
                <w:lang w:val="fr-FR"/>
              </w:rPr>
              <w:t>’</w:t>
            </w:r>
            <w:r w:rsidRPr="00F56A0E">
              <w:rPr>
                <w:color w:val="000000"/>
                <w:lang w:val="fr-FR"/>
              </w:rPr>
              <w:t>une étude de la reproduction sur plusieurs générations destinée à évaluer les risques cutanés à moyen terme, qui mettait en évidence une toxicité pour la reproduction et la descendance à la dose supérieure</w:t>
            </w:r>
            <w:r w:rsidR="001349EA" w:rsidRPr="00F56A0E">
              <w:rPr>
                <w:color w:val="000000"/>
                <w:lang w:val="fr-FR"/>
              </w:rPr>
              <w:t> ;</w:t>
            </w:r>
            <w:r w:rsidRPr="00F56A0E">
              <w:rPr>
                <w:color w:val="000000"/>
                <w:lang w:val="fr-FR"/>
              </w:rPr>
              <w:t xml:space="preserve"> et une DSENO de 0,016 mg/kg p.c./jour provenant d</w:t>
            </w:r>
            <w:r w:rsidR="00870D0E" w:rsidRPr="00F56A0E">
              <w:rPr>
                <w:color w:val="000000"/>
                <w:lang w:val="fr-FR"/>
              </w:rPr>
              <w:t>’</w:t>
            </w:r>
            <w:r w:rsidRPr="00F56A0E">
              <w:rPr>
                <w:color w:val="000000"/>
                <w:lang w:val="fr-FR"/>
              </w:rPr>
              <w:t>une étude d</w:t>
            </w:r>
            <w:r w:rsidR="00870D0E" w:rsidRPr="00F56A0E">
              <w:rPr>
                <w:color w:val="000000"/>
                <w:lang w:val="fr-FR"/>
              </w:rPr>
              <w:t>’</w:t>
            </w:r>
            <w:r w:rsidRPr="00F56A0E">
              <w:rPr>
                <w:color w:val="000000"/>
                <w:lang w:val="fr-FR"/>
              </w:rPr>
              <w:t>inhalation de 21 jours destinée à évaluer les risques par inhalation à court et moyen terme, qui mettait en évidence une inhibition de l</w:t>
            </w:r>
            <w:r w:rsidR="00870D0E" w:rsidRPr="00F56A0E">
              <w:rPr>
                <w:color w:val="000000"/>
                <w:lang w:val="fr-FR"/>
              </w:rPr>
              <w:t>’</w:t>
            </w:r>
            <w:r w:rsidRPr="00F56A0E">
              <w:rPr>
                <w:color w:val="000000"/>
                <w:lang w:val="fr-FR"/>
              </w:rPr>
              <w:t>activité de la cholinestérase et une mortalité à la dose supérieure.</w:t>
            </w:r>
          </w:p>
          <w:p w14:paraId="48C377E2" w14:textId="77777777" w:rsidR="006F1716" w:rsidRPr="00F56A0E" w:rsidRDefault="006F1716" w:rsidP="00D076A8">
            <w:pPr>
              <w:spacing w:after="40"/>
              <w:rPr>
                <w:rFonts w:eastAsia="Times New Roman"/>
                <w:spacing w:val="3"/>
                <w:highlight w:val="yellow"/>
                <w:lang w:val="fr-FR"/>
              </w:rPr>
            </w:pPr>
          </w:p>
          <w:p w14:paraId="0DDAF6C4" w14:textId="77777777" w:rsidR="006F1716" w:rsidRPr="00F56A0E" w:rsidRDefault="006F1716" w:rsidP="00D076A8">
            <w:pPr>
              <w:spacing w:after="40"/>
              <w:rPr>
                <w:rFonts w:eastAsia="Times New Roman"/>
                <w:b/>
                <w:spacing w:val="3"/>
                <w:u w:val="single"/>
                <w:lang w:val="fr-FR"/>
              </w:rPr>
            </w:pPr>
            <w:r w:rsidRPr="00F56A0E">
              <w:rPr>
                <w:b/>
                <w:u w:val="single"/>
                <w:lang w:val="fr-FR"/>
              </w:rPr>
              <w:t>JMPR (2004)</w:t>
            </w:r>
          </w:p>
          <w:p w14:paraId="243972A1" w14:textId="705556BA" w:rsidR="006F1716" w:rsidRPr="00F56A0E" w:rsidRDefault="006F1716" w:rsidP="00D076A8">
            <w:pPr>
              <w:spacing w:after="40"/>
              <w:rPr>
                <w:rFonts w:eastAsia="Times New Roman"/>
                <w:spacing w:val="1"/>
                <w:lang w:val="fr-FR"/>
              </w:rPr>
            </w:pPr>
            <w:r w:rsidRPr="00F56A0E">
              <w:rPr>
                <w:lang w:val="fr-FR"/>
              </w:rPr>
              <w:t>Organe cible/effet critique</w:t>
            </w:r>
            <w:r w:rsidR="00157D75" w:rsidRPr="00F56A0E">
              <w:rPr>
                <w:lang w:val="fr-FR"/>
              </w:rPr>
              <w:t> :</w:t>
            </w:r>
            <w:r w:rsidRPr="00F56A0E">
              <w:rPr>
                <w:lang w:val="fr-FR"/>
              </w:rPr>
              <w:t xml:space="preserve"> inhibition de l</w:t>
            </w:r>
            <w:r w:rsidR="00870D0E" w:rsidRPr="00F56A0E">
              <w:rPr>
                <w:lang w:val="fr-FR"/>
              </w:rPr>
              <w:t>’</w:t>
            </w:r>
            <w:r w:rsidRPr="00F56A0E">
              <w:rPr>
                <w:lang w:val="fr-FR"/>
              </w:rPr>
              <w:t>activité de la cholinestérase cérébrale. DSENO minimale significative par voie orale</w:t>
            </w:r>
            <w:r w:rsidR="00157D75" w:rsidRPr="00F56A0E">
              <w:rPr>
                <w:lang w:val="fr-FR"/>
              </w:rPr>
              <w:t> :</w:t>
            </w:r>
            <w:r w:rsidRPr="00F56A0E">
              <w:rPr>
                <w:lang w:val="fr-FR"/>
              </w:rPr>
              <w:t xml:space="preserve"> 0,059 mg/kg p.c./jour (étude de neurotoxicité de 13 semaines chez les rats).</w:t>
            </w:r>
          </w:p>
          <w:p w14:paraId="4AEF5185" w14:textId="02170F8F" w:rsidR="006F1716" w:rsidRPr="00F56A0E" w:rsidRDefault="006F1716" w:rsidP="00D076A8">
            <w:pPr>
              <w:spacing w:after="40"/>
              <w:rPr>
                <w:rFonts w:eastAsia="Times New Roman"/>
                <w:lang w:val="fr-FR"/>
              </w:rPr>
            </w:pPr>
            <w:r w:rsidRPr="00F56A0E">
              <w:rPr>
                <w:lang w:val="fr-FR"/>
              </w:rPr>
              <w:t>DSENO minimale significative par voie cutanée</w:t>
            </w:r>
            <w:r w:rsidR="00157D75" w:rsidRPr="00F56A0E">
              <w:rPr>
                <w:lang w:val="fr-FR"/>
              </w:rPr>
              <w:t> :</w:t>
            </w:r>
            <w:r w:rsidRPr="00F56A0E">
              <w:rPr>
                <w:lang w:val="fr-FR"/>
              </w:rPr>
              <w:t xml:space="preserve"> pas de données disponibles. DSENO minimale significative par inhalation</w:t>
            </w:r>
            <w:r w:rsidR="00157D75" w:rsidRPr="00F56A0E">
              <w:rPr>
                <w:lang w:val="fr-FR"/>
              </w:rPr>
              <w:t> :</w:t>
            </w:r>
            <w:r w:rsidRPr="00F56A0E">
              <w:rPr>
                <w:lang w:val="fr-FR"/>
              </w:rPr>
              <w:t xml:space="preserve"> pas de données appropriées disponibles.</w:t>
            </w:r>
          </w:p>
          <w:p w14:paraId="5A173CA6" w14:textId="77777777" w:rsidR="006F1716" w:rsidRPr="00F56A0E" w:rsidRDefault="006F1716" w:rsidP="00D076A8">
            <w:pPr>
              <w:spacing w:after="40"/>
              <w:rPr>
                <w:rFonts w:eastAsia="Times New Roman"/>
                <w:lang w:val="fr-FR" w:eastAsia="en-US"/>
              </w:rPr>
            </w:pPr>
          </w:p>
        </w:tc>
      </w:tr>
      <w:tr w:rsidR="006F1716" w:rsidRPr="00F56A0E" w14:paraId="62C9A56B" w14:textId="77777777" w:rsidTr="00D076A8">
        <w:tc>
          <w:tcPr>
            <w:tcW w:w="817" w:type="dxa"/>
            <w:shd w:val="clear" w:color="auto" w:fill="auto"/>
          </w:tcPr>
          <w:p w14:paraId="38A52E59" w14:textId="64A80807" w:rsidR="006F1716" w:rsidRPr="00F56A0E" w:rsidRDefault="006F1716" w:rsidP="00D076A8">
            <w:pPr>
              <w:rPr>
                <w:rFonts w:eastAsia="Times New Roman"/>
                <w:lang w:val="fr-FR"/>
              </w:rPr>
            </w:pPr>
            <w:r w:rsidRPr="00F56A0E">
              <w:rPr>
                <w:lang w:val="fr-FR"/>
              </w:rPr>
              <w:t>2.2.3</w:t>
            </w:r>
          </w:p>
        </w:tc>
        <w:tc>
          <w:tcPr>
            <w:tcW w:w="1701" w:type="dxa"/>
            <w:shd w:val="clear" w:color="auto" w:fill="auto"/>
          </w:tcPr>
          <w:p w14:paraId="33EFD9A9" w14:textId="764CA10C" w:rsidR="006F1716" w:rsidRPr="00F56A0E" w:rsidRDefault="006F1716" w:rsidP="00D076A8">
            <w:pPr>
              <w:rPr>
                <w:rFonts w:eastAsia="Times New Roman"/>
                <w:lang w:val="fr-FR"/>
              </w:rPr>
            </w:pPr>
            <w:r w:rsidRPr="00F56A0E">
              <w:rPr>
                <w:lang w:val="fr-FR"/>
              </w:rPr>
              <w:t>Génotoxicité (y</w:t>
            </w:r>
            <w:r w:rsidR="00A67C5D" w:rsidRPr="00F56A0E">
              <w:rPr>
                <w:lang w:val="fr-FR"/>
              </w:rPr>
              <w:t> </w:t>
            </w:r>
            <w:r w:rsidRPr="00F56A0E">
              <w:rPr>
                <w:lang w:val="fr-FR"/>
              </w:rPr>
              <w:t>compris mutagénicité)</w:t>
            </w:r>
          </w:p>
        </w:tc>
        <w:tc>
          <w:tcPr>
            <w:tcW w:w="7121" w:type="dxa"/>
            <w:shd w:val="clear" w:color="auto" w:fill="auto"/>
          </w:tcPr>
          <w:p w14:paraId="137DED42" w14:textId="77777777" w:rsidR="006F1716" w:rsidRPr="00F56A0E" w:rsidRDefault="006F1716" w:rsidP="00D076A8">
            <w:pPr>
              <w:rPr>
                <w:rFonts w:eastAsia="Times New Roman"/>
                <w:b/>
                <w:u w:val="single"/>
                <w:lang w:val="fr-FR"/>
              </w:rPr>
            </w:pPr>
            <w:r w:rsidRPr="00F56A0E">
              <w:rPr>
                <w:b/>
                <w:u w:val="single"/>
                <w:lang w:val="fr-FR"/>
              </w:rPr>
              <w:t>Canada</w:t>
            </w:r>
          </w:p>
          <w:p w14:paraId="6103ADAE" w14:textId="3FE8A26A" w:rsidR="006F1716" w:rsidRPr="00F56A0E" w:rsidRDefault="006F1716" w:rsidP="00D076A8">
            <w:pPr>
              <w:rPr>
                <w:rFonts w:eastAsia="Times New Roman"/>
                <w:highlight w:val="yellow"/>
                <w:lang w:val="fr-FR"/>
              </w:rPr>
            </w:pPr>
            <w:r w:rsidRPr="00F56A0E">
              <w:rPr>
                <w:color w:val="000000"/>
                <w:lang w:val="fr-FR"/>
              </w:rPr>
              <w:t>Le terbufos ne s</w:t>
            </w:r>
            <w:r w:rsidR="00870D0E" w:rsidRPr="00F56A0E">
              <w:rPr>
                <w:color w:val="000000"/>
                <w:lang w:val="fr-FR"/>
              </w:rPr>
              <w:t>’</w:t>
            </w:r>
            <w:r w:rsidRPr="00F56A0E">
              <w:rPr>
                <w:color w:val="000000"/>
                <w:lang w:val="fr-FR"/>
              </w:rPr>
              <w:t>est pas révélé génotoxique chez le rat et la souris.</w:t>
            </w:r>
          </w:p>
          <w:p w14:paraId="652AC898" w14:textId="77777777" w:rsidR="006F1716" w:rsidRPr="00F56A0E" w:rsidRDefault="006F1716" w:rsidP="00D076A8">
            <w:pPr>
              <w:rPr>
                <w:rFonts w:eastAsia="Times New Roman"/>
                <w:highlight w:val="yellow"/>
                <w:lang w:val="fr-FR"/>
              </w:rPr>
            </w:pPr>
          </w:p>
          <w:p w14:paraId="355E6E00" w14:textId="77777777" w:rsidR="006F1716" w:rsidRPr="00F56A0E" w:rsidRDefault="006F1716" w:rsidP="00D076A8">
            <w:pPr>
              <w:rPr>
                <w:rFonts w:eastAsia="Times New Roman"/>
                <w:b/>
                <w:u w:val="single"/>
                <w:lang w:val="fr-FR"/>
              </w:rPr>
            </w:pPr>
            <w:bookmarkStart w:id="13" w:name="_Hlk96694519"/>
            <w:r w:rsidRPr="00F56A0E">
              <w:rPr>
                <w:b/>
                <w:u w:val="single"/>
                <w:lang w:val="fr-FR"/>
              </w:rPr>
              <w:t>JMPR (2004)</w:t>
            </w:r>
          </w:p>
          <w:bookmarkEnd w:id="13"/>
          <w:p w14:paraId="02AEB65E" w14:textId="22060F91" w:rsidR="006F1716" w:rsidRPr="00F56A0E" w:rsidRDefault="006F1716" w:rsidP="00D076A8">
            <w:pPr>
              <w:rPr>
                <w:rFonts w:eastAsia="Times New Roman"/>
                <w:lang w:val="fr-FR"/>
              </w:rPr>
            </w:pPr>
            <w:r w:rsidRPr="00F56A0E">
              <w:rPr>
                <w:lang w:val="fr-FR"/>
              </w:rPr>
              <w:t xml:space="preserve">Il est peu probable que le terbufos soit génotoxique. La plupart des tests de mutagénicité du terbufos </w:t>
            </w:r>
            <w:r w:rsidRPr="00F56A0E">
              <w:rPr>
                <w:i/>
                <w:lang w:val="fr-FR"/>
              </w:rPr>
              <w:t>in vitro</w:t>
            </w:r>
            <w:r w:rsidRPr="00F56A0E">
              <w:rPr>
                <w:lang w:val="fr-FR"/>
              </w:rPr>
              <w:t xml:space="preserve"> et </w:t>
            </w:r>
            <w:r w:rsidRPr="00F56A0E">
              <w:rPr>
                <w:i/>
                <w:lang w:val="fr-FR"/>
              </w:rPr>
              <w:t>in vivo</w:t>
            </w:r>
            <w:r w:rsidRPr="00F56A0E">
              <w:rPr>
                <w:lang w:val="fr-FR"/>
              </w:rPr>
              <w:t xml:space="preserve"> ont donné des résultats négatifs. Cependant, les résultats d</w:t>
            </w:r>
            <w:r w:rsidR="00870D0E" w:rsidRPr="00F56A0E">
              <w:rPr>
                <w:lang w:val="fr-FR"/>
              </w:rPr>
              <w:t>’</w:t>
            </w:r>
            <w:r w:rsidRPr="00F56A0E">
              <w:rPr>
                <w:lang w:val="fr-FR"/>
              </w:rPr>
              <w:t>une étude de mutation létale dominante in vivo, considérée comme acceptable, n</w:t>
            </w:r>
            <w:r w:rsidR="00870D0E" w:rsidRPr="00F56A0E">
              <w:rPr>
                <w:lang w:val="fr-FR"/>
              </w:rPr>
              <w:t>’</w:t>
            </w:r>
            <w:r w:rsidRPr="00F56A0E">
              <w:rPr>
                <w:lang w:val="fr-FR"/>
              </w:rPr>
              <w:t>étaient pas concluants. Un article publié dans un journal scientifique fait état de résultats positifs obtenus dans le cadre d</w:t>
            </w:r>
            <w:r w:rsidR="00870D0E" w:rsidRPr="00F56A0E">
              <w:rPr>
                <w:lang w:val="fr-FR"/>
              </w:rPr>
              <w:t>’</w:t>
            </w:r>
            <w:r w:rsidRPr="00F56A0E">
              <w:rPr>
                <w:lang w:val="fr-FR"/>
              </w:rPr>
              <w:t xml:space="preserve">une étude acceptable de conversion génique mitotique menée sur des levures (locus </w:t>
            </w:r>
            <w:r w:rsidRPr="00F56A0E">
              <w:rPr>
                <w:i/>
                <w:lang w:val="fr-FR"/>
              </w:rPr>
              <w:t>ade</w:t>
            </w:r>
            <w:r w:rsidRPr="00F56A0E">
              <w:rPr>
                <w:lang w:val="fr-FR"/>
              </w:rPr>
              <w:t>), qui ont été exposées à du terbufos de qualité technique en présence et en l</w:t>
            </w:r>
            <w:r w:rsidR="00870D0E" w:rsidRPr="00F56A0E">
              <w:rPr>
                <w:lang w:val="fr-FR"/>
              </w:rPr>
              <w:t>’</w:t>
            </w:r>
            <w:r w:rsidRPr="00F56A0E">
              <w:rPr>
                <w:lang w:val="fr-FR"/>
              </w:rPr>
              <w:t>absence de système d</w:t>
            </w:r>
            <w:r w:rsidR="00870D0E" w:rsidRPr="00F56A0E">
              <w:rPr>
                <w:lang w:val="fr-FR"/>
              </w:rPr>
              <w:t>’</w:t>
            </w:r>
            <w:r w:rsidRPr="00F56A0E">
              <w:rPr>
                <w:lang w:val="fr-FR"/>
              </w:rPr>
              <w:t>activation métabolique, ainsi qu</w:t>
            </w:r>
            <w:r w:rsidR="00870D0E" w:rsidRPr="00F56A0E">
              <w:rPr>
                <w:lang w:val="fr-FR"/>
              </w:rPr>
              <w:t>’</w:t>
            </w:r>
            <w:r w:rsidRPr="00F56A0E">
              <w:rPr>
                <w:lang w:val="fr-FR"/>
              </w:rPr>
              <w:t xml:space="preserve">à du terbufos de qualité commerciale, sans activation métabolique. Cependant, les données analytiques et les informations sur la pureté des matières testées étaient insuffisantes. </w:t>
            </w:r>
          </w:p>
          <w:p w14:paraId="0396E8C1" w14:textId="77777777" w:rsidR="006F1716" w:rsidRPr="00F56A0E" w:rsidRDefault="006F1716" w:rsidP="00D076A8">
            <w:pPr>
              <w:rPr>
                <w:rFonts w:eastAsia="Times New Roman"/>
                <w:lang w:val="fr-FR" w:eastAsia="en-US"/>
              </w:rPr>
            </w:pPr>
          </w:p>
          <w:p w14:paraId="4F6BD4DC" w14:textId="3E4089C6" w:rsidR="006F1716" w:rsidRPr="00F56A0E" w:rsidRDefault="006F1716" w:rsidP="00D076A8">
            <w:pPr>
              <w:rPr>
                <w:rFonts w:eastAsia="Times New Roman"/>
                <w:lang w:val="fr-FR"/>
              </w:rPr>
            </w:pPr>
            <w:r w:rsidRPr="00F56A0E">
              <w:rPr>
                <w:lang w:val="fr-FR"/>
              </w:rPr>
              <w:t>S</w:t>
            </w:r>
            <w:r w:rsidR="00870D0E" w:rsidRPr="00F56A0E">
              <w:rPr>
                <w:lang w:val="fr-FR"/>
              </w:rPr>
              <w:t>’</w:t>
            </w:r>
            <w:r w:rsidRPr="00F56A0E">
              <w:rPr>
                <w:lang w:val="fr-FR"/>
              </w:rPr>
              <w:t>il est vrai que les résultats d</w:t>
            </w:r>
            <w:r w:rsidR="00870D0E" w:rsidRPr="00F56A0E">
              <w:rPr>
                <w:lang w:val="fr-FR"/>
              </w:rPr>
              <w:t>’</w:t>
            </w:r>
            <w:r w:rsidRPr="00F56A0E">
              <w:rPr>
                <w:lang w:val="fr-FR"/>
              </w:rPr>
              <w:t>un essai de synthèse d</w:t>
            </w:r>
            <w:r w:rsidR="00870D0E" w:rsidRPr="00F56A0E">
              <w:rPr>
                <w:lang w:val="fr-FR"/>
              </w:rPr>
              <w:t>’</w:t>
            </w:r>
            <w:r w:rsidRPr="00F56A0E">
              <w:rPr>
                <w:lang w:val="fr-FR"/>
              </w:rPr>
              <w:t>ADN non programmée dans des cellules en culture primaire se sont révélés négatifs, seuls des hépatocytes de rats Fischer 344 mâles ont été utilisés</w:t>
            </w:r>
            <w:r w:rsidR="001349EA" w:rsidRPr="00F56A0E">
              <w:rPr>
                <w:lang w:val="fr-FR"/>
              </w:rPr>
              <w:t> ;</w:t>
            </w:r>
            <w:r w:rsidRPr="00F56A0E">
              <w:rPr>
                <w:lang w:val="fr-FR"/>
              </w:rPr>
              <w:t xml:space="preserve"> un protocole optimal aurait également inclus des hépatocytes de rats femelles. </w:t>
            </w:r>
            <w:r w:rsidR="00A67C5D" w:rsidRPr="00F56A0E">
              <w:rPr>
                <w:lang w:val="fr-FR"/>
              </w:rPr>
              <w:br/>
            </w:r>
          </w:p>
          <w:p w14:paraId="76D1D4D9" w14:textId="77777777" w:rsidR="006F1716" w:rsidRPr="00F56A0E" w:rsidRDefault="006F1716" w:rsidP="00D076A8">
            <w:pPr>
              <w:rPr>
                <w:lang w:val="fr-FR"/>
              </w:rPr>
            </w:pPr>
          </w:p>
          <w:p w14:paraId="4216BD10" w14:textId="77777777" w:rsidR="007C5354" w:rsidRPr="00F56A0E" w:rsidRDefault="007C5354" w:rsidP="00D076A8">
            <w:pPr>
              <w:rPr>
                <w:lang w:val="fr-FR"/>
              </w:rPr>
            </w:pPr>
          </w:p>
          <w:p w14:paraId="659DA71F" w14:textId="77777777" w:rsidR="007C5354" w:rsidRPr="00F56A0E" w:rsidRDefault="007C5354" w:rsidP="00D076A8">
            <w:pPr>
              <w:rPr>
                <w:lang w:val="fr-FR"/>
              </w:rPr>
            </w:pPr>
          </w:p>
          <w:p w14:paraId="4F983645" w14:textId="77777777" w:rsidR="007C5354" w:rsidRPr="00F56A0E" w:rsidRDefault="007C5354" w:rsidP="00D076A8">
            <w:pPr>
              <w:rPr>
                <w:lang w:val="fr-FR"/>
              </w:rPr>
            </w:pPr>
          </w:p>
          <w:p w14:paraId="0FB44292" w14:textId="77777777" w:rsidR="007C5354" w:rsidRPr="00F56A0E" w:rsidRDefault="007C5354" w:rsidP="00D076A8">
            <w:pPr>
              <w:rPr>
                <w:lang w:val="fr-FR"/>
              </w:rPr>
            </w:pPr>
          </w:p>
          <w:p w14:paraId="4370C704" w14:textId="77777777" w:rsidR="007C5354" w:rsidRPr="00F56A0E" w:rsidRDefault="007C5354" w:rsidP="00D076A8">
            <w:pPr>
              <w:rPr>
                <w:lang w:val="fr-FR"/>
              </w:rPr>
            </w:pPr>
          </w:p>
          <w:p w14:paraId="1EFF83D9" w14:textId="77777777" w:rsidR="007C5354" w:rsidRPr="00F56A0E" w:rsidRDefault="007C5354" w:rsidP="00D076A8">
            <w:pPr>
              <w:rPr>
                <w:lang w:val="fr-FR"/>
              </w:rPr>
            </w:pPr>
          </w:p>
          <w:tbl>
            <w:tblPr>
              <w:tblW w:w="0" w:type="auto"/>
              <w:tblBorders>
                <w:top w:val="single" w:sz="4" w:space="0" w:color="000000"/>
                <w:left w:val="single" w:sz="4" w:space="0" w:color="000000"/>
                <w:bottom w:val="single" w:sz="4" w:space="0" w:color="000000"/>
                <w:right w:val="single" w:sz="4" w:space="0" w:color="000000"/>
                <w:insideH w:val="doub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7"/>
              <w:gridCol w:w="1559"/>
              <w:gridCol w:w="1843"/>
              <w:gridCol w:w="1559"/>
            </w:tblGrid>
            <w:tr w:rsidR="006F1716" w:rsidRPr="00F56A0E" w14:paraId="08AEDCD4" w14:textId="77777777" w:rsidTr="00D076A8">
              <w:trPr>
                <w:trHeight w:hRule="exact" w:val="830"/>
              </w:trPr>
              <w:tc>
                <w:tcPr>
                  <w:tcW w:w="1307" w:type="dxa"/>
                  <w:vAlign w:val="center"/>
                </w:tcPr>
                <w:p w14:paraId="6ADF910D" w14:textId="618F7075" w:rsidR="006F1716" w:rsidRPr="00F56A0E" w:rsidRDefault="006F1716" w:rsidP="007C5354">
                  <w:pPr>
                    <w:keepNext/>
                    <w:keepLines/>
                    <w:ind w:left="125"/>
                    <w:textAlignment w:val="baseline"/>
                    <w:rPr>
                      <w:rFonts w:eastAsia="Times New Roman"/>
                      <w:sz w:val="19"/>
                      <w:lang w:val="fr-FR"/>
                    </w:rPr>
                  </w:pPr>
                  <w:r w:rsidRPr="00F56A0E">
                    <w:rPr>
                      <w:sz w:val="19"/>
                      <w:lang w:val="fr-FR"/>
                    </w:rPr>
                    <w:lastRenderedPageBreak/>
                    <w:t>Critère d</w:t>
                  </w:r>
                  <w:r w:rsidR="00870D0E" w:rsidRPr="00F56A0E">
                    <w:rPr>
                      <w:sz w:val="19"/>
                      <w:lang w:val="fr-FR"/>
                    </w:rPr>
                    <w:t>’</w:t>
                  </w:r>
                  <w:r w:rsidRPr="00F56A0E">
                    <w:rPr>
                      <w:sz w:val="19"/>
                      <w:lang w:val="fr-FR"/>
                    </w:rPr>
                    <w:t>évaluation</w:t>
                  </w:r>
                </w:p>
              </w:tc>
              <w:tc>
                <w:tcPr>
                  <w:tcW w:w="1559" w:type="dxa"/>
                  <w:vAlign w:val="center"/>
                </w:tcPr>
                <w:p w14:paraId="1DCC8241" w14:textId="091AF355" w:rsidR="006F1716" w:rsidRPr="00F56A0E" w:rsidRDefault="006F1716" w:rsidP="007C5354">
                  <w:pPr>
                    <w:keepNext/>
                    <w:keepLines/>
                    <w:ind w:left="125"/>
                    <w:textAlignment w:val="baseline"/>
                    <w:rPr>
                      <w:rFonts w:eastAsia="Times New Roman"/>
                      <w:sz w:val="19"/>
                      <w:lang w:val="fr-FR"/>
                    </w:rPr>
                  </w:pPr>
                  <w:r w:rsidRPr="00F56A0E">
                    <w:rPr>
                      <w:sz w:val="19"/>
                      <w:lang w:val="fr-FR"/>
                    </w:rPr>
                    <w:t>Cellules/organismes/animaux soumis à l</w:t>
                  </w:r>
                  <w:r w:rsidR="00870D0E" w:rsidRPr="00F56A0E">
                    <w:rPr>
                      <w:sz w:val="19"/>
                      <w:lang w:val="fr-FR"/>
                    </w:rPr>
                    <w:t>’</w:t>
                  </w:r>
                  <w:r w:rsidRPr="00F56A0E">
                    <w:rPr>
                      <w:sz w:val="19"/>
                      <w:lang w:val="fr-FR"/>
                    </w:rPr>
                    <w:t>essai</w:t>
                  </w:r>
                </w:p>
              </w:tc>
              <w:tc>
                <w:tcPr>
                  <w:tcW w:w="1843" w:type="dxa"/>
                  <w:vAlign w:val="center"/>
                </w:tcPr>
                <w:p w14:paraId="49ADCC0F" w14:textId="77777777" w:rsidR="006F1716" w:rsidRPr="00F56A0E" w:rsidRDefault="006F1716" w:rsidP="007C5354">
                  <w:pPr>
                    <w:keepNext/>
                    <w:keepLines/>
                    <w:ind w:left="125"/>
                    <w:textAlignment w:val="baseline"/>
                    <w:rPr>
                      <w:rFonts w:eastAsia="Times New Roman"/>
                      <w:sz w:val="19"/>
                      <w:lang w:val="fr-FR"/>
                    </w:rPr>
                  </w:pPr>
                  <w:r w:rsidRPr="00F56A0E">
                    <w:rPr>
                      <w:sz w:val="19"/>
                      <w:lang w:val="fr-FR"/>
                    </w:rPr>
                    <w:t>Concentration/dose</w:t>
                  </w:r>
                </w:p>
              </w:tc>
              <w:tc>
                <w:tcPr>
                  <w:tcW w:w="1559" w:type="dxa"/>
                  <w:vAlign w:val="center"/>
                </w:tcPr>
                <w:p w14:paraId="2B7A2A20" w14:textId="77777777" w:rsidR="006F1716" w:rsidRPr="00F56A0E" w:rsidRDefault="006F1716" w:rsidP="007C5354">
                  <w:pPr>
                    <w:keepNext/>
                    <w:keepLines/>
                    <w:ind w:left="125"/>
                    <w:textAlignment w:val="baseline"/>
                    <w:rPr>
                      <w:rFonts w:eastAsia="Times New Roman"/>
                      <w:sz w:val="19"/>
                      <w:lang w:val="fr-FR"/>
                    </w:rPr>
                  </w:pPr>
                  <w:r w:rsidRPr="00F56A0E">
                    <w:rPr>
                      <w:sz w:val="19"/>
                      <w:lang w:val="fr-FR"/>
                    </w:rPr>
                    <w:t>Résultats</w:t>
                  </w:r>
                </w:p>
              </w:tc>
            </w:tr>
            <w:tr w:rsidR="006F1716" w:rsidRPr="00F56A0E" w14:paraId="21C567D6" w14:textId="77777777" w:rsidTr="00D076A8">
              <w:trPr>
                <w:trHeight w:hRule="exact" w:val="395"/>
              </w:trPr>
              <w:tc>
                <w:tcPr>
                  <w:tcW w:w="6268" w:type="dxa"/>
                  <w:gridSpan w:val="4"/>
                  <w:vAlign w:val="center"/>
                </w:tcPr>
                <w:p w14:paraId="375A6444" w14:textId="77777777" w:rsidR="006F1716" w:rsidRPr="00F56A0E" w:rsidRDefault="006F1716" w:rsidP="007C5354">
                  <w:pPr>
                    <w:keepNext/>
                    <w:keepLines/>
                    <w:ind w:left="125"/>
                    <w:textAlignment w:val="baseline"/>
                    <w:rPr>
                      <w:rFonts w:eastAsia="Times New Roman"/>
                      <w:i/>
                      <w:sz w:val="19"/>
                      <w:lang w:val="fr-FR"/>
                    </w:rPr>
                  </w:pPr>
                  <w:r w:rsidRPr="00F56A0E">
                    <w:rPr>
                      <w:i/>
                      <w:sz w:val="19"/>
                      <w:lang w:val="fr-FR"/>
                    </w:rPr>
                    <w:t>In vitro</w:t>
                  </w:r>
                  <w:r w:rsidRPr="00F56A0E">
                    <w:rPr>
                      <w:rFonts w:ascii="Arial" w:hAnsi="Arial"/>
                      <w:lang w:val="fr-FR"/>
                    </w:rPr>
                    <w:t xml:space="preserve"> </w:t>
                  </w:r>
                </w:p>
              </w:tc>
            </w:tr>
            <w:tr w:rsidR="006F1716" w:rsidRPr="00F56A0E" w14:paraId="552E471F" w14:textId="77777777" w:rsidTr="007C5354">
              <w:trPr>
                <w:trHeight w:hRule="exact" w:val="2003"/>
              </w:trPr>
              <w:tc>
                <w:tcPr>
                  <w:tcW w:w="1307" w:type="dxa"/>
                </w:tcPr>
                <w:p w14:paraId="2D2D3C22" w14:textId="77777777" w:rsidR="006F1716" w:rsidRPr="00F56A0E" w:rsidRDefault="006F1716" w:rsidP="007C5354">
                  <w:pPr>
                    <w:keepNext/>
                    <w:keepLines/>
                    <w:ind w:left="124"/>
                    <w:textAlignment w:val="baseline"/>
                    <w:rPr>
                      <w:rFonts w:eastAsia="Times New Roman"/>
                      <w:sz w:val="19"/>
                      <w:lang w:val="fr-FR"/>
                    </w:rPr>
                  </w:pPr>
                  <w:r w:rsidRPr="00F56A0E">
                    <w:rPr>
                      <w:sz w:val="19"/>
                      <w:lang w:val="fr-FR"/>
                    </w:rPr>
                    <w:t>Mutation inverse</w:t>
                  </w:r>
                </w:p>
              </w:tc>
              <w:tc>
                <w:tcPr>
                  <w:tcW w:w="1559" w:type="dxa"/>
                </w:tcPr>
                <w:p w14:paraId="3B68B174" w14:textId="59F969AF" w:rsidR="006F1716" w:rsidRPr="00F56A0E" w:rsidRDefault="006F1716" w:rsidP="007C5354">
                  <w:pPr>
                    <w:keepNext/>
                    <w:keepLines/>
                    <w:ind w:left="108"/>
                    <w:textAlignment w:val="baseline"/>
                    <w:rPr>
                      <w:rFonts w:eastAsia="Times New Roman"/>
                      <w:sz w:val="19"/>
                      <w:lang w:val="fr-FR"/>
                    </w:rPr>
                  </w:pPr>
                  <w:r w:rsidRPr="00F56A0E">
                    <w:rPr>
                      <w:i/>
                      <w:sz w:val="19"/>
                      <w:lang w:val="fr-FR"/>
                    </w:rPr>
                    <w:t>S. typhimurium</w:t>
                  </w:r>
                  <w:r w:rsidRPr="00F56A0E">
                    <w:rPr>
                      <w:sz w:val="19"/>
                      <w:lang w:val="fr-FR"/>
                    </w:rPr>
                    <w:t xml:space="preserve"> </w:t>
                  </w:r>
                  <w:r w:rsidRPr="00F56A0E">
                    <w:rPr>
                      <w:sz w:val="19"/>
                      <w:lang w:val="fr-FR"/>
                    </w:rPr>
                    <w:br/>
                    <w:t xml:space="preserve">TA98, TA100, </w:t>
                  </w:r>
                  <w:r w:rsidRPr="00F56A0E">
                    <w:rPr>
                      <w:sz w:val="19"/>
                      <w:lang w:val="fr-FR"/>
                    </w:rPr>
                    <w:br/>
                    <w:t>TA1535, TA1537 et TA1538</w:t>
                  </w:r>
                  <w:r w:rsidR="001349EA" w:rsidRPr="00F56A0E">
                    <w:rPr>
                      <w:sz w:val="19"/>
                      <w:lang w:val="fr-FR"/>
                    </w:rPr>
                    <w:t> ;</w:t>
                  </w:r>
                  <w:r w:rsidRPr="00F56A0E">
                    <w:rPr>
                      <w:sz w:val="19"/>
                      <w:lang w:val="fr-FR"/>
                    </w:rPr>
                    <w:t xml:space="preserve"> </w:t>
                  </w:r>
                  <w:r w:rsidRPr="00F56A0E">
                    <w:rPr>
                      <w:sz w:val="19"/>
                      <w:lang w:val="fr-FR"/>
                    </w:rPr>
                    <w:br/>
                  </w:r>
                  <w:r w:rsidRPr="00F56A0E">
                    <w:rPr>
                      <w:i/>
                      <w:sz w:val="19"/>
                      <w:lang w:val="fr-FR"/>
                    </w:rPr>
                    <w:t>E. coli</w:t>
                  </w:r>
                  <w:r w:rsidRPr="00F56A0E">
                    <w:rPr>
                      <w:sz w:val="19"/>
                      <w:lang w:val="fr-FR"/>
                    </w:rPr>
                    <w:t xml:space="preserve"> WP2 </w:t>
                  </w:r>
                  <w:r w:rsidRPr="00F56A0E">
                    <w:rPr>
                      <w:i/>
                      <w:sz w:val="19"/>
                      <w:lang w:val="fr-FR"/>
                    </w:rPr>
                    <w:t>uvrA</w:t>
                  </w:r>
                  <w:r w:rsidRPr="00F56A0E">
                    <w:rPr>
                      <w:i/>
                      <w:sz w:val="19"/>
                      <w:vertAlign w:val="superscript"/>
                      <w:lang w:val="fr-FR"/>
                    </w:rPr>
                    <w:t>-</w:t>
                  </w:r>
                </w:p>
              </w:tc>
              <w:tc>
                <w:tcPr>
                  <w:tcW w:w="1843" w:type="dxa"/>
                </w:tcPr>
                <w:p w14:paraId="7048BCEE" w14:textId="3DF10311" w:rsidR="006F1716" w:rsidRPr="00F56A0E" w:rsidRDefault="006F1716" w:rsidP="007C5354">
                  <w:pPr>
                    <w:keepNext/>
                    <w:keepLines/>
                    <w:ind w:left="144" w:right="432"/>
                    <w:textAlignment w:val="baseline"/>
                    <w:rPr>
                      <w:rFonts w:eastAsia="Times New Roman"/>
                      <w:sz w:val="19"/>
                      <w:lang w:val="fr-FR"/>
                    </w:rPr>
                  </w:pPr>
                  <w:r w:rsidRPr="00F56A0E">
                    <w:rPr>
                      <w:sz w:val="19"/>
                      <w:lang w:val="fr-FR"/>
                    </w:rPr>
                    <w:t xml:space="preserve">50-5000 µg/plaque, 1000 µg/disque, dissout dans du DMSO, avec et sans </w:t>
                  </w:r>
                  <w:r w:rsidRPr="00F56A0E">
                    <w:rPr>
                      <w:lang w:val="fr-FR"/>
                    </w:rPr>
                    <w:t>système d</w:t>
                  </w:r>
                  <w:r w:rsidR="00870D0E" w:rsidRPr="00F56A0E">
                    <w:rPr>
                      <w:lang w:val="fr-FR"/>
                    </w:rPr>
                    <w:t>’</w:t>
                  </w:r>
                  <w:r w:rsidRPr="00F56A0E">
                    <w:rPr>
                      <w:lang w:val="fr-FR"/>
                    </w:rPr>
                    <w:t>activation métabolique</w:t>
                  </w:r>
                  <w:r w:rsidRPr="00F56A0E">
                    <w:rPr>
                      <w:sz w:val="19"/>
                      <w:lang w:val="fr-FR"/>
                    </w:rPr>
                    <w:t xml:space="preserve"> (S9)</w:t>
                  </w:r>
                  <w:r w:rsidRPr="00F56A0E">
                    <w:rPr>
                      <w:sz w:val="17"/>
                      <w:lang w:val="fr-FR"/>
                    </w:rPr>
                    <w:t xml:space="preserve"> </w:t>
                  </w:r>
                </w:p>
              </w:tc>
              <w:tc>
                <w:tcPr>
                  <w:tcW w:w="1559" w:type="dxa"/>
                </w:tcPr>
                <w:p w14:paraId="3184F817" w14:textId="77777777" w:rsidR="006F1716" w:rsidRPr="00F56A0E" w:rsidRDefault="006F1716" w:rsidP="007C5354">
                  <w:pPr>
                    <w:keepNext/>
                    <w:keepLines/>
                    <w:ind w:left="119"/>
                    <w:textAlignment w:val="baseline"/>
                    <w:rPr>
                      <w:rFonts w:eastAsia="Times New Roman"/>
                      <w:sz w:val="19"/>
                      <w:lang w:val="fr-FR"/>
                    </w:rPr>
                  </w:pPr>
                  <w:r w:rsidRPr="00F56A0E">
                    <w:rPr>
                      <w:sz w:val="19"/>
                      <w:lang w:val="fr-FR"/>
                    </w:rPr>
                    <w:t>Négatif</w:t>
                  </w:r>
                </w:p>
              </w:tc>
            </w:tr>
            <w:tr w:rsidR="006F1716" w:rsidRPr="00F56A0E" w14:paraId="4A28717C" w14:textId="77777777" w:rsidTr="007C5354">
              <w:trPr>
                <w:trHeight w:hRule="exact" w:val="1220"/>
              </w:trPr>
              <w:tc>
                <w:tcPr>
                  <w:tcW w:w="1307" w:type="dxa"/>
                </w:tcPr>
                <w:p w14:paraId="6B6B5603" w14:textId="77777777" w:rsidR="006F1716" w:rsidRPr="00F56A0E" w:rsidRDefault="006F1716" w:rsidP="00D076A8">
                  <w:pPr>
                    <w:keepNext/>
                    <w:keepLines/>
                    <w:ind w:left="124"/>
                    <w:textAlignment w:val="baseline"/>
                    <w:rPr>
                      <w:rFonts w:eastAsia="Times New Roman"/>
                      <w:sz w:val="19"/>
                      <w:lang w:val="fr-FR"/>
                    </w:rPr>
                  </w:pPr>
                  <w:r w:rsidRPr="00F56A0E">
                    <w:rPr>
                      <w:sz w:val="19"/>
                      <w:lang w:val="fr-FR"/>
                    </w:rPr>
                    <w:t>Mutation ponctuelle</w:t>
                  </w:r>
                </w:p>
              </w:tc>
              <w:tc>
                <w:tcPr>
                  <w:tcW w:w="1559" w:type="dxa"/>
                </w:tcPr>
                <w:p w14:paraId="0FCFA48F" w14:textId="77777777" w:rsidR="006F1716" w:rsidRPr="00F56A0E" w:rsidRDefault="006F1716" w:rsidP="00D076A8">
                  <w:pPr>
                    <w:keepNext/>
                    <w:keepLines/>
                    <w:ind w:left="108"/>
                    <w:textAlignment w:val="baseline"/>
                    <w:rPr>
                      <w:rFonts w:eastAsia="Times New Roman"/>
                      <w:sz w:val="19"/>
                      <w:lang w:val="fr-FR"/>
                    </w:rPr>
                  </w:pPr>
                  <w:r w:rsidRPr="00F56A0E">
                    <w:rPr>
                      <w:sz w:val="19"/>
                      <w:lang w:val="fr-FR"/>
                    </w:rPr>
                    <w:t>Cellules ovariennes de hamster chinois (CHO-K</w:t>
                  </w:r>
                  <w:r w:rsidRPr="00F56A0E">
                    <w:rPr>
                      <w:sz w:val="19"/>
                      <w:vertAlign w:val="subscript"/>
                      <w:lang w:val="fr-FR"/>
                    </w:rPr>
                    <w:t>1</w:t>
                  </w:r>
                  <w:r w:rsidRPr="00F56A0E">
                    <w:rPr>
                      <w:sz w:val="19"/>
                      <w:lang w:val="fr-FR"/>
                    </w:rPr>
                    <w:t>-BH</w:t>
                  </w:r>
                  <w:r w:rsidRPr="00F56A0E">
                    <w:rPr>
                      <w:sz w:val="19"/>
                      <w:vertAlign w:val="subscript"/>
                      <w:lang w:val="fr-FR"/>
                    </w:rPr>
                    <w:t>4</w:t>
                  </w:r>
                  <w:r w:rsidRPr="00F56A0E">
                    <w:rPr>
                      <w:sz w:val="19"/>
                      <w:lang w:val="fr-FR"/>
                    </w:rPr>
                    <w:t xml:space="preserve">), locus </w:t>
                  </w:r>
                  <w:r w:rsidRPr="00F56A0E">
                    <w:rPr>
                      <w:i/>
                      <w:sz w:val="19"/>
                      <w:lang w:val="fr-FR"/>
                    </w:rPr>
                    <w:t>Hprt</w:t>
                  </w:r>
                  <w:r w:rsidRPr="00F56A0E">
                    <w:rPr>
                      <w:sz w:val="19"/>
                      <w:lang w:val="fr-FR"/>
                    </w:rPr>
                    <w:t xml:space="preserve"> </w:t>
                  </w:r>
                </w:p>
              </w:tc>
              <w:tc>
                <w:tcPr>
                  <w:tcW w:w="1843" w:type="dxa"/>
                </w:tcPr>
                <w:p w14:paraId="2BE8B1FB" w14:textId="77777777" w:rsidR="006F1716" w:rsidRPr="00F56A0E" w:rsidRDefault="006F1716" w:rsidP="00D076A8">
                  <w:pPr>
                    <w:keepNext/>
                    <w:keepLines/>
                    <w:ind w:left="144" w:right="432"/>
                    <w:textAlignment w:val="baseline"/>
                    <w:rPr>
                      <w:rFonts w:eastAsia="Times New Roman"/>
                      <w:spacing w:val="-4"/>
                      <w:sz w:val="19"/>
                      <w:lang w:val="fr-FR"/>
                    </w:rPr>
                  </w:pPr>
                  <w:r w:rsidRPr="00F56A0E">
                    <w:rPr>
                      <w:sz w:val="19"/>
                      <w:lang w:val="fr-FR"/>
                    </w:rPr>
                    <w:t xml:space="preserve">10-100 µg/ml, dissout dans du DMSO, avec et sans S9 </w:t>
                  </w:r>
                </w:p>
              </w:tc>
              <w:tc>
                <w:tcPr>
                  <w:tcW w:w="1559" w:type="dxa"/>
                </w:tcPr>
                <w:p w14:paraId="1900AE39" w14:textId="77777777" w:rsidR="006F1716" w:rsidRPr="00F56A0E" w:rsidRDefault="006F1716" w:rsidP="00D076A8">
                  <w:pPr>
                    <w:keepNext/>
                    <w:keepLines/>
                    <w:ind w:left="119"/>
                    <w:textAlignment w:val="baseline"/>
                    <w:rPr>
                      <w:rFonts w:eastAsia="Times New Roman"/>
                      <w:sz w:val="19"/>
                      <w:lang w:val="fr-FR"/>
                    </w:rPr>
                  </w:pPr>
                  <w:r w:rsidRPr="00F56A0E">
                    <w:rPr>
                      <w:sz w:val="19"/>
                      <w:lang w:val="fr-FR"/>
                    </w:rPr>
                    <w:t xml:space="preserve">Négatif </w:t>
                  </w:r>
                </w:p>
              </w:tc>
            </w:tr>
            <w:tr w:rsidR="006F1716" w:rsidRPr="00F56A0E" w14:paraId="72B29FE2" w14:textId="77777777" w:rsidTr="007C5354">
              <w:trPr>
                <w:trHeight w:hRule="exact" w:val="896"/>
              </w:trPr>
              <w:tc>
                <w:tcPr>
                  <w:tcW w:w="1307" w:type="dxa"/>
                </w:tcPr>
                <w:p w14:paraId="0C968568" w14:textId="77777777" w:rsidR="006F1716" w:rsidRPr="00F56A0E" w:rsidRDefault="006F1716" w:rsidP="00D076A8">
                  <w:pPr>
                    <w:keepNext/>
                    <w:keepLines/>
                    <w:ind w:left="124"/>
                    <w:textAlignment w:val="baseline"/>
                    <w:rPr>
                      <w:rFonts w:eastAsia="Times New Roman"/>
                      <w:sz w:val="18"/>
                      <w:szCs w:val="18"/>
                      <w:lang w:val="fr-FR"/>
                    </w:rPr>
                  </w:pPr>
                  <w:r w:rsidRPr="00F56A0E">
                    <w:rPr>
                      <w:sz w:val="18"/>
                      <w:szCs w:val="18"/>
                      <w:lang w:val="fr-FR"/>
                    </w:rPr>
                    <w:t>Aberration</w:t>
                  </w:r>
                  <w:r w:rsidRPr="00F56A0E">
                    <w:rPr>
                      <w:sz w:val="18"/>
                      <w:szCs w:val="18"/>
                      <w:lang w:val="fr-FR"/>
                    </w:rPr>
                    <w:br/>
                    <w:t>chromosomique</w:t>
                  </w:r>
                </w:p>
              </w:tc>
              <w:tc>
                <w:tcPr>
                  <w:tcW w:w="1559" w:type="dxa"/>
                </w:tcPr>
                <w:p w14:paraId="058894B7" w14:textId="77777777" w:rsidR="006F1716" w:rsidRPr="00F56A0E" w:rsidRDefault="006F1716" w:rsidP="00D076A8">
                  <w:pPr>
                    <w:keepNext/>
                    <w:keepLines/>
                    <w:ind w:left="108"/>
                    <w:textAlignment w:val="baseline"/>
                    <w:rPr>
                      <w:rFonts w:eastAsia="Times New Roman"/>
                      <w:sz w:val="19"/>
                      <w:lang w:val="fr-FR"/>
                    </w:rPr>
                  </w:pPr>
                  <w:r w:rsidRPr="00F56A0E">
                    <w:rPr>
                      <w:sz w:val="19"/>
                      <w:lang w:val="fr-FR"/>
                    </w:rPr>
                    <w:t>Cellules ovariennes de hamster chinois</w:t>
                  </w:r>
                </w:p>
              </w:tc>
              <w:tc>
                <w:tcPr>
                  <w:tcW w:w="1843" w:type="dxa"/>
                </w:tcPr>
                <w:p w14:paraId="63BDF137" w14:textId="77777777" w:rsidR="006F1716" w:rsidRPr="00F56A0E" w:rsidRDefault="006F1716" w:rsidP="00D66A3F">
                  <w:pPr>
                    <w:keepNext/>
                    <w:keepLines/>
                    <w:ind w:left="142" w:right="108"/>
                    <w:textAlignment w:val="baseline"/>
                    <w:rPr>
                      <w:rFonts w:eastAsia="Times New Roman"/>
                      <w:spacing w:val="-4"/>
                      <w:sz w:val="19"/>
                      <w:lang w:val="fr-FR"/>
                    </w:rPr>
                  </w:pPr>
                  <w:r w:rsidRPr="00F56A0E">
                    <w:rPr>
                      <w:sz w:val="19"/>
                      <w:lang w:val="fr-FR"/>
                    </w:rPr>
                    <w:t xml:space="preserve">2,5-100 µg/ml, dissout dans du DMSO, avec et sans S9 </w:t>
                  </w:r>
                </w:p>
              </w:tc>
              <w:tc>
                <w:tcPr>
                  <w:tcW w:w="1559" w:type="dxa"/>
                </w:tcPr>
                <w:p w14:paraId="08DBC8CA" w14:textId="77777777" w:rsidR="006F1716" w:rsidRPr="00F56A0E" w:rsidRDefault="006F1716" w:rsidP="00D076A8">
                  <w:pPr>
                    <w:keepNext/>
                    <w:keepLines/>
                    <w:ind w:left="119"/>
                    <w:textAlignment w:val="baseline"/>
                    <w:rPr>
                      <w:rFonts w:eastAsia="Times New Roman"/>
                      <w:sz w:val="19"/>
                      <w:lang w:val="fr-FR"/>
                    </w:rPr>
                  </w:pPr>
                  <w:r w:rsidRPr="00F56A0E">
                    <w:rPr>
                      <w:sz w:val="19"/>
                      <w:lang w:val="fr-FR"/>
                    </w:rPr>
                    <w:t>Négatif</w:t>
                  </w:r>
                </w:p>
              </w:tc>
            </w:tr>
            <w:tr w:rsidR="006F1716" w:rsidRPr="00F56A0E" w14:paraId="427F5B19" w14:textId="77777777" w:rsidTr="007C5354">
              <w:trPr>
                <w:trHeight w:hRule="exact" w:val="941"/>
              </w:trPr>
              <w:tc>
                <w:tcPr>
                  <w:tcW w:w="1307" w:type="dxa"/>
                </w:tcPr>
                <w:p w14:paraId="49AC8B46" w14:textId="65A0B2E2" w:rsidR="006F1716" w:rsidRPr="00F56A0E" w:rsidRDefault="006F1716" w:rsidP="00D076A8">
                  <w:pPr>
                    <w:keepNext/>
                    <w:keepLines/>
                    <w:ind w:left="124"/>
                    <w:textAlignment w:val="baseline"/>
                    <w:rPr>
                      <w:rFonts w:eastAsia="Times New Roman"/>
                      <w:sz w:val="19"/>
                      <w:lang w:val="fr-FR"/>
                    </w:rPr>
                  </w:pPr>
                  <w:r w:rsidRPr="00F56A0E">
                    <w:rPr>
                      <w:sz w:val="19"/>
                      <w:lang w:val="fr-FR"/>
                    </w:rPr>
                    <w:t>Synthèse d</w:t>
                  </w:r>
                  <w:r w:rsidR="00870D0E" w:rsidRPr="00F56A0E">
                    <w:rPr>
                      <w:sz w:val="19"/>
                      <w:lang w:val="fr-FR"/>
                    </w:rPr>
                    <w:t>’</w:t>
                  </w:r>
                  <w:r w:rsidRPr="00F56A0E">
                    <w:rPr>
                      <w:sz w:val="19"/>
                      <w:lang w:val="fr-FR"/>
                    </w:rPr>
                    <w:t>ADN non programmée</w:t>
                  </w:r>
                </w:p>
              </w:tc>
              <w:tc>
                <w:tcPr>
                  <w:tcW w:w="1559" w:type="dxa"/>
                </w:tcPr>
                <w:p w14:paraId="7B67E51A" w14:textId="77777777" w:rsidR="006F1716" w:rsidRPr="00F56A0E" w:rsidRDefault="006F1716" w:rsidP="00D076A8">
                  <w:pPr>
                    <w:keepNext/>
                    <w:keepLines/>
                    <w:ind w:left="108"/>
                    <w:textAlignment w:val="baseline"/>
                    <w:rPr>
                      <w:rFonts w:eastAsia="Times New Roman"/>
                      <w:sz w:val="19"/>
                      <w:lang w:val="fr-FR"/>
                    </w:rPr>
                  </w:pPr>
                  <w:r w:rsidRPr="00F56A0E">
                    <w:rPr>
                      <w:sz w:val="19"/>
                      <w:lang w:val="fr-FR"/>
                    </w:rPr>
                    <w:t>Hépatocytes primaires de rat (mâle, Fischer 344)</w:t>
                  </w:r>
                </w:p>
              </w:tc>
              <w:tc>
                <w:tcPr>
                  <w:tcW w:w="1843" w:type="dxa"/>
                </w:tcPr>
                <w:p w14:paraId="5BCD0D21" w14:textId="77777777" w:rsidR="006F1716" w:rsidRPr="00F56A0E" w:rsidRDefault="006F1716" w:rsidP="00D66A3F">
                  <w:pPr>
                    <w:keepNext/>
                    <w:keepLines/>
                    <w:ind w:left="142" w:right="108"/>
                    <w:textAlignment w:val="baseline"/>
                    <w:rPr>
                      <w:rFonts w:eastAsia="Times New Roman"/>
                      <w:spacing w:val="-4"/>
                      <w:sz w:val="19"/>
                      <w:lang w:val="fr-FR"/>
                    </w:rPr>
                  </w:pPr>
                  <w:r w:rsidRPr="00F56A0E">
                    <w:rPr>
                      <w:sz w:val="19"/>
                      <w:lang w:val="fr-FR"/>
                    </w:rPr>
                    <w:t xml:space="preserve">0,33-33,33 µg/puits, dissout dans du DMSO </w:t>
                  </w:r>
                </w:p>
              </w:tc>
              <w:tc>
                <w:tcPr>
                  <w:tcW w:w="1559" w:type="dxa"/>
                </w:tcPr>
                <w:p w14:paraId="647DA066" w14:textId="77777777" w:rsidR="006F1716" w:rsidRPr="00F56A0E" w:rsidRDefault="006F1716" w:rsidP="00D076A8">
                  <w:pPr>
                    <w:keepNext/>
                    <w:keepLines/>
                    <w:ind w:left="119"/>
                    <w:textAlignment w:val="baseline"/>
                    <w:rPr>
                      <w:rFonts w:eastAsia="Times New Roman"/>
                      <w:sz w:val="19"/>
                      <w:lang w:val="fr-FR"/>
                    </w:rPr>
                  </w:pPr>
                  <w:r w:rsidRPr="00F56A0E">
                    <w:rPr>
                      <w:sz w:val="19"/>
                      <w:lang w:val="fr-FR"/>
                    </w:rPr>
                    <w:t>Négatif</w:t>
                  </w:r>
                </w:p>
              </w:tc>
            </w:tr>
            <w:tr w:rsidR="006F1716" w:rsidRPr="00F56A0E" w14:paraId="684C835A" w14:textId="77777777" w:rsidTr="007C5354">
              <w:trPr>
                <w:trHeight w:hRule="exact" w:val="2147"/>
              </w:trPr>
              <w:tc>
                <w:tcPr>
                  <w:tcW w:w="1307" w:type="dxa"/>
                </w:tcPr>
                <w:p w14:paraId="2AD69318" w14:textId="77777777" w:rsidR="006F1716" w:rsidRPr="00F56A0E" w:rsidRDefault="006F1716" w:rsidP="00D076A8">
                  <w:pPr>
                    <w:keepNext/>
                    <w:keepLines/>
                    <w:ind w:left="124"/>
                    <w:textAlignment w:val="baseline"/>
                    <w:rPr>
                      <w:rFonts w:eastAsia="Times New Roman"/>
                      <w:sz w:val="19"/>
                      <w:lang w:val="fr-FR"/>
                    </w:rPr>
                  </w:pPr>
                  <w:r w:rsidRPr="00F56A0E">
                    <w:rPr>
                      <w:sz w:val="19"/>
                      <w:lang w:val="fr-FR"/>
                    </w:rPr>
                    <w:t>Conversion génique</w:t>
                  </w:r>
                  <w:r w:rsidRPr="00F56A0E">
                    <w:rPr>
                      <w:sz w:val="19"/>
                      <w:lang w:val="fr-FR"/>
                    </w:rPr>
                    <w:br/>
                    <w:t>mitotique</w:t>
                  </w:r>
                </w:p>
              </w:tc>
              <w:tc>
                <w:tcPr>
                  <w:tcW w:w="1559" w:type="dxa"/>
                </w:tcPr>
                <w:p w14:paraId="04D5BE5D" w14:textId="77777777" w:rsidR="006F1716" w:rsidRPr="00F56A0E" w:rsidRDefault="006F1716" w:rsidP="00D076A8">
                  <w:pPr>
                    <w:keepNext/>
                    <w:keepLines/>
                    <w:ind w:left="108"/>
                    <w:textAlignment w:val="baseline"/>
                    <w:rPr>
                      <w:rFonts w:eastAsia="Times New Roman"/>
                      <w:sz w:val="19"/>
                      <w:lang w:val="fr-FR"/>
                    </w:rPr>
                  </w:pPr>
                  <w:r w:rsidRPr="00F56A0E">
                    <w:rPr>
                      <w:i/>
                      <w:sz w:val="19"/>
                      <w:lang w:val="fr-FR"/>
                    </w:rPr>
                    <w:t xml:space="preserve">S. Cerevisiae </w:t>
                  </w:r>
                  <w:r w:rsidRPr="00F56A0E">
                    <w:rPr>
                      <w:sz w:val="19"/>
                      <w:lang w:val="fr-FR"/>
                    </w:rPr>
                    <w:t xml:space="preserve">D4 (loci </w:t>
                  </w:r>
                  <w:r w:rsidRPr="00F56A0E">
                    <w:rPr>
                      <w:i/>
                      <w:sz w:val="19"/>
                      <w:lang w:val="fr-FR"/>
                    </w:rPr>
                    <w:t>ade</w:t>
                  </w:r>
                  <w:r w:rsidRPr="00F56A0E">
                    <w:rPr>
                      <w:sz w:val="19"/>
                      <w:lang w:val="fr-FR"/>
                    </w:rPr>
                    <w:t xml:space="preserve"> et </w:t>
                  </w:r>
                  <w:r w:rsidRPr="00F56A0E">
                    <w:rPr>
                      <w:i/>
                      <w:sz w:val="19"/>
                      <w:lang w:val="fr-FR"/>
                    </w:rPr>
                    <w:t>trp</w:t>
                  </w:r>
                  <w:r w:rsidRPr="00F56A0E">
                    <w:rPr>
                      <w:sz w:val="19"/>
                      <w:lang w:val="fr-FR"/>
                    </w:rPr>
                    <w:t>)</w:t>
                  </w:r>
                </w:p>
              </w:tc>
              <w:tc>
                <w:tcPr>
                  <w:tcW w:w="1843" w:type="dxa"/>
                </w:tcPr>
                <w:p w14:paraId="16F4A392" w14:textId="77777777" w:rsidR="006F1716" w:rsidRPr="00F56A0E" w:rsidRDefault="006F1716" w:rsidP="00D66A3F">
                  <w:pPr>
                    <w:keepNext/>
                    <w:keepLines/>
                    <w:ind w:left="142" w:right="108"/>
                    <w:textAlignment w:val="baseline"/>
                    <w:rPr>
                      <w:rFonts w:eastAsia="Times New Roman"/>
                      <w:spacing w:val="-4"/>
                      <w:sz w:val="19"/>
                      <w:lang w:val="fr-FR"/>
                    </w:rPr>
                  </w:pPr>
                  <w:r w:rsidRPr="00F56A0E">
                    <w:rPr>
                      <w:sz w:val="19"/>
                      <w:lang w:val="fr-FR"/>
                    </w:rPr>
                    <w:t>Apparemment 0,33-33 µg/tube, dissous dans du DMSO, avec et sans S9</w:t>
                  </w:r>
                </w:p>
              </w:tc>
              <w:tc>
                <w:tcPr>
                  <w:tcW w:w="1559" w:type="dxa"/>
                </w:tcPr>
                <w:p w14:paraId="18C21280" w14:textId="1DDCDDED" w:rsidR="006F1716" w:rsidRPr="00F56A0E" w:rsidRDefault="006F1716" w:rsidP="007C5354">
                  <w:pPr>
                    <w:keepNext/>
                    <w:keepLines/>
                    <w:ind w:left="119"/>
                    <w:textAlignment w:val="baseline"/>
                    <w:rPr>
                      <w:rFonts w:eastAsia="Times New Roman"/>
                      <w:sz w:val="19"/>
                      <w:lang w:val="fr-FR"/>
                    </w:rPr>
                  </w:pPr>
                  <w:r w:rsidRPr="00F56A0E">
                    <w:rPr>
                      <w:sz w:val="19"/>
                      <w:lang w:val="fr-FR"/>
                    </w:rPr>
                    <w:t>Qualité technique</w:t>
                  </w:r>
                  <w:r w:rsidR="00157D75" w:rsidRPr="00F56A0E">
                    <w:rPr>
                      <w:sz w:val="19"/>
                      <w:lang w:val="fr-FR"/>
                    </w:rPr>
                    <w:t> :</w:t>
                  </w:r>
                  <w:r w:rsidRPr="00F56A0E">
                    <w:rPr>
                      <w:sz w:val="19"/>
                      <w:lang w:val="fr-FR"/>
                    </w:rPr>
                    <w:t xml:space="preserve"> positif au locus </w:t>
                  </w:r>
                  <w:r w:rsidRPr="00F56A0E">
                    <w:rPr>
                      <w:i/>
                      <w:sz w:val="19"/>
                      <w:lang w:val="fr-FR"/>
                    </w:rPr>
                    <w:t>ade</w:t>
                  </w:r>
                  <w:r w:rsidRPr="00F56A0E">
                    <w:rPr>
                      <w:sz w:val="19"/>
                      <w:lang w:val="fr-FR"/>
                    </w:rPr>
                    <w:t xml:space="preserve"> (avec</w:t>
                  </w:r>
                  <w:r w:rsidR="00A67C5D" w:rsidRPr="00F56A0E">
                    <w:rPr>
                      <w:sz w:val="19"/>
                      <w:lang w:val="fr-FR"/>
                    </w:rPr>
                    <w:t> </w:t>
                  </w:r>
                  <w:r w:rsidRPr="00F56A0E">
                    <w:rPr>
                      <w:sz w:val="19"/>
                      <w:lang w:val="fr-FR"/>
                    </w:rPr>
                    <w:t>et sans S9)</w:t>
                  </w:r>
                  <w:r w:rsidR="001349EA" w:rsidRPr="00F56A0E">
                    <w:rPr>
                      <w:sz w:val="19"/>
                      <w:lang w:val="fr-FR"/>
                    </w:rPr>
                    <w:t> ;</w:t>
                  </w:r>
                  <w:r w:rsidRPr="00F56A0E">
                    <w:rPr>
                      <w:sz w:val="19"/>
                      <w:lang w:val="fr-FR"/>
                    </w:rPr>
                    <w:t xml:space="preserve"> Qualité commerciale</w:t>
                  </w:r>
                  <w:r w:rsidR="00157D75" w:rsidRPr="00F56A0E">
                    <w:rPr>
                      <w:sz w:val="19"/>
                      <w:lang w:val="fr-FR"/>
                    </w:rPr>
                    <w:t> :</w:t>
                  </w:r>
                  <w:r w:rsidRPr="00F56A0E">
                    <w:rPr>
                      <w:sz w:val="19"/>
                      <w:lang w:val="fr-FR"/>
                    </w:rPr>
                    <w:t xml:space="preserve"> faiblement positif au locus </w:t>
                  </w:r>
                  <w:r w:rsidRPr="00F56A0E">
                    <w:rPr>
                      <w:i/>
                      <w:sz w:val="19"/>
                      <w:lang w:val="fr-FR"/>
                    </w:rPr>
                    <w:t>ade</w:t>
                  </w:r>
                  <w:r w:rsidRPr="00F56A0E">
                    <w:rPr>
                      <w:sz w:val="19"/>
                      <w:lang w:val="fr-FR"/>
                    </w:rPr>
                    <w:t xml:space="preserve"> (sans</w:t>
                  </w:r>
                  <w:r w:rsidR="00A67C5D" w:rsidRPr="00F56A0E">
                    <w:rPr>
                      <w:sz w:val="19"/>
                      <w:lang w:val="fr-FR"/>
                    </w:rPr>
                    <w:t> </w:t>
                  </w:r>
                  <w:r w:rsidRPr="00F56A0E">
                    <w:rPr>
                      <w:sz w:val="19"/>
                      <w:lang w:val="fr-FR"/>
                    </w:rPr>
                    <w:t>S9)</w:t>
                  </w:r>
                </w:p>
              </w:tc>
            </w:tr>
            <w:tr w:rsidR="006F1716" w:rsidRPr="00F56A0E" w14:paraId="7CE3F40C" w14:textId="77777777" w:rsidTr="00D076A8">
              <w:trPr>
                <w:trHeight w:hRule="exact" w:val="354"/>
              </w:trPr>
              <w:tc>
                <w:tcPr>
                  <w:tcW w:w="6268" w:type="dxa"/>
                  <w:gridSpan w:val="4"/>
                </w:tcPr>
                <w:p w14:paraId="5A57FF24" w14:textId="77777777" w:rsidR="006F1716" w:rsidRPr="00F56A0E" w:rsidRDefault="006F1716" w:rsidP="00D076A8">
                  <w:pPr>
                    <w:keepNext/>
                    <w:keepLines/>
                    <w:ind w:left="124"/>
                    <w:textAlignment w:val="baseline"/>
                    <w:rPr>
                      <w:rFonts w:eastAsia="Times New Roman"/>
                      <w:sz w:val="19"/>
                      <w:lang w:val="fr-FR"/>
                    </w:rPr>
                  </w:pPr>
                  <w:r w:rsidRPr="00F56A0E">
                    <w:rPr>
                      <w:i/>
                      <w:sz w:val="19"/>
                      <w:lang w:val="fr-FR"/>
                    </w:rPr>
                    <w:t>In vivo</w:t>
                  </w:r>
                </w:p>
              </w:tc>
            </w:tr>
            <w:tr w:rsidR="006F1716" w:rsidRPr="00F56A0E" w14:paraId="7FA1EEEB" w14:textId="77777777" w:rsidTr="00D076A8">
              <w:trPr>
                <w:trHeight w:hRule="exact" w:val="2374"/>
              </w:trPr>
              <w:tc>
                <w:tcPr>
                  <w:tcW w:w="1307" w:type="dxa"/>
                </w:tcPr>
                <w:p w14:paraId="501666BF" w14:textId="765C8C78" w:rsidR="006F1716" w:rsidRPr="00F56A0E" w:rsidRDefault="006F1716" w:rsidP="00D076A8">
                  <w:pPr>
                    <w:keepNext/>
                    <w:keepLines/>
                    <w:ind w:left="124"/>
                    <w:textAlignment w:val="baseline"/>
                    <w:rPr>
                      <w:rFonts w:eastAsia="Times New Roman"/>
                      <w:sz w:val="19"/>
                      <w:lang w:val="fr-FR"/>
                    </w:rPr>
                  </w:pPr>
                  <w:r w:rsidRPr="00F56A0E">
                    <w:rPr>
                      <w:sz w:val="19"/>
                      <w:lang w:val="fr-FR"/>
                    </w:rPr>
                    <w:t>Mutation létale dominante (10</w:t>
                  </w:r>
                  <w:r w:rsidR="007C5354" w:rsidRPr="00F56A0E">
                    <w:rPr>
                      <w:sz w:val="19"/>
                      <w:lang w:val="fr-FR"/>
                    </w:rPr>
                    <w:t> </w:t>
                  </w:r>
                  <w:r w:rsidRPr="00F56A0E">
                    <w:rPr>
                      <w:sz w:val="19"/>
                      <w:lang w:val="fr-FR"/>
                    </w:rPr>
                    <w:t>cycles de reproduction)</w:t>
                  </w:r>
                </w:p>
              </w:tc>
              <w:tc>
                <w:tcPr>
                  <w:tcW w:w="1559" w:type="dxa"/>
                </w:tcPr>
                <w:p w14:paraId="067086EE" w14:textId="77777777" w:rsidR="006F1716" w:rsidRPr="00F56A0E" w:rsidRDefault="006F1716" w:rsidP="00D076A8">
                  <w:pPr>
                    <w:keepNext/>
                    <w:keepLines/>
                    <w:ind w:left="108"/>
                    <w:textAlignment w:val="baseline"/>
                    <w:rPr>
                      <w:rFonts w:eastAsia="Times New Roman"/>
                      <w:sz w:val="19"/>
                      <w:lang w:val="fr-FR"/>
                    </w:rPr>
                  </w:pPr>
                  <w:r w:rsidRPr="00F56A0E">
                    <w:rPr>
                      <w:sz w:val="19"/>
                      <w:lang w:val="fr-FR"/>
                    </w:rPr>
                    <w:t>Rats Crl:CD(SD)BR (10 rats mâles par groupe)</w:t>
                  </w:r>
                </w:p>
              </w:tc>
              <w:tc>
                <w:tcPr>
                  <w:tcW w:w="1843" w:type="dxa"/>
                </w:tcPr>
                <w:p w14:paraId="25F50E43" w14:textId="2D7CA8F7" w:rsidR="006F1716" w:rsidRPr="00F56A0E" w:rsidRDefault="006F1716" w:rsidP="00D076A8">
                  <w:pPr>
                    <w:keepNext/>
                    <w:keepLines/>
                    <w:ind w:left="144" w:right="432"/>
                    <w:textAlignment w:val="baseline"/>
                    <w:rPr>
                      <w:rFonts w:eastAsia="Times New Roman"/>
                      <w:spacing w:val="-4"/>
                      <w:sz w:val="19"/>
                      <w:lang w:val="fr-FR"/>
                    </w:rPr>
                  </w:pPr>
                  <w:r w:rsidRPr="00F56A0E">
                    <w:rPr>
                      <w:sz w:val="19"/>
                      <w:lang w:val="fr-FR"/>
                    </w:rPr>
                    <w:t>0</w:t>
                  </w:r>
                  <w:r w:rsidR="001349EA" w:rsidRPr="00F56A0E">
                    <w:rPr>
                      <w:sz w:val="19"/>
                      <w:lang w:val="fr-FR"/>
                    </w:rPr>
                    <w:t> ;</w:t>
                  </w:r>
                  <w:r w:rsidRPr="00F56A0E">
                    <w:rPr>
                      <w:sz w:val="19"/>
                      <w:lang w:val="fr-FR"/>
                    </w:rPr>
                    <w:t xml:space="preserve"> 0,1</w:t>
                  </w:r>
                  <w:r w:rsidR="001349EA" w:rsidRPr="00F56A0E">
                    <w:rPr>
                      <w:sz w:val="19"/>
                      <w:lang w:val="fr-FR"/>
                    </w:rPr>
                    <w:t> ;</w:t>
                  </w:r>
                  <w:r w:rsidRPr="00F56A0E">
                    <w:rPr>
                      <w:sz w:val="19"/>
                      <w:lang w:val="fr-FR"/>
                    </w:rPr>
                    <w:t xml:space="preserve"> 0,2 ou 0,4 mg/kg p.c./jour dans de l</w:t>
                  </w:r>
                  <w:r w:rsidR="00870D0E" w:rsidRPr="00F56A0E">
                    <w:rPr>
                      <w:sz w:val="19"/>
                      <w:lang w:val="fr-FR"/>
                    </w:rPr>
                    <w:t>’</w:t>
                  </w:r>
                  <w:r w:rsidRPr="00F56A0E">
                    <w:rPr>
                      <w:sz w:val="19"/>
                      <w:lang w:val="fr-FR"/>
                    </w:rPr>
                    <w:t>huile de maïs, par gavage quotidien pendant 5 jours au début du premier cycle de reproduction</w:t>
                  </w:r>
                </w:p>
              </w:tc>
              <w:tc>
                <w:tcPr>
                  <w:tcW w:w="1559" w:type="dxa"/>
                </w:tcPr>
                <w:p w14:paraId="4530E3DA" w14:textId="77777777" w:rsidR="006F1716" w:rsidRPr="00F56A0E" w:rsidRDefault="006F1716" w:rsidP="00D076A8">
                  <w:pPr>
                    <w:keepNext/>
                    <w:keepLines/>
                    <w:ind w:left="119"/>
                    <w:textAlignment w:val="baseline"/>
                    <w:rPr>
                      <w:rFonts w:eastAsia="Times New Roman"/>
                      <w:sz w:val="19"/>
                      <w:lang w:val="fr-FR"/>
                    </w:rPr>
                  </w:pPr>
                  <w:r w:rsidRPr="00F56A0E">
                    <w:rPr>
                      <w:sz w:val="19"/>
                      <w:lang w:val="fr-FR"/>
                    </w:rPr>
                    <w:t xml:space="preserve">Non concluant </w:t>
                  </w:r>
                </w:p>
              </w:tc>
            </w:tr>
            <w:tr w:rsidR="006F1716" w:rsidRPr="00F56A0E" w14:paraId="1B60D115" w14:textId="77777777" w:rsidTr="007C5354">
              <w:trPr>
                <w:trHeight w:hRule="exact" w:val="2444"/>
              </w:trPr>
              <w:tc>
                <w:tcPr>
                  <w:tcW w:w="1307" w:type="dxa"/>
                </w:tcPr>
                <w:p w14:paraId="0257AD94" w14:textId="77777777" w:rsidR="006F1716" w:rsidRPr="00F56A0E" w:rsidRDefault="006F1716" w:rsidP="00D076A8">
                  <w:pPr>
                    <w:keepNext/>
                    <w:keepLines/>
                    <w:ind w:left="124"/>
                    <w:textAlignment w:val="baseline"/>
                    <w:rPr>
                      <w:rFonts w:eastAsia="Times New Roman"/>
                      <w:sz w:val="18"/>
                      <w:szCs w:val="18"/>
                      <w:lang w:val="fr-FR"/>
                    </w:rPr>
                  </w:pPr>
                  <w:r w:rsidRPr="00F56A0E">
                    <w:rPr>
                      <w:sz w:val="18"/>
                      <w:szCs w:val="18"/>
                      <w:lang w:val="fr-FR"/>
                    </w:rPr>
                    <w:t>Aberration</w:t>
                  </w:r>
                  <w:r w:rsidRPr="00F56A0E">
                    <w:rPr>
                      <w:sz w:val="18"/>
                      <w:szCs w:val="18"/>
                      <w:lang w:val="fr-FR"/>
                    </w:rPr>
                    <w:br/>
                    <w:t>chromosomique</w:t>
                  </w:r>
                </w:p>
              </w:tc>
              <w:tc>
                <w:tcPr>
                  <w:tcW w:w="1559" w:type="dxa"/>
                </w:tcPr>
                <w:p w14:paraId="78AAB225" w14:textId="77777777" w:rsidR="006F1716" w:rsidRPr="00F56A0E" w:rsidRDefault="006F1716" w:rsidP="00D076A8">
                  <w:pPr>
                    <w:keepNext/>
                    <w:keepLines/>
                    <w:ind w:left="108"/>
                    <w:textAlignment w:val="baseline"/>
                    <w:rPr>
                      <w:rFonts w:eastAsia="Times New Roman"/>
                      <w:sz w:val="19"/>
                      <w:lang w:val="fr-FR"/>
                    </w:rPr>
                  </w:pPr>
                  <w:r w:rsidRPr="00F56A0E">
                    <w:rPr>
                      <w:sz w:val="19"/>
                      <w:lang w:val="fr-FR"/>
                    </w:rPr>
                    <w:t>Rats Sprague-Dawley (20 mâles et 20 femelles par groupe), cellules de moelle osseuse</w:t>
                  </w:r>
                </w:p>
              </w:tc>
              <w:tc>
                <w:tcPr>
                  <w:tcW w:w="1843" w:type="dxa"/>
                </w:tcPr>
                <w:p w14:paraId="47813C2A" w14:textId="1ACAC1D3" w:rsidR="006F1716" w:rsidRPr="00F56A0E" w:rsidRDefault="006F1716" w:rsidP="00D076A8">
                  <w:pPr>
                    <w:keepNext/>
                    <w:keepLines/>
                    <w:ind w:left="144" w:right="432"/>
                    <w:textAlignment w:val="baseline"/>
                    <w:rPr>
                      <w:rFonts w:eastAsia="Times New Roman"/>
                      <w:spacing w:val="-4"/>
                      <w:sz w:val="19"/>
                      <w:lang w:val="fr-FR"/>
                    </w:rPr>
                  </w:pPr>
                  <w:r w:rsidRPr="00F56A0E">
                    <w:rPr>
                      <w:sz w:val="19"/>
                      <w:lang w:val="fr-FR"/>
                    </w:rPr>
                    <w:t>Injection intrapéritonéale d</w:t>
                  </w:r>
                  <w:r w:rsidR="00870D0E" w:rsidRPr="00F56A0E">
                    <w:rPr>
                      <w:sz w:val="19"/>
                      <w:lang w:val="fr-FR"/>
                    </w:rPr>
                    <w:t>’</w:t>
                  </w:r>
                  <w:r w:rsidRPr="00F56A0E">
                    <w:rPr>
                      <w:sz w:val="19"/>
                      <w:lang w:val="fr-FR"/>
                    </w:rPr>
                    <w:t>une dose unique de 0</w:t>
                  </w:r>
                  <w:r w:rsidR="001349EA" w:rsidRPr="00F56A0E">
                    <w:rPr>
                      <w:sz w:val="19"/>
                      <w:lang w:val="fr-FR"/>
                    </w:rPr>
                    <w:t> ;</w:t>
                  </w:r>
                  <w:r w:rsidRPr="00F56A0E">
                    <w:rPr>
                      <w:sz w:val="19"/>
                      <w:lang w:val="fr-FR"/>
                    </w:rPr>
                    <w:t xml:space="preserve"> 0,2</w:t>
                  </w:r>
                  <w:r w:rsidR="001349EA" w:rsidRPr="00F56A0E">
                    <w:rPr>
                      <w:sz w:val="19"/>
                      <w:lang w:val="fr-FR"/>
                    </w:rPr>
                    <w:t> ;</w:t>
                  </w:r>
                  <w:r w:rsidRPr="00F56A0E">
                    <w:rPr>
                      <w:sz w:val="19"/>
                      <w:lang w:val="fr-FR"/>
                    </w:rPr>
                    <w:t xml:space="preserve"> 0,6</w:t>
                  </w:r>
                  <w:r w:rsidR="001349EA" w:rsidRPr="00F56A0E">
                    <w:rPr>
                      <w:sz w:val="19"/>
                      <w:lang w:val="fr-FR"/>
                    </w:rPr>
                    <w:t> ;</w:t>
                  </w:r>
                  <w:r w:rsidRPr="00F56A0E">
                    <w:rPr>
                      <w:sz w:val="19"/>
                      <w:lang w:val="fr-FR"/>
                    </w:rPr>
                    <w:t xml:space="preserve"> 1,5 (femelles uniquement) ou dose unique de 1,8 mg/kg p.c. dans de l</w:t>
                  </w:r>
                  <w:r w:rsidR="00870D0E" w:rsidRPr="00F56A0E">
                    <w:rPr>
                      <w:sz w:val="19"/>
                      <w:lang w:val="fr-FR"/>
                    </w:rPr>
                    <w:t>’</w:t>
                  </w:r>
                  <w:r w:rsidRPr="00F56A0E">
                    <w:rPr>
                      <w:sz w:val="19"/>
                      <w:lang w:val="fr-FR"/>
                    </w:rPr>
                    <w:t xml:space="preserve">huile de maïs </w:t>
                  </w:r>
                </w:p>
              </w:tc>
              <w:tc>
                <w:tcPr>
                  <w:tcW w:w="1559" w:type="dxa"/>
                </w:tcPr>
                <w:p w14:paraId="43EDF871" w14:textId="77777777" w:rsidR="006F1716" w:rsidRPr="00F56A0E" w:rsidRDefault="006F1716" w:rsidP="00D076A8">
                  <w:pPr>
                    <w:keepNext/>
                    <w:keepLines/>
                    <w:ind w:left="119"/>
                    <w:textAlignment w:val="baseline"/>
                    <w:rPr>
                      <w:rFonts w:eastAsia="Times New Roman"/>
                      <w:sz w:val="19"/>
                      <w:lang w:val="fr-FR"/>
                    </w:rPr>
                  </w:pPr>
                  <w:r w:rsidRPr="00F56A0E">
                    <w:rPr>
                      <w:sz w:val="19"/>
                      <w:lang w:val="fr-FR"/>
                    </w:rPr>
                    <w:t>Négatif</w:t>
                  </w:r>
                </w:p>
              </w:tc>
            </w:tr>
          </w:tbl>
          <w:p w14:paraId="6C41D7C9" w14:textId="77777777" w:rsidR="006F1716" w:rsidRPr="00F56A0E" w:rsidRDefault="006F1716" w:rsidP="00D076A8">
            <w:pPr>
              <w:rPr>
                <w:rFonts w:eastAsia="Times New Roman"/>
                <w:lang w:val="fr-FR" w:eastAsia="en-US"/>
              </w:rPr>
            </w:pPr>
          </w:p>
          <w:p w14:paraId="35002CF6" w14:textId="77777777" w:rsidR="006F1716" w:rsidRPr="00F56A0E" w:rsidRDefault="006F1716" w:rsidP="00D076A8">
            <w:pPr>
              <w:rPr>
                <w:rFonts w:eastAsia="Times New Roman"/>
                <w:lang w:val="fr-FR" w:eastAsia="en-US"/>
              </w:rPr>
            </w:pPr>
          </w:p>
        </w:tc>
      </w:tr>
      <w:tr w:rsidR="006F1716" w:rsidRPr="00F56A0E" w14:paraId="00FC8177" w14:textId="77777777" w:rsidTr="00D076A8">
        <w:tc>
          <w:tcPr>
            <w:tcW w:w="817" w:type="dxa"/>
            <w:shd w:val="clear" w:color="auto" w:fill="auto"/>
          </w:tcPr>
          <w:p w14:paraId="6CDBE1B8" w14:textId="77777777" w:rsidR="006F1716" w:rsidRPr="00F56A0E" w:rsidRDefault="006F1716" w:rsidP="00D076A8">
            <w:pPr>
              <w:rPr>
                <w:rFonts w:eastAsia="Times New Roman"/>
                <w:lang w:val="fr-FR"/>
              </w:rPr>
            </w:pPr>
            <w:r w:rsidRPr="00F56A0E">
              <w:rPr>
                <w:lang w:val="fr-FR"/>
              </w:rPr>
              <w:lastRenderedPageBreak/>
              <w:t>2.2.4</w:t>
            </w:r>
          </w:p>
        </w:tc>
        <w:tc>
          <w:tcPr>
            <w:tcW w:w="1701" w:type="dxa"/>
            <w:shd w:val="clear" w:color="auto" w:fill="auto"/>
          </w:tcPr>
          <w:p w14:paraId="4A6F469B" w14:textId="77777777" w:rsidR="006F1716" w:rsidRPr="00F56A0E" w:rsidRDefault="006F1716" w:rsidP="00D076A8">
            <w:pPr>
              <w:rPr>
                <w:rFonts w:eastAsia="Times New Roman"/>
                <w:lang w:val="fr-FR"/>
              </w:rPr>
            </w:pPr>
            <w:r w:rsidRPr="00F56A0E">
              <w:rPr>
                <w:lang w:val="fr-FR"/>
              </w:rPr>
              <w:t xml:space="preserve">Toxicité à long terme et cancérogénicité </w:t>
            </w:r>
          </w:p>
        </w:tc>
        <w:tc>
          <w:tcPr>
            <w:tcW w:w="7121" w:type="dxa"/>
            <w:shd w:val="clear" w:color="auto" w:fill="auto"/>
          </w:tcPr>
          <w:p w14:paraId="29F47E67" w14:textId="77777777" w:rsidR="006F1716" w:rsidRPr="00F56A0E" w:rsidRDefault="006F1716" w:rsidP="00D076A8">
            <w:pPr>
              <w:rPr>
                <w:rFonts w:eastAsia="Times New Roman"/>
                <w:b/>
                <w:u w:val="single"/>
                <w:lang w:val="fr-FR"/>
              </w:rPr>
            </w:pPr>
            <w:r w:rsidRPr="00F56A0E">
              <w:rPr>
                <w:b/>
                <w:u w:val="single"/>
                <w:lang w:val="fr-FR"/>
              </w:rPr>
              <w:t>Canada</w:t>
            </w:r>
          </w:p>
          <w:p w14:paraId="23A203F2" w14:textId="0344D948" w:rsidR="006F1716" w:rsidRPr="00F56A0E" w:rsidRDefault="006F1716" w:rsidP="00D076A8">
            <w:pPr>
              <w:rPr>
                <w:rFonts w:eastAsia="Times New Roman"/>
                <w:highlight w:val="yellow"/>
                <w:lang w:val="fr-FR"/>
              </w:rPr>
            </w:pPr>
            <w:r w:rsidRPr="00F56A0E">
              <w:rPr>
                <w:color w:val="000000"/>
                <w:lang w:val="fr-FR"/>
              </w:rPr>
              <w:t>Le terbufos ne s</w:t>
            </w:r>
            <w:r w:rsidR="00870D0E" w:rsidRPr="00F56A0E">
              <w:rPr>
                <w:color w:val="000000"/>
                <w:lang w:val="fr-FR"/>
              </w:rPr>
              <w:t>’</w:t>
            </w:r>
            <w:r w:rsidRPr="00F56A0E">
              <w:rPr>
                <w:color w:val="000000"/>
                <w:lang w:val="fr-FR"/>
              </w:rPr>
              <w:t>est pas révélé génotoxique chez le rat et la souris.</w:t>
            </w:r>
          </w:p>
          <w:p w14:paraId="197E1C2E" w14:textId="77777777" w:rsidR="006F1716" w:rsidRPr="00F56A0E" w:rsidRDefault="006F1716" w:rsidP="00D076A8">
            <w:pPr>
              <w:spacing w:before="5" w:line="240" w:lineRule="exact"/>
              <w:ind w:right="504"/>
              <w:textAlignment w:val="baseline"/>
              <w:rPr>
                <w:lang w:val="fr-FR"/>
              </w:rPr>
            </w:pPr>
          </w:p>
          <w:p w14:paraId="160BCC35" w14:textId="77777777" w:rsidR="006F1716" w:rsidRPr="00F56A0E" w:rsidRDefault="006F1716" w:rsidP="00D076A8">
            <w:pPr>
              <w:spacing w:before="5" w:line="240" w:lineRule="exact"/>
              <w:ind w:right="504"/>
              <w:textAlignment w:val="baseline"/>
              <w:rPr>
                <w:b/>
                <w:lang w:val="fr-FR"/>
              </w:rPr>
            </w:pPr>
            <w:r w:rsidRPr="00F56A0E">
              <w:rPr>
                <w:b/>
                <w:lang w:val="fr-FR"/>
              </w:rPr>
              <w:t>JMPR (2004)</w:t>
            </w:r>
          </w:p>
          <w:p w14:paraId="5DA5C945" w14:textId="264AA09D" w:rsidR="006F1716" w:rsidRPr="00F56A0E" w:rsidRDefault="006F1716" w:rsidP="00D076A8">
            <w:pPr>
              <w:spacing w:before="5" w:line="240" w:lineRule="exact"/>
              <w:ind w:right="504"/>
              <w:textAlignment w:val="baseline"/>
              <w:rPr>
                <w:lang w:val="fr-FR"/>
              </w:rPr>
            </w:pPr>
            <w:r w:rsidRPr="00F56A0E">
              <w:rPr>
                <w:lang w:val="fr-FR"/>
              </w:rPr>
              <w:t>Organe cible/effet critique</w:t>
            </w:r>
            <w:r w:rsidR="00157D75" w:rsidRPr="00F56A0E">
              <w:rPr>
                <w:lang w:val="fr-FR"/>
              </w:rPr>
              <w:t> :</w:t>
            </w:r>
            <w:r w:rsidRPr="00F56A0E">
              <w:rPr>
                <w:lang w:val="fr-FR"/>
              </w:rPr>
              <w:t xml:space="preserve"> inhibition de l</w:t>
            </w:r>
            <w:r w:rsidR="00870D0E" w:rsidRPr="00F56A0E">
              <w:rPr>
                <w:lang w:val="fr-FR"/>
              </w:rPr>
              <w:t>’</w:t>
            </w:r>
            <w:r w:rsidRPr="00F56A0E">
              <w:rPr>
                <w:lang w:val="fr-FR"/>
              </w:rPr>
              <w:t>activité de la cholinestérase cérébrale. DSENO minimale significative</w:t>
            </w:r>
            <w:r w:rsidR="00157D75" w:rsidRPr="00F56A0E">
              <w:rPr>
                <w:lang w:val="fr-FR"/>
              </w:rPr>
              <w:t> :</w:t>
            </w:r>
            <w:r w:rsidRPr="00F56A0E">
              <w:rPr>
                <w:lang w:val="fr-FR"/>
              </w:rPr>
              <w:t xml:space="preserve"> 0,055 mg/kg p.c./jour (étude d</w:t>
            </w:r>
            <w:r w:rsidR="00870D0E" w:rsidRPr="00F56A0E">
              <w:rPr>
                <w:lang w:val="fr-FR"/>
              </w:rPr>
              <w:t>’</w:t>
            </w:r>
            <w:r w:rsidRPr="00F56A0E">
              <w:rPr>
                <w:lang w:val="fr-FR"/>
              </w:rPr>
              <w:t>un an chez le rat). Cancérogénicité</w:t>
            </w:r>
            <w:r w:rsidR="00157D75" w:rsidRPr="00F56A0E">
              <w:rPr>
                <w:lang w:val="fr-FR"/>
              </w:rPr>
              <w:t> :</w:t>
            </w:r>
            <w:r w:rsidRPr="00F56A0E">
              <w:rPr>
                <w:lang w:val="fr-FR"/>
              </w:rPr>
              <w:t xml:space="preserve"> aucune preuve de cancérogénicité</w:t>
            </w:r>
            <w:r w:rsidR="001349EA" w:rsidRPr="00F56A0E">
              <w:rPr>
                <w:lang w:val="fr-FR"/>
              </w:rPr>
              <w:t> ;</w:t>
            </w:r>
            <w:r w:rsidRPr="00F56A0E">
              <w:rPr>
                <w:lang w:val="fr-FR"/>
              </w:rPr>
              <w:t xml:space="preserve"> peu susceptible de présenter un risque pour </w:t>
            </w:r>
            <w:r w:rsidR="0089280B" w:rsidRPr="00F56A0E">
              <w:rPr>
                <w:lang w:val="fr-FR"/>
              </w:rPr>
              <w:t>les humains</w:t>
            </w:r>
            <w:r w:rsidRPr="00F56A0E">
              <w:rPr>
                <w:lang w:val="fr-FR"/>
              </w:rPr>
              <w:t>.</w:t>
            </w:r>
          </w:p>
          <w:p w14:paraId="35B1CC6F" w14:textId="77777777" w:rsidR="006F1716" w:rsidRPr="00F56A0E" w:rsidRDefault="006F1716" w:rsidP="0089280B">
            <w:pPr>
              <w:spacing w:before="5" w:line="240" w:lineRule="exact"/>
              <w:ind w:right="504"/>
              <w:textAlignment w:val="baseline"/>
              <w:rPr>
                <w:rFonts w:eastAsia="Times New Roman"/>
                <w:lang w:val="fr-FR" w:eastAsia="en-US"/>
              </w:rPr>
            </w:pPr>
          </w:p>
        </w:tc>
      </w:tr>
      <w:tr w:rsidR="006F1716" w:rsidRPr="00F56A0E" w14:paraId="3FDBCE10" w14:textId="77777777" w:rsidTr="00D076A8">
        <w:tc>
          <w:tcPr>
            <w:tcW w:w="817" w:type="dxa"/>
            <w:shd w:val="clear" w:color="auto" w:fill="auto"/>
          </w:tcPr>
          <w:p w14:paraId="71FF5C1D" w14:textId="77777777" w:rsidR="006F1716" w:rsidRPr="00F56A0E" w:rsidRDefault="006F1716" w:rsidP="00D076A8">
            <w:pPr>
              <w:rPr>
                <w:rFonts w:eastAsia="Times New Roman"/>
                <w:lang w:val="fr-FR"/>
              </w:rPr>
            </w:pPr>
            <w:r w:rsidRPr="00F56A0E">
              <w:rPr>
                <w:lang w:val="fr-FR"/>
              </w:rPr>
              <w:t>2.2.5</w:t>
            </w:r>
          </w:p>
        </w:tc>
        <w:tc>
          <w:tcPr>
            <w:tcW w:w="1701" w:type="dxa"/>
            <w:shd w:val="clear" w:color="auto" w:fill="auto"/>
          </w:tcPr>
          <w:p w14:paraId="6C7DB2FA" w14:textId="77777777" w:rsidR="006F1716" w:rsidRPr="00F56A0E" w:rsidRDefault="006F1716" w:rsidP="00D076A8">
            <w:pPr>
              <w:rPr>
                <w:rFonts w:eastAsia="Times New Roman"/>
                <w:lang w:val="fr-FR"/>
              </w:rPr>
            </w:pPr>
            <w:r w:rsidRPr="00F56A0E">
              <w:rPr>
                <w:lang w:val="fr-FR"/>
              </w:rPr>
              <w:t>Effets sur la reproduction</w:t>
            </w:r>
          </w:p>
        </w:tc>
        <w:tc>
          <w:tcPr>
            <w:tcW w:w="7121" w:type="dxa"/>
            <w:shd w:val="clear" w:color="auto" w:fill="auto"/>
          </w:tcPr>
          <w:p w14:paraId="2D482286" w14:textId="77777777" w:rsidR="006F1716" w:rsidRPr="00F56A0E" w:rsidRDefault="006F1716" w:rsidP="00D076A8">
            <w:pPr>
              <w:rPr>
                <w:rFonts w:eastAsia="Times New Roman"/>
                <w:b/>
                <w:u w:val="single"/>
                <w:lang w:val="fr-FR"/>
              </w:rPr>
            </w:pPr>
            <w:r w:rsidRPr="00F56A0E">
              <w:rPr>
                <w:b/>
                <w:u w:val="single"/>
                <w:lang w:val="fr-FR"/>
              </w:rPr>
              <w:t>Canada</w:t>
            </w:r>
          </w:p>
          <w:p w14:paraId="43613257" w14:textId="2F38DFBA" w:rsidR="006F1716" w:rsidRPr="00F56A0E" w:rsidRDefault="006F1716" w:rsidP="00D076A8">
            <w:pPr>
              <w:spacing w:before="122" w:line="230" w:lineRule="exact"/>
              <w:textAlignment w:val="baseline"/>
              <w:rPr>
                <w:rFonts w:eastAsia="Times New Roman"/>
                <w:highlight w:val="yellow"/>
                <w:lang w:val="fr-FR"/>
              </w:rPr>
            </w:pPr>
            <w:r w:rsidRPr="00F56A0E">
              <w:rPr>
                <w:color w:val="000000"/>
                <w:lang w:val="fr-FR"/>
              </w:rPr>
              <w:t>Le terbufos n</w:t>
            </w:r>
            <w:r w:rsidR="00870D0E" w:rsidRPr="00F56A0E">
              <w:rPr>
                <w:color w:val="000000"/>
                <w:lang w:val="fr-FR"/>
              </w:rPr>
              <w:t>’</w:t>
            </w:r>
            <w:r w:rsidRPr="00F56A0E">
              <w:rPr>
                <w:color w:val="000000"/>
                <w:lang w:val="fr-FR"/>
              </w:rPr>
              <w:t xml:space="preserve">a pas provoqué de malformations fœtales chez le rat ou le lapin, mais une très faible augmentation des résorptions fœtales et des pertes post-implantation a été observée dans une étude du développement chez le rat à une dose prévue pour provoquer une inhibition de la cholinestérase chez les mères. Les effets nocifs consécutifs à une exposition prolongée au terbufos mis en évidence dans une étude de toxicité pour la reproduction menée sur </w:t>
            </w:r>
            <w:r w:rsidR="0099264C" w:rsidRPr="00F56A0E">
              <w:rPr>
                <w:color w:val="000000"/>
                <w:lang w:val="fr-FR"/>
              </w:rPr>
              <w:t>d</w:t>
            </w:r>
            <w:r w:rsidRPr="00F56A0E">
              <w:rPr>
                <w:color w:val="000000"/>
                <w:lang w:val="fr-FR"/>
              </w:rPr>
              <w:t>es rats comprenaient une réduction du taux de grossesse, de la fertilité des mâles, de la taille des portées et de la viabilité des jeunes. Les études de toxicité pour le développement et la reproduction n</w:t>
            </w:r>
            <w:r w:rsidR="00870D0E" w:rsidRPr="00F56A0E">
              <w:rPr>
                <w:color w:val="000000"/>
                <w:lang w:val="fr-FR"/>
              </w:rPr>
              <w:t>’</w:t>
            </w:r>
            <w:r w:rsidRPr="00F56A0E">
              <w:rPr>
                <w:color w:val="000000"/>
                <w:lang w:val="fr-FR"/>
              </w:rPr>
              <w:t>ont pas fait apparaître de différence de sensibilité entre les jeunes animaux et les animaux adultes), bien que l</w:t>
            </w:r>
            <w:r w:rsidR="00870D0E" w:rsidRPr="00F56A0E">
              <w:rPr>
                <w:color w:val="000000"/>
                <w:lang w:val="fr-FR"/>
              </w:rPr>
              <w:t>’</w:t>
            </w:r>
            <w:r w:rsidRPr="00F56A0E">
              <w:rPr>
                <w:color w:val="000000"/>
                <w:lang w:val="fr-FR"/>
              </w:rPr>
              <w:t>absence de mesures de la cholinestérase dans ces études ait empêché une évaluation probante de ce point.</w:t>
            </w:r>
          </w:p>
          <w:p w14:paraId="02D50E46" w14:textId="77777777" w:rsidR="006F1716" w:rsidRPr="00F56A0E" w:rsidRDefault="006F1716" w:rsidP="00D076A8">
            <w:pPr>
              <w:spacing w:before="5" w:line="240" w:lineRule="exact"/>
              <w:ind w:right="504"/>
              <w:textAlignment w:val="baseline"/>
              <w:rPr>
                <w:b/>
                <w:lang w:val="fr-FR"/>
              </w:rPr>
            </w:pPr>
          </w:p>
          <w:p w14:paraId="42913EAA" w14:textId="77777777" w:rsidR="006F1716" w:rsidRPr="00F56A0E" w:rsidRDefault="006F1716" w:rsidP="00D076A8">
            <w:pPr>
              <w:spacing w:before="5" w:line="240" w:lineRule="exact"/>
              <w:ind w:right="504"/>
              <w:textAlignment w:val="baseline"/>
              <w:rPr>
                <w:b/>
                <w:lang w:val="fr-FR"/>
              </w:rPr>
            </w:pPr>
            <w:r w:rsidRPr="00F56A0E">
              <w:rPr>
                <w:b/>
                <w:lang w:val="fr-FR"/>
              </w:rPr>
              <w:t>JMPR (2004)</w:t>
            </w:r>
          </w:p>
          <w:p w14:paraId="591DD22E" w14:textId="5491779D" w:rsidR="006F1716" w:rsidRPr="00F56A0E" w:rsidRDefault="006F1716" w:rsidP="00D076A8">
            <w:pPr>
              <w:spacing w:before="5" w:line="240" w:lineRule="exact"/>
              <w:ind w:right="504"/>
              <w:textAlignment w:val="baseline"/>
              <w:rPr>
                <w:lang w:val="fr-FR"/>
              </w:rPr>
            </w:pPr>
            <w:r w:rsidRPr="00F56A0E">
              <w:rPr>
                <w:lang w:val="fr-FR"/>
              </w:rPr>
              <w:t>Organe cible/effet critique pour la reproduction</w:t>
            </w:r>
            <w:r w:rsidR="00157D75" w:rsidRPr="00F56A0E">
              <w:rPr>
                <w:lang w:val="fr-FR"/>
              </w:rPr>
              <w:t> :</w:t>
            </w:r>
            <w:r w:rsidRPr="00F56A0E">
              <w:rPr>
                <w:lang w:val="fr-FR"/>
              </w:rPr>
              <w:t xml:space="preserve"> diminution de la fertilité des mâles et du taux de grossesse. DSENO minimale significative pour la reproduction</w:t>
            </w:r>
            <w:r w:rsidR="00157D75" w:rsidRPr="00F56A0E">
              <w:rPr>
                <w:lang w:val="fr-FR"/>
              </w:rPr>
              <w:t> :</w:t>
            </w:r>
            <w:r w:rsidRPr="00F56A0E">
              <w:rPr>
                <w:lang w:val="fr-FR"/>
              </w:rPr>
              <w:t xml:space="preserve"> 0,086 mg/kg p.c./jour (rats). Organe cible/effet critique pour le développement</w:t>
            </w:r>
            <w:r w:rsidR="00157D75" w:rsidRPr="00F56A0E">
              <w:rPr>
                <w:lang w:val="fr-FR"/>
              </w:rPr>
              <w:t> :</w:t>
            </w:r>
            <w:r w:rsidRPr="00F56A0E">
              <w:rPr>
                <w:lang w:val="fr-FR"/>
              </w:rPr>
              <w:t xml:space="preserve"> non tératogène</w:t>
            </w:r>
            <w:r w:rsidR="001349EA" w:rsidRPr="00F56A0E">
              <w:rPr>
                <w:lang w:val="fr-FR"/>
              </w:rPr>
              <w:t> ;</w:t>
            </w:r>
            <w:r w:rsidRPr="00F56A0E">
              <w:rPr>
                <w:lang w:val="fr-FR"/>
              </w:rPr>
              <w:t xml:space="preserve"> diminution du poids corporel du fœtus. DSENO minimale significative pour le développement</w:t>
            </w:r>
            <w:r w:rsidR="00157D75" w:rsidRPr="00F56A0E">
              <w:rPr>
                <w:lang w:val="fr-FR"/>
              </w:rPr>
              <w:t> :</w:t>
            </w:r>
            <w:r w:rsidRPr="00F56A0E">
              <w:rPr>
                <w:lang w:val="fr-FR"/>
              </w:rPr>
              <w:t xml:space="preserve"> 0,25 mg/kg p.c./jour (lapins).</w:t>
            </w:r>
          </w:p>
          <w:p w14:paraId="52A2852C" w14:textId="77777777" w:rsidR="006F1716" w:rsidRPr="00F56A0E" w:rsidRDefault="006F1716" w:rsidP="0089280B">
            <w:pPr>
              <w:textAlignment w:val="baseline"/>
              <w:rPr>
                <w:rFonts w:eastAsia="Times New Roman"/>
                <w:lang w:val="fr-FR" w:eastAsia="en-US"/>
              </w:rPr>
            </w:pPr>
          </w:p>
        </w:tc>
      </w:tr>
      <w:tr w:rsidR="006F1716" w:rsidRPr="00F56A0E" w14:paraId="5BB8D070" w14:textId="77777777" w:rsidTr="00D076A8">
        <w:tc>
          <w:tcPr>
            <w:tcW w:w="817" w:type="dxa"/>
            <w:shd w:val="clear" w:color="auto" w:fill="auto"/>
          </w:tcPr>
          <w:p w14:paraId="6E7D16EC" w14:textId="77777777" w:rsidR="006F1716" w:rsidRPr="00F56A0E" w:rsidRDefault="006F1716" w:rsidP="00D076A8">
            <w:pPr>
              <w:rPr>
                <w:rFonts w:eastAsia="Times New Roman"/>
                <w:lang w:val="fr-FR"/>
              </w:rPr>
            </w:pPr>
            <w:r w:rsidRPr="00F56A0E">
              <w:rPr>
                <w:lang w:val="fr-FR"/>
              </w:rPr>
              <w:t>2.2.6</w:t>
            </w:r>
          </w:p>
        </w:tc>
        <w:tc>
          <w:tcPr>
            <w:tcW w:w="1701" w:type="dxa"/>
            <w:shd w:val="clear" w:color="auto" w:fill="auto"/>
          </w:tcPr>
          <w:p w14:paraId="4FE55724" w14:textId="77777777" w:rsidR="006F1716" w:rsidRPr="00F56A0E" w:rsidRDefault="006F1716" w:rsidP="00D076A8">
            <w:pPr>
              <w:rPr>
                <w:rFonts w:eastAsia="Times New Roman"/>
                <w:lang w:val="fr-FR"/>
              </w:rPr>
            </w:pPr>
            <w:r w:rsidRPr="00F56A0E">
              <w:rPr>
                <w:lang w:val="fr-FR"/>
              </w:rPr>
              <w:t>Études spéciales sur la neurotoxicité/ neurotoxicité différée, le cas échéant</w:t>
            </w:r>
          </w:p>
        </w:tc>
        <w:tc>
          <w:tcPr>
            <w:tcW w:w="7121" w:type="dxa"/>
            <w:shd w:val="clear" w:color="auto" w:fill="auto"/>
          </w:tcPr>
          <w:p w14:paraId="2C4CE036" w14:textId="77777777" w:rsidR="006F1716" w:rsidRPr="00F56A0E" w:rsidRDefault="006F1716" w:rsidP="00D076A8">
            <w:pPr>
              <w:rPr>
                <w:rFonts w:eastAsia="Times New Roman"/>
                <w:b/>
                <w:u w:val="single"/>
                <w:lang w:val="fr-FR"/>
              </w:rPr>
            </w:pPr>
            <w:r w:rsidRPr="00F56A0E">
              <w:rPr>
                <w:b/>
                <w:u w:val="single"/>
                <w:lang w:val="fr-FR"/>
              </w:rPr>
              <w:t>Canada</w:t>
            </w:r>
          </w:p>
          <w:p w14:paraId="1C42532F" w14:textId="25300EB9" w:rsidR="006F1716" w:rsidRPr="00F56A0E" w:rsidRDefault="006F1716" w:rsidP="00D076A8">
            <w:pPr>
              <w:spacing w:before="43" w:line="230" w:lineRule="exact"/>
              <w:textAlignment w:val="baseline"/>
              <w:rPr>
                <w:rFonts w:eastAsia="Times New Roman"/>
                <w:color w:val="000000"/>
                <w:spacing w:val="-4"/>
                <w:lang w:val="fr-FR"/>
              </w:rPr>
            </w:pPr>
            <w:r w:rsidRPr="00F56A0E">
              <w:rPr>
                <w:color w:val="000000"/>
                <w:lang w:val="fr-FR"/>
              </w:rPr>
              <w:t>Le terbufos n</w:t>
            </w:r>
            <w:r w:rsidR="00870D0E" w:rsidRPr="00F56A0E">
              <w:rPr>
                <w:color w:val="000000"/>
                <w:lang w:val="fr-FR"/>
              </w:rPr>
              <w:t>’</w:t>
            </w:r>
            <w:r w:rsidRPr="00F56A0E">
              <w:rPr>
                <w:color w:val="000000"/>
                <w:lang w:val="fr-FR"/>
              </w:rPr>
              <w:t>a provoqué aucun effet neurotoxique différé manifeste, et aucune des études disponibles n</w:t>
            </w:r>
            <w:r w:rsidR="00870D0E" w:rsidRPr="00F56A0E">
              <w:rPr>
                <w:color w:val="000000"/>
                <w:lang w:val="fr-FR"/>
              </w:rPr>
              <w:t>’</w:t>
            </w:r>
            <w:r w:rsidRPr="00F56A0E">
              <w:rPr>
                <w:color w:val="000000"/>
                <w:lang w:val="fr-FR"/>
              </w:rPr>
              <w:t>a mis en évidence des effets histopathologiques sur le système nerveux central.</w:t>
            </w:r>
          </w:p>
          <w:p w14:paraId="377DE434" w14:textId="77777777" w:rsidR="006F1716" w:rsidRPr="00F56A0E" w:rsidRDefault="006F1716" w:rsidP="00D076A8">
            <w:pPr>
              <w:spacing w:before="5" w:line="240" w:lineRule="exact"/>
              <w:ind w:right="504"/>
              <w:textAlignment w:val="baseline"/>
              <w:rPr>
                <w:b/>
                <w:lang w:val="fr-FR"/>
              </w:rPr>
            </w:pPr>
          </w:p>
          <w:p w14:paraId="73A86638" w14:textId="77777777" w:rsidR="006F1716" w:rsidRPr="00F56A0E" w:rsidRDefault="006F1716" w:rsidP="00D076A8">
            <w:pPr>
              <w:spacing w:before="5" w:line="240" w:lineRule="exact"/>
              <w:ind w:right="504"/>
              <w:textAlignment w:val="baseline"/>
              <w:rPr>
                <w:b/>
                <w:lang w:val="fr-FR"/>
              </w:rPr>
            </w:pPr>
            <w:r w:rsidRPr="00F56A0E">
              <w:rPr>
                <w:b/>
                <w:lang w:val="fr-FR"/>
              </w:rPr>
              <w:t>JMPR (2004)</w:t>
            </w:r>
          </w:p>
          <w:p w14:paraId="1E666F8D" w14:textId="534A6129" w:rsidR="006F1716" w:rsidRPr="00F56A0E" w:rsidRDefault="006F1716" w:rsidP="00D076A8">
            <w:pPr>
              <w:spacing w:before="5" w:line="240" w:lineRule="exact"/>
              <w:ind w:right="504"/>
              <w:textAlignment w:val="baseline"/>
              <w:rPr>
                <w:lang w:val="fr-FR"/>
              </w:rPr>
            </w:pPr>
            <w:r w:rsidRPr="00F56A0E">
              <w:rPr>
                <w:lang w:val="fr-FR"/>
              </w:rPr>
              <w:t>Neurotoxicité aiguë - Organe cible/effet critique</w:t>
            </w:r>
            <w:r w:rsidR="00157D75" w:rsidRPr="00F56A0E">
              <w:rPr>
                <w:lang w:val="fr-FR"/>
              </w:rPr>
              <w:t> :</w:t>
            </w:r>
            <w:r w:rsidRPr="00F56A0E">
              <w:rPr>
                <w:lang w:val="fr-FR"/>
              </w:rPr>
              <w:t xml:space="preserve"> myosis. DSENO significative</w:t>
            </w:r>
            <w:r w:rsidR="00157D75" w:rsidRPr="00F56A0E">
              <w:rPr>
                <w:lang w:val="fr-FR"/>
              </w:rPr>
              <w:t> :</w:t>
            </w:r>
            <w:r w:rsidRPr="00F56A0E">
              <w:rPr>
                <w:lang w:val="fr-FR"/>
              </w:rPr>
              <w:t xml:space="preserve"> 0,15 mg/kg p.c./jour (rats). </w:t>
            </w:r>
          </w:p>
          <w:p w14:paraId="5AD23BC7" w14:textId="7A273CAF" w:rsidR="006F1716" w:rsidRPr="00F56A0E" w:rsidRDefault="006F1716" w:rsidP="00D076A8">
            <w:pPr>
              <w:spacing w:before="5" w:line="240" w:lineRule="exact"/>
              <w:ind w:right="504"/>
              <w:textAlignment w:val="baseline"/>
              <w:rPr>
                <w:lang w:val="fr-FR"/>
              </w:rPr>
            </w:pPr>
            <w:r w:rsidRPr="00F56A0E">
              <w:rPr>
                <w:lang w:val="fr-FR"/>
              </w:rPr>
              <w:t>Étude de neurotoxicité de 13 semaines - Organe cible/effet critique</w:t>
            </w:r>
            <w:r w:rsidR="00157D75" w:rsidRPr="00F56A0E">
              <w:rPr>
                <w:lang w:val="fr-FR"/>
              </w:rPr>
              <w:t> :</w:t>
            </w:r>
            <w:r w:rsidRPr="00F56A0E">
              <w:rPr>
                <w:lang w:val="fr-FR"/>
              </w:rPr>
              <w:t xml:space="preserve"> inhibition de l</w:t>
            </w:r>
            <w:r w:rsidR="00870D0E" w:rsidRPr="00F56A0E">
              <w:rPr>
                <w:lang w:val="fr-FR"/>
              </w:rPr>
              <w:t>’</w:t>
            </w:r>
            <w:r w:rsidRPr="00F56A0E">
              <w:rPr>
                <w:lang w:val="fr-FR"/>
              </w:rPr>
              <w:t>activité de la cholinestérase cérébrale. DSENO significative</w:t>
            </w:r>
            <w:r w:rsidR="00157D75" w:rsidRPr="00F56A0E">
              <w:rPr>
                <w:lang w:val="fr-FR"/>
              </w:rPr>
              <w:t> :</w:t>
            </w:r>
            <w:r w:rsidRPr="00F56A0E">
              <w:rPr>
                <w:lang w:val="fr-FR"/>
              </w:rPr>
              <w:t xml:space="preserve"> 0,059 mg/kg p.c./jour (rats).</w:t>
            </w:r>
          </w:p>
          <w:p w14:paraId="4E4C2D0A" w14:textId="7036A6D0" w:rsidR="006F1716" w:rsidRPr="00F56A0E" w:rsidRDefault="006F1716" w:rsidP="00D076A8">
            <w:pPr>
              <w:spacing w:before="5" w:line="240" w:lineRule="exact"/>
              <w:ind w:right="504"/>
              <w:textAlignment w:val="baseline"/>
              <w:rPr>
                <w:lang w:val="fr-FR"/>
              </w:rPr>
            </w:pPr>
            <w:r w:rsidRPr="00F56A0E">
              <w:rPr>
                <w:lang w:val="fr-FR"/>
              </w:rPr>
              <w:t>Neuropathie différée</w:t>
            </w:r>
            <w:r w:rsidR="00157D75" w:rsidRPr="00F56A0E">
              <w:rPr>
                <w:lang w:val="fr-FR"/>
              </w:rPr>
              <w:t> :</w:t>
            </w:r>
            <w:r w:rsidRPr="00F56A0E">
              <w:rPr>
                <w:lang w:val="fr-FR"/>
              </w:rPr>
              <w:t xml:space="preserve"> aucune preuve de toxicité liée à des expositions alimentaires.</w:t>
            </w:r>
          </w:p>
          <w:p w14:paraId="5B68BA1D" w14:textId="77777777" w:rsidR="006F1716" w:rsidRPr="00F56A0E" w:rsidRDefault="006F1716" w:rsidP="00D076A8">
            <w:pPr>
              <w:spacing w:after="40"/>
              <w:rPr>
                <w:rFonts w:eastAsia="Times New Roman"/>
                <w:lang w:val="fr-FR" w:eastAsia="en-US"/>
              </w:rPr>
            </w:pPr>
          </w:p>
        </w:tc>
      </w:tr>
      <w:tr w:rsidR="006F1716" w:rsidRPr="00F56A0E" w14:paraId="11A2F32D" w14:textId="77777777" w:rsidTr="00D076A8">
        <w:tc>
          <w:tcPr>
            <w:tcW w:w="817" w:type="dxa"/>
            <w:shd w:val="clear" w:color="auto" w:fill="auto"/>
          </w:tcPr>
          <w:p w14:paraId="5C2133B9" w14:textId="77777777" w:rsidR="006F1716" w:rsidRPr="00F56A0E" w:rsidRDefault="006F1716" w:rsidP="00D076A8">
            <w:pPr>
              <w:spacing w:after="60"/>
              <w:rPr>
                <w:rFonts w:eastAsia="Times New Roman"/>
                <w:lang w:val="fr-FR"/>
              </w:rPr>
            </w:pPr>
            <w:r w:rsidRPr="00F56A0E">
              <w:rPr>
                <w:lang w:val="fr-FR"/>
              </w:rPr>
              <w:t>2.2.7</w:t>
            </w:r>
          </w:p>
        </w:tc>
        <w:tc>
          <w:tcPr>
            <w:tcW w:w="1701" w:type="dxa"/>
            <w:shd w:val="clear" w:color="auto" w:fill="auto"/>
          </w:tcPr>
          <w:p w14:paraId="00CA34A6" w14:textId="77777777" w:rsidR="006F1716" w:rsidRPr="00F56A0E" w:rsidRDefault="006F1716" w:rsidP="00D076A8">
            <w:pPr>
              <w:spacing w:before="20" w:after="20"/>
              <w:outlineLvl w:val="2"/>
              <w:rPr>
                <w:rFonts w:eastAsia="Times New Roman"/>
                <w:lang w:val="fr-FR"/>
              </w:rPr>
            </w:pPr>
            <w:r w:rsidRPr="00F56A0E">
              <w:rPr>
                <w:lang w:val="fr-FR"/>
              </w:rPr>
              <w:t>Résumé de la toxicité pour les mammifères et évaluation globale</w:t>
            </w:r>
          </w:p>
        </w:tc>
        <w:tc>
          <w:tcPr>
            <w:tcW w:w="7121" w:type="dxa"/>
            <w:shd w:val="clear" w:color="auto" w:fill="auto"/>
          </w:tcPr>
          <w:p w14:paraId="6852821E" w14:textId="77777777" w:rsidR="006F1716" w:rsidRPr="00F56A0E" w:rsidRDefault="006F1716" w:rsidP="00D076A8">
            <w:pPr>
              <w:rPr>
                <w:rFonts w:eastAsia="Times New Roman"/>
                <w:b/>
                <w:u w:val="single"/>
                <w:lang w:val="fr-FR"/>
              </w:rPr>
            </w:pPr>
            <w:r w:rsidRPr="00F56A0E">
              <w:rPr>
                <w:b/>
                <w:u w:val="single"/>
                <w:lang w:val="fr-FR"/>
              </w:rPr>
              <w:t>Canada</w:t>
            </w:r>
          </w:p>
          <w:p w14:paraId="59306148" w14:textId="2C41AC71" w:rsidR="006F1716" w:rsidRPr="00F56A0E" w:rsidRDefault="006F1716" w:rsidP="00D076A8">
            <w:pPr>
              <w:rPr>
                <w:rFonts w:eastAsia="Times New Roman"/>
                <w:lang w:val="fr-FR"/>
              </w:rPr>
            </w:pPr>
            <w:r w:rsidRPr="00F56A0E">
              <w:rPr>
                <w:lang w:val="fr-FR"/>
              </w:rPr>
              <w:t xml:space="preserve">Les études menées sur </w:t>
            </w:r>
            <w:r w:rsidR="00402CB5" w:rsidRPr="00F56A0E">
              <w:rPr>
                <w:lang w:val="fr-FR"/>
              </w:rPr>
              <w:t>d</w:t>
            </w:r>
            <w:r w:rsidRPr="00F56A0E">
              <w:rPr>
                <w:lang w:val="fr-FR"/>
              </w:rPr>
              <w:t>es animaux de laboratoire ont montré que le terbufos présente une toxicité aiguë extrême par voie orale, par voie cutanée et par inhalation. Après l</w:t>
            </w:r>
            <w:r w:rsidR="00870D0E" w:rsidRPr="00F56A0E">
              <w:rPr>
                <w:lang w:val="fr-FR"/>
              </w:rPr>
              <w:t>’</w:t>
            </w:r>
            <w:r w:rsidRPr="00F56A0E">
              <w:rPr>
                <w:lang w:val="fr-FR"/>
              </w:rPr>
              <w:t>administration de doses uniques comme de doses répétées, les indicateurs de toxicité les plus sensibles étaient l</w:t>
            </w:r>
            <w:r w:rsidR="00870D0E" w:rsidRPr="00F56A0E">
              <w:rPr>
                <w:lang w:val="fr-FR"/>
              </w:rPr>
              <w:t>’</w:t>
            </w:r>
            <w:r w:rsidRPr="00F56A0E">
              <w:rPr>
                <w:lang w:val="fr-FR"/>
              </w:rPr>
              <w:t>inhibition de l</w:t>
            </w:r>
            <w:r w:rsidR="00870D0E" w:rsidRPr="00F56A0E">
              <w:rPr>
                <w:lang w:val="fr-FR"/>
              </w:rPr>
              <w:t>’</w:t>
            </w:r>
            <w:r w:rsidRPr="00F56A0E">
              <w:rPr>
                <w:lang w:val="fr-FR"/>
              </w:rPr>
              <w:t>acétylcholinestérase, une enzyme nécessaire au bon fonctionnement du système nerveux, ou des signes cliniques de toxicité cholinergique.</w:t>
            </w:r>
            <w:r w:rsidR="00DA480E" w:rsidRPr="00F56A0E">
              <w:rPr>
                <w:lang w:val="fr-FR"/>
              </w:rPr>
              <w:t xml:space="preserve"> </w:t>
            </w:r>
            <w:r w:rsidRPr="00F56A0E">
              <w:rPr>
                <w:lang w:val="fr-FR"/>
              </w:rPr>
              <w:t>La toxicité des métabolites phosphorylés du terbufos (terbufos-sulfoxyde et terbufos-sulfone) est comparable à celle du terbufos. Le terbufos n</w:t>
            </w:r>
            <w:r w:rsidR="00870D0E" w:rsidRPr="00F56A0E">
              <w:rPr>
                <w:lang w:val="fr-FR"/>
              </w:rPr>
              <w:t>’</w:t>
            </w:r>
            <w:r w:rsidRPr="00F56A0E">
              <w:rPr>
                <w:lang w:val="fr-FR"/>
              </w:rPr>
              <w:t>a provoqué aucun effet neurotoxique différé manifeste, et aucune des études disponibles n</w:t>
            </w:r>
            <w:r w:rsidR="00870D0E" w:rsidRPr="00F56A0E">
              <w:rPr>
                <w:lang w:val="fr-FR"/>
              </w:rPr>
              <w:t>’</w:t>
            </w:r>
            <w:r w:rsidRPr="00F56A0E">
              <w:rPr>
                <w:lang w:val="fr-FR"/>
              </w:rPr>
              <w:t>a mis en évidence des effets histopathologiques sur le système nerveux central. Le terbufos ne s</w:t>
            </w:r>
            <w:r w:rsidR="00870D0E" w:rsidRPr="00F56A0E">
              <w:rPr>
                <w:lang w:val="fr-FR"/>
              </w:rPr>
              <w:t>’</w:t>
            </w:r>
            <w:r w:rsidRPr="00F56A0E">
              <w:rPr>
                <w:lang w:val="fr-FR"/>
              </w:rPr>
              <w:t xml:space="preserve">est révélé ni génotoxique ni cancérigène chez le rat et la souris. </w:t>
            </w:r>
            <w:r w:rsidR="00402CB5" w:rsidRPr="00F56A0E">
              <w:rPr>
                <w:lang w:val="fr-FR"/>
              </w:rPr>
              <w:t>Il</w:t>
            </w:r>
            <w:r w:rsidRPr="00F56A0E">
              <w:rPr>
                <w:lang w:val="fr-FR"/>
              </w:rPr>
              <w:t xml:space="preserve"> n</w:t>
            </w:r>
            <w:r w:rsidR="00870D0E" w:rsidRPr="00F56A0E">
              <w:rPr>
                <w:lang w:val="fr-FR"/>
              </w:rPr>
              <w:t>’</w:t>
            </w:r>
            <w:r w:rsidRPr="00F56A0E">
              <w:rPr>
                <w:lang w:val="fr-FR"/>
              </w:rPr>
              <w:t xml:space="preserve">a pas provoqué de malformations fœtales chez le rat ou le lapin, mais une très faible augmentation des résorptions fœtales et des pertes post-implantation a été observée dans une étude du développement chez le rat à une dose prévue pour provoquer une inhibition de la cholinestérase chez les mères. Les effets nocifs consécutifs à une exposition prolongée au terbufos mis en évidence dans une étude de </w:t>
            </w:r>
            <w:r w:rsidRPr="00F56A0E">
              <w:rPr>
                <w:lang w:val="fr-FR"/>
              </w:rPr>
              <w:lastRenderedPageBreak/>
              <w:t xml:space="preserve">toxicité pour la reproduction menée sur </w:t>
            </w:r>
            <w:r w:rsidR="00402CB5" w:rsidRPr="00F56A0E">
              <w:rPr>
                <w:lang w:val="fr-FR"/>
              </w:rPr>
              <w:t>d</w:t>
            </w:r>
            <w:r w:rsidRPr="00F56A0E">
              <w:rPr>
                <w:lang w:val="fr-FR"/>
              </w:rPr>
              <w:t>es rats comprenaient une réduction du taux de grossesse, de la fertilité des mâles, de la taille des portées et de la viabilité des jeunes. Les études de toxicité pour le développement et la reproduction n</w:t>
            </w:r>
            <w:r w:rsidR="00870D0E" w:rsidRPr="00F56A0E">
              <w:rPr>
                <w:lang w:val="fr-FR"/>
              </w:rPr>
              <w:t>’</w:t>
            </w:r>
            <w:r w:rsidRPr="00F56A0E">
              <w:rPr>
                <w:lang w:val="fr-FR"/>
              </w:rPr>
              <w:t>ont pas fait apparaître de différence de sensibilité entre les jeunes animaux et les animaux adultes, bien que l</w:t>
            </w:r>
            <w:r w:rsidR="00870D0E" w:rsidRPr="00F56A0E">
              <w:rPr>
                <w:lang w:val="fr-FR"/>
              </w:rPr>
              <w:t>’</w:t>
            </w:r>
            <w:r w:rsidRPr="00F56A0E">
              <w:rPr>
                <w:lang w:val="fr-FR"/>
              </w:rPr>
              <w:t>absence de mesures de la cholinestérase dans ces études ait empêché une évaluation probante de ce point. Bien qu</w:t>
            </w:r>
            <w:r w:rsidR="00870D0E" w:rsidRPr="00F56A0E">
              <w:rPr>
                <w:lang w:val="fr-FR"/>
              </w:rPr>
              <w:t>’</w:t>
            </w:r>
            <w:r w:rsidRPr="00F56A0E">
              <w:rPr>
                <w:lang w:val="fr-FR"/>
              </w:rPr>
              <w:t>aucune différence de sensibilité n</w:t>
            </w:r>
            <w:r w:rsidR="00870D0E" w:rsidRPr="00F56A0E">
              <w:rPr>
                <w:lang w:val="fr-FR"/>
              </w:rPr>
              <w:t>’</w:t>
            </w:r>
            <w:r w:rsidRPr="00F56A0E">
              <w:rPr>
                <w:lang w:val="fr-FR"/>
              </w:rPr>
              <w:t>ait été démontrée, ces études ont été prises en compte pendant l</w:t>
            </w:r>
            <w:r w:rsidR="00870D0E" w:rsidRPr="00F56A0E">
              <w:rPr>
                <w:lang w:val="fr-FR"/>
              </w:rPr>
              <w:t>’</w:t>
            </w:r>
            <w:r w:rsidRPr="00F56A0E">
              <w:rPr>
                <w:lang w:val="fr-FR"/>
              </w:rPr>
              <w:t>évaluation des risques en raison de la gravité des effets concernés. L</w:t>
            </w:r>
            <w:r w:rsidR="00870D0E" w:rsidRPr="00F56A0E">
              <w:rPr>
                <w:lang w:val="fr-FR"/>
              </w:rPr>
              <w:t>’</w:t>
            </w:r>
            <w:r w:rsidRPr="00F56A0E">
              <w:rPr>
                <w:lang w:val="fr-FR"/>
              </w:rPr>
              <w:t>une des principales caractéristiques du terbufos était la forte pente de sa courbe dose-réponse et son activité élevée en cas d</w:t>
            </w:r>
            <w:r w:rsidR="00870D0E" w:rsidRPr="00F56A0E">
              <w:rPr>
                <w:lang w:val="fr-FR"/>
              </w:rPr>
              <w:t>’</w:t>
            </w:r>
            <w:r w:rsidRPr="00F56A0E">
              <w:rPr>
                <w:lang w:val="fr-FR"/>
              </w:rPr>
              <w:t>exposition aiguë par voie orale et par inhalation. Les doses sans effet nocif observé (DSENO) étaient très proches des niveaux ayant entraîné la mortalité chez les animaux de laboratoire. Le potentiel d</w:t>
            </w:r>
            <w:r w:rsidR="00870D0E" w:rsidRPr="00F56A0E">
              <w:rPr>
                <w:lang w:val="fr-FR"/>
              </w:rPr>
              <w:t>’</w:t>
            </w:r>
            <w:r w:rsidRPr="00F56A0E">
              <w:rPr>
                <w:lang w:val="fr-FR"/>
              </w:rPr>
              <w:t>absorption cutanée du terbufos est élevé</w:t>
            </w:r>
            <w:r w:rsidR="001349EA" w:rsidRPr="00F56A0E">
              <w:rPr>
                <w:lang w:val="fr-FR"/>
              </w:rPr>
              <w:t> ;</w:t>
            </w:r>
            <w:r w:rsidRPr="00F56A0E">
              <w:rPr>
                <w:lang w:val="fr-FR"/>
              </w:rPr>
              <w:t xml:space="preserve"> cependant, la forte pente de la courbe dose-réponse et l</w:t>
            </w:r>
            <w:r w:rsidR="00870D0E" w:rsidRPr="00F56A0E">
              <w:rPr>
                <w:lang w:val="fr-FR"/>
              </w:rPr>
              <w:t>’</w:t>
            </w:r>
            <w:r w:rsidRPr="00F56A0E">
              <w:rPr>
                <w:lang w:val="fr-FR"/>
              </w:rPr>
              <w:t>activité élevée mises en évidence dans les études d</w:t>
            </w:r>
            <w:r w:rsidR="00870D0E" w:rsidRPr="00F56A0E">
              <w:rPr>
                <w:lang w:val="fr-FR"/>
              </w:rPr>
              <w:t>’</w:t>
            </w:r>
            <w:r w:rsidRPr="00F56A0E">
              <w:rPr>
                <w:lang w:val="fr-FR"/>
              </w:rPr>
              <w:t>exposition par voie orale n</w:t>
            </w:r>
            <w:r w:rsidR="00870D0E" w:rsidRPr="00F56A0E">
              <w:rPr>
                <w:lang w:val="fr-FR"/>
              </w:rPr>
              <w:t>’</w:t>
            </w:r>
            <w:r w:rsidRPr="00F56A0E">
              <w:rPr>
                <w:lang w:val="fr-FR"/>
              </w:rPr>
              <w:t>ont pas été observées après administration de doses répétées par voie cutanée.</w:t>
            </w:r>
          </w:p>
          <w:p w14:paraId="3010DAB4" w14:textId="77777777" w:rsidR="006F1716" w:rsidRPr="00F56A0E" w:rsidRDefault="006F1716" w:rsidP="00D076A8">
            <w:pPr>
              <w:rPr>
                <w:rFonts w:eastAsia="Times New Roman"/>
                <w:lang w:val="fr-FR" w:eastAsia="en-US"/>
              </w:rPr>
            </w:pPr>
          </w:p>
        </w:tc>
      </w:tr>
      <w:tr w:rsidR="006F1716" w:rsidRPr="00F56A0E" w14:paraId="033BECE4" w14:textId="77777777" w:rsidTr="00D076A8">
        <w:trPr>
          <w:cantSplit/>
        </w:trPr>
        <w:tc>
          <w:tcPr>
            <w:tcW w:w="817" w:type="dxa"/>
            <w:shd w:val="clear" w:color="auto" w:fill="auto"/>
          </w:tcPr>
          <w:p w14:paraId="3357B946" w14:textId="77777777" w:rsidR="006F1716" w:rsidRPr="00F56A0E" w:rsidRDefault="006F1716" w:rsidP="00D076A8">
            <w:pPr>
              <w:keepNext/>
              <w:keepLines/>
              <w:widowControl w:val="0"/>
              <w:rPr>
                <w:rFonts w:eastAsia="Times New Roman"/>
                <w:lang w:val="fr-FR"/>
              </w:rPr>
            </w:pPr>
            <w:r w:rsidRPr="00F56A0E">
              <w:rPr>
                <w:lang w:val="fr-FR"/>
              </w:rPr>
              <w:lastRenderedPageBreak/>
              <w:t>3</w:t>
            </w:r>
          </w:p>
        </w:tc>
        <w:tc>
          <w:tcPr>
            <w:tcW w:w="8822" w:type="dxa"/>
            <w:gridSpan w:val="2"/>
            <w:shd w:val="clear" w:color="auto" w:fill="auto"/>
          </w:tcPr>
          <w:p w14:paraId="476B878C" w14:textId="77777777" w:rsidR="006F1716" w:rsidRPr="00F56A0E" w:rsidRDefault="006F1716" w:rsidP="00D076A8">
            <w:pPr>
              <w:keepNext/>
              <w:keepLines/>
              <w:widowControl w:val="0"/>
              <w:rPr>
                <w:rFonts w:eastAsia="Times New Roman"/>
                <w:lang w:val="fr-FR"/>
              </w:rPr>
            </w:pPr>
            <w:r w:rsidRPr="00F56A0E">
              <w:rPr>
                <w:lang w:val="fr-FR"/>
              </w:rPr>
              <w:t xml:space="preserve">Exposition humaine/évaluation des risques </w:t>
            </w:r>
          </w:p>
        </w:tc>
      </w:tr>
      <w:tr w:rsidR="006F1716" w:rsidRPr="00F56A0E" w14:paraId="43EA84BB" w14:textId="77777777" w:rsidTr="00D076A8">
        <w:tc>
          <w:tcPr>
            <w:tcW w:w="817" w:type="dxa"/>
            <w:shd w:val="clear" w:color="auto" w:fill="auto"/>
          </w:tcPr>
          <w:p w14:paraId="2CFB90F0" w14:textId="77777777" w:rsidR="006F1716" w:rsidRPr="00F56A0E" w:rsidRDefault="006F1716" w:rsidP="00D076A8">
            <w:pPr>
              <w:keepNext/>
              <w:keepLines/>
              <w:spacing w:after="60"/>
              <w:rPr>
                <w:rFonts w:eastAsia="Times New Roman"/>
                <w:lang w:val="fr-FR"/>
              </w:rPr>
            </w:pPr>
            <w:r w:rsidRPr="00F56A0E">
              <w:rPr>
                <w:lang w:val="fr-FR"/>
              </w:rPr>
              <w:t>3.1</w:t>
            </w:r>
          </w:p>
        </w:tc>
        <w:tc>
          <w:tcPr>
            <w:tcW w:w="1701" w:type="dxa"/>
            <w:shd w:val="clear" w:color="auto" w:fill="auto"/>
          </w:tcPr>
          <w:p w14:paraId="49F4242D" w14:textId="77777777" w:rsidR="006F1716" w:rsidRPr="00F56A0E" w:rsidRDefault="006F1716" w:rsidP="00D076A8">
            <w:pPr>
              <w:keepNext/>
              <w:keepLines/>
              <w:rPr>
                <w:rFonts w:eastAsia="Times New Roman"/>
                <w:lang w:val="fr-FR"/>
              </w:rPr>
            </w:pPr>
            <w:r w:rsidRPr="00F56A0E">
              <w:rPr>
                <w:lang w:val="fr-FR"/>
              </w:rPr>
              <w:t>Alimentation</w:t>
            </w:r>
          </w:p>
        </w:tc>
        <w:tc>
          <w:tcPr>
            <w:tcW w:w="7121" w:type="dxa"/>
            <w:shd w:val="clear" w:color="auto" w:fill="auto"/>
          </w:tcPr>
          <w:p w14:paraId="361CACC9" w14:textId="77777777" w:rsidR="006F1716" w:rsidRPr="00F56A0E" w:rsidRDefault="006F1716" w:rsidP="00D076A8">
            <w:pPr>
              <w:keepNext/>
              <w:keepLines/>
              <w:rPr>
                <w:rFonts w:eastAsia="Times New Roman"/>
                <w:b/>
                <w:u w:val="single"/>
                <w:lang w:val="fr-FR"/>
              </w:rPr>
            </w:pPr>
            <w:r w:rsidRPr="00F56A0E">
              <w:rPr>
                <w:b/>
                <w:u w:val="single"/>
                <w:lang w:val="fr-FR"/>
              </w:rPr>
              <w:t>Canada</w:t>
            </w:r>
          </w:p>
          <w:p w14:paraId="051D7E14" w14:textId="3108A572" w:rsidR="006F1716" w:rsidRPr="00F56A0E" w:rsidRDefault="006F1716" w:rsidP="00D076A8">
            <w:pPr>
              <w:keepNext/>
              <w:keepLines/>
              <w:ind w:right="72"/>
              <w:textAlignment w:val="baseline"/>
              <w:rPr>
                <w:rFonts w:eastAsia="Times New Roman"/>
                <w:lang w:val="fr-FR"/>
              </w:rPr>
            </w:pPr>
            <w:r w:rsidRPr="00F56A0E">
              <w:rPr>
                <w:lang w:val="fr-FR"/>
              </w:rPr>
              <w:t>Le risque alimentaire aigu associé aux aliments traités au terbufos n</w:t>
            </w:r>
            <w:r w:rsidR="00870D0E" w:rsidRPr="00F56A0E">
              <w:rPr>
                <w:lang w:val="fr-FR"/>
              </w:rPr>
              <w:t>’</w:t>
            </w:r>
            <w:r w:rsidRPr="00F56A0E">
              <w:rPr>
                <w:lang w:val="fr-FR"/>
              </w:rPr>
              <w:t>est pas préoccupant pour l</w:t>
            </w:r>
            <w:r w:rsidR="00870D0E" w:rsidRPr="00F56A0E">
              <w:rPr>
                <w:lang w:val="fr-FR"/>
              </w:rPr>
              <w:t>’</w:t>
            </w:r>
            <w:r w:rsidRPr="00F56A0E">
              <w:rPr>
                <w:lang w:val="fr-FR"/>
              </w:rPr>
              <w:t>ensemble de la population canadienne et pour tous ses sous-groupes (c.-à-d. que la quantité ingérée est inférieure à la dose de référence aiguë (DRfA)). Au 99,9</w:t>
            </w:r>
            <w:r w:rsidRPr="00F56A0E">
              <w:rPr>
                <w:vertAlign w:val="superscript"/>
                <w:lang w:val="fr-FR"/>
              </w:rPr>
              <w:t>e</w:t>
            </w:r>
            <w:r w:rsidR="004652F4" w:rsidRPr="00F56A0E">
              <w:rPr>
                <w:vertAlign w:val="superscript"/>
                <w:lang w:val="fr-FR"/>
              </w:rPr>
              <w:t>me</w:t>
            </w:r>
            <w:r w:rsidRPr="00F56A0E">
              <w:rPr>
                <w:lang w:val="fr-FR"/>
              </w:rPr>
              <w:t xml:space="preserve"> percentile d</w:t>
            </w:r>
            <w:r w:rsidR="00870D0E" w:rsidRPr="00F56A0E">
              <w:rPr>
                <w:lang w:val="fr-FR"/>
              </w:rPr>
              <w:t>’</w:t>
            </w:r>
            <w:r w:rsidRPr="00F56A0E">
              <w:rPr>
                <w:lang w:val="fr-FR"/>
              </w:rPr>
              <w:t>exposition, les sous-groupes de population les plus exposés, à savoir les nourrissons (&lt; 1 an) et les enfants (1 à 6 ans), ingèrent respectivement 67 % et 52 % de la DRfA dans leur alimentation. L</w:t>
            </w:r>
            <w:r w:rsidR="00870D0E" w:rsidRPr="00F56A0E">
              <w:rPr>
                <w:lang w:val="fr-FR"/>
              </w:rPr>
              <w:t>’</w:t>
            </w:r>
            <w:r w:rsidRPr="00F56A0E">
              <w:rPr>
                <w:lang w:val="fr-FR"/>
              </w:rPr>
              <w:t>évaluation des risques a tenu compte des données sur le panier de la ménagère et sur les résidus de pesticides, ainsi que des seuils de tolérance relatifs aux cultures importées en vigueur aux États-Unis. Les données sur le pourcentage de cultures traitées ont été utilisées pour les cultures nationales et importées, et des facteurs de correction ont été introduits pour les matrices environnementales concernées.</w:t>
            </w:r>
          </w:p>
          <w:p w14:paraId="577A7DAF" w14:textId="77777777" w:rsidR="006F1716" w:rsidRPr="00F56A0E" w:rsidRDefault="006F1716" w:rsidP="00D076A8">
            <w:pPr>
              <w:keepNext/>
              <w:keepLines/>
              <w:ind w:right="360"/>
              <w:textAlignment w:val="baseline"/>
              <w:rPr>
                <w:rFonts w:eastAsia="Times New Roman"/>
                <w:lang w:val="fr-FR" w:eastAsia="en-US"/>
              </w:rPr>
            </w:pPr>
          </w:p>
          <w:p w14:paraId="11349A2A" w14:textId="03D15177" w:rsidR="006F1716" w:rsidRPr="00F56A0E" w:rsidRDefault="006F1716" w:rsidP="00D076A8">
            <w:pPr>
              <w:keepNext/>
              <w:keepLines/>
              <w:ind w:right="360"/>
              <w:textAlignment w:val="baseline"/>
              <w:rPr>
                <w:rFonts w:eastAsia="Times New Roman"/>
                <w:lang w:val="fr-FR"/>
              </w:rPr>
            </w:pPr>
            <w:r w:rsidRPr="00F56A0E">
              <w:rPr>
                <w:lang w:val="fr-FR"/>
              </w:rPr>
              <w:t>Les bananes sont le principal contributeur au risque alimentaire aigu pour le terbufos. À la lumière du risque alimentaire, il a été recommandé de fixer la limite maximale de résidus (LMR) à l</w:t>
            </w:r>
            <w:r w:rsidR="00870D0E" w:rsidRPr="00F56A0E">
              <w:rPr>
                <w:lang w:val="fr-FR"/>
              </w:rPr>
              <w:t>’</w:t>
            </w:r>
            <w:r w:rsidRPr="00F56A0E">
              <w:rPr>
                <w:lang w:val="fr-FR"/>
              </w:rPr>
              <w:t>importation à 0,005 ppm. La valeur de LMR proposée est étayée par les données sur les résidus dans les champs.</w:t>
            </w:r>
          </w:p>
          <w:p w14:paraId="2A0AECD7" w14:textId="77777777" w:rsidR="006F1716" w:rsidRPr="00F56A0E" w:rsidRDefault="006F1716" w:rsidP="00D076A8">
            <w:pPr>
              <w:keepNext/>
              <w:keepLines/>
              <w:rPr>
                <w:rFonts w:eastAsia="Times New Roman"/>
                <w:lang w:val="fr-FR" w:eastAsia="en-US"/>
              </w:rPr>
            </w:pPr>
          </w:p>
          <w:p w14:paraId="002CB4B3" w14:textId="073011E6" w:rsidR="006F1716" w:rsidRPr="00F56A0E" w:rsidRDefault="006F1716" w:rsidP="00D076A8">
            <w:pPr>
              <w:keepNext/>
              <w:keepLines/>
              <w:rPr>
                <w:rFonts w:eastAsia="Times New Roman"/>
                <w:lang w:val="fr-FR"/>
              </w:rPr>
            </w:pPr>
            <w:r w:rsidRPr="00F56A0E">
              <w:rPr>
                <w:lang w:val="fr-FR"/>
              </w:rPr>
              <w:t>Le risque alimentaire chronique associé aux aliments traités au terbufos n</w:t>
            </w:r>
            <w:r w:rsidR="00870D0E" w:rsidRPr="00F56A0E">
              <w:rPr>
                <w:lang w:val="fr-FR"/>
              </w:rPr>
              <w:t>’</w:t>
            </w:r>
            <w:r w:rsidRPr="00F56A0E">
              <w:rPr>
                <w:lang w:val="fr-FR"/>
              </w:rPr>
              <w:t>est pas préoccupant pour l</w:t>
            </w:r>
            <w:r w:rsidR="00870D0E" w:rsidRPr="00F56A0E">
              <w:rPr>
                <w:lang w:val="fr-FR"/>
              </w:rPr>
              <w:t>’</w:t>
            </w:r>
            <w:r w:rsidRPr="00F56A0E">
              <w:rPr>
                <w:lang w:val="fr-FR"/>
              </w:rPr>
              <w:t>ensemble de la population canadienne et pour tous ses sous-groupes (c.-à-d. que la quantité ingérée est inférieure à la dose journalière acceptable (DJA)). Les sous-groupes de population les plus exposés, à savoir les nourrissons (&lt; 1 an) et les enfants (1 à 6 ans), ingèrent 4 % de la DJA dans leur alimentation. L</w:t>
            </w:r>
            <w:r w:rsidR="00870D0E" w:rsidRPr="00F56A0E">
              <w:rPr>
                <w:lang w:val="fr-FR"/>
              </w:rPr>
              <w:t>’</w:t>
            </w:r>
            <w:r w:rsidRPr="00F56A0E">
              <w:rPr>
                <w:lang w:val="fr-FR"/>
              </w:rPr>
              <w:t>évaluation des risques a tenu compte des valeurs moyennes de résidus, des données sur le pourcentage de cultures traitées et des facteurs de correction.</w:t>
            </w:r>
          </w:p>
          <w:p w14:paraId="4E1CDA2B" w14:textId="77777777" w:rsidR="006F1716" w:rsidRPr="00F56A0E" w:rsidRDefault="006F1716" w:rsidP="00D076A8">
            <w:pPr>
              <w:keepNext/>
              <w:keepLines/>
              <w:rPr>
                <w:rFonts w:eastAsia="Times New Roman"/>
                <w:lang w:val="fr-FR" w:eastAsia="en-US"/>
              </w:rPr>
            </w:pPr>
          </w:p>
        </w:tc>
      </w:tr>
      <w:tr w:rsidR="006F1716" w:rsidRPr="00F56A0E" w14:paraId="67CC8FAD" w14:textId="77777777" w:rsidTr="00D076A8">
        <w:tc>
          <w:tcPr>
            <w:tcW w:w="817" w:type="dxa"/>
            <w:shd w:val="clear" w:color="auto" w:fill="auto"/>
          </w:tcPr>
          <w:p w14:paraId="16F2CB62" w14:textId="77777777" w:rsidR="006F1716" w:rsidRPr="00F56A0E" w:rsidRDefault="006F1716" w:rsidP="00D076A8">
            <w:pPr>
              <w:spacing w:after="60"/>
              <w:rPr>
                <w:rFonts w:eastAsia="Times New Roman"/>
                <w:lang w:val="fr-FR"/>
              </w:rPr>
            </w:pPr>
            <w:r w:rsidRPr="00F56A0E">
              <w:rPr>
                <w:lang w:val="fr-FR"/>
              </w:rPr>
              <w:t>3.2</w:t>
            </w:r>
          </w:p>
        </w:tc>
        <w:tc>
          <w:tcPr>
            <w:tcW w:w="1701" w:type="dxa"/>
            <w:shd w:val="clear" w:color="auto" w:fill="auto"/>
          </w:tcPr>
          <w:p w14:paraId="7B713315" w14:textId="77777777" w:rsidR="006F1716" w:rsidRPr="00F56A0E" w:rsidRDefault="006F1716" w:rsidP="00D076A8">
            <w:pPr>
              <w:spacing w:before="20" w:after="20"/>
              <w:ind w:right="-108"/>
              <w:outlineLvl w:val="2"/>
              <w:rPr>
                <w:rFonts w:eastAsia="Times New Roman"/>
                <w:lang w:val="fr-FR"/>
              </w:rPr>
            </w:pPr>
            <w:r w:rsidRPr="00F56A0E">
              <w:rPr>
                <w:lang w:val="fr-FR"/>
              </w:rPr>
              <w:t>Air</w:t>
            </w:r>
          </w:p>
        </w:tc>
        <w:tc>
          <w:tcPr>
            <w:tcW w:w="7121" w:type="dxa"/>
            <w:shd w:val="clear" w:color="auto" w:fill="auto"/>
          </w:tcPr>
          <w:p w14:paraId="40C1AD95" w14:textId="77777777" w:rsidR="006F1716" w:rsidRPr="00F56A0E" w:rsidRDefault="006F1716" w:rsidP="00D076A8">
            <w:pPr>
              <w:spacing w:after="40"/>
              <w:rPr>
                <w:rFonts w:eastAsia="Times New Roman"/>
                <w:b/>
                <w:u w:val="single"/>
                <w:lang w:val="fr-FR"/>
              </w:rPr>
            </w:pPr>
            <w:r w:rsidRPr="00F56A0E">
              <w:rPr>
                <w:b/>
                <w:u w:val="single"/>
                <w:lang w:val="fr-FR"/>
              </w:rPr>
              <w:t>JMPR (2004)</w:t>
            </w:r>
          </w:p>
          <w:p w14:paraId="612CF7D5" w14:textId="77777777" w:rsidR="006F1716" w:rsidRPr="00F56A0E" w:rsidRDefault="006F1716" w:rsidP="00D076A8">
            <w:pPr>
              <w:spacing w:after="40"/>
              <w:rPr>
                <w:rFonts w:eastAsia="Times New Roman"/>
                <w:color w:val="000000"/>
                <w:spacing w:val="-4"/>
                <w:lang w:val="fr-FR"/>
              </w:rPr>
            </w:pPr>
            <w:r w:rsidRPr="00F56A0E">
              <w:rPr>
                <w:color w:val="000000"/>
                <w:lang w:val="fr-FR"/>
              </w:rPr>
              <w:t>Le</w:t>
            </w:r>
            <w:r w:rsidRPr="00F56A0E">
              <w:rPr>
                <w:lang w:val="fr-FR"/>
              </w:rPr>
              <w:t xml:space="preserve"> terbufos</w:t>
            </w:r>
            <w:r w:rsidRPr="00F56A0E">
              <w:rPr>
                <w:color w:val="000000"/>
                <w:lang w:val="fr-FR"/>
              </w:rPr>
              <w:t xml:space="preserve"> présente une toxicité aiguë extrême par inhalation. La CL</w:t>
            </w:r>
            <w:r w:rsidRPr="00F56A0E">
              <w:rPr>
                <w:color w:val="000000"/>
                <w:vertAlign w:val="subscript"/>
                <w:lang w:val="fr-FR"/>
              </w:rPr>
              <w:t>50</w:t>
            </w:r>
            <w:r w:rsidRPr="00F56A0E">
              <w:rPr>
                <w:color w:val="000000"/>
                <w:lang w:val="fr-FR"/>
              </w:rPr>
              <w:t xml:space="preserve"> aiguë par inhalation chez les rats est comprise entre 0,0012 et 0,0061 mg/l.</w:t>
            </w:r>
          </w:p>
          <w:p w14:paraId="152C83E4" w14:textId="77777777" w:rsidR="006F1716" w:rsidRPr="00F56A0E" w:rsidRDefault="006F1716" w:rsidP="00D076A8">
            <w:pPr>
              <w:spacing w:after="40"/>
              <w:rPr>
                <w:rFonts w:eastAsia="Times New Roman"/>
                <w:lang w:val="fr-FR" w:eastAsia="en-US"/>
              </w:rPr>
            </w:pPr>
          </w:p>
        </w:tc>
      </w:tr>
      <w:tr w:rsidR="006F1716" w:rsidRPr="00F56A0E" w14:paraId="3169D55C" w14:textId="77777777" w:rsidTr="00D076A8">
        <w:tc>
          <w:tcPr>
            <w:tcW w:w="817" w:type="dxa"/>
            <w:shd w:val="clear" w:color="auto" w:fill="auto"/>
          </w:tcPr>
          <w:p w14:paraId="2DB0D57D" w14:textId="77777777" w:rsidR="006F1716" w:rsidRPr="00F56A0E" w:rsidRDefault="006F1716" w:rsidP="00D076A8">
            <w:pPr>
              <w:spacing w:after="60"/>
              <w:rPr>
                <w:rFonts w:eastAsia="Times New Roman"/>
                <w:lang w:val="fr-FR"/>
              </w:rPr>
            </w:pPr>
            <w:r w:rsidRPr="00F56A0E">
              <w:rPr>
                <w:lang w:val="fr-FR"/>
              </w:rPr>
              <w:t>3.3</w:t>
            </w:r>
          </w:p>
        </w:tc>
        <w:tc>
          <w:tcPr>
            <w:tcW w:w="1701" w:type="dxa"/>
            <w:shd w:val="clear" w:color="auto" w:fill="auto"/>
          </w:tcPr>
          <w:p w14:paraId="73FAD6A0" w14:textId="77777777" w:rsidR="006F1716" w:rsidRPr="00F56A0E" w:rsidRDefault="006F1716" w:rsidP="00D076A8">
            <w:pPr>
              <w:spacing w:before="20" w:after="20"/>
              <w:ind w:right="-108"/>
              <w:outlineLvl w:val="2"/>
              <w:rPr>
                <w:rFonts w:eastAsia="Times New Roman"/>
                <w:lang w:val="fr-FR"/>
              </w:rPr>
            </w:pPr>
            <w:r w:rsidRPr="00F56A0E">
              <w:rPr>
                <w:lang w:val="fr-FR"/>
              </w:rPr>
              <w:t>Eau</w:t>
            </w:r>
          </w:p>
        </w:tc>
        <w:tc>
          <w:tcPr>
            <w:tcW w:w="7121" w:type="dxa"/>
            <w:shd w:val="clear" w:color="auto" w:fill="auto"/>
          </w:tcPr>
          <w:p w14:paraId="7908BD7F" w14:textId="77777777" w:rsidR="006F1716" w:rsidRPr="00F56A0E" w:rsidRDefault="006F1716" w:rsidP="00D076A8">
            <w:pPr>
              <w:rPr>
                <w:rFonts w:eastAsia="Times New Roman"/>
                <w:b/>
                <w:u w:val="single"/>
                <w:lang w:val="fr-FR"/>
              </w:rPr>
            </w:pPr>
            <w:r w:rsidRPr="00F56A0E">
              <w:rPr>
                <w:b/>
                <w:u w:val="single"/>
                <w:lang w:val="fr-FR"/>
              </w:rPr>
              <w:t>JMPR (2004)</w:t>
            </w:r>
          </w:p>
          <w:p w14:paraId="5F5A9743" w14:textId="0F3AA055" w:rsidR="006F1716" w:rsidRPr="00F56A0E" w:rsidRDefault="006F1716" w:rsidP="00D076A8">
            <w:pPr>
              <w:spacing w:after="40"/>
              <w:rPr>
                <w:rFonts w:eastAsia="Times New Roman"/>
                <w:lang w:val="fr-FR"/>
              </w:rPr>
            </w:pPr>
            <w:r w:rsidRPr="00F56A0E">
              <w:rPr>
                <w:color w:val="000000"/>
                <w:lang w:val="fr-FR"/>
              </w:rPr>
              <w:t>Les principaux métabolites du terbufos, à savoir le terbufos-sulfoxyde et le terbufos-sulfone, sont plus mobiles et persistants que le composé parent. Les demi-vies duterbufos-sulfoxyde et du terbufos-sulfone sont de 116 et 96 jours, respectivement. Ces métabolites sont également mobiles dans tous les sols testés et peuvent migrer vers les eaux souterraines lorsque le terbufos est utilisé dans des lieux où l</w:t>
            </w:r>
            <w:r w:rsidR="00870D0E" w:rsidRPr="00F56A0E">
              <w:rPr>
                <w:color w:val="000000"/>
                <w:lang w:val="fr-FR"/>
              </w:rPr>
              <w:t>’</w:t>
            </w:r>
            <w:r w:rsidRPr="00F56A0E">
              <w:rPr>
                <w:color w:val="000000"/>
                <w:lang w:val="fr-FR"/>
              </w:rPr>
              <w:t>eau d</w:t>
            </w:r>
            <w:r w:rsidR="00870D0E" w:rsidRPr="00F56A0E">
              <w:rPr>
                <w:color w:val="000000"/>
                <w:lang w:val="fr-FR"/>
              </w:rPr>
              <w:t>’</w:t>
            </w:r>
            <w:r w:rsidRPr="00F56A0E">
              <w:rPr>
                <w:color w:val="000000"/>
                <w:lang w:val="fr-FR"/>
              </w:rPr>
              <w:t>irrigation ou de pluie s</w:t>
            </w:r>
            <w:r w:rsidR="00870D0E" w:rsidRPr="00F56A0E">
              <w:rPr>
                <w:color w:val="000000"/>
                <w:lang w:val="fr-FR"/>
              </w:rPr>
              <w:t>’</w:t>
            </w:r>
            <w:r w:rsidRPr="00F56A0E">
              <w:rPr>
                <w:color w:val="000000"/>
                <w:lang w:val="fr-FR"/>
              </w:rPr>
              <w:t>infiltre dans le sol et rejoint les nappes phréatiques. En outre, le terbufos et ses métabolites peuvent pénétrer dans les eaux de surface après des événements de ruissellement.</w:t>
            </w:r>
          </w:p>
        </w:tc>
      </w:tr>
      <w:tr w:rsidR="006F1716" w:rsidRPr="00F56A0E" w14:paraId="306CE1A4" w14:textId="77777777" w:rsidTr="00D076A8">
        <w:tc>
          <w:tcPr>
            <w:tcW w:w="817" w:type="dxa"/>
            <w:shd w:val="clear" w:color="auto" w:fill="auto"/>
          </w:tcPr>
          <w:p w14:paraId="442AF31A" w14:textId="77777777" w:rsidR="006F1716" w:rsidRPr="00F56A0E" w:rsidRDefault="006F1716" w:rsidP="00D076A8">
            <w:pPr>
              <w:spacing w:after="60"/>
              <w:rPr>
                <w:rFonts w:eastAsia="Times New Roman"/>
                <w:lang w:val="fr-FR"/>
              </w:rPr>
            </w:pPr>
            <w:r w:rsidRPr="00F56A0E">
              <w:rPr>
                <w:lang w:val="fr-FR"/>
              </w:rPr>
              <w:t>3.4</w:t>
            </w:r>
          </w:p>
        </w:tc>
        <w:tc>
          <w:tcPr>
            <w:tcW w:w="1701" w:type="dxa"/>
            <w:shd w:val="clear" w:color="auto" w:fill="auto"/>
          </w:tcPr>
          <w:p w14:paraId="3EBD0DA1" w14:textId="77777777" w:rsidR="006F1716" w:rsidRPr="00F56A0E" w:rsidRDefault="006F1716" w:rsidP="00D076A8">
            <w:pPr>
              <w:rPr>
                <w:rFonts w:eastAsia="Times New Roman"/>
                <w:lang w:val="fr-FR"/>
              </w:rPr>
            </w:pPr>
            <w:r w:rsidRPr="00F56A0E">
              <w:rPr>
                <w:lang w:val="fr-FR"/>
              </w:rPr>
              <w:t xml:space="preserve">Exposition professionnelle </w:t>
            </w:r>
          </w:p>
        </w:tc>
        <w:tc>
          <w:tcPr>
            <w:tcW w:w="7121" w:type="dxa"/>
            <w:shd w:val="clear" w:color="auto" w:fill="auto"/>
          </w:tcPr>
          <w:p w14:paraId="75C0A384" w14:textId="77777777" w:rsidR="006F1716" w:rsidRPr="00F56A0E" w:rsidRDefault="006F1716" w:rsidP="00D076A8">
            <w:pPr>
              <w:rPr>
                <w:rFonts w:eastAsia="Times New Roman"/>
                <w:b/>
                <w:u w:val="single"/>
                <w:lang w:val="fr-FR"/>
              </w:rPr>
            </w:pPr>
            <w:r w:rsidRPr="00F56A0E">
              <w:rPr>
                <w:b/>
                <w:u w:val="single"/>
                <w:lang w:val="fr-FR"/>
              </w:rPr>
              <w:t>Canada</w:t>
            </w:r>
          </w:p>
          <w:p w14:paraId="7A4DEA79" w14:textId="044FCDA4" w:rsidR="006F1716" w:rsidRPr="00F56A0E" w:rsidRDefault="006F1716" w:rsidP="00D076A8">
            <w:pPr>
              <w:rPr>
                <w:rFonts w:eastAsia="Times New Roman"/>
                <w:lang w:val="fr-FR"/>
              </w:rPr>
            </w:pPr>
            <w:r w:rsidRPr="00F56A0E">
              <w:rPr>
                <w:lang w:val="fr-FR"/>
              </w:rPr>
              <w:t>Les travailleurs peuvent être exposés à un pesticide pendant les opérations de mélange, de chargement ou d</w:t>
            </w:r>
            <w:r w:rsidR="00870D0E" w:rsidRPr="00F56A0E">
              <w:rPr>
                <w:lang w:val="fr-FR"/>
              </w:rPr>
              <w:t>’</w:t>
            </w:r>
            <w:r w:rsidRPr="00F56A0E">
              <w:rPr>
                <w:lang w:val="fr-FR"/>
              </w:rPr>
              <w:t>application du pesticide, et en pénétrant sur un site traité. Le risque pour les travailleurs est estimé par une marge d</w:t>
            </w:r>
            <w:r w:rsidR="00870D0E" w:rsidRPr="00F56A0E">
              <w:rPr>
                <w:lang w:val="fr-FR"/>
              </w:rPr>
              <w:t>’</w:t>
            </w:r>
            <w:r w:rsidRPr="00F56A0E">
              <w:rPr>
                <w:lang w:val="fr-FR"/>
              </w:rPr>
              <w:t>exposition, qui compare le niveau d</w:t>
            </w:r>
            <w:r w:rsidR="00870D0E" w:rsidRPr="00F56A0E">
              <w:rPr>
                <w:lang w:val="fr-FR"/>
              </w:rPr>
              <w:t>’</w:t>
            </w:r>
            <w:r w:rsidRPr="00F56A0E">
              <w:rPr>
                <w:lang w:val="fr-FR"/>
              </w:rPr>
              <w:t xml:space="preserve">exposition professionnelle à la DSENO tirée des études sur les animaux. Il est possible de calculer des délais de sécurité après traitement, qui </w:t>
            </w:r>
            <w:r w:rsidRPr="00F56A0E">
              <w:rPr>
                <w:lang w:val="fr-FR"/>
              </w:rPr>
              <w:lastRenderedPageBreak/>
              <w:t>déterminent la durée minimale qui doit s</w:t>
            </w:r>
            <w:r w:rsidR="00870D0E" w:rsidRPr="00F56A0E">
              <w:rPr>
                <w:lang w:val="fr-FR"/>
              </w:rPr>
              <w:t>’</w:t>
            </w:r>
            <w:r w:rsidRPr="00F56A0E">
              <w:rPr>
                <w:lang w:val="fr-FR"/>
              </w:rPr>
              <w:t>écouler avant que quiconque soit autorisé à pénétrer sur le site traité.</w:t>
            </w:r>
          </w:p>
          <w:p w14:paraId="1A2916F9" w14:textId="77777777" w:rsidR="006F1716" w:rsidRPr="00F56A0E" w:rsidRDefault="006F1716" w:rsidP="00D076A8">
            <w:pPr>
              <w:rPr>
                <w:rFonts w:eastAsia="Times New Roman"/>
                <w:lang w:val="fr-FR" w:eastAsia="en-US"/>
              </w:rPr>
            </w:pPr>
          </w:p>
          <w:p w14:paraId="35632167" w14:textId="2D00DB57" w:rsidR="006F1716" w:rsidRPr="00F56A0E" w:rsidRDefault="006F1716" w:rsidP="00D076A8">
            <w:pPr>
              <w:rPr>
                <w:rFonts w:eastAsia="Times New Roman"/>
                <w:lang w:val="fr-FR"/>
              </w:rPr>
            </w:pPr>
            <w:r w:rsidRPr="00F56A0E">
              <w:rPr>
                <w:lang w:val="fr-FR"/>
              </w:rPr>
              <w:t>L</w:t>
            </w:r>
            <w:r w:rsidR="00870D0E" w:rsidRPr="00F56A0E">
              <w:rPr>
                <w:lang w:val="fr-FR"/>
              </w:rPr>
              <w:t>’</w:t>
            </w:r>
            <w:r w:rsidRPr="00F56A0E">
              <w:rPr>
                <w:lang w:val="fr-FR"/>
              </w:rPr>
              <w:t>utilisation d</w:t>
            </w:r>
            <w:r w:rsidR="00870D0E" w:rsidRPr="00F56A0E">
              <w:rPr>
                <w:lang w:val="fr-FR"/>
              </w:rPr>
              <w:t>’</w:t>
            </w:r>
            <w:r w:rsidRPr="00F56A0E">
              <w:rPr>
                <w:lang w:val="fr-FR"/>
              </w:rPr>
              <w:t>un système en circuit fermé (Lock</w:t>
            </w:r>
            <w:r w:rsidR="00870D0E" w:rsidRPr="00F56A0E">
              <w:rPr>
                <w:lang w:val="fr-FR"/>
              </w:rPr>
              <w:t>’</w:t>
            </w:r>
            <w:r w:rsidRPr="00F56A0E">
              <w:rPr>
                <w:lang w:val="fr-FR"/>
              </w:rPr>
              <w:t>n Load), associé à la mise en œuvre d</w:t>
            </w:r>
            <w:r w:rsidR="00870D0E" w:rsidRPr="00F56A0E">
              <w:rPr>
                <w:lang w:val="fr-FR"/>
              </w:rPr>
              <w:t>’</w:t>
            </w:r>
            <w:r w:rsidRPr="00F56A0E">
              <w:rPr>
                <w:lang w:val="fr-FR"/>
              </w:rPr>
              <w:t>autres mesures d</w:t>
            </w:r>
            <w:r w:rsidR="00870D0E" w:rsidRPr="00F56A0E">
              <w:rPr>
                <w:lang w:val="fr-FR"/>
              </w:rPr>
              <w:t>’</w:t>
            </w:r>
            <w:r w:rsidRPr="00F56A0E">
              <w:rPr>
                <w:lang w:val="fr-FR"/>
              </w:rPr>
              <w:t>atténuation permet de réduire les risques inhérents aux opérations de chargement et d</w:t>
            </w:r>
            <w:r w:rsidR="00870D0E" w:rsidRPr="00F56A0E">
              <w:rPr>
                <w:lang w:val="fr-FR"/>
              </w:rPr>
              <w:t>’</w:t>
            </w:r>
            <w:r w:rsidRPr="00F56A0E">
              <w:rPr>
                <w:lang w:val="fr-FR"/>
              </w:rPr>
              <w:t>application du Counter 15-G (granulés à base d</w:t>
            </w:r>
            <w:r w:rsidR="00870D0E" w:rsidRPr="00F56A0E">
              <w:rPr>
                <w:lang w:val="fr-FR"/>
              </w:rPr>
              <w:t>’</w:t>
            </w:r>
            <w:r w:rsidRPr="00F56A0E">
              <w:rPr>
                <w:lang w:val="fr-FR"/>
              </w:rPr>
              <w:t>argile, 15 % de matière active) à un niveau inférieur à celui considéré comme préoccupant par l</w:t>
            </w:r>
            <w:r w:rsidR="00870D0E" w:rsidRPr="00F56A0E">
              <w:rPr>
                <w:lang w:val="fr-FR"/>
              </w:rPr>
              <w:t>’</w:t>
            </w:r>
            <w:r w:rsidRPr="00F56A0E">
              <w:rPr>
                <w:lang w:val="fr-FR"/>
              </w:rPr>
              <w:t>ARLA. Selon le déclarant, le Counter 15-G est vendu exclusivement dans des emballages Lock</w:t>
            </w:r>
            <w:r w:rsidR="00870D0E" w:rsidRPr="00F56A0E">
              <w:rPr>
                <w:lang w:val="fr-FR"/>
              </w:rPr>
              <w:t>’</w:t>
            </w:r>
            <w:r w:rsidRPr="00F56A0E">
              <w:rPr>
                <w:lang w:val="fr-FR"/>
              </w:rPr>
              <w:t>n Load,</w:t>
            </w:r>
          </w:p>
          <w:p w14:paraId="3705492E" w14:textId="77777777" w:rsidR="006F1716" w:rsidRPr="00F56A0E" w:rsidRDefault="006F1716" w:rsidP="00D076A8">
            <w:pPr>
              <w:rPr>
                <w:rFonts w:eastAsia="Times New Roman"/>
                <w:lang w:val="fr-FR" w:eastAsia="en-US"/>
              </w:rPr>
            </w:pPr>
          </w:p>
          <w:p w14:paraId="6FCF926D" w14:textId="221A9864" w:rsidR="006F1716" w:rsidRPr="00F56A0E" w:rsidRDefault="006F1716" w:rsidP="001722AF">
            <w:pPr>
              <w:textAlignment w:val="baseline"/>
              <w:rPr>
                <w:rFonts w:eastAsia="Times New Roman"/>
                <w:lang w:val="fr-FR"/>
              </w:rPr>
            </w:pPr>
            <w:r w:rsidRPr="00F56A0E">
              <w:rPr>
                <w:lang w:val="fr-FR"/>
              </w:rPr>
              <w:t>On pense que le risque associé à l</w:t>
            </w:r>
            <w:r w:rsidR="00870D0E" w:rsidRPr="00F56A0E">
              <w:rPr>
                <w:lang w:val="fr-FR"/>
              </w:rPr>
              <w:t>’</w:t>
            </w:r>
            <w:r w:rsidRPr="00F56A0E">
              <w:rPr>
                <w:lang w:val="fr-FR"/>
              </w:rPr>
              <w:t>exposition au Counter 5-G (granulés à base de rafles de maïs, 5 % de matière active) pendant les opérations de mélange avec les semences dans une usine de traitement des semences ou sur l</w:t>
            </w:r>
            <w:r w:rsidR="00870D0E" w:rsidRPr="00F56A0E">
              <w:rPr>
                <w:lang w:val="fr-FR"/>
              </w:rPr>
              <w:t>’</w:t>
            </w:r>
            <w:r w:rsidRPr="00F56A0E">
              <w:rPr>
                <w:lang w:val="fr-FR"/>
              </w:rPr>
              <w:t>exploitation agricole ainsi que pendant la plantation est supérieur au niveau préoccupant défini par l</w:t>
            </w:r>
            <w:r w:rsidR="00870D0E" w:rsidRPr="00F56A0E">
              <w:rPr>
                <w:lang w:val="fr-FR"/>
              </w:rPr>
              <w:t>’</w:t>
            </w:r>
            <w:r w:rsidRPr="00F56A0E">
              <w:rPr>
                <w:lang w:val="fr-FR"/>
              </w:rPr>
              <w:t>ARLA.</w:t>
            </w:r>
            <w:r w:rsidR="001722AF" w:rsidRPr="00F56A0E">
              <w:rPr>
                <w:lang w:val="fr-FR"/>
              </w:rPr>
              <w:t xml:space="preserve"> </w:t>
            </w:r>
            <w:r w:rsidRPr="00F56A0E">
              <w:rPr>
                <w:lang w:val="fr-FR"/>
              </w:rPr>
              <w:t>L</w:t>
            </w:r>
            <w:r w:rsidR="00870D0E" w:rsidRPr="00F56A0E">
              <w:rPr>
                <w:lang w:val="fr-FR"/>
              </w:rPr>
              <w:t>’</w:t>
            </w:r>
            <w:r w:rsidRPr="00F56A0E">
              <w:rPr>
                <w:lang w:val="fr-FR"/>
              </w:rPr>
              <w:t>évaluation des risques du scénario d</w:t>
            </w:r>
            <w:r w:rsidR="00870D0E" w:rsidRPr="00F56A0E">
              <w:rPr>
                <w:lang w:val="fr-FR"/>
              </w:rPr>
              <w:t>’</w:t>
            </w:r>
            <w:r w:rsidRPr="00F56A0E">
              <w:rPr>
                <w:lang w:val="fr-FR"/>
              </w:rPr>
              <w:t>exposition pour un système en circuit fermé (représentatif de l</w:t>
            </w:r>
            <w:r w:rsidR="00870D0E" w:rsidRPr="00F56A0E">
              <w:rPr>
                <w:lang w:val="fr-FR"/>
              </w:rPr>
              <w:t>’</w:t>
            </w:r>
            <w:r w:rsidRPr="00F56A0E">
              <w:rPr>
                <w:lang w:val="fr-FR"/>
              </w:rPr>
              <w:t>exemple du Counter 15-G) a été menée à partir des données d</w:t>
            </w:r>
            <w:r w:rsidR="00870D0E" w:rsidRPr="00F56A0E">
              <w:rPr>
                <w:lang w:val="fr-FR"/>
              </w:rPr>
              <w:t>’</w:t>
            </w:r>
            <w:r w:rsidRPr="00F56A0E">
              <w:rPr>
                <w:lang w:val="fr-FR"/>
              </w:rPr>
              <w:t>exposition au produit chimique considéré. Pour évaluer les risques du scénario avec mélange et chargement à l</w:t>
            </w:r>
            <w:r w:rsidR="00870D0E" w:rsidRPr="00F56A0E">
              <w:rPr>
                <w:lang w:val="fr-FR"/>
              </w:rPr>
              <w:t>’</w:t>
            </w:r>
            <w:r w:rsidRPr="00F56A0E">
              <w:rPr>
                <w:lang w:val="fr-FR"/>
              </w:rPr>
              <w:t>air libre (représentatif de l</w:t>
            </w:r>
            <w:r w:rsidR="00870D0E" w:rsidRPr="00F56A0E">
              <w:rPr>
                <w:lang w:val="fr-FR"/>
              </w:rPr>
              <w:t>’</w:t>
            </w:r>
            <w:r w:rsidRPr="00F56A0E">
              <w:rPr>
                <w:lang w:val="fr-FR"/>
              </w:rPr>
              <w:t>exemple du Counter 5</w:t>
            </w:r>
            <w:r w:rsidRPr="00F56A0E">
              <w:rPr>
                <w:lang w:val="fr-FR"/>
              </w:rPr>
              <w:noBreakHyphen/>
              <w:t>G), on s</w:t>
            </w:r>
            <w:r w:rsidR="00870D0E" w:rsidRPr="00F56A0E">
              <w:rPr>
                <w:lang w:val="fr-FR"/>
              </w:rPr>
              <w:t>’</w:t>
            </w:r>
            <w:r w:rsidRPr="00F56A0E">
              <w:rPr>
                <w:lang w:val="fr-FR"/>
              </w:rPr>
              <w:t>est servi de la Base de données sur l</w:t>
            </w:r>
            <w:r w:rsidR="00870D0E" w:rsidRPr="00F56A0E">
              <w:rPr>
                <w:lang w:val="fr-FR"/>
              </w:rPr>
              <w:t>’</w:t>
            </w:r>
            <w:r w:rsidRPr="00F56A0E">
              <w:rPr>
                <w:lang w:val="fr-FR"/>
              </w:rPr>
              <w:t>exposition des manipulateurs de pesticides (BDEMP).</w:t>
            </w:r>
          </w:p>
          <w:p w14:paraId="093162CD" w14:textId="77777777" w:rsidR="006F1716" w:rsidRPr="00F56A0E" w:rsidRDefault="006F1716" w:rsidP="00D076A8">
            <w:pPr>
              <w:ind w:right="216"/>
              <w:textAlignment w:val="baseline"/>
              <w:rPr>
                <w:rFonts w:eastAsia="Times New Roman"/>
                <w:lang w:val="fr-FR" w:eastAsia="en-US"/>
              </w:rPr>
            </w:pPr>
          </w:p>
          <w:p w14:paraId="46A8080C" w14:textId="0FEE7EAF" w:rsidR="006F1716" w:rsidRPr="00F56A0E" w:rsidRDefault="006F1716" w:rsidP="00D076A8">
            <w:pPr>
              <w:ind w:right="216"/>
              <w:textAlignment w:val="baseline"/>
              <w:rPr>
                <w:rFonts w:eastAsia="Times New Roman"/>
                <w:lang w:val="fr-FR"/>
              </w:rPr>
            </w:pPr>
            <w:r w:rsidRPr="00F56A0E">
              <w:rPr>
                <w:lang w:val="fr-FR"/>
              </w:rPr>
              <w:t>Dans le cas du Counter 15-G, la protection adaptée pour les travailleurs est la suivante</w:t>
            </w:r>
            <w:r w:rsidR="00157D75" w:rsidRPr="00F56A0E">
              <w:rPr>
                <w:lang w:val="fr-FR"/>
              </w:rPr>
              <w:t> :</w:t>
            </w:r>
            <w:r w:rsidRPr="00F56A0E">
              <w:rPr>
                <w:lang w:val="fr-FR"/>
              </w:rPr>
              <w:t xml:space="preserve"> pendant les opérations de chargement, emballage Lock</w:t>
            </w:r>
            <w:r w:rsidR="00870D0E" w:rsidRPr="00F56A0E">
              <w:rPr>
                <w:lang w:val="fr-FR"/>
              </w:rPr>
              <w:t>’</w:t>
            </w:r>
            <w:r w:rsidRPr="00F56A0E">
              <w:rPr>
                <w:lang w:val="fr-FR"/>
              </w:rPr>
              <w:t xml:space="preserve">n Load et </w:t>
            </w:r>
            <w:r w:rsidR="007464AB" w:rsidRPr="00F56A0E">
              <w:rPr>
                <w:lang w:val="fr-FR"/>
              </w:rPr>
              <w:t>équipement de protection individuelle</w:t>
            </w:r>
            <w:r w:rsidRPr="00F56A0E">
              <w:rPr>
                <w:lang w:val="fr-FR"/>
              </w:rPr>
              <w:t xml:space="preserve"> incluant chemise à manches longues, pantalon, tablier et gants résistants aux produits chimiques</w:t>
            </w:r>
            <w:r w:rsidR="001349EA" w:rsidRPr="00F56A0E">
              <w:rPr>
                <w:lang w:val="fr-FR"/>
              </w:rPr>
              <w:t> ;</w:t>
            </w:r>
            <w:r w:rsidRPr="00F56A0E">
              <w:rPr>
                <w:lang w:val="fr-FR"/>
              </w:rPr>
              <w:t xml:space="preserve"> pendant les opérations d</w:t>
            </w:r>
            <w:r w:rsidR="00870D0E" w:rsidRPr="00F56A0E">
              <w:rPr>
                <w:lang w:val="fr-FR"/>
              </w:rPr>
              <w:t>’</w:t>
            </w:r>
            <w:r w:rsidRPr="00F56A0E">
              <w:rPr>
                <w:lang w:val="fr-FR"/>
              </w:rPr>
              <w:t>application, cabine fermée, chemise manches longues et pantalon. À titre provisoire, en attendant la mise en œuvre d</w:t>
            </w:r>
            <w:r w:rsidR="00870D0E" w:rsidRPr="00F56A0E">
              <w:rPr>
                <w:lang w:val="fr-FR"/>
              </w:rPr>
              <w:t>’</w:t>
            </w:r>
            <w:r w:rsidRPr="00F56A0E">
              <w:rPr>
                <w:lang w:val="fr-FR"/>
              </w:rPr>
              <w:t>un système d</w:t>
            </w:r>
            <w:r w:rsidR="00870D0E" w:rsidRPr="00F56A0E">
              <w:rPr>
                <w:lang w:val="fr-FR"/>
              </w:rPr>
              <w:t>’</w:t>
            </w:r>
            <w:r w:rsidRPr="00F56A0E">
              <w:rPr>
                <w:lang w:val="fr-FR"/>
              </w:rPr>
              <w:t>application à cabine fermée, le port d</w:t>
            </w:r>
            <w:r w:rsidR="00870D0E" w:rsidRPr="00F56A0E">
              <w:rPr>
                <w:lang w:val="fr-FR"/>
              </w:rPr>
              <w:t>’</w:t>
            </w:r>
            <w:r w:rsidRPr="00F56A0E">
              <w:rPr>
                <w:lang w:val="fr-FR"/>
              </w:rPr>
              <w:t>une combinaison sur des vêtements couvrant les bras et les jambes, de chaussures résistant aux produits chimiques et d</w:t>
            </w:r>
            <w:r w:rsidR="00870D0E" w:rsidRPr="00F56A0E">
              <w:rPr>
                <w:lang w:val="fr-FR"/>
              </w:rPr>
              <w:t>’</w:t>
            </w:r>
            <w:r w:rsidRPr="00F56A0E">
              <w:rPr>
                <w:lang w:val="fr-FR"/>
              </w:rPr>
              <w:t>un respirateur est recommandé. Ces mesures d</w:t>
            </w:r>
            <w:r w:rsidR="00870D0E" w:rsidRPr="00F56A0E">
              <w:rPr>
                <w:lang w:val="fr-FR"/>
              </w:rPr>
              <w:t>’</w:t>
            </w:r>
            <w:r w:rsidRPr="00F56A0E">
              <w:rPr>
                <w:lang w:val="fr-FR"/>
              </w:rPr>
              <w:t>atténuation sont identiques à celles qui figurent dans la récente réévaluation par l</w:t>
            </w:r>
            <w:r w:rsidR="00870D0E" w:rsidRPr="00F56A0E">
              <w:rPr>
                <w:lang w:val="fr-FR"/>
              </w:rPr>
              <w:t>’</w:t>
            </w:r>
            <w:r w:rsidR="007464AB" w:rsidRPr="00F56A0E">
              <w:rPr>
                <w:lang w:val="fr-FR"/>
              </w:rPr>
              <w:t>USEPA</w:t>
            </w:r>
            <w:r w:rsidRPr="00F56A0E">
              <w:rPr>
                <w:lang w:val="fr-FR"/>
              </w:rPr>
              <w:t xml:space="preserve"> des risques professionnels associés au Counter 15-G. </w:t>
            </w:r>
          </w:p>
          <w:p w14:paraId="37498954" w14:textId="77777777" w:rsidR="006F1716" w:rsidRPr="00F56A0E" w:rsidRDefault="006F1716" w:rsidP="00D076A8">
            <w:pPr>
              <w:ind w:right="216"/>
              <w:textAlignment w:val="baseline"/>
              <w:rPr>
                <w:rFonts w:eastAsia="Times New Roman"/>
                <w:lang w:val="fr-FR" w:eastAsia="en-US"/>
              </w:rPr>
            </w:pPr>
          </w:p>
          <w:p w14:paraId="1B26349C" w14:textId="5837596B" w:rsidR="006F1716" w:rsidRPr="00F56A0E" w:rsidRDefault="006F1716" w:rsidP="00D076A8">
            <w:pPr>
              <w:ind w:right="72"/>
              <w:textAlignment w:val="baseline"/>
              <w:rPr>
                <w:rFonts w:eastAsia="Times New Roman"/>
                <w:lang w:val="fr-FR"/>
              </w:rPr>
            </w:pPr>
            <w:r w:rsidRPr="00F56A0E">
              <w:rPr>
                <w:lang w:val="fr-FR"/>
              </w:rPr>
              <w:t xml:space="preserve">Selon les informations </w:t>
            </w:r>
            <w:r w:rsidR="007464AB" w:rsidRPr="00F56A0E">
              <w:rPr>
                <w:lang w:val="fr-FR"/>
              </w:rPr>
              <w:t xml:space="preserve">disponibles </w:t>
            </w:r>
            <w:r w:rsidRPr="00F56A0E">
              <w:rPr>
                <w:lang w:val="fr-FR"/>
              </w:rPr>
              <w:t>sur l</w:t>
            </w:r>
            <w:r w:rsidR="00870D0E" w:rsidRPr="00F56A0E">
              <w:rPr>
                <w:lang w:val="fr-FR"/>
              </w:rPr>
              <w:t>’</w:t>
            </w:r>
            <w:r w:rsidRPr="00F56A0E">
              <w:rPr>
                <w:lang w:val="fr-FR"/>
              </w:rPr>
              <w:t>exposition (BDEMP), les marges d</w:t>
            </w:r>
            <w:r w:rsidR="00870D0E" w:rsidRPr="00F56A0E">
              <w:rPr>
                <w:lang w:val="fr-FR"/>
              </w:rPr>
              <w:t>’</w:t>
            </w:r>
            <w:r w:rsidRPr="00F56A0E">
              <w:rPr>
                <w:lang w:val="fr-FR"/>
              </w:rPr>
              <w:t xml:space="preserve">exposition calculées pour les utilisations </w:t>
            </w:r>
            <w:r w:rsidR="007464AB" w:rsidRPr="00F56A0E">
              <w:rPr>
                <w:lang w:val="fr-FR"/>
              </w:rPr>
              <w:t xml:space="preserve">en milieu réel </w:t>
            </w:r>
            <w:r w:rsidRPr="00F56A0E">
              <w:rPr>
                <w:lang w:val="fr-FR"/>
              </w:rPr>
              <w:t>du Counter 5-G (scénario avec mélange et chargement à l</w:t>
            </w:r>
            <w:r w:rsidR="00870D0E" w:rsidRPr="00F56A0E">
              <w:rPr>
                <w:lang w:val="fr-FR"/>
              </w:rPr>
              <w:t>’</w:t>
            </w:r>
            <w:r w:rsidRPr="00F56A0E">
              <w:rPr>
                <w:lang w:val="fr-FR"/>
              </w:rPr>
              <w:t>air libre) montrent que le niveau de risque est supérieur au niveau considéré comme préoccupant par l</w:t>
            </w:r>
            <w:r w:rsidR="00870D0E" w:rsidRPr="00F56A0E">
              <w:rPr>
                <w:lang w:val="fr-FR"/>
              </w:rPr>
              <w:t>’</w:t>
            </w:r>
            <w:r w:rsidRPr="00F56A0E">
              <w:rPr>
                <w:lang w:val="fr-FR"/>
              </w:rPr>
              <w:t>ARLA. Aucune étude d</w:t>
            </w:r>
            <w:r w:rsidR="00870D0E" w:rsidRPr="00F56A0E">
              <w:rPr>
                <w:lang w:val="fr-FR"/>
              </w:rPr>
              <w:t>’</w:t>
            </w:r>
            <w:r w:rsidRPr="00F56A0E">
              <w:rPr>
                <w:lang w:val="fr-FR"/>
              </w:rPr>
              <w:t>exposition n</w:t>
            </w:r>
            <w:r w:rsidR="00870D0E" w:rsidRPr="00F56A0E">
              <w:rPr>
                <w:lang w:val="fr-FR"/>
              </w:rPr>
              <w:t>’</w:t>
            </w:r>
            <w:r w:rsidRPr="00F56A0E">
              <w:rPr>
                <w:lang w:val="fr-FR"/>
              </w:rPr>
              <w:t>est disponible pour les usines de traitement des semences</w:t>
            </w:r>
            <w:r w:rsidR="001349EA" w:rsidRPr="00F56A0E">
              <w:rPr>
                <w:lang w:val="fr-FR"/>
              </w:rPr>
              <w:t> ;</w:t>
            </w:r>
            <w:r w:rsidRPr="00F56A0E">
              <w:rPr>
                <w:lang w:val="fr-FR"/>
              </w:rPr>
              <w:t xml:space="preserve"> toutefois, compte tenu notamment de la quantité de terbufos manipulée et de la durée d</w:t>
            </w:r>
            <w:r w:rsidR="00870D0E" w:rsidRPr="00F56A0E">
              <w:rPr>
                <w:lang w:val="fr-FR"/>
              </w:rPr>
              <w:t>’</w:t>
            </w:r>
            <w:r w:rsidRPr="00F56A0E">
              <w:rPr>
                <w:lang w:val="fr-FR"/>
              </w:rPr>
              <w:t>exposition, qui sont plus importantes que dans le cas des exploitations agricoles, ainsi que du scénario de chargement en sacs ouverts, le niveau de risque présenté par le mélange en usine du Counter 5-G devrait également être supérieur au niveau préoccupant défini par l</w:t>
            </w:r>
            <w:r w:rsidR="00870D0E" w:rsidRPr="00F56A0E">
              <w:rPr>
                <w:lang w:val="fr-FR"/>
              </w:rPr>
              <w:t>’</w:t>
            </w:r>
            <w:r w:rsidRPr="00F56A0E">
              <w:rPr>
                <w:lang w:val="fr-FR"/>
              </w:rPr>
              <w:t>ARLA. Si l</w:t>
            </w:r>
            <w:r w:rsidR="00870D0E" w:rsidRPr="00F56A0E">
              <w:rPr>
                <w:lang w:val="fr-FR"/>
              </w:rPr>
              <w:t>’</w:t>
            </w:r>
            <w:r w:rsidRPr="00F56A0E">
              <w:rPr>
                <w:lang w:val="fr-FR"/>
              </w:rPr>
              <w:t>ARLA a utilisé des seuils de toxicité et des coefficients de sécurité différents de ceux qui figurent dans la réévaluation menée par l</w:t>
            </w:r>
            <w:r w:rsidR="00870D0E" w:rsidRPr="00F56A0E">
              <w:rPr>
                <w:lang w:val="fr-FR"/>
              </w:rPr>
              <w:t>’</w:t>
            </w:r>
            <w:r w:rsidR="007464AB" w:rsidRPr="00F56A0E">
              <w:rPr>
                <w:lang w:val="fr-FR"/>
              </w:rPr>
              <w:t>US</w:t>
            </w:r>
            <w:r w:rsidRPr="00F56A0E">
              <w:rPr>
                <w:lang w:val="fr-FR"/>
              </w:rPr>
              <w:t>EPA, il n</w:t>
            </w:r>
            <w:r w:rsidR="00870D0E" w:rsidRPr="00F56A0E">
              <w:rPr>
                <w:lang w:val="fr-FR"/>
              </w:rPr>
              <w:t>’</w:t>
            </w:r>
            <w:r w:rsidRPr="00F56A0E">
              <w:rPr>
                <w:lang w:val="fr-FR"/>
              </w:rPr>
              <w:t>en reste pas moins que les marges d</w:t>
            </w:r>
            <w:r w:rsidR="00870D0E" w:rsidRPr="00F56A0E">
              <w:rPr>
                <w:lang w:val="fr-FR"/>
              </w:rPr>
              <w:t>’</w:t>
            </w:r>
            <w:r w:rsidRPr="00F56A0E">
              <w:rPr>
                <w:lang w:val="fr-FR"/>
              </w:rPr>
              <w:t>exposition calculées à partir des valeurs retenues par l</w:t>
            </w:r>
            <w:r w:rsidR="00870D0E" w:rsidRPr="00F56A0E">
              <w:rPr>
                <w:lang w:val="fr-FR"/>
              </w:rPr>
              <w:t>’</w:t>
            </w:r>
            <w:r w:rsidR="007464AB" w:rsidRPr="00F56A0E">
              <w:rPr>
                <w:lang w:val="fr-FR"/>
              </w:rPr>
              <w:t>US</w:t>
            </w:r>
            <w:r w:rsidRPr="00F56A0E">
              <w:rPr>
                <w:lang w:val="fr-FR"/>
              </w:rPr>
              <w:t>EPA sont inadéquates pour le Counter 5-G. De plus, l</w:t>
            </w:r>
            <w:r w:rsidR="00870D0E" w:rsidRPr="00F56A0E">
              <w:rPr>
                <w:lang w:val="fr-FR"/>
              </w:rPr>
              <w:t>’</w:t>
            </w:r>
            <w:r w:rsidR="007464AB" w:rsidRPr="00F56A0E">
              <w:rPr>
                <w:lang w:val="fr-FR"/>
              </w:rPr>
              <w:t>US</w:t>
            </w:r>
            <w:r w:rsidRPr="00F56A0E">
              <w:rPr>
                <w:lang w:val="fr-FR"/>
              </w:rPr>
              <w:t>EPA a également fait part de ses préoccupations quant au chargement du terbufos en sacs ouverts sur l</w:t>
            </w:r>
            <w:r w:rsidR="00870D0E" w:rsidRPr="00F56A0E">
              <w:rPr>
                <w:lang w:val="fr-FR"/>
              </w:rPr>
              <w:t>’</w:t>
            </w:r>
            <w:r w:rsidRPr="00F56A0E">
              <w:rPr>
                <w:lang w:val="fr-FR"/>
              </w:rPr>
              <w:t>exploitation agricole. L</w:t>
            </w:r>
            <w:r w:rsidR="00870D0E" w:rsidRPr="00F56A0E">
              <w:rPr>
                <w:lang w:val="fr-FR"/>
              </w:rPr>
              <w:t>’</w:t>
            </w:r>
            <w:r w:rsidRPr="00F56A0E">
              <w:rPr>
                <w:lang w:val="fr-FR"/>
              </w:rPr>
              <w:t>utilisation du terbufos pour traiter les semences en usine n</w:t>
            </w:r>
            <w:r w:rsidR="00870D0E" w:rsidRPr="00F56A0E">
              <w:rPr>
                <w:lang w:val="fr-FR"/>
              </w:rPr>
              <w:t>’</w:t>
            </w:r>
            <w:r w:rsidRPr="00F56A0E">
              <w:rPr>
                <w:lang w:val="fr-FR"/>
              </w:rPr>
              <w:t>est pas homologuée aux États-Unis.</w:t>
            </w:r>
          </w:p>
          <w:p w14:paraId="23BCF707" w14:textId="77777777" w:rsidR="006F1716" w:rsidRPr="00F56A0E" w:rsidRDefault="006F1716" w:rsidP="00D076A8">
            <w:pPr>
              <w:ind w:right="72"/>
              <w:textAlignment w:val="baseline"/>
              <w:rPr>
                <w:rFonts w:eastAsia="Times New Roman"/>
                <w:lang w:val="fr-FR" w:eastAsia="en-US"/>
              </w:rPr>
            </w:pPr>
          </w:p>
          <w:p w14:paraId="235D7D6B" w14:textId="073843EB" w:rsidR="006F1716" w:rsidRPr="00F56A0E" w:rsidRDefault="006F1716" w:rsidP="00D076A8">
            <w:pPr>
              <w:ind w:right="72"/>
              <w:textAlignment w:val="baseline"/>
              <w:rPr>
                <w:rFonts w:eastAsia="Times New Roman"/>
                <w:lang w:val="fr-FR"/>
              </w:rPr>
            </w:pPr>
            <w:r w:rsidRPr="00F56A0E">
              <w:rPr>
                <w:lang w:val="fr-FR"/>
              </w:rPr>
              <w:t>L</w:t>
            </w:r>
            <w:r w:rsidR="00870D0E" w:rsidRPr="00F56A0E">
              <w:rPr>
                <w:lang w:val="fr-FR"/>
              </w:rPr>
              <w:t>’</w:t>
            </w:r>
            <w:r w:rsidRPr="00F56A0E">
              <w:rPr>
                <w:lang w:val="fr-FR"/>
              </w:rPr>
              <w:t>exposition des personnes qui pénètrent sur les sites traités ou l</w:t>
            </w:r>
            <w:r w:rsidR="00870D0E" w:rsidRPr="00F56A0E">
              <w:rPr>
                <w:lang w:val="fr-FR"/>
              </w:rPr>
              <w:t>’</w:t>
            </w:r>
            <w:r w:rsidRPr="00F56A0E">
              <w:rPr>
                <w:lang w:val="fr-FR"/>
              </w:rPr>
              <w:t>exposition par dérive vers les zones résidentielles est considérée comme minime en raison de la méthode d</w:t>
            </w:r>
            <w:r w:rsidR="00870D0E" w:rsidRPr="00F56A0E">
              <w:rPr>
                <w:lang w:val="fr-FR"/>
              </w:rPr>
              <w:t>’</w:t>
            </w:r>
            <w:r w:rsidRPr="00F56A0E">
              <w:rPr>
                <w:lang w:val="fr-FR"/>
              </w:rPr>
              <w:t xml:space="preserve">application (c.-à-d. enfouissement au moment des semis </w:t>
            </w:r>
            <w:r w:rsidR="00E93A9E" w:rsidRPr="00F56A0E">
              <w:rPr>
                <w:lang w:val="fr-FR"/>
              </w:rPr>
              <w:t>à l</w:t>
            </w:r>
            <w:r w:rsidR="00870D0E" w:rsidRPr="00F56A0E">
              <w:rPr>
                <w:lang w:val="fr-FR"/>
              </w:rPr>
              <w:t>’</w:t>
            </w:r>
            <w:r w:rsidR="00E93A9E" w:rsidRPr="00F56A0E">
              <w:rPr>
                <w:lang w:val="fr-FR"/>
              </w:rPr>
              <w:t>aide d</w:t>
            </w:r>
            <w:r w:rsidR="00870D0E" w:rsidRPr="00F56A0E">
              <w:rPr>
                <w:lang w:val="fr-FR"/>
              </w:rPr>
              <w:t>’</w:t>
            </w:r>
            <w:r w:rsidR="00E93A9E" w:rsidRPr="00F56A0E">
              <w:rPr>
                <w:lang w:val="fr-FR"/>
              </w:rPr>
              <w:t xml:space="preserve">équipements </w:t>
            </w:r>
            <w:r w:rsidRPr="00F56A0E">
              <w:rPr>
                <w:lang w:val="fr-FR"/>
              </w:rPr>
              <w:t>a</w:t>
            </w:r>
            <w:r w:rsidR="00E93A9E" w:rsidRPr="00F56A0E">
              <w:rPr>
                <w:lang w:val="fr-FR"/>
              </w:rPr>
              <w:t>ppropri</w:t>
            </w:r>
            <w:r w:rsidRPr="00F56A0E">
              <w:rPr>
                <w:lang w:val="fr-FR"/>
              </w:rPr>
              <w:t>é</w:t>
            </w:r>
            <w:r w:rsidR="00E93A9E" w:rsidRPr="00F56A0E">
              <w:rPr>
                <w:lang w:val="fr-FR"/>
              </w:rPr>
              <w:t>s</w:t>
            </w:r>
            <w:r w:rsidRPr="00F56A0E">
              <w:rPr>
                <w:lang w:val="fr-FR"/>
              </w:rPr>
              <w:t>). Après traitement, un délai de sécurité de 48 heures, établi sur la base de la toxicité aiguë, est suffisant pour protéger les travailleurs susceptibles de pénétrer dans des zones traitées.</w:t>
            </w:r>
          </w:p>
          <w:p w14:paraId="54A13C59" w14:textId="77777777" w:rsidR="006F1716" w:rsidRPr="00F56A0E" w:rsidRDefault="006F1716" w:rsidP="00D076A8">
            <w:pPr>
              <w:ind w:right="72"/>
              <w:textAlignment w:val="baseline"/>
              <w:rPr>
                <w:rFonts w:eastAsia="Times New Roman"/>
                <w:lang w:val="fr-FR" w:eastAsia="en-US"/>
              </w:rPr>
            </w:pPr>
          </w:p>
          <w:p w14:paraId="4895114D" w14:textId="77777777" w:rsidR="006F1716" w:rsidRPr="00F56A0E" w:rsidRDefault="006F1716" w:rsidP="00D076A8">
            <w:pPr>
              <w:rPr>
                <w:rFonts w:eastAsia="Times New Roman"/>
                <w:b/>
                <w:u w:val="single"/>
                <w:lang w:val="fr-FR"/>
              </w:rPr>
            </w:pPr>
            <w:r w:rsidRPr="00F56A0E">
              <w:rPr>
                <w:b/>
                <w:u w:val="single"/>
                <w:lang w:val="fr-FR"/>
              </w:rPr>
              <w:t>Mozambique</w:t>
            </w:r>
          </w:p>
          <w:p w14:paraId="19C59130" w14:textId="3885E92F" w:rsidR="006F1716" w:rsidRPr="00F56A0E" w:rsidRDefault="006F1716" w:rsidP="00D076A8">
            <w:pPr>
              <w:rPr>
                <w:rFonts w:eastAsia="Times New Roman"/>
                <w:lang w:val="fr-FR"/>
              </w:rPr>
            </w:pPr>
            <w:r w:rsidRPr="00F56A0E">
              <w:rPr>
                <w:lang w:val="fr-FR"/>
              </w:rPr>
              <w:t>Une enquête de terrain sur l</w:t>
            </w:r>
            <w:r w:rsidR="00870D0E" w:rsidRPr="00F56A0E">
              <w:rPr>
                <w:lang w:val="fr-FR"/>
              </w:rPr>
              <w:t>’</w:t>
            </w:r>
            <w:r w:rsidRPr="00F56A0E">
              <w:rPr>
                <w:lang w:val="fr-FR"/>
              </w:rPr>
              <w:t xml:space="preserve">utilisation générale </w:t>
            </w:r>
            <w:r w:rsidR="00496139" w:rsidRPr="00F56A0E">
              <w:rPr>
                <w:lang w:val="fr-FR"/>
              </w:rPr>
              <w:t>des</w:t>
            </w:r>
            <w:r w:rsidRPr="00F56A0E">
              <w:rPr>
                <w:lang w:val="fr-FR"/>
              </w:rPr>
              <w:t xml:space="preserve"> pesticides au Mozambique</w:t>
            </w:r>
            <w:r w:rsidR="00496139" w:rsidRPr="00F56A0E">
              <w:rPr>
                <w:lang w:val="fr-FR"/>
              </w:rPr>
              <w:t xml:space="preserve"> et l</w:t>
            </w:r>
            <w:r w:rsidR="00870D0E" w:rsidRPr="00F56A0E">
              <w:rPr>
                <w:lang w:val="fr-FR"/>
              </w:rPr>
              <w:t>’</w:t>
            </w:r>
            <w:r w:rsidR="00496139" w:rsidRPr="00F56A0E">
              <w:rPr>
                <w:lang w:val="fr-FR"/>
              </w:rPr>
              <w:t>exposition à ceux-ci</w:t>
            </w:r>
            <w:r w:rsidRPr="00F56A0E">
              <w:rPr>
                <w:lang w:val="fr-FR"/>
              </w:rPr>
              <w:t>, menée auprès de 325 agriculteurs de subsistance, a révélé que la quasi-totalité des agriculteurs (93 %) ne possédai</w:t>
            </w:r>
            <w:r w:rsidR="00496139" w:rsidRPr="00F56A0E">
              <w:rPr>
                <w:lang w:val="fr-FR"/>
              </w:rPr>
              <w:t>en</w:t>
            </w:r>
            <w:r w:rsidRPr="00F56A0E">
              <w:rPr>
                <w:lang w:val="fr-FR"/>
              </w:rPr>
              <w:t>t pas ou ne portai</w:t>
            </w:r>
            <w:r w:rsidR="00496139" w:rsidRPr="00F56A0E">
              <w:rPr>
                <w:lang w:val="fr-FR"/>
              </w:rPr>
              <w:t>en</w:t>
            </w:r>
            <w:r w:rsidRPr="00F56A0E">
              <w:rPr>
                <w:lang w:val="fr-FR"/>
              </w:rPr>
              <w:t>t pas d</w:t>
            </w:r>
            <w:r w:rsidR="00870D0E" w:rsidRPr="00F56A0E">
              <w:rPr>
                <w:lang w:val="fr-FR"/>
              </w:rPr>
              <w:t>’</w:t>
            </w:r>
            <w:r w:rsidRPr="00F56A0E">
              <w:rPr>
                <w:lang w:val="fr-FR"/>
              </w:rPr>
              <w:t>équipement de protection individuelle (EPI) adapté, ou n</w:t>
            </w:r>
            <w:r w:rsidR="00870D0E" w:rsidRPr="00F56A0E">
              <w:rPr>
                <w:lang w:val="fr-FR"/>
              </w:rPr>
              <w:t>’</w:t>
            </w:r>
            <w:r w:rsidRPr="00F56A0E">
              <w:rPr>
                <w:lang w:val="fr-FR"/>
              </w:rPr>
              <w:t>utilisait qu</w:t>
            </w:r>
            <w:r w:rsidR="00870D0E" w:rsidRPr="00F56A0E">
              <w:rPr>
                <w:lang w:val="fr-FR"/>
              </w:rPr>
              <w:t>’</w:t>
            </w:r>
            <w:r w:rsidRPr="00F56A0E">
              <w:rPr>
                <w:lang w:val="fr-FR"/>
              </w:rPr>
              <w:t xml:space="preserve">un seul élément de protection. Seuls 2 % de ceux qui se servaient de pesticides très dangereux </w:t>
            </w:r>
            <w:r w:rsidRPr="00F56A0E">
              <w:rPr>
                <w:lang w:val="fr-FR"/>
              </w:rPr>
              <w:lastRenderedPageBreak/>
              <w:t>portaient un EPI adéquat offrant une protection intégrale. Environ la moitié des agriculteurs (50,2 %) n</w:t>
            </w:r>
            <w:r w:rsidR="00870D0E" w:rsidRPr="00F56A0E">
              <w:rPr>
                <w:lang w:val="fr-FR"/>
              </w:rPr>
              <w:t>’</w:t>
            </w:r>
            <w:r w:rsidRPr="00F56A0E">
              <w:rPr>
                <w:lang w:val="fr-FR"/>
              </w:rPr>
              <w:t>avaient reçu aucune formation sur l</w:t>
            </w:r>
            <w:r w:rsidR="00870D0E" w:rsidRPr="00F56A0E">
              <w:rPr>
                <w:lang w:val="fr-FR"/>
              </w:rPr>
              <w:t>’</w:t>
            </w:r>
            <w:r w:rsidRPr="00F56A0E">
              <w:rPr>
                <w:lang w:val="fr-FR"/>
              </w:rPr>
              <w:t xml:space="preserve">utilisation des pesticides. La majorité des </w:t>
            </w:r>
            <w:r w:rsidR="00496139" w:rsidRPr="00F56A0E">
              <w:rPr>
                <w:lang w:val="fr-FR"/>
              </w:rPr>
              <w:t>préposés à l</w:t>
            </w:r>
            <w:r w:rsidR="00870D0E" w:rsidRPr="00F56A0E">
              <w:rPr>
                <w:lang w:val="fr-FR"/>
              </w:rPr>
              <w:t>’</w:t>
            </w:r>
            <w:r w:rsidR="00496139" w:rsidRPr="00F56A0E">
              <w:rPr>
                <w:lang w:val="fr-FR"/>
              </w:rPr>
              <w:t xml:space="preserve">application des pesticides </w:t>
            </w:r>
            <w:r w:rsidRPr="00F56A0E">
              <w:rPr>
                <w:lang w:val="fr-FR"/>
              </w:rPr>
              <w:t>utilisaient des pulvérisateurs manuels (36 %). Venaient ensuite les pulvérisateurs électriques à batterie (33 %) et des équipements inappropriés tels que des arrosoirs (13,5 %) ou d</w:t>
            </w:r>
            <w:r w:rsidR="00870D0E" w:rsidRPr="00F56A0E">
              <w:rPr>
                <w:lang w:val="fr-FR"/>
              </w:rPr>
              <w:t>’</w:t>
            </w:r>
            <w:r w:rsidRPr="00F56A0E">
              <w:rPr>
                <w:lang w:val="fr-FR"/>
              </w:rPr>
              <w:t>autres moyens (non précisés) (12,5 %). Environ la moitié des agriculteurs interrogés ont déclaré avoir reçu des projections de pesticide sur leurs vêtements, sur leur peau nue ou dans les yeux lors des traitements. Sur le plan de la santé, les principaux symptômes associés à l</w:t>
            </w:r>
            <w:r w:rsidR="00870D0E" w:rsidRPr="00F56A0E">
              <w:rPr>
                <w:lang w:val="fr-FR"/>
              </w:rPr>
              <w:t>’</w:t>
            </w:r>
            <w:r w:rsidRPr="00F56A0E">
              <w:rPr>
                <w:lang w:val="fr-FR"/>
              </w:rPr>
              <w:t>utilisation de pesticides signalés par les agriculteurs étaient les suivants</w:t>
            </w:r>
            <w:r w:rsidR="00157D75" w:rsidRPr="00F56A0E">
              <w:rPr>
                <w:lang w:val="fr-FR"/>
              </w:rPr>
              <w:t> :</w:t>
            </w:r>
            <w:r w:rsidRPr="00F56A0E">
              <w:rPr>
                <w:lang w:val="fr-FR"/>
              </w:rPr>
              <w:t xml:space="preserve"> céphalées, éruptions cutanées, irritation des yeux, vomissements, irritation des narines, vision trouble, vertiges et transpiration excessive. Près de la moitié des agriculteurs ont déclaré ne pas lire les étiquettes des pesticides, y compris les instructions d</w:t>
            </w:r>
            <w:r w:rsidR="00870D0E" w:rsidRPr="00F56A0E">
              <w:rPr>
                <w:lang w:val="fr-FR"/>
              </w:rPr>
              <w:t>’</w:t>
            </w:r>
            <w:r w:rsidRPr="00F56A0E">
              <w:rPr>
                <w:lang w:val="fr-FR"/>
              </w:rPr>
              <w:t>utilisation concernant par exemple le dosage et les mesures de protection, principalement pour des raisons d</w:t>
            </w:r>
            <w:r w:rsidR="00870D0E" w:rsidRPr="00F56A0E">
              <w:rPr>
                <w:lang w:val="fr-FR"/>
              </w:rPr>
              <w:t>’</w:t>
            </w:r>
            <w:r w:rsidRPr="00F56A0E">
              <w:rPr>
                <w:lang w:val="fr-FR"/>
              </w:rPr>
              <w:t xml:space="preserve">analphabétisme. Un agriculteur sur quatre ne comprenait pas bien le code couleur </w:t>
            </w:r>
            <w:r w:rsidR="00496139" w:rsidRPr="00F56A0E">
              <w:rPr>
                <w:lang w:val="fr-FR"/>
              </w:rPr>
              <w:t>d</w:t>
            </w:r>
            <w:r w:rsidRPr="00F56A0E">
              <w:rPr>
                <w:lang w:val="fr-FR"/>
              </w:rPr>
              <w:t xml:space="preserve">es étiquettes des pesticides, qui </w:t>
            </w:r>
            <w:r w:rsidR="00496139" w:rsidRPr="00F56A0E">
              <w:rPr>
                <w:lang w:val="fr-FR"/>
              </w:rPr>
              <w:t>indiqu</w:t>
            </w:r>
            <w:r w:rsidRPr="00F56A0E">
              <w:rPr>
                <w:lang w:val="fr-FR"/>
              </w:rPr>
              <w:t>ait l</w:t>
            </w:r>
            <w:r w:rsidR="00496139" w:rsidRPr="00F56A0E">
              <w:rPr>
                <w:lang w:val="fr-FR"/>
              </w:rPr>
              <w:t>eur</w:t>
            </w:r>
            <w:r w:rsidRPr="00F56A0E">
              <w:rPr>
                <w:lang w:val="fr-FR"/>
              </w:rPr>
              <w:t xml:space="preserve"> toxicité aiguë.</w:t>
            </w:r>
          </w:p>
          <w:p w14:paraId="4B5FAC96" w14:textId="77777777" w:rsidR="006F1716" w:rsidRPr="00F56A0E" w:rsidRDefault="006F1716" w:rsidP="00D076A8">
            <w:pPr>
              <w:ind w:right="74"/>
              <w:textAlignment w:val="baseline"/>
              <w:rPr>
                <w:rFonts w:eastAsia="Times New Roman"/>
                <w:lang w:val="fr-FR" w:eastAsia="en-US"/>
              </w:rPr>
            </w:pPr>
          </w:p>
        </w:tc>
      </w:tr>
      <w:tr w:rsidR="006F1716" w:rsidRPr="00F56A0E" w14:paraId="193EED55" w14:textId="77777777" w:rsidTr="00D076A8">
        <w:tc>
          <w:tcPr>
            <w:tcW w:w="817" w:type="dxa"/>
            <w:shd w:val="clear" w:color="auto" w:fill="auto"/>
          </w:tcPr>
          <w:p w14:paraId="5C1920AD" w14:textId="77777777" w:rsidR="006F1716" w:rsidRPr="00F56A0E" w:rsidRDefault="006F1716" w:rsidP="00D076A8">
            <w:pPr>
              <w:spacing w:after="60"/>
              <w:rPr>
                <w:rFonts w:eastAsia="Times New Roman"/>
                <w:lang w:val="fr-FR"/>
              </w:rPr>
            </w:pPr>
            <w:r w:rsidRPr="00F56A0E">
              <w:rPr>
                <w:lang w:val="fr-FR"/>
              </w:rPr>
              <w:lastRenderedPageBreak/>
              <w:t xml:space="preserve">3.5 </w:t>
            </w:r>
          </w:p>
        </w:tc>
        <w:tc>
          <w:tcPr>
            <w:tcW w:w="1701" w:type="dxa"/>
            <w:shd w:val="clear" w:color="auto" w:fill="auto"/>
          </w:tcPr>
          <w:p w14:paraId="4B076D5B" w14:textId="77777777" w:rsidR="006F1716" w:rsidRPr="00F56A0E" w:rsidRDefault="006F1716" w:rsidP="00D076A8">
            <w:pPr>
              <w:spacing w:before="20" w:after="20"/>
              <w:outlineLvl w:val="2"/>
              <w:rPr>
                <w:rFonts w:eastAsia="Times New Roman"/>
                <w:lang w:val="fr-FR"/>
              </w:rPr>
            </w:pPr>
            <w:r w:rsidRPr="00F56A0E">
              <w:rPr>
                <w:lang w:val="fr-FR"/>
              </w:rPr>
              <w:t>Données médicales contribuant à la décision réglementaire</w:t>
            </w:r>
          </w:p>
        </w:tc>
        <w:tc>
          <w:tcPr>
            <w:tcW w:w="7121" w:type="dxa"/>
            <w:shd w:val="clear" w:color="auto" w:fill="auto"/>
          </w:tcPr>
          <w:p w14:paraId="76FB1419" w14:textId="77777777" w:rsidR="006F1716" w:rsidRPr="00F56A0E" w:rsidRDefault="006F1716" w:rsidP="00D076A8">
            <w:pPr>
              <w:rPr>
                <w:rFonts w:eastAsia="Times New Roman"/>
                <w:lang w:val="fr-FR"/>
              </w:rPr>
            </w:pPr>
            <w:r w:rsidRPr="00F56A0E">
              <w:rPr>
                <w:lang w:val="fr-FR"/>
              </w:rPr>
              <w:t>Néant</w:t>
            </w:r>
          </w:p>
        </w:tc>
      </w:tr>
      <w:tr w:rsidR="006F1716" w:rsidRPr="00F56A0E" w14:paraId="689F4301" w14:textId="77777777" w:rsidTr="00D076A8">
        <w:tc>
          <w:tcPr>
            <w:tcW w:w="817" w:type="dxa"/>
            <w:shd w:val="clear" w:color="auto" w:fill="auto"/>
          </w:tcPr>
          <w:p w14:paraId="1E239F3C" w14:textId="77777777" w:rsidR="006F1716" w:rsidRPr="00F56A0E" w:rsidRDefault="006F1716" w:rsidP="00D076A8">
            <w:pPr>
              <w:spacing w:after="60"/>
              <w:rPr>
                <w:rFonts w:eastAsia="Times New Roman"/>
                <w:lang w:val="fr-FR"/>
              </w:rPr>
            </w:pPr>
            <w:r w:rsidRPr="00F56A0E">
              <w:rPr>
                <w:lang w:val="fr-FR"/>
              </w:rPr>
              <w:t>3.6</w:t>
            </w:r>
          </w:p>
        </w:tc>
        <w:tc>
          <w:tcPr>
            <w:tcW w:w="1701" w:type="dxa"/>
            <w:shd w:val="clear" w:color="auto" w:fill="auto"/>
          </w:tcPr>
          <w:p w14:paraId="57A093F7" w14:textId="77777777" w:rsidR="006F1716" w:rsidRPr="00F56A0E" w:rsidRDefault="006F1716" w:rsidP="00D076A8">
            <w:pPr>
              <w:spacing w:before="20" w:after="20"/>
              <w:outlineLvl w:val="2"/>
              <w:rPr>
                <w:rFonts w:eastAsia="Times New Roman"/>
                <w:lang w:val="fr-FR"/>
              </w:rPr>
            </w:pPr>
            <w:r w:rsidRPr="00F56A0E">
              <w:rPr>
                <w:lang w:val="fr-FR"/>
              </w:rPr>
              <w:t xml:space="preserve">Exposition du public </w:t>
            </w:r>
          </w:p>
        </w:tc>
        <w:tc>
          <w:tcPr>
            <w:tcW w:w="7121" w:type="dxa"/>
            <w:shd w:val="clear" w:color="auto" w:fill="auto"/>
          </w:tcPr>
          <w:p w14:paraId="46595C66" w14:textId="77777777" w:rsidR="006F1716" w:rsidRPr="00F56A0E" w:rsidRDefault="006F1716" w:rsidP="00D076A8">
            <w:pPr>
              <w:rPr>
                <w:rFonts w:eastAsia="Times New Roman"/>
                <w:b/>
                <w:u w:val="single"/>
                <w:lang w:val="fr-FR"/>
              </w:rPr>
            </w:pPr>
            <w:r w:rsidRPr="00F56A0E">
              <w:rPr>
                <w:b/>
                <w:u w:val="single"/>
                <w:lang w:val="fr-FR"/>
              </w:rPr>
              <w:t>JMPR (2004)</w:t>
            </w:r>
          </w:p>
          <w:p w14:paraId="6D3A7D95" w14:textId="384920AD" w:rsidR="006F1716" w:rsidRPr="00F56A0E" w:rsidRDefault="006F1716" w:rsidP="00D076A8">
            <w:pPr>
              <w:rPr>
                <w:lang w:val="fr-FR"/>
              </w:rPr>
            </w:pPr>
            <w:r w:rsidRPr="00F56A0E">
              <w:rPr>
                <w:lang w:val="fr-FR"/>
              </w:rPr>
              <w:t>Un certain nombre d</w:t>
            </w:r>
            <w:r w:rsidR="00870D0E" w:rsidRPr="00F56A0E">
              <w:rPr>
                <w:lang w:val="fr-FR"/>
              </w:rPr>
              <w:t>’</w:t>
            </w:r>
            <w:r w:rsidRPr="00F56A0E">
              <w:rPr>
                <w:lang w:val="fr-FR"/>
              </w:rPr>
              <w:t>intoxications dues à l</w:t>
            </w:r>
            <w:r w:rsidR="00870D0E" w:rsidRPr="00F56A0E">
              <w:rPr>
                <w:lang w:val="fr-FR"/>
              </w:rPr>
              <w:t>’</w:t>
            </w:r>
            <w:r w:rsidRPr="00F56A0E">
              <w:rPr>
                <w:lang w:val="fr-FR"/>
              </w:rPr>
              <w:t>exposition professionnelle ou non professionnelle au terbufos ont été signalées. En ce qui concerne les effets potentiels des installations de fabrication du terbufos, aucun « incident devant être signalé » n</w:t>
            </w:r>
            <w:r w:rsidR="00870D0E" w:rsidRPr="00F56A0E">
              <w:rPr>
                <w:lang w:val="fr-FR"/>
              </w:rPr>
              <w:t>’</w:t>
            </w:r>
            <w:r w:rsidRPr="00F56A0E">
              <w:rPr>
                <w:lang w:val="fr-FR"/>
              </w:rPr>
              <w:t>a été déclaré et aucune autre information n</w:t>
            </w:r>
            <w:r w:rsidR="00870D0E" w:rsidRPr="00F56A0E">
              <w:rPr>
                <w:lang w:val="fr-FR"/>
              </w:rPr>
              <w:t>’</w:t>
            </w:r>
            <w:r w:rsidRPr="00F56A0E">
              <w:rPr>
                <w:lang w:val="fr-FR"/>
              </w:rPr>
              <w:t>était disponible.</w:t>
            </w:r>
          </w:p>
          <w:p w14:paraId="77F0B6BC" w14:textId="77777777" w:rsidR="006F1716" w:rsidRPr="00F56A0E" w:rsidRDefault="006F1716" w:rsidP="00D076A8">
            <w:pPr>
              <w:rPr>
                <w:rFonts w:eastAsia="Times New Roman"/>
                <w:lang w:val="fr-FR" w:eastAsia="en-US"/>
              </w:rPr>
            </w:pPr>
          </w:p>
        </w:tc>
      </w:tr>
      <w:tr w:rsidR="006F1716" w:rsidRPr="00F56A0E" w14:paraId="1538A23C" w14:textId="77777777" w:rsidTr="00D076A8">
        <w:trPr>
          <w:trHeight w:val="567"/>
        </w:trPr>
        <w:tc>
          <w:tcPr>
            <w:tcW w:w="817" w:type="dxa"/>
            <w:shd w:val="clear" w:color="auto" w:fill="auto"/>
          </w:tcPr>
          <w:p w14:paraId="40DA6F2E" w14:textId="77777777" w:rsidR="006F1716" w:rsidRPr="00F56A0E" w:rsidRDefault="006F1716" w:rsidP="00D076A8">
            <w:pPr>
              <w:spacing w:after="60"/>
              <w:rPr>
                <w:rFonts w:eastAsia="Times New Roman"/>
                <w:lang w:val="fr-FR"/>
              </w:rPr>
            </w:pPr>
            <w:r w:rsidRPr="00F56A0E">
              <w:rPr>
                <w:lang w:val="fr-FR"/>
              </w:rPr>
              <w:t>3.7</w:t>
            </w:r>
          </w:p>
        </w:tc>
        <w:tc>
          <w:tcPr>
            <w:tcW w:w="1701" w:type="dxa"/>
            <w:shd w:val="clear" w:color="auto" w:fill="auto"/>
          </w:tcPr>
          <w:p w14:paraId="16E80E2E" w14:textId="77777777" w:rsidR="006F1716" w:rsidRPr="00F56A0E" w:rsidRDefault="006F1716" w:rsidP="00D076A8">
            <w:pPr>
              <w:spacing w:before="20" w:after="20"/>
              <w:outlineLvl w:val="2"/>
              <w:rPr>
                <w:rFonts w:eastAsia="Times New Roman"/>
                <w:lang w:val="fr-FR"/>
              </w:rPr>
            </w:pPr>
            <w:r w:rsidRPr="00F56A0E">
              <w:rPr>
                <w:lang w:val="fr-FR"/>
              </w:rPr>
              <w:t xml:space="preserve">Résumé – Évaluation globale des risques </w:t>
            </w:r>
          </w:p>
        </w:tc>
        <w:tc>
          <w:tcPr>
            <w:tcW w:w="7121" w:type="dxa"/>
            <w:shd w:val="clear" w:color="auto" w:fill="auto"/>
          </w:tcPr>
          <w:p w14:paraId="5F74C5B6" w14:textId="04D8AABC" w:rsidR="006F1716" w:rsidRPr="00F56A0E" w:rsidRDefault="006F1716" w:rsidP="00D076A8">
            <w:pPr>
              <w:rPr>
                <w:rFonts w:eastAsia="Times New Roman"/>
                <w:lang w:val="fr-FR"/>
              </w:rPr>
            </w:pPr>
            <w:r w:rsidRPr="00F56A0E">
              <w:rPr>
                <w:lang w:val="fr-FR"/>
              </w:rPr>
              <w:t>Dans le cadre de l</w:t>
            </w:r>
            <w:r w:rsidR="00870D0E" w:rsidRPr="00F56A0E">
              <w:rPr>
                <w:lang w:val="fr-FR"/>
              </w:rPr>
              <w:t>’</w:t>
            </w:r>
            <w:r w:rsidRPr="00F56A0E">
              <w:rPr>
                <w:lang w:val="fr-FR"/>
              </w:rPr>
              <w:t>objectif national de réduction des risques liés aux pesticides les plus dangereux, notamment aux pesticides très dangereux, le Mozambique a procédé à une évaluation des risques posés pour la santé humaine par le terbufos. Compte tenu des résultats de l</w:t>
            </w:r>
            <w:r w:rsidR="00870D0E" w:rsidRPr="00F56A0E">
              <w:rPr>
                <w:lang w:val="fr-FR"/>
              </w:rPr>
              <w:t>’</w:t>
            </w:r>
            <w:r w:rsidRPr="00F56A0E">
              <w:rPr>
                <w:lang w:val="fr-FR"/>
              </w:rPr>
              <w:t>enquête sur les pratiques d</w:t>
            </w:r>
            <w:r w:rsidR="00870D0E" w:rsidRPr="00F56A0E">
              <w:rPr>
                <w:lang w:val="fr-FR"/>
              </w:rPr>
              <w:t>’</w:t>
            </w:r>
            <w:r w:rsidRPr="00F56A0E">
              <w:rPr>
                <w:lang w:val="fr-FR"/>
              </w:rPr>
              <w:t>utilisation des pesticides dans certains systèmes de culture au Mozambique (dont certaines sont représentatives de l</w:t>
            </w:r>
            <w:r w:rsidR="00870D0E" w:rsidRPr="00F56A0E">
              <w:rPr>
                <w:lang w:val="fr-FR"/>
              </w:rPr>
              <w:t>’</w:t>
            </w:r>
            <w:r w:rsidRPr="00F56A0E">
              <w:rPr>
                <w:lang w:val="fr-FR"/>
              </w:rPr>
              <w:t>utilisation potentielle du terbufos), qui ont notamment mis en évidence le manque d</w:t>
            </w:r>
            <w:r w:rsidR="00870D0E" w:rsidRPr="00F56A0E">
              <w:rPr>
                <w:lang w:val="fr-FR"/>
              </w:rPr>
              <w:t>’</w:t>
            </w:r>
            <w:r w:rsidRPr="00F56A0E">
              <w:rPr>
                <w:lang w:val="fr-FR"/>
              </w:rPr>
              <w:t>EPI et leur faible utilisation ainsi que la toxicité aiguë élevée du terbufos (classe Ia « Extrêmement dangereux » de la Classification OMS), le Mozambique a conclu que l</w:t>
            </w:r>
            <w:r w:rsidR="00870D0E" w:rsidRPr="00F56A0E">
              <w:rPr>
                <w:lang w:val="fr-FR"/>
              </w:rPr>
              <w:t>’</w:t>
            </w:r>
            <w:r w:rsidRPr="00F56A0E">
              <w:rPr>
                <w:lang w:val="fr-FR"/>
              </w:rPr>
              <w:t>utilisation du terbufos était susceptible d</w:t>
            </w:r>
            <w:r w:rsidR="00870D0E" w:rsidRPr="00F56A0E">
              <w:rPr>
                <w:lang w:val="fr-FR"/>
              </w:rPr>
              <w:t>’</w:t>
            </w:r>
            <w:r w:rsidRPr="00F56A0E">
              <w:rPr>
                <w:lang w:val="fr-FR"/>
              </w:rPr>
              <w:t>entraîner une exposition excessive des agriculteurs et qu</w:t>
            </w:r>
            <w:r w:rsidR="00870D0E" w:rsidRPr="00F56A0E">
              <w:rPr>
                <w:lang w:val="fr-FR"/>
              </w:rPr>
              <w:t>’</w:t>
            </w:r>
            <w:r w:rsidRPr="00F56A0E">
              <w:rPr>
                <w:lang w:val="fr-FR"/>
              </w:rPr>
              <w:t>il serait difficile et peu efficace pour protéger la santé humaine de faire appliquer des mesures d</w:t>
            </w:r>
            <w:r w:rsidR="00870D0E" w:rsidRPr="00F56A0E">
              <w:rPr>
                <w:lang w:val="fr-FR"/>
              </w:rPr>
              <w:t>’</w:t>
            </w:r>
            <w:r w:rsidRPr="00F56A0E">
              <w:rPr>
                <w:lang w:val="fr-FR"/>
              </w:rPr>
              <w:t>atténuation des risques reposant uniquement sur le port d</w:t>
            </w:r>
            <w:r w:rsidR="00870D0E" w:rsidRPr="00F56A0E">
              <w:rPr>
                <w:lang w:val="fr-FR"/>
              </w:rPr>
              <w:t>’</w:t>
            </w:r>
            <w:r w:rsidRPr="00F56A0E">
              <w:rPr>
                <w:lang w:val="fr-FR"/>
              </w:rPr>
              <w:t>un EPI approprié dans les conditions locales d</w:t>
            </w:r>
            <w:r w:rsidR="00870D0E" w:rsidRPr="00F56A0E">
              <w:rPr>
                <w:lang w:val="fr-FR"/>
              </w:rPr>
              <w:t>’</w:t>
            </w:r>
            <w:r w:rsidRPr="00F56A0E">
              <w:rPr>
                <w:lang w:val="fr-FR"/>
              </w:rPr>
              <w:t>utilisation.</w:t>
            </w:r>
          </w:p>
          <w:p w14:paraId="1DD1D081" w14:textId="77777777" w:rsidR="006F1716" w:rsidRPr="00F56A0E" w:rsidRDefault="006F1716" w:rsidP="00D076A8">
            <w:pPr>
              <w:rPr>
                <w:rFonts w:eastAsia="Times New Roman"/>
                <w:lang w:val="fr-FR" w:eastAsia="en-US"/>
              </w:rPr>
            </w:pPr>
          </w:p>
        </w:tc>
      </w:tr>
      <w:tr w:rsidR="006F1716" w:rsidRPr="00F56A0E" w14:paraId="4E5A8810" w14:textId="77777777" w:rsidTr="00D076A8">
        <w:tc>
          <w:tcPr>
            <w:tcW w:w="817" w:type="dxa"/>
            <w:shd w:val="clear" w:color="auto" w:fill="auto"/>
          </w:tcPr>
          <w:p w14:paraId="38B48235" w14:textId="77777777" w:rsidR="006F1716" w:rsidRPr="00F56A0E" w:rsidRDefault="006F1716" w:rsidP="00D076A8">
            <w:pPr>
              <w:keepNext/>
              <w:keepLines/>
              <w:spacing w:before="40" w:after="60"/>
              <w:outlineLvl w:val="0"/>
              <w:rPr>
                <w:rFonts w:eastAsia="Times New Roman"/>
                <w:kern w:val="28"/>
                <w:szCs w:val="29"/>
                <w:lang w:val="fr-FR"/>
              </w:rPr>
            </w:pPr>
            <w:r w:rsidRPr="00F56A0E">
              <w:rPr>
                <w:lang w:val="fr-FR"/>
              </w:rPr>
              <w:t>4</w:t>
            </w:r>
          </w:p>
        </w:tc>
        <w:tc>
          <w:tcPr>
            <w:tcW w:w="8822" w:type="dxa"/>
            <w:gridSpan w:val="2"/>
            <w:shd w:val="clear" w:color="auto" w:fill="auto"/>
          </w:tcPr>
          <w:p w14:paraId="7FF3FDBF" w14:textId="6CBA20FB" w:rsidR="006F1716" w:rsidRPr="00F56A0E" w:rsidRDefault="006F1716" w:rsidP="00D076A8">
            <w:pPr>
              <w:keepNext/>
              <w:keepLines/>
              <w:spacing w:before="40" w:after="60"/>
              <w:outlineLvl w:val="0"/>
              <w:rPr>
                <w:rFonts w:eastAsia="Times New Roman"/>
                <w:kern w:val="28"/>
                <w:szCs w:val="29"/>
                <w:lang w:val="fr-FR"/>
              </w:rPr>
            </w:pPr>
            <w:r w:rsidRPr="00F56A0E">
              <w:rPr>
                <w:lang w:val="fr-FR"/>
              </w:rPr>
              <w:t>Devenir et effets dans l</w:t>
            </w:r>
            <w:r w:rsidR="00870D0E" w:rsidRPr="00F56A0E">
              <w:rPr>
                <w:lang w:val="fr-FR"/>
              </w:rPr>
              <w:t>’</w:t>
            </w:r>
            <w:r w:rsidRPr="00F56A0E">
              <w:rPr>
                <w:lang w:val="fr-FR"/>
              </w:rPr>
              <w:t>environnement</w:t>
            </w:r>
            <w:r w:rsidR="00AD2712" w:rsidRPr="00F56A0E">
              <w:rPr>
                <w:lang w:val="fr-FR"/>
              </w:rPr>
              <w:t xml:space="preserve"> </w:t>
            </w:r>
          </w:p>
        </w:tc>
      </w:tr>
      <w:tr w:rsidR="006F1716" w:rsidRPr="00F56A0E" w14:paraId="5D2CC662" w14:textId="77777777" w:rsidTr="00D076A8">
        <w:tc>
          <w:tcPr>
            <w:tcW w:w="817" w:type="dxa"/>
            <w:shd w:val="clear" w:color="auto" w:fill="auto"/>
          </w:tcPr>
          <w:p w14:paraId="0222BB70" w14:textId="77777777" w:rsidR="006F1716" w:rsidRPr="00F56A0E" w:rsidRDefault="006F1716" w:rsidP="00D076A8">
            <w:pPr>
              <w:keepNext/>
              <w:keepLines/>
              <w:rPr>
                <w:rFonts w:eastAsia="Times New Roman"/>
                <w:lang w:val="fr-FR"/>
              </w:rPr>
            </w:pPr>
            <w:r w:rsidRPr="00F56A0E">
              <w:rPr>
                <w:lang w:val="fr-FR"/>
              </w:rPr>
              <w:t>4.1</w:t>
            </w:r>
          </w:p>
        </w:tc>
        <w:tc>
          <w:tcPr>
            <w:tcW w:w="1701" w:type="dxa"/>
            <w:shd w:val="clear" w:color="auto" w:fill="auto"/>
          </w:tcPr>
          <w:p w14:paraId="097D6134" w14:textId="7B7C9E29" w:rsidR="006F1716" w:rsidRPr="00F56A0E" w:rsidRDefault="006F1716" w:rsidP="00D076A8">
            <w:pPr>
              <w:keepNext/>
              <w:keepLines/>
              <w:spacing w:before="20" w:after="20"/>
              <w:outlineLvl w:val="2"/>
              <w:rPr>
                <w:rFonts w:eastAsia="Times New Roman"/>
                <w:lang w:val="fr-FR"/>
              </w:rPr>
            </w:pPr>
            <w:r w:rsidRPr="00F56A0E">
              <w:rPr>
                <w:lang w:val="fr-FR"/>
              </w:rPr>
              <w:t>Devenir dans l</w:t>
            </w:r>
            <w:r w:rsidR="00870D0E" w:rsidRPr="00F56A0E">
              <w:rPr>
                <w:lang w:val="fr-FR"/>
              </w:rPr>
              <w:t>’</w:t>
            </w:r>
            <w:r w:rsidRPr="00F56A0E">
              <w:rPr>
                <w:lang w:val="fr-FR"/>
              </w:rPr>
              <w:t>environnement</w:t>
            </w:r>
          </w:p>
        </w:tc>
        <w:tc>
          <w:tcPr>
            <w:tcW w:w="7121" w:type="dxa"/>
            <w:shd w:val="clear" w:color="auto" w:fill="auto"/>
          </w:tcPr>
          <w:p w14:paraId="2A06AD22" w14:textId="77777777" w:rsidR="006F1716" w:rsidRPr="00F56A0E" w:rsidRDefault="006F1716" w:rsidP="00D076A8">
            <w:pPr>
              <w:keepNext/>
              <w:keepLines/>
              <w:rPr>
                <w:rFonts w:eastAsia="Times New Roman"/>
                <w:snapToGrid w:val="0"/>
                <w:lang w:val="fr-FR" w:eastAsia="en-US"/>
              </w:rPr>
            </w:pPr>
          </w:p>
        </w:tc>
      </w:tr>
      <w:tr w:rsidR="006F1716" w:rsidRPr="00F56A0E" w14:paraId="4CD0AC10" w14:textId="77777777" w:rsidTr="00D076A8">
        <w:tc>
          <w:tcPr>
            <w:tcW w:w="817" w:type="dxa"/>
            <w:shd w:val="clear" w:color="auto" w:fill="auto"/>
          </w:tcPr>
          <w:p w14:paraId="19C394C7" w14:textId="77777777" w:rsidR="006F1716" w:rsidRPr="00F56A0E" w:rsidRDefault="006F1716" w:rsidP="00D076A8">
            <w:pPr>
              <w:keepNext/>
              <w:keepLines/>
              <w:rPr>
                <w:rFonts w:eastAsia="Times New Roman"/>
                <w:lang w:val="fr-FR"/>
              </w:rPr>
            </w:pPr>
            <w:r w:rsidRPr="00F56A0E">
              <w:rPr>
                <w:lang w:val="fr-FR"/>
              </w:rPr>
              <w:t>4.1.1</w:t>
            </w:r>
          </w:p>
        </w:tc>
        <w:tc>
          <w:tcPr>
            <w:tcW w:w="1701" w:type="dxa"/>
            <w:shd w:val="clear" w:color="auto" w:fill="auto"/>
          </w:tcPr>
          <w:p w14:paraId="7F2F5920" w14:textId="77777777" w:rsidR="006F1716" w:rsidRPr="00F56A0E" w:rsidRDefault="006F1716" w:rsidP="00D076A8">
            <w:pPr>
              <w:keepNext/>
              <w:keepLines/>
              <w:spacing w:before="20" w:after="20"/>
              <w:outlineLvl w:val="2"/>
              <w:rPr>
                <w:rFonts w:eastAsia="Times New Roman"/>
                <w:lang w:val="fr-FR"/>
              </w:rPr>
            </w:pPr>
            <w:r w:rsidRPr="00F56A0E">
              <w:rPr>
                <w:lang w:val="fr-FR"/>
              </w:rPr>
              <w:t>Sol</w:t>
            </w:r>
          </w:p>
        </w:tc>
        <w:tc>
          <w:tcPr>
            <w:tcW w:w="7121" w:type="dxa"/>
            <w:shd w:val="clear" w:color="auto" w:fill="auto"/>
          </w:tcPr>
          <w:p w14:paraId="567B21BA" w14:textId="77777777" w:rsidR="006F1716" w:rsidRPr="00F56A0E" w:rsidRDefault="006F1716" w:rsidP="00D076A8">
            <w:pPr>
              <w:keepNext/>
              <w:keepLines/>
              <w:rPr>
                <w:rFonts w:eastAsia="Times New Roman"/>
                <w:b/>
                <w:u w:val="single"/>
                <w:lang w:val="fr-FR"/>
              </w:rPr>
            </w:pPr>
            <w:r w:rsidRPr="00F56A0E">
              <w:rPr>
                <w:b/>
                <w:u w:val="single"/>
                <w:lang w:val="fr-FR"/>
              </w:rPr>
              <w:t>Canada</w:t>
            </w:r>
          </w:p>
          <w:p w14:paraId="4CC9B536" w14:textId="75AA2DB4" w:rsidR="006F1716" w:rsidRPr="00F56A0E" w:rsidRDefault="006F1716" w:rsidP="00D076A8">
            <w:pPr>
              <w:keepNext/>
              <w:keepLines/>
              <w:ind w:right="142"/>
              <w:textAlignment w:val="baseline"/>
              <w:rPr>
                <w:rFonts w:eastAsia="Times New Roman"/>
                <w:spacing w:val="-3"/>
                <w:lang w:val="fr-FR"/>
              </w:rPr>
            </w:pPr>
            <w:r w:rsidRPr="00F56A0E">
              <w:rPr>
                <w:lang w:val="fr-FR"/>
              </w:rPr>
              <w:t>Le terbufos est susceptible d</w:t>
            </w:r>
            <w:r w:rsidR="00870D0E" w:rsidRPr="00F56A0E">
              <w:rPr>
                <w:lang w:val="fr-FR"/>
              </w:rPr>
              <w:t>’</w:t>
            </w:r>
            <w:r w:rsidRPr="00F56A0E">
              <w:rPr>
                <w:lang w:val="fr-FR"/>
              </w:rPr>
              <w:t>être transformé par des processus abiotiques et biotiques. L</w:t>
            </w:r>
            <w:r w:rsidR="00870D0E" w:rsidRPr="00F56A0E">
              <w:rPr>
                <w:lang w:val="fr-FR"/>
              </w:rPr>
              <w:t>’</w:t>
            </w:r>
            <w:r w:rsidRPr="00F56A0E">
              <w:rPr>
                <w:lang w:val="fr-FR"/>
              </w:rPr>
              <w:t>hydrolyse semble être la principale voie de transformation abiotique du terbufos (composé parent). L</w:t>
            </w:r>
            <w:r w:rsidR="00870D0E" w:rsidRPr="00F56A0E">
              <w:rPr>
                <w:lang w:val="fr-FR"/>
              </w:rPr>
              <w:t>’</w:t>
            </w:r>
            <w:r w:rsidRPr="00F56A0E">
              <w:rPr>
                <w:lang w:val="fr-FR"/>
              </w:rPr>
              <w:t>hydrolyse du terbufos-sulfoxyde et du terbufos-sulfone dépend du pH et est plus lente que celle du composé parent. La principale voie de dégradation biotique est la biodégradation aérobie, dont les principaux produits sont le terbufos-sulfoxyde, le terbufos-sulfone et le CO</w:t>
            </w:r>
            <w:r w:rsidRPr="00F56A0E">
              <w:rPr>
                <w:vertAlign w:val="subscript"/>
                <w:lang w:val="fr-FR"/>
              </w:rPr>
              <w:t>2</w:t>
            </w:r>
            <w:r w:rsidRPr="00F56A0E">
              <w:rPr>
                <w:lang w:val="fr-FR"/>
              </w:rPr>
              <w:t>. Les données disponibles montrent que le terbufos est faiblement à modérément persistant dans les sols, en fonction de leurs caractéristiques et de la température.</w:t>
            </w:r>
          </w:p>
          <w:p w14:paraId="7139ADE2" w14:textId="77777777" w:rsidR="006F1716" w:rsidRPr="00F56A0E" w:rsidRDefault="006F1716" w:rsidP="00D076A8">
            <w:pPr>
              <w:keepNext/>
              <w:keepLines/>
              <w:rPr>
                <w:rFonts w:eastAsia="Times New Roman"/>
                <w:snapToGrid w:val="0"/>
                <w:lang w:val="fr-FR" w:eastAsia="en-US"/>
              </w:rPr>
            </w:pPr>
          </w:p>
        </w:tc>
      </w:tr>
      <w:tr w:rsidR="006F1716" w:rsidRPr="00F56A0E" w14:paraId="4EE7FA9A" w14:textId="77777777" w:rsidTr="00D076A8">
        <w:tc>
          <w:tcPr>
            <w:tcW w:w="817" w:type="dxa"/>
            <w:shd w:val="clear" w:color="auto" w:fill="auto"/>
          </w:tcPr>
          <w:p w14:paraId="7C65D07A" w14:textId="77777777" w:rsidR="006F1716" w:rsidRPr="00F56A0E" w:rsidRDefault="006F1716" w:rsidP="00D076A8">
            <w:pPr>
              <w:keepLines/>
              <w:rPr>
                <w:rFonts w:eastAsia="Times New Roman"/>
                <w:lang w:val="fr-FR"/>
              </w:rPr>
            </w:pPr>
            <w:r w:rsidRPr="00F56A0E">
              <w:rPr>
                <w:lang w:val="fr-FR"/>
              </w:rPr>
              <w:t>4.1.2</w:t>
            </w:r>
          </w:p>
        </w:tc>
        <w:tc>
          <w:tcPr>
            <w:tcW w:w="1701" w:type="dxa"/>
            <w:shd w:val="clear" w:color="auto" w:fill="auto"/>
          </w:tcPr>
          <w:p w14:paraId="68FBE363" w14:textId="77777777" w:rsidR="006F1716" w:rsidRPr="00F56A0E" w:rsidRDefault="006F1716" w:rsidP="00D076A8">
            <w:pPr>
              <w:spacing w:before="20" w:after="20"/>
              <w:outlineLvl w:val="2"/>
              <w:rPr>
                <w:rFonts w:eastAsia="Times New Roman"/>
                <w:lang w:val="fr-FR"/>
              </w:rPr>
            </w:pPr>
            <w:r w:rsidRPr="00F56A0E">
              <w:rPr>
                <w:lang w:val="fr-FR"/>
              </w:rPr>
              <w:t>Eau</w:t>
            </w:r>
          </w:p>
        </w:tc>
        <w:tc>
          <w:tcPr>
            <w:tcW w:w="7121" w:type="dxa"/>
            <w:shd w:val="clear" w:color="auto" w:fill="auto"/>
          </w:tcPr>
          <w:p w14:paraId="224F2B9A" w14:textId="77777777" w:rsidR="006F1716" w:rsidRPr="00F56A0E" w:rsidRDefault="006F1716" w:rsidP="00D076A8">
            <w:pPr>
              <w:ind w:right="144"/>
              <w:textAlignment w:val="baseline"/>
              <w:rPr>
                <w:rFonts w:eastAsia="Times New Roman"/>
                <w:b/>
                <w:u w:val="single"/>
                <w:lang w:val="fr-FR"/>
              </w:rPr>
            </w:pPr>
            <w:r w:rsidRPr="00F56A0E">
              <w:rPr>
                <w:b/>
                <w:u w:val="single"/>
                <w:lang w:val="fr-FR"/>
              </w:rPr>
              <w:t>Canada</w:t>
            </w:r>
          </w:p>
          <w:p w14:paraId="5248763B" w14:textId="72861C25" w:rsidR="006F1716" w:rsidRPr="00F56A0E" w:rsidRDefault="006F1716" w:rsidP="00D076A8">
            <w:pPr>
              <w:ind w:right="144"/>
              <w:textAlignment w:val="baseline"/>
              <w:rPr>
                <w:rFonts w:eastAsia="Times New Roman"/>
                <w:spacing w:val="-1"/>
                <w:lang w:val="fr-FR"/>
              </w:rPr>
            </w:pPr>
            <w:r w:rsidRPr="00F56A0E">
              <w:rPr>
                <w:lang w:val="fr-FR"/>
              </w:rPr>
              <w:t>Le terbufos est peu soluble dans l</w:t>
            </w:r>
            <w:r w:rsidR="00870D0E" w:rsidRPr="00F56A0E">
              <w:rPr>
                <w:lang w:val="fr-FR"/>
              </w:rPr>
              <w:t>’</w:t>
            </w:r>
            <w:r w:rsidRPr="00F56A0E">
              <w:rPr>
                <w:lang w:val="fr-FR"/>
              </w:rPr>
              <w:t xml:space="preserve">eau, et le terbufos présent à la surface des sols humides et des eaux superficielles est modérément volatil. Les propriétés physiques et chimiques du terbufos indiquent que, dans les systèmes aquatiques, il se fixe dans les sédiments. Les données sur les vitesses de dégradation dans les systèmes eau-sédiments font apparaître des demi-vies de 27 à 41 jours, avec une dégradation relativement rapide dans la phase aqueuse, principalement par hydrolyse, et une dégradation plus lente </w:t>
            </w:r>
            <w:r w:rsidR="000B5DB1" w:rsidRPr="00F56A0E">
              <w:rPr>
                <w:lang w:val="fr-FR"/>
              </w:rPr>
              <w:t>de la fraction</w:t>
            </w:r>
            <w:r w:rsidRPr="00F56A0E">
              <w:rPr>
                <w:lang w:val="fr-FR"/>
              </w:rPr>
              <w:t xml:space="preserve"> adsorbé</w:t>
            </w:r>
            <w:r w:rsidR="000B5DB1" w:rsidRPr="00F56A0E">
              <w:rPr>
                <w:lang w:val="fr-FR"/>
              </w:rPr>
              <w:t>e</w:t>
            </w:r>
            <w:r w:rsidRPr="00F56A0E">
              <w:rPr>
                <w:lang w:val="fr-FR"/>
              </w:rPr>
              <w:t xml:space="preserve"> sur les sédiments. Les deux principaux produits de dégradation du terbufos dans les systèmes terrestres, à savoir </w:t>
            </w:r>
            <w:r w:rsidRPr="00F56A0E">
              <w:rPr>
                <w:lang w:val="fr-FR"/>
              </w:rPr>
              <w:lastRenderedPageBreak/>
              <w:t>le terbufos-sulfoxyde et le terbufos-sulfone, sont nettement plus persistants que le composé parent. D</w:t>
            </w:r>
            <w:r w:rsidR="00870D0E" w:rsidRPr="00F56A0E">
              <w:rPr>
                <w:lang w:val="fr-FR"/>
              </w:rPr>
              <w:t>’</w:t>
            </w:r>
            <w:r w:rsidRPr="00F56A0E">
              <w:rPr>
                <w:lang w:val="fr-FR"/>
              </w:rPr>
              <w:t>après les déclarations de pollution accidentelle recensées aux États-Unis, il est évident que le terbufos pénètre dans les systèmes aquatiques principalement par ruissellement depuis les champs traités.</w:t>
            </w:r>
          </w:p>
          <w:p w14:paraId="40EC939E" w14:textId="77777777" w:rsidR="006F1716" w:rsidRPr="00F56A0E" w:rsidRDefault="006F1716" w:rsidP="00D076A8">
            <w:pPr>
              <w:keepNext/>
              <w:outlineLvl w:val="8"/>
              <w:rPr>
                <w:rFonts w:eastAsia="Times New Roman"/>
                <w:snapToGrid w:val="0"/>
                <w:lang w:val="fr-FR" w:eastAsia="en-US"/>
              </w:rPr>
            </w:pPr>
          </w:p>
        </w:tc>
      </w:tr>
      <w:tr w:rsidR="006F1716" w:rsidRPr="00F56A0E" w14:paraId="081BB5B1" w14:textId="77777777" w:rsidTr="00D076A8">
        <w:tc>
          <w:tcPr>
            <w:tcW w:w="817" w:type="dxa"/>
            <w:shd w:val="clear" w:color="auto" w:fill="auto"/>
          </w:tcPr>
          <w:p w14:paraId="3485B67F" w14:textId="77777777" w:rsidR="006F1716" w:rsidRPr="00F56A0E" w:rsidRDefault="006F1716" w:rsidP="00D076A8">
            <w:pPr>
              <w:keepLines/>
              <w:rPr>
                <w:rFonts w:eastAsia="Times New Roman"/>
                <w:lang w:val="fr-FR"/>
              </w:rPr>
            </w:pPr>
            <w:r w:rsidRPr="00F56A0E">
              <w:rPr>
                <w:lang w:val="fr-FR"/>
              </w:rPr>
              <w:lastRenderedPageBreak/>
              <w:t>4.1.3</w:t>
            </w:r>
          </w:p>
        </w:tc>
        <w:tc>
          <w:tcPr>
            <w:tcW w:w="1701" w:type="dxa"/>
            <w:shd w:val="clear" w:color="auto" w:fill="auto"/>
          </w:tcPr>
          <w:p w14:paraId="08B6E3BB" w14:textId="77777777" w:rsidR="006F1716" w:rsidRPr="00F56A0E" w:rsidRDefault="006F1716" w:rsidP="00D076A8">
            <w:pPr>
              <w:spacing w:before="20" w:after="20"/>
              <w:outlineLvl w:val="2"/>
              <w:rPr>
                <w:rFonts w:eastAsia="Times New Roman"/>
                <w:lang w:val="fr-FR"/>
              </w:rPr>
            </w:pPr>
            <w:r w:rsidRPr="00F56A0E">
              <w:rPr>
                <w:lang w:val="fr-FR"/>
              </w:rPr>
              <w:t>Air</w:t>
            </w:r>
          </w:p>
        </w:tc>
        <w:tc>
          <w:tcPr>
            <w:tcW w:w="7121" w:type="dxa"/>
            <w:shd w:val="clear" w:color="auto" w:fill="auto"/>
          </w:tcPr>
          <w:p w14:paraId="6B4B3C3F" w14:textId="77777777" w:rsidR="006F1716" w:rsidRPr="00F56A0E" w:rsidRDefault="006F1716" w:rsidP="00D076A8">
            <w:pPr>
              <w:keepNext/>
              <w:outlineLvl w:val="8"/>
              <w:rPr>
                <w:rFonts w:eastAsia="Times New Roman"/>
                <w:b/>
                <w:snapToGrid w:val="0"/>
                <w:u w:val="single"/>
                <w:lang w:val="fr-FR"/>
              </w:rPr>
            </w:pPr>
            <w:r w:rsidRPr="00F56A0E">
              <w:rPr>
                <w:b/>
                <w:snapToGrid w:val="0"/>
                <w:u w:val="single"/>
                <w:lang w:val="fr-FR"/>
              </w:rPr>
              <w:t>PubChem (Internet)</w:t>
            </w:r>
          </w:p>
          <w:p w14:paraId="40532962" w14:textId="1C81980A" w:rsidR="006F1716" w:rsidRPr="00F56A0E" w:rsidRDefault="006F1716" w:rsidP="00D076A8">
            <w:pPr>
              <w:keepNext/>
              <w:outlineLvl w:val="8"/>
              <w:rPr>
                <w:lang w:val="fr-FR"/>
              </w:rPr>
            </w:pPr>
            <w:r w:rsidRPr="00F56A0E">
              <w:rPr>
                <w:lang w:val="fr-FR"/>
              </w:rPr>
              <w:t>La tension de vapeur du terbufos est de 3,16 x 10</w:t>
            </w:r>
            <w:r w:rsidRPr="00F56A0E">
              <w:rPr>
                <w:vertAlign w:val="superscript"/>
                <w:lang w:val="fr-FR"/>
              </w:rPr>
              <w:t>-4</w:t>
            </w:r>
            <w:r w:rsidRPr="00F56A0E">
              <w:rPr>
                <w:lang w:val="fr-FR"/>
              </w:rPr>
              <w:t xml:space="preserve"> mm Hg à 25 °C</w:t>
            </w:r>
            <w:r w:rsidR="001349EA" w:rsidRPr="00F56A0E">
              <w:rPr>
                <w:lang w:val="fr-FR"/>
              </w:rPr>
              <w:t> ;</w:t>
            </w:r>
            <w:r w:rsidRPr="00F56A0E">
              <w:rPr>
                <w:lang w:val="fr-FR"/>
              </w:rPr>
              <w:t xml:space="preserve"> le terbufos n</w:t>
            </w:r>
            <w:r w:rsidR="00870D0E" w:rsidRPr="00F56A0E">
              <w:rPr>
                <w:lang w:val="fr-FR"/>
              </w:rPr>
              <w:t>’</w:t>
            </w:r>
            <w:r w:rsidRPr="00F56A0E">
              <w:rPr>
                <w:lang w:val="fr-FR"/>
              </w:rPr>
              <w:t>est par conséquent présent que sous forme de vapeur dans l</w:t>
            </w:r>
            <w:r w:rsidR="00870D0E" w:rsidRPr="00F56A0E">
              <w:rPr>
                <w:lang w:val="fr-FR"/>
              </w:rPr>
              <w:t>’</w:t>
            </w:r>
            <w:r w:rsidRPr="00F56A0E">
              <w:rPr>
                <w:lang w:val="fr-FR"/>
              </w:rPr>
              <w:t xml:space="preserve">air ambiant. </w:t>
            </w:r>
            <w:r w:rsidR="000B5DB1" w:rsidRPr="00F56A0E">
              <w:rPr>
                <w:lang w:val="fr-FR"/>
              </w:rPr>
              <w:t>E</w:t>
            </w:r>
            <w:r w:rsidRPr="00F56A0E">
              <w:rPr>
                <w:lang w:val="fr-FR"/>
              </w:rPr>
              <w:t>n phase vapeur</w:t>
            </w:r>
            <w:r w:rsidR="000B5DB1" w:rsidRPr="00F56A0E">
              <w:rPr>
                <w:lang w:val="fr-FR"/>
              </w:rPr>
              <w:t>, il</w:t>
            </w:r>
            <w:r w:rsidRPr="00F56A0E">
              <w:rPr>
                <w:lang w:val="fr-FR"/>
              </w:rPr>
              <w:t xml:space="preserve"> est dégradé dans l</w:t>
            </w:r>
            <w:r w:rsidR="00870D0E" w:rsidRPr="00F56A0E">
              <w:rPr>
                <w:lang w:val="fr-FR"/>
              </w:rPr>
              <w:t>’</w:t>
            </w:r>
            <w:r w:rsidRPr="00F56A0E">
              <w:rPr>
                <w:lang w:val="fr-FR"/>
              </w:rPr>
              <w:t>atmosphère par réaction avec des radicaux hydroxyles produits par voie photochimique</w:t>
            </w:r>
            <w:r w:rsidR="001349EA" w:rsidRPr="00F56A0E">
              <w:rPr>
                <w:lang w:val="fr-FR"/>
              </w:rPr>
              <w:t> ;</w:t>
            </w:r>
            <w:r w:rsidRPr="00F56A0E">
              <w:rPr>
                <w:lang w:val="fr-FR"/>
              </w:rPr>
              <w:t xml:space="preserve"> </w:t>
            </w:r>
            <w:r w:rsidR="000B5DB1" w:rsidRPr="00F56A0E">
              <w:rPr>
                <w:lang w:val="fr-FR"/>
              </w:rPr>
              <w:t>s</w:t>
            </w:r>
            <w:r w:rsidRPr="00F56A0E">
              <w:rPr>
                <w:lang w:val="fr-FR"/>
              </w:rPr>
              <w:t>a demi-vie atmosphérique est estimée à 1,6 h. Le terbufos ne comprend pas de groupes fonctionnels susceptibles d</w:t>
            </w:r>
            <w:r w:rsidR="00870D0E" w:rsidRPr="00F56A0E">
              <w:rPr>
                <w:lang w:val="fr-FR"/>
              </w:rPr>
              <w:t>’</w:t>
            </w:r>
            <w:r w:rsidRPr="00F56A0E">
              <w:rPr>
                <w:lang w:val="fr-FR"/>
              </w:rPr>
              <w:t>absorber des rayonnements lumineux de longueur d</w:t>
            </w:r>
            <w:r w:rsidR="00870D0E" w:rsidRPr="00F56A0E">
              <w:rPr>
                <w:lang w:val="fr-FR"/>
              </w:rPr>
              <w:t>’</w:t>
            </w:r>
            <w:r w:rsidRPr="00F56A0E">
              <w:rPr>
                <w:lang w:val="fr-FR"/>
              </w:rPr>
              <w:t>onde &gt; 290 nm, et ne devrait pas être sensible à la photolyse directe par la lumière du soleil. Sa constante de Henry est de 0,000024 atm.m</w:t>
            </w:r>
            <w:r w:rsidRPr="00F56A0E">
              <w:rPr>
                <w:vertAlign w:val="superscript"/>
                <w:lang w:val="fr-FR"/>
              </w:rPr>
              <w:t>3</w:t>
            </w:r>
            <w:r w:rsidRPr="00F56A0E">
              <w:rPr>
                <w:lang w:val="fr-FR"/>
              </w:rPr>
              <w:t>/mol, ce qui indique qu</w:t>
            </w:r>
            <w:r w:rsidR="00870D0E" w:rsidRPr="00F56A0E">
              <w:rPr>
                <w:lang w:val="fr-FR"/>
              </w:rPr>
              <w:t>’</w:t>
            </w:r>
            <w:r w:rsidR="00F13FE6" w:rsidRPr="00F56A0E">
              <w:rPr>
                <w:lang w:val="fr-FR"/>
              </w:rPr>
              <w:t>il devrait se volatiliser de</w:t>
            </w:r>
            <w:r w:rsidRPr="00F56A0E">
              <w:rPr>
                <w:lang w:val="fr-FR"/>
              </w:rPr>
              <w:t xml:space="preserve"> la surface des sols humides. Cependant, l</w:t>
            </w:r>
            <w:r w:rsidR="00870D0E" w:rsidRPr="00F56A0E">
              <w:rPr>
                <w:lang w:val="fr-FR"/>
              </w:rPr>
              <w:t>’</w:t>
            </w:r>
            <w:r w:rsidRPr="00F56A0E">
              <w:rPr>
                <w:lang w:val="fr-FR"/>
              </w:rPr>
              <w:t xml:space="preserve">adsorption </w:t>
            </w:r>
            <w:r w:rsidR="000B5DB1" w:rsidRPr="00F56A0E">
              <w:rPr>
                <w:lang w:val="fr-FR"/>
              </w:rPr>
              <w:t>sur les particules du</w:t>
            </w:r>
            <w:r w:rsidRPr="00F56A0E">
              <w:rPr>
                <w:lang w:val="fr-FR"/>
              </w:rPr>
              <w:t xml:space="preserve"> sol devrait atténuer </w:t>
            </w:r>
            <w:r w:rsidR="00F13FE6" w:rsidRPr="00F56A0E">
              <w:rPr>
                <w:lang w:val="fr-FR"/>
              </w:rPr>
              <w:t>cette</w:t>
            </w:r>
            <w:r w:rsidRPr="00F56A0E">
              <w:rPr>
                <w:lang w:val="fr-FR"/>
              </w:rPr>
              <w:t xml:space="preserve"> volatilisation. Compte tenu de sa tension de vapeur, </w:t>
            </w:r>
            <w:r w:rsidR="00F13FE6" w:rsidRPr="00F56A0E">
              <w:rPr>
                <w:lang w:val="fr-FR"/>
              </w:rPr>
              <w:t>il</w:t>
            </w:r>
            <w:r w:rsidRPr="00F56A0E">
              <w:rPr>
                <w:lang w:val="fr-FR"/>
              </w:rPr>
              <w:t xml:space="preserve"> ne devrait pas se volatiliser depuis les sols secs. </w:t>
            </w:r>
            <w:r w:rsidR="00F13FE6" w:rsidRPr="00F56A0E">
              <w:rPr>
                <w:lang w:val="fr-FR"/>
              </w:rPr>
              <w:t>S</w:t>
            </w:r>
            <w:r w:rsidRPr="00F56A0E">
              <w:rPr>
                <w:lang w:val="fr-FR"/>
              </w:rPr>
              <w:t>a constante de Henry indique qu</w:t>
            </w:r>
            <w:r w:rsidR="00870D0E" w:rsidRPr="00F56A0E">
              <w:rPr>
                <w:lang w:val="fr-FR"/>
              </w:rPr>
              <w:t>’</w:t>
            </w:r>
            <w:r w:rsidR="00F13FE6" w:rsidRPr="00F56A0E">
              <w:rPr>
                <w:lang w:val="fr-FR"/>
              </w:rPr>
              <w:t>il</w:t>
            </w:r>
            <w:r w:rsidRPr="00F56A0E">
              <w:rPr>
                <w:lang w:val="fr-FR"/>
              </w:rPr>
              <w:t xml:space="preserve"> peut se volatiliser à partir de la surface des eaux superficielles. Les demi-vies de volatilisation estimées pour un cours d</w:t>
            </w:r>
            <w:r w:rsidR="00870D0E" w:rsidRPr="00F56A0E">
              <w:rPr>
                <w:lang w:val="fr-FR"/>
              </w:rPr>
              <w:t>’</w:t>
            </w:r>
            <w:r w:rsidRPr="00F56A0E">
              <w:rPr>
                <w:lang w:val="fr-FR"/>
              </w:rPr>
              <w:t>eau et un lac types sont de 2,8 et 26 jours, respectivement. Cependant, l</w:t>
            </w:r>
            <w:r w:rsidR="00870D0E" w:rsidRPr="00F56A0E">
              <w:rPr>
                <w:lang w:val="fr-FR"/>
              </w:rPr>
              <w:t>’</w:t>
            </w:r>
            <w:r w:rsidRPr="00F56A0E">
              <w:rPr>
                <w:lang w:val="fr-FR"/>
              </w:rPr>
              <w:t>adsorption sur les matières en suspension et les sédiments de la colonne d</w:t>
            </w:r>
            <w:r w:rsidR="00870D0E" w:rsidRPr="00F56A0E">
              <w:rPr>
                <w:lang w:val="fr-FR"/>
              </w:rPr>
              <w:t>’</w:t>
            </w:r>
            <w:r w:rsidRPr="00F56A0E">
              <w:rPr>
                <w:lang w:val="fr-FR"/>
              </w:rPr>
              <w:t xml:space="preserve">eau devrait atténuer la volatilisation. </w:t>
            </w:r>
          </w:p>
          <w:p w14:paraId="51676F0A" w14:textId="77777777" w:rsidR="006F1716" w:rsidRPr="00F56A0E" w:rsidRDefault="006F1716" w:rsidP="00D076A8">
            <w:pPr>
              <w:keepNext/>
              <w:outlineLvl w:val="8"/>
              <w:rPr>
                <w:rFonts w:eastAsia="Times New Roman"/>
                <w:snapToGrid w:val="0"/>
                <w:lang w:val="fr-FR" w:eastAsia="en-US"/>
              </w:rPr>
            </w:pPr>
          </w:p>
        </w:tc>
      </w:tr>
      <w:tr w:rsidR="006F1716" w:rsidRPr="00F56A0E" w14:paraId="1C7E8310" w14:textId="77777777" w:rsidTr="00D076A8">
        <w:tc>
          <w:tcPr>
            <w:tcW w:w="817" w:type="dxa"/>
            <w:shd w:val="clear" w:color="auto" w:fill="auto"/>
          </w:tcPr>
          <w:p w14:paraId="2A15FFB9" w14:textId="77777777" w:rsidR="006F1716" w:rsidRPr="00F56A0E" w:rsidRDefault="006F1716" w:rsidP="00D076A8">
            <w:pPr>
              <w:keepLines/>
              <w:rPr>
                <w:rFonts w:eastAsia="Times New Roman"/>
                <w:lang w:val="fr-FR"/>
              </w:rPr>
            </w:pPr>
            <w:r w:rsidRPr="00F56A0E">
              <w:rPr>
                <w:lang w:val="fr-FR"/>
              </w:rPr>
              <w:t>4.1.4</w:t>
            </w:r>
          </w:p>
        </w:tc>
        <w:tc>
          <w:tcPr>
            <w:tcW w:w="1701" w:type="dxa"/>
            <w:shd w:val="clear" w:color="auto" w:fill="auto"/>
          </w:tcPr>
          <w:p w14:paraId="29002D6E" w14:textId="77777777" w:rsidR="006F1716" w:rsidRPr="00F56A0E" w:rsidRDefault="006F1716" w:rsidP="00D076A8">
            <w:pPr>
              <w:spacing w:before="20" w:after="20"/>
              <w:outlineLvl w:val="2"/>
              <w:rPr>
                <w:rFonts w:eastAsia="Times New Roman"/>
                <w:lang w:val="fr-FR"/>
              </w:rPr>
            </w:pPr>
            <w:r w:rsidRPr="00F56A0E">
              <w:rPr>
                <w:lang w:val="fr-FR"/>
              </w:rPr>
              <w:t>Bioconcentration</w:t>
            </w:r>
          </w:p>
        </w:tc>
        <w:tc>
          <w:tcPr>
            <w:tcW w:w="7121" w:type="dxa"/>
            <w:shd w:val="clear" w:color="auto" w:fill="auto"/>
          </w:tcPr>
          <w:p w14:paraId="06DBAAE8" w14:textId="77777777" w:rsidR="006F1716" w:rsidRPr="00F56A0E" w:rsidRDefault="006F1716" w:rsidP="00D076A8">
            <w:pPr>
              <w:rPr>
                <w:rFonts w:eastAsia="Times New Roman"/>
                <w:b/>
                <w:u w:val="single"/>
                <w:lang w:val="fr-FR"/>
              </w:rPr>
            </w:pPr>
            <w:r w:rsidRPr="00F56A0E">
              <w:rPr>
                <w:b/>
                <w:u w:val="single"/>
                <w:lang w:val="fr-FR"/>
              </w:rPr>
              <w:t>Canada</w:t>
            </w:r>
          </w:p>
          <w:p w14:paraId="343846DF" w14:textId="77777777" w:rsidR="006F1716" w:rsidRPr="00F56A0E" w:rsidRDefault="006F1716" w:rsidP="00D076A8">
            <w:pPr>
              <w:rPr>
                <w:rFonts w:eastAsia="Times New Roman"/>
                <w:lang w:val="fr-FR"/>
              </w:rPr>
            </w:pPr>
            <w:r w:rsidRPr="00F56A0E">
              <w:rPr>
                <w:lang w:val="fr-FR"/>
              </w:rPr>
              <w:t>Les coefficients de partage octanol-eau montrent que le composé parent présente un potentiel de bioaccumulation, et que celui-ci est limité pour le terbufos-sulfone et le terbufos-sulfoxyde. Les études menées sur les poissons indiquent que le terbufos présente un potentiel de bioconcentration.</w:t>
            </w:r>
          </w:p>
          <w:p w14:paraId="6E03A284" w14:textId="77777777" w:rsidR="006F1716" w:rsidRPr="00F56A0E" w:rsidRDefault="006F1716" w:rsidP="00D076A8">
            <w:pPr>
              <w:rPr>
                <w:rFonts w:eastAsia="Times New Roman"/>
                <w:snapToGrid w:val="0"/>
                <w:lang w:val="fr-FR" w:eastAsia="en-US"/>
              </w:rPr>
            </w:pPr>
          </w:p>
        </w:tc>
      </w:tr>
      <w:tr w:rsidR="006F1716" w:rsidRPr="00F56A0E" w14:paraId="7015E98D" w14:textId="77777777" w:rsidTr="00D076A8">
        <w:tc>
          <w:tcPr>
            <w:tcW w:w="817" w:type="dxa"/>
            <w:shd w:val="clear" w:color="auto" w:fill="auto"/>
          </w:tcPr>
          <w:p w14:paraId="3C76BFE0" w14:textId="77777777" w:rsidR="006F1716" w:rsidRPr="00F56A0E" w:rsidRDefault="006F1716" w:rsidP="00D076A8">
            <w:pPr>
              <w:keepLines/>
              <w:rPr>
                <w:rFonts w:eastAsia="Times New Roman"/>
                <w:lang w:val="fr-FR"/>
              </w:rPr>
            </w:pPr>
            <w:r w:rsidRPr="00F56A0E">
              <w:rPr>
                <w:lang w:val="fr-FR"/>
              </w:rPr>
              <w:t>4.1.5</w:t>
            </w:r>
          </w:p>
        </w:tc>
        <w:tc>
          <w:tcPr>
            <w:tcW w:w="1701" w:type="dxa"/>
            <w:shd w:val="clear" w:color="auto" w:fill="auto"/>
          </w:tcPr>
          <w:p w14:paraId="32ABBDA8" w14:textId="77777777" w:rsidR="006F1716" w:rsidRPr="00F56A0E" w:rsidRDefault="006F1716" w:rsidP="00D076A8">
            <w:pPr>
              <w:spacing w:before="20" w:after="20"/>
              <w:outlineLvl w:val="2"/>
              <w:rPr>
                <w:rFonts w:eastAsia="Times New Roman"/>
                <w:lang w:val="fr-FR"/>
              </w:rPr>
            </w:pPr>
            <w:r w:rsidRPr="00F56A0E">
              <w:rPr>
                <w:lang w:val="fr-FR"/>
              </w:rPr>
              <w:t>Persistance</w:t>
            </w:r>
          </w:p>
        </w:tc>
        <w:tc>
          <w:tcPr>
            <w:tcW w:w="7121" w:type="dxa"/>
            <w:shd w:val="clear" w:color="auto" w:fill="auto"/>
          </w:tcPr>
          <w:p w14:paraId="0197A23D" w14:textId="77777777" w:rsidR="006F1716" w:rsidRPr="00F56A0E" w:rsidRDefault="006F1716" w:rsidP="00D076A8">
            <w:pPr>
              <w:rPr>
                <w:rFonts w:eastAsia="Times New Roman"/>
                <w:b/>
                <w:snapToGrid w:val="0"/>
                <w:u w:val="single"/>
                <w:lang w:val="fr-FR"/>
              </w:rPr>
            </w:pPr>
            <w:r w:rsidRPr="00F56A0E">
              <w:rPr>
                <w:b/>
                <w:snapToGrid w:val="0"/>
                <w:u w:val="single"/>
                <w:lang w:val="fr-FR"/>
              </w:rPr>
              <w:t>Canada</w:t>
            </w:r>
          </w:p>
          <w:p w14:paraId="3137A739" w14:textId="4470A6FA" w:rsidR="006F1716" w:rsidRPr="00F56A0E" w:rsidRDefault="006F1716" w:rsidP="00D076A8">
            <w:pPr>
              <w:keepNext/>
              <w:outlineLvl w:val="8"/>
              <w:rPr>
                <w:lang w:val="fr-FR"/>
              </w:rPr>
            </w:pPr>
            <w:r w:rsidRPr="00F56A0E">
              <w:rPr>
                <w:lang w:val="fr-FR"/>
              </w:rPr>
              <w:t>L</w:t>
            </w:r>
            <w:r w:rsidR="00870D0E" w:rsidRPr="00F56A0E">
              <w:rPr>
                <w:lang w:val="fr-FR"/>
              </w:rPr>
              <w:t>’</w:t>
            </w:r>
            <w:r w:rsidRPr="00F56A0E">
              <w:rPr>
                <w:lang w:val="fr-FR"/>
              </w:rPr>
              <w:t>ARLA a conclu que le terbufos ne répond pas aux critères de persistance énoncés dans la Politique de gestion des substances toxiques du Canada. Les données disponibles montrent qu</w:t>
            </w:r>
            <w:r w:rsidR="00870D0E" w:rsidRPr="00F56A0E">
              <w:rPr>
                <w:lang w:val="fr-FR"/>
              </w:rPr>
              <w:t>’</w:t>
            </w:r>
            <w:r w:rsidR="00F13FE6" w:rsidRPr="00F56A0E">
              <w:rPr>
                <w:lang w:val="fr-FR"/>
              </w:rPr>
              <w:t>il</w:t>
            </w:r>
            <w:r w:rsidRPr="00F56A0E">
              <w:rPr>
                <w:lang w:val="fr-FR"/>
              </w:rPr>
              <w:t xml:space="preserve"> est faiblement à modérément persistant dans les sols, en fonction de leurs caractéristiques et de la température. </w:t>
            </w:r>
            <w:r w:rsidR="00F13FE6" w:rsidRPr="00F56A0E">
              <w:rPr>
                <w:lang w:val="fr-FR"/>
              </w:rPr>
              <w:t>S</w:t>
            </w:r>
            <w:r w:rsidRPr="00F56A0E">
              <w:rPr>
                <w:lang w:val="fr-FR"/>
              </w:rPr>
              <w:t xml:space="preserve">a demi-vie dans les systèmes eau-sédiments est comprise entre 27 et 41 jours, avec une dégradation relativement rapide dans la phase aqueuse, et une dégradation plus lente </w:t>
            </w:r>
            <w:r w:rsidR="00F13FE6" w:rsidRPr="00F56A0E">
              <w:rPr>
                <w:lang w:val="fr-FR"/>
              </w:rPr>
              <w:t>de la fraction</w:t>
            </w:r>
            <w:r w:rsidRPr="00F56A0E">
              <w:rPr>
                <w:lang w:val="fr-FR"/>
              </w:rPr>
              <w:t xml:space="preserve"> </w:t>
            </w:r>
            <w:r w:rsidR="00F13FE6" w:rsidRPr="00F56A0E">
              <w:rPr>
                <w:lang w:val="fr-FR"/>
              </w:rPr>
              <w:t>ad</w:t>
            </w:r>
            <w:r w:rsidRPr="00F56A0E">
              <w:rPr>
                <w:lang w:val="fr-FR"/>
              </w:rPr>
              <w:t>sorbé</w:t>
            </w:r>
            <w:r w:rsidR="00F13FE6" w:rsidRPr="00F56A0E">
              <w:rPr>
                <w:lang w:val="fr-FR"/>
              </w:rPr>
              <w:t>e</w:t>
            </w:r>
            <w:r w:rsidRPr="00F56A0E">
              <w:rPr>
                <w:lang w:val="fr-FR"/>
              </w:rPr>
              <w:t xml:space="preserve"> sur les sédiments. </w:t>
            </w:r>
          </w:p>
          <w:p w14:paraId="3F16FDDD" w14:textId="77777777" w:rsidR="006F1716" w:rsidRPr="00F56A0E" w:rsidRDefault="006F1716" w:rsidP="00D076A8">
            <w:pPr>
              <w:keepNext/>
              <w:outlineLvl w:val="8"/>
              <w:rPr>
                <w:rFonts w:eastAsia="Times New Roman"/>
                <w:snapToGrid w:val="0"/>
                <w:lang w:val="fr-FR" w:eastAsia="en-US"/>
              </w:rPr>
            </w:pPr>
          </w:p>
        </w:tc>
      </w:tr>
      <w:tr w:rsidR="006F1716" w:rsidRPr="00F56A0E" w14:paraId="4BCD76BC" w14:textId="77777777" w:rsidTr="00D076A8">
        <w:tc>
          <w:tcPr>
            <w:tcW w:w="817" w:type="dxa"/>
            <w:shd w:val="clear" w:color="auto" w:fill="auto"/>
          </w:tcPr>
          <w:p w14:paraId="13ADBBB7" w14:textId="77777777" w:rsidR="006F1716" w:rsidRPr="00F56A0E" w:rsidRDefault="006F1716" w:rsidP="00D076A8">
            <w:pPr>
              <w:keepLines/>
              <w:rPr>
                <w:rFonts w:eastAsia="Times New Roman"/>
                <w:lang w:val="fr-FR"/>
              </w:rPr>
            </w:pPr>
            <w:r w:rsidRPr="00F56A0E">
              <w:rPr>
                <w:lang w:val="fr-FR"/>
              </w:rPr>
              <w:t>4.2</w:t>
            </w:r>
          </w:p>
        </w:tc>
        <w:tc>
          <w:tcPr>
            <w:tcW w:w="1701" w:type="dxa"/>
            <w:shd w:val="clear" w:color="auto" w:fill="auto"/>
          </w:tcPr>
          <w:p w14:paraId="0B0707C4" w14:textId="2511664A" w:rsidR="006F1716" w:rsidRPr="00F56A0E" w:rsidRDefault="006F1716" w:rsidP="00D076A8">
            <w:pPr>
              <w:spacing w:before="20" w:after="20"/>
              <w:outlineLvl w:val="2"/>
              <w:rPr>
                <w:rFonts w:eastAsia="Times New Roman"/>
                <w:lang w:val="fr-FR"/>
              </w:rPr>
            </w:pPr>
            <w:r w:rsidRPr="00F56A0E">
              <w:rPr>
                <w:lang w:val="fr-FR"/>
              </w:rPr>
              <w:t>Effets sur les</w:t>
            </w:r>
            <w:r w:rsidR="00153B34" w:rsidRPr="00F56A0E">
              <w:rPr>
                <w:lang w:val="fr-FR"/>
              </w:rPr>
              <w:t> </w:t>
            </w:r>
            <w:r w:rsidRPr="00F56A0E">
              <w:rPr>
                <w:lang w:val="fr-FR"/>
              </w:rPr>
              <w:t>organismes non visés</w:t>
            </w:r>
          </w:p>
        </w:tc>
        <w:tc>
          <w:tcPr>
            <w:tcW w:w="7121" w:type="dxa"/>
            <w:shd w:val="clear" w:color="auto" w:fill="auto"/>
          </w:tcPr>
          <w:p w14:paraId="27C1AB18" w14:textId="77777777" w:rsidR="006F1716" w:rsidRPr="00F56A0E" w:rsidRDefault="006F1716" w:rsidP="00D076A8">
            <w:pPr>
              <w:spacing w:before="279" w:line="266" w:lineRule="exact"/>
              <w:ind w:right="72"/>
              <w:textAlignment w:val="baseline"/>
              <w:rPr>
                <w:rFonts w:eastAsia="Times New Roman"/>
                <w:snapToGrid w:val="0"/>
                <w:lang w:val="fr-FR" w:eastAsia="en-US"/>
              </w:rPr>
            </w:pPr>
          </w:p>
        </w:tc>
      </w:tr>
      <w:tr w:rsidR="006F1716" w:rsidRPr="00F56A0E" w14:paraId="177AC489" w14:textId="77777777" w:rsidTr="00D076A8">
        <w:tc>
          <w:tcPr>
            <w:tcW w:w="817" w:type="dxa"/>
            <w:shd w:val="clear" w:color="auto" w:fill="auto"/>
          </w:tcPr>
          <w:p w14:paraId="2450DAEC" w14:textId="77777777" w:rsidR="006F1716" w:rsidRPr="00F56A0E" w:rsidRDefault="006F1716" w:rsidP="00D076A8">
            <w:pPr>
              <w:keepLines/>
              <w:rPr>
                <w:rFonts w:eastAsia="Times New Roman"/>
                <w:lang w:val="fr-FR"/>
              </w:rPr>
            </w:pPr>
            <w:r w:rsidRPr="00F56A0E">
              <w:rPr>
                <w:lang w:val="fr-FR"/>
              </w:rPr>
              <w:t>4.2.1</w:t>
            </w:r>
          </w:p>
        </w:tc>
        <w:tc>
          <w:tcPr>
            <w:tcW w:w="1701" w:type="dxa"/>
            <w:shd w:val="clear" w:color="auto" w:fill="auto"/>
          </w:tcPr>
          <w:p w14:paraId="4CEB544B" w14:textId="77777777" w:rsidR="006F1716" w:rsidRPr="00F56A0E" w:rsidRDefault="006F1716" w:rsidP="00D076A8">
            <w:pPr>
              <w:spacing w:before="20" w:after="20"/>
              <w:outlineLvl w:val="2"/>
              <w:rPr>
                <w:rFonts w:eastAsia="Times New Roman"/>
                <w:lang w:val="fr-FR"/>
              </w:rPr>
            </w:pPr>
            <w:r w:rsidRPr="00F56A0E">
              <w:rPr>
                <w:lang w:val="fr-FR"/>
              </w:rPr>
              <w:t>Vertébrés terrestres</w:t>
            </w:r>
          </w:p>
        </w:tc>
        <w:tc>
          <w:tcPr>
            <w:tcW w:w="7121" w:type="dxa"/>
            <w:shd w:val="clear" w:color="auto" w:fill="auto"/>
          </w:tcPr>
          <w:p w14:paraId="7B0DA2CD" w14:textId="77777777" w:rsidR="006F1716" w:rsidRPr="00F56A0E" w:rsidRDefault="006F1716" w:rsidP="00D076A8">
            <w:pPr>
              <w:textAlignment w:val="baseline"/>
              <w:rPr>
                <w:b/>
                <w:color w:val="000000"/>
                <w:spacing w:val="1"/>
                <w:u w:val="single"/>
                <w:lang w:val="fr-FR"/>
              </w:rPr>
            </w:pPr>
            <w:r w:rsidRPr="00F56A0E">
              <w:rPr>
                <w:b/>
                <w:color w:val="000000"/>
                <w:u w:val="single"/>
                <w:lang w:val="fr-FR"/>
              </w:rPr>
              <w:t>PPDB (Internet)</w:t>
            </w:r>
          </w:p>
          <w:p w14:paraId="552B7F58" w14:textId="79E66DA0" w:rsidR="006F1716" w:rsidRPr="00F56A0E" w:rsidRDefault="006F1716" w:rsidP="00D076A8">
            <w:pPr>
              <w:ind w:right="1440"/>
              <w:textAlignment w:val="baseline"/>
              <w:rPr>
                <w:i/>
                <w:lang w:val="fr-FR"/>
              </w:rPr>
            </w:pPr>
            <w:r w:rsidRPr="00F56A0E">
              <w:rPr>
                <w:color w:val="000000"/>
                <w:lang w:val="fr-FR"/>
              </w:rPr>
              <w:t>Mammifères - DL</w:t>
            </w:r>
            <w:r w:rsidRPr="00F56A0E">
              <w:rPr>
                <w:color w:val="000000"/>
                <w:vertAlign w:val="subscript"/>
                <w:lang w:val="fr-FR"/>
              </w:rPr>
              <w:t>50</w:t>
            </w:r>
            <w:r w:rsidRPr="00F56A0E">
              <w:rPr>
                <w:color w:val="000000"/>
                <w:lang w:val="fr-FR"/>
              </w:rPr>
              <w:t xml:space="preserve"> aiguë par voie orale chez le rat</w:t>
            </w:r>
            <w:r w:rsidR="00157D75" w:rsidRPr="00F56A0E">
              <w:rPr>
                <w:color w:val="000000"/>
                <w:lang w:val="fr-FR"/>
              </w:rPr>
              <w:t> :</w:t>
            </w:r>
            <w:r w:rsidRPr="00F56A0E">
              <w:rPr>
                <w:color w:val="000000"/>
                <w:lang w:val="fr-FR"/>
              </w:rPr>
              <w:t xml:space="preserve"> 1,3</w:t>
            </w:r>
            <w:r w:rsidRPr="00F56A0E">
              <w:rPr>
                <w:lang w:val="fr-FR"/>
              </w:rPr>
              <w:t> mg/kg p.c.</w:t>
            </w:r>
          </w:p>
          <w:p w14:paraId="00C129F7" w14:textId="1BA153EC" w:rsidR="006F1716" w:rsidRPr="00F56A0E" w:rsidRDefault="006F1716" w:rsidP="00F13FE6">
            <w:pPr>
              <w:ind w:right="169"/>
              <w:textAlignment w:val="baseline"/>
              <w:rPr>
                <w:rFonts w:eastAsia="Times New Roman"/>
                <w:color w:val="000000"/>
                <w:spacing w:val="-2"/>
                <w:lang w:val="fr-FR"/>
              </w:rPr>
            </w:pPr>
            <w:r w:rsidRPr="00F56A0E">
              <w:rPr>
                <w:color w:val="000000"/>
                <w:lang w:val="fr-FR"/>
              </w:rPr>
              <w:t>Mammifères - DSEO à court terme par voie alimentaire chez le rat (étude de 2 ans)</w:t>
            </w:r>
            <w:r w:rsidR="00157D75" w:rsidRPr="00F56A0E">
              <w:rPr>
                <w:color w:val="000000"/>
                <w:lang w:val="fr-FR"/>
              </w:rPr>
              <w:t> :</w:t>
            </w:r>
            <w:r w:rsidRPr="00F56A0E">
              <w:rPr>
                <w:color w:val="000000"/>
                <w:lang w:val="fr-FR"/>
              </w:rPr>
              <w:t xml:space="preserve"> 1 ppm</w:t>
            </w:r>
          </w:p>
          <w:p w14:paraId="0D7397CA" w14:textId="77777777" w:rsidR="006F1716" w:rsidRPr="00F56A0E" w:rsidRDefault="006F1716" w:rsidP="00F13FE6">
            <w:pPr>
              <w:ind w:right="169"/>
              <w:textAlignment w:val="baseline"/>
              <w:rPr>
                <w:i/>
                <w:iCs/>
                <w:lang w:val="fr-FR"/>
              </w:rPr>
            </w:pPr>
            <w:r w:rsidRPr="00F56A0E">
              <w:rPr>
                <w:color w:val="000000"/>
                <w:lang w:val="fr-FR"/>
              </w:rPr>
              <w:t>Oiseaux - DL</w:t>
            </w:r>
            <w:r w:rsidRPr="00F56A0E">
              <w:rPr>
                <w:color w:val="000000"/>
                <w:vertAlign w:val="subscript"/>
                <w:lang w:val="fr-FR"/>
              </w:rPr>
              <w:t>50</w:t>
            </w:r>
            <w:r w:rsidRPr="00F56A0E">
              <w:rPr>
                <w:color w:val="000000"/>
                <w:lang w:val="fr-FR"/>
              </w:rPr>
              <w:t xml:space="preserve"> aiguë chez le canard colvert (</w:t>
            </w:r>
            <w:r w:rsidRPr="00F56A0E">
              <w:rPr>
                <w:i/>
                <w:color w:val="000000"/>
                <w:lang w:val="fr-FR"/>
              </w:rPr>
              <w:t>Anas platyrhynchos</w:t>
            </w:r>
            <w:r w:rsidRPr="00F56A0E">
              <w:rPr>
                <w:color w:val="000000"/>
                <w:lang w:val="fr-FR"/>
              </w:rPr>
              <w:t>) &gt;</w:t>
            </w:r>
            <w:r w:rsidRPr="00F56A0E">
              <w:rPr>
                <w:lang w:val="fr-FR"/>
              </w:rPr>
              <w:t>185</w:t>
            </w:r>
            <w:r w:rsidRPr="00F56A0E">
              <w:rPr>
                <w:color w:val="000000"/>
                <w:lang w:val="fr-FR"/>
              </w:rPr>
              <w:t xml:space="preserve"> mg/kg </w:t>
            </w:r>
            <w:r w:rsidRPr="00F56A0E">
              <w:rPr>
                <w:lang w:val="fr-FR"/>
              </w:rPr>
              <w:t xml:space="preserve">p.c. </w:t>
            </w:r>
          </w:p>
          <w:p w14:paraId="215D6866" w14:textId="77777777" w:rsidR="006F1716" w:rsidRPr="00F56A0E" w:rsidRDefault="006F1716" w:rsidP="0089280B">
            <w:pPr>
              <w:rPr>
                <w:rFonts w:eastAsia="Times New Roman"/>
                <w:snapToGrid w:val="0"/>
                <w:lang w:val="fr-FR" w:eastAsia="en-US"/>
              </w:rPr>
            </w:pPr>
          </w:p>
        </w:tc>
      </w:tr>
      <w:tr w:rsidR="006F1716" w:rsidRPr="00F56A0E" w14:paraId="25A9C4E0" w14:textId="77777777" w:rsidTr="00D076A8">
        <w:tc>
          <w:tcPr>
            <w:tcW w:w="817" w:type="dxa"/>
            <w:shd w:val="clear" w:color="auto" w:fill="auto"/>
          </w:tcPr>
          <w:p w14:paraId="5BD26714" w14:textId="77777777" w:rsidR="006F1716" w:rsidRPr="00F56A0E" w:rsidRDefault="006F1716" w:rsidP="00D076A8">
            <w:pPr>
              <w:keepLines/>
              <w:rPr>
                <w:rFonts w:eastAsia="Times New Roman"/>
                <w:lang w:val="fr-FR"/>
              </w:rPr>
            </w:pPr>
            <w:r w:rsidRPr="00F56A0E">
              <w:rPr>
                <w:lang w:val="fr-FR"/>
              </w:rPr>
              <w:t>4.2.2</w:t>
            </w:r>
          </w:p>
        </w:tc>
        <w:tc>
          <w:tcPr>
            <w:tcW w:w="1701" w:type="dxa"/>
            <w:shd w:val="clear" w:color="auto" w:fill="auto"/>
          </w:tcPr>
          <w:p w14:paraId="31C943A8" w14:textId="77777777" w:rsidR="006F1716" w:rsidRPr="00F56A0E" w:rsidRDefault="006F1716" w:rsidP="00D076A8">
            <w:pPr>
              <w:spacing w:before="20" w:after="20"/>
              <w:outlineLvl w:val="2"/>
              <w:rPr>
                <w:rFonts w:eastAsia="Times New Roman"/>
                <w:lang w:val="fr-FR"/>
              </w:rPr>
            </w:pPr>
            <w:r w:rsidRPr="00F56A0E">
              <w:rPr>
                <w:lang w:val="fr-FR"/>
              </w:rPr>
              <w:t>Espèces aquatiques</w:t>
            </w:r>
          </w:p>
        </w:tc>
        <w:tc>
          <w:tcPr>
            <w:tcW w:w="7121" w:type="dxa"/>
            <w:shd w:val="clear" w:color="auto" w:fill="auto"/>
          </w:tcPr>
          <w:p w14:paraId="11355242" w14:textId="77777777" w:rsidR="006F1716" w:rsidRPr="00F56A0E" w:rsidRDefault="006F1716" w:rsidP="00D076A8">
            <w:pPr>
              <w:textAlignment w:val="baseline"/>
              <w:rPr>
                <w:rFonts w:eastAsia="Times New Roman"/>
                <w:b/>
                <w:color w:val="000000"/>
                <w:spacing w:val="1"/>
                <w:u w:val="single"/>
                <w:lang w:val="fr-FR"/>
              </w:rPr>
            </w:pPr>
            <w:r w:rsidRPr="00F56A0E">
              <w:rPr>
                <w:b/>
                <w:color w:val="000000"/>
                <w:u w:val="single"/>
                <w:lang w:val="fr-FR"/>
              </w:rPr>
              <w:t>PPDB (Internet)</w:t>
            </w:r>
          </w:p>
          <w:p w14:paraId="45A179BB" w14:textId="5738DED5" w:rsidR="006F1716" w:rsidRPr="00F56A0E" w:rsidRDefault="006F1716" w:rsidP="00F13FE6">
            <w:pPr>
              <w:ind w:right="169"/>
              <w:textAlignment w:val="baseline"/>
              <w:rPr>
                <w:i/>
                <w:iCs/>
                <w:lang w:val="fr-FR"/>
              </w:rPr>
            </w:pPr>
            <w:r w:rsidRPr="00F56A0E">
              <w:rPr>
                <w:color w:val="000000"/>
                <w:lang w:val="fr-FR"/>
              </w:rPr>
              <w:t>Poisson - CL</w:t>
            </w:r>
            <w:r w:rsidRPr="00F56A0E">
              <w:rPr>
                <w:color w:val="000000"/>
                <w:vertAlign w:val="subscript"/>
                <w:lang w:val="fr-FR"/>
              </w:rPr>
              <w:t>50</w:t>
            </w:r>
            <w:r w:rsidRPr="00F56A0E">
              <w:rPr>
                <w:color w:val="000000"/>
                <w:lang w:val="fr-FR"/>
              </w:rPr>
              <w:t xml:space="preserve"> aiguë sur 96 heures chez le crapet arlequin </w:t>
            </w:r>
            <w:r w:rsidRPr="00F56A0E">
              <w:rPr>
                <w:i/>
                <w:iCs/>
                <w:color w:val="000000"/>
                <w:lang w:val="fr-FR"/>
              </w:rPr>
              <w:t>(</w:t>
            </w:r>
            <w:r w:rsidRPr="00F56A0E">
              <w:rPr>
                <w:i/>
                <w:color w:val="000000"/>
                <w:lang w:val="fr-FR"/>
              </w:rPr>
              <w:t>Lepomis macrochirus)</w:t>
            </w:r>
            <w:r w:rsidR="00157D75" w:rsidRPr="00F56A0E">
              <w:rPr>
                <w:i/>
                <w:color w:val="000000"/>
                <w:lang w:val="fr-FR"/>
              </w:rPr>
              <w:t> :</w:t>
            </w:r>
            <w:r w:rsidRPr="00F56A0E">
              <w:rPr>
                <w:i/>
                <w:color w:val="000000"/>
                <w:lang w:val="fr-FR"/>
              </w:rPr>
              <w:t xml:space="preserve"> </w:t>
            </w:r>
            <w:r w:rsidRPr="00F56A0E">
              <w:rPr>
                <w:color w:val="000000"/>
                <w:lang w:val="fr-FR"/>
              </w:rPr>
              <w:t>&gt; </w:t>
            </w:r>
            <w:r w:rsidRPr="00F56A0E">
              <w:rPr>
                <w:lang w:val="fr-FR"/>
              </w:rPr>
              <w:t>0,004 mg/l.</w:t>
            </w:r>
          </w:p>
          <w:p w14:paraId="5EC7C6E9" w14:textId="38D57882" w:rsidR="006F1716" w:rsidRPr="00F56A0E" w:rsidRDefault="006F1716" w:rsidP="00F13FE6">
            <w:pPr>
              <w:ind w:right="169"/>
              <w:textAlignment w:val="baseline"/>
              <w:rPr>
                <w:rFonts w:eastAsia="Times New Roman"/>
                <w:color w:val="000000"/>
                <w:spacing w:val="-2"/>
                <w:lang w:val="fr-FR"/>
              </w:rPr>
            </w:pPr>
            <w:r w:rsidRPr="00F56A0E">
              <w:rPr>
                <w:color w:val="000000"/>
                <w:lang w:val="fr-FR"/>
              </w:rPr>
              <w:t xml:space="preserve">Poisson - CSEO chronique sur 21 jours pour la croissance chez la truite arc-en-ciel </w:t>
            </w:r>
            <w:r w:rsidRPr="00F56A0E">
              <w:rPr>
                <w:i/>
                <w:iCs/>
                <w:color w:val="000000"/>
                <w:lang w:val="fr-FR"/>
              </w:rPr>
              <w:t>(</w:t>
            </w:r>
            <w:r w:rsidRPr="00F56A0E">
              <w:rPr>
                <w:i/>
                <w:color w:val="000000"/>
                <w:lang w:val="fr-FR"/>
              </w:rPr>
              <w:t>Oncorhynchus mykiss)</w:t>
            </w:r>
            <w:r w:rsidR="00157D75" w:rsidRPr="00F56A0E">
              <w:rPr>
                <w:color w:val="000000"/>
                <w:lang w:val="fr-FR"/>
              </w:rPr>
              <w:t> :</w:t>
            </w:r>
            <w:r w:rsidRPr="00F56A0E">
              <w:rPr>
                <w:color w:val="000000"/>
                <w:lang w:val="fr-FR"/>
              </w:rPr>
              <w:t xml:space="preserve"> 0,0006 mg/l</w:t>
            </w:r>
            <w:r w:rsidRPr="00F56A0E">
              <w:rPr>
                <w:i/>
                <w:color w:val="000000"/>
                <w:lang w:val="fr-FR"/>
              </w:rPr>
              <w:t>.</w:t>
            </w:r>
          </w:p>
          <w:p w14:paraId="3126B987" w14:textId="16DB2940" w:rsidR="006F1716" w:rsidRPr="00F56A0E" w:rsidRDefault="006F1716" w:rsidP="00F13FE6">
            <w:pPr>
              <w:ind w:right="169"/>
              <w:textAlignment w:val="baseline"/>
              <w:rPr>
                <w:rFonts w:eastAsia="Times New Roman"/>
                <w:color w:val="000000"/>
                <w:spacing w:val="-2"/>
                <w:lang w:val="fr-FR"/>
              </w:rPr>
            </w:pPr>
            <w:r w:rsidRPr="00F56A0E">
              <w:rPr>
                <w:color w:val="000000"/>
                <w:lang w:val="fr-FR"/>
              </w:rPr>
              <w:t>Invertébrés aquatiques - CE</w:t>
            </w:r>
            <w:r w:rsidRPr="00F56A0E">
              <w:rPr>
                <w:color w:val="000000"/>
                <w:vertAlign w:val="subscript"/>
                <w:lang w:val="fr-FR"/>
              </w:rPr>
              <w:t>50</w:t>
            </w:r>
            <w:r w:rsidRPr="00F56A0E">
              <w:rPr>
                <w:color w:val="000000"/>
                <w:lang w:val="fr-FR"/>
              </w:rPr>
              <w:t xml:space="preserve"> aiguë sur 48 heures chez la daphnie </w:t>
            </w:r>
            <w:r w:rsidRPr="00F56A0E">
              <w:rPr>
                <w:i/>
                <w:iCs/>
                <w:color w:val="000000"/>
                <w:lang w:val="fr-FR"/>
              </w:rPr>
              <w:t>(</w:t>
            </w:r>
            <w:r w:rsidRPr="00F56A0E">
              <w:rPr>
                <w:i/>
                <w:color w:val="000000"/>
                <w:lang w:val="fr-FR"/>
              </w:rPr>
              <w:t>Daphnia magna)</w:t>
            </w:r>
            <w:r w:rsidR="00157D75" w:rsidRPr="00F56A0E">
              <w:rPr>
                <w:color w:val="000000"/>
                <w:lang w:val="fr-FR"/>
              </w:rPr>
              <w:t> :</w:t>
            </w:r>
            <w:r w:rsidRPr="00F56A0E">
              <w:rPr>
                <w:color w:val="000000"/>
                <w:lang w:val="fr-FR"/>
              </w:rPr>
              <w:t xml:space="preserve"> 0,0031 mg/l</w:t>
            </w:r>
            <w:r w:rsidRPr="00F56A0E">
              <w:rPr>
                <w:i/>
                <w:color w:val="000000"/>
                <w:lang w:val="fr-FR"/>
              </w:rPr>
              <w:t xml:space="preserve">. </w:t>
            </w:r>
            <w:r w:rsidRPr="00F56A0E">
              <w:rPr>
                <w:color w:val="000000"/>
                <w:lang w:val="fr-FR"/>
              </w:rPr>
              <w:t>Crustacés aquatiques - CL</w:t>
            </w:r>
            <w:r w:rsidRPr="00F56A0E">
              <w:rPr>
                <w:color w:val="000000"/>
                <w:vertAlign w:val="subscript"/>
                <w:lang w:val="fr-FR"/>
              </w:rPr>
              <w:t>50</w:t>
            </w:r>
            <w:r w:rsidRPr="00F56A0E">
              <w:rPr>
                <w:color w:val="000000"/>
                <w:lang w:val="fr-FR"/>
              </w:rPr>
              <w:t xml:space="preserve"> aiguë en 96 heures chez </w:t>
            </w:r>
            <w:r w:rsidRPr="00F56A0E">
              <w:rPr>
                <w:i/>
                <w:color w:val="000000"/>
                <w:lang w:val="fr-FR"/>
              </w:rPr>
              <w:t>Americamysis bahia</w:t>
            </w:r>
            <w:r w:rsidR="00157D75" w:rsidRPr="00F56A0E">
              <w:rPr>
                <w:color w:val="000000"/>
                <w:lang w:val="fr-FR"/>
              </w:rPr>
              <w:t> :</w:t>
            </w:r>
            <w:r w:rsidRPr="00F56A0E">
              <w:rPr>
                <w:color w:val="000000"/>
                <w:lang w:val="fr-FR"/>
              </w:rPr>
              <w:t xml:space="preserve"> 0,00022 mg/l</w:t>
            </w:r>
            <w:r w:rsidRPr="00F56A0E">
              <w:rPr>
                <w:i/>
                <w:color w:val="000000"/>
                <w:lang w:val="fr-FR"/>
              </w:rPr>
              <w:t>.</w:t>
            </w:r>
          </w:p>
          <w:p w14:paraId="35A84490" w14:textId="19A3709B" w:rsidR="006F1716" w:rsidRPr="00F56A0E" w:rsidRDefault="006F1716" w:rsidP="00F13FE6">
            <w:pPr>
              <w:ind w:right="169"/>
              <w:textAlignment w:val="baseline"/>
              <w:rPr>
                <w:rFonts w:eastAsia="Times New Roman"/>
                <w:color w:val="000000"/>
                <w:lang w:val="fr-FR"/>
              </w:rPr>
            </w:pPr>
            <w:r w:rsidRPr="00F56A0E">
              <w:rPr>
                <w:color w:val="000000"/>
                <w:lang w:val="fr-FR"/>
              </w:rPr>
              <w:t>Algues - CE</w:t>
            </w:r>
            <w:r w:rsidRPr="00F56A0E">
              <w:rPr>
                <w:color w:val="000000"/>
                <w:vertAlign w:val="subscript"/>
                <w:lang w:val="fr-FR"/>
              </w:rPr>
              <w:t>50</w:t>
            </w:r>
            <w:r w:rsidRPr="00F56A0E">
              <w:rPr>
                <w:color w:val="000000"/>
                <w:lang w:val="fr-FR"/>
              </w:rPr>
              <w:t xml:space="preserve"> aiguë sur 72 heures pour la croissance (espèces inconnues)</w:t>
            </w:r>
            <w:r w:rsidR="00157D75" w:rsidRPr="00F56A0E">
              <w:rPr>
                <w:color w:val="000000"/>
                <w:lang w:val="fr-FR"/>
              </w:rPr>
              <w:t> :</w:t>
            </w:r>
            <w:r w:rsidRPr="00F56A0E">
              <w:rPr>
                <w:color w:val="000000"/>
                <w:lang w:val="fr-FR"/>
              </w:rPr>
              <w:t xml:space="preserve"> 1,4 mg/l.</w:t>
            </w:r>
          </w:p>
          <w:p w14:paraId="2B16D302" w14:textId="77777777" w:rsidR="006F1716" w:rsidRPr="00F56A0E" w:rsidRDefault="006F1716" w:rsidP="0089280B">
            <w:pPr>
              <w:rPr>
                <w:rFonts w:eastAsia="Times New Roman"/>
                <w:snapToGrid w:val="0"/>
                <w:szCs w:val="22"/>
                <w:lang w:val="fr-FR" w:eastAsia="en-US"/>
              </w:rPr>
            </w:pPr>
          </w:p>
        </w:tc>
      </w:tr>
      <w:tr w:rsidR="006F1716" w:rsidRPr="00F56A0E" w14:paraId="6862D5C6" w14:textId="77777777" w:rsidTr="00D076A8">
        <w:tc>
          <w:tcPr>
            <w:tcW w:w="817" w:type="dxa"/>
            <w:shd w:val="clear" w:color="auto" w:fill="auto"/>
          </w:tcPr>
          <w:p w14:paraId="7CF29459" w14:textId="77777777" w:rsidR="006F1716" w:rsidRPr="00F56A0E" w:rsidRDefault="006F1716" w:rsidP="00D076A8">
            <w:pPr>
              <w:keepLines/>
              <w:rPr>
                <w:rFonts w:eastAsia="Times New Roman"/>
                <w:lang w:val="fr-FR"/>
              </w:rPr>
            </w:pPr>
            <w:r w:rsidRPr="00F56A0E">
              <w:rPr>
                <w:lang w:val="fr-FR"/>
              </w:rPr>
              <w:t>4.2.3</w:t>
            </w:r>
          </w:p>
        </w:tc>
        <w:tc>
          <w:tcPr>
            <w:tcW w:w="1701" w:type="dxa"/>
            <w:shd w:val="clear" w:color="auto" w:fill="auto"/>
          </w:tcPr>
          <w:p w14:paraId="01320569" w14:textId="77777777" w:rsidR="006F1716" w:rsidRPr="00F56A0E" w:rsidRDefault="006F1716" w:rsidP="00D076A8">
            <w:pPr>
              <w:spacing w:before="20" w:after="20"/>
              <w:outlineLvl w:val="2"/>
              <w:rPr>
                <w:rFonts w:eastAsia="Times New Roman"/>
                <w:lang w:val="fr-FR"/>
              </w:rPr>
            </w:pPr>
            <w:r w:rsidRPr="00F56A0E">
              <w:rPr>
                <w:lang w:val="fr-FR"/>
              </w:rPr>
              <w:t xml:space="preserve">Abeilles domestiques et autres arthropodes </w:t>
            </w:r>
          </w:p>
        </w:tc>
        <w:tc>
          <w:tcPr>
            <w:tcW w:w="7121" w:type="dxa"/>
            <w:shd w:val="clear" w:color="auto" w:fill="auto"/>
          </w:tcPr>
          <w:p w14:paraId="77062FFC" w14:textId="77777777" w:rsidR="006F1716" w:rsidRPr="00F56A0E" w:rsidRDefault="006F1716" w:rsidP="00D076A8">
            <w:pPr>
              <w:textAlignment w:val="baseline"/>
              <w:rPr>
                <w:rFonts w:eastAsia="Times New Roman"/>
                <w:b/>
                <w:color w:val="000000"/>
                <w:spacing w:val="1"/>
                <w:u w:val="single"/>
                <w:lang w:val="fr-FR"/>
              </w:rPr>
            </w:pPr>
            <w:r w:rsidRPr="00F56A0E">
              <w:rPr>
                <w:b/>
                <w:color w:val="000000"/>
                <w:u w:val="single"/>
                <w:lang w:val="fr-FR"/>
              </w:rPr>
              <w:t>PPDB (Internet)</w:t>
            </w:r>
          </w:p>
          <w:p w14:paraId="436BC225" w14:textId="57067B71" w:rsidR="006F1716" w:rsidRPr="00F56A0E" w:rsidRDefault="006F1716" w:rsidP="00D076A8">
            <w:pPr>
              <w:rPr>
                <w:rFonts w:eastAsia="Times New Roman"/>
                <w:i/>
                <w:snapToGrid w:val="0"/>
                <w:szCs w:val="22"/>
                <w:lang w:val="fr-FR"/>
              </w:rPr>
            </w:pPr>
            <w:r w:rsidRPr="00F56A0E">
              <w:rPr>
                <w:lang w:val="fr-FR"/>
              </w:rPr>
              <w:t>DL</w:t>
            </w:r>
            <w:r w:rsidRPr="00F56A0E">
              <w:rPr>
                <w:vertAlign w:val="subscript"/>
                <w:lang w:val="fr-FR"/>
              </w:rPr>
              <w:t>50</w:t>
            </w:r>
            <w:r w:rsidRPr="00F56A0E">
              <w:rPr>
                <w:lang w:val="fr-FR"/>
              </w:rPr>
              <w:t xml:space="preserve"> aiguë par contact chez l</w:t>
            </w:r>
            <w:r w:rsidR="00870D0E" w:rsidRPr="00F56A0E">
              <w:rPr>
                <w:lang w:val="fr-FR"/>
              </w:rPr>
              <w:t>’</w:t>
            </w:r>
            <w:r w:rsidRPr="00F56A0E">
              <w:rPr>
                <w:lang w:val="fr-FR"/>
              </w:rPr>
              <w:t xml:space="preserve">abeille domestique (cas le plus défavorable sur 24, 48 et 72 heures) </w:t>
            </w:r>
            <w:r w:rsidRPr="00F56A0E">
              <w:rPr>
                <w:snapToGrid w:val="0"/>
                <w:lang w:val="fr-FR"/>
              </w:rPr>
              <w:t>= 4,1 µg/abeille (</w:t>
            </w:r>
            <w:r w:rsidRPr="00F56A0E">
              <w:rPr>
                <w:i/>
                <w:snapToGrid w:val="0"/>
                <w:lang w:val="fr-FR"/>
              </w:rPr>
              <w:t>Apis</w:t>
            </w:r>
            <w:r w:rsidRPr="00F56A0E">
              <w:rPr>
                <w:snapToGrid w:val="0"/>
                <w:lang w:val="fr-FR"/>
              </w:rPr>
              <w:t xml:space="preserve"> spp</w:t>
            </w:r>
            <w:r w:rsidRPr="00F56A0E">
              <w:rPr>
                <w:i/>
                <w:snapToGrid w:val="0"/>
                <w:lang w:val="fr-FR"/>
              </w:rPr>
              <w:t>.</w:t>
            </w:r>
            <w:r w:rsidRPr="00F56A0E">
              <w:rPr>
                <w:snapToGrid w:val="0"/>
                <w:lang w:val="fr-FR"/>
              </w:rPr>
              <w:t>)</w:t>
            </w:r>
            <w:r w:rsidRPr="00F56A0E">
              <w:rPr>
                <w:i/>
                <w:snapToGrid w:val="0"/>
                <w:lang w:val="fr-FR"/>
              </w:rPr>
              <w:t xml:space="preserve"> </w:t>
            </w:r>
          </w:p>
          <w:p w14:paraId="1803E487" w14:textId="77777777" w:rsidR="006F1716" w:rsidRPr="00F56A0E" w:rsidRDefault="006F1716" w:rsidP="00D076A8">
            <w:pPr>
              <w:rPr>
                <w:rFonts w:eastAsia="Times New Roman"/>
                <w:snapToGrid w:val="0"/>
                <w:szCs w:val="22"/>
                <w:lang w:val="fr-FR" w:eastAsia="en-US"/>
              </w:rPr>
            </w:pPr>
          </w:p>
        </w:tc>
      </w:tr>
      <w:tr w:rsidR="006F1716" w:rsidRPr="00F56A0E" w14:paraId="3671FEEE" w14:textId="77777777" w:rsidTr="00D076A8">
        <w:tc>
          <w:tcPr>
            <w:tcW w:w="817" w:type="dxa"/>
            <w:shd w:val="clear" w:color="auto" w:fill="auto"/>
          </w:tcPr>
          <w:p w14:paraId="32AFF8C1" w14:textId="77777777" w:rsidR="006F1716" w:rsidRPr="00F56A0E" w:rsidRDefault="006F1716" w:rsidP="00D076A8">
            <w:pPr>
              <w:keepLines/>
              <w:rPr>
                <w:rFonts w:eastAsia="Times New Roman"/>
                <w:lang w:val="fr-FR"/>
              </w:rPr>
            </w:pPr>
            <w:r w:rsidRPr="00F56A0E">
              <w:rPr>
                <w:lang w:val="fr-FR"/>
              </w:rPr>
              <w:t>4.2.4</w:t>
            </w:r>
          </w:p>
        </w:tc>
        <w:tc>
          <w:tcPr>
            <w:tcW w:w="1701" w:type="dxa"/>
            <w:shd w:val="clear" w:color="auto" w:fill="auto"/>
          </w:tcPr>
          <w:p w14:paraId="23E6C634" w14:textId="77777777" w:rsidR="006F1716" w:rsidRPr="00F56A0E" w:rsidRDefault="006F1716" w:rsidP="00D076A8">
            <w:pPr>
              <w:spacing w:before="20" w:after="20"/>
              <w:outlineLvl w:val="2"/>
              <w:rPr>
                <w:rFonts w:eastAsia="Times New Roman"/>
                <w:lang w:val="fr-FR"/>
              </w:rPr>
            </w:pPr>
            <w:r w:rsidRPr="00F56A0E">
              <w:rPr>
                <w:lang w:val="fr-FR"/>
              </w:rPr>
              <w:t>Vers de terre</w:t>
            </w:r>
          </w:p>
        </w:tc>
        <w:tc>
          <w:tcPr>
            <w:tcW w:w="7121" w:type="dxa"/>
            <w:shd w:val="clear" w:color="auto" w:fill="auto"/>
          </w:tcPr>
          <w:p w14:paraId="674E744F" w14:textId="77777777" w:rsidR="006F1716" w:rsidRPr="00F56A0E" w:rsidRDefault="006F1716" w:rsidP="00D076A8">
            <w:pPr>
              <w:textAlignment w:val="baseline"/>
              <w:rPr>
                <w:rFonts w:eastAsia="Times New Roman"/>
                <w:b/>
                <w:color w:val="000000"/>
                <w:spacing w:val="1"/>
                <w:u w:val="single"/>
                <w:lang w:val="fr-FR"/>
              </w:rPr>
            </w:pPr>
            <w:r w:rsidRPr="00F56A0E">
              <w:rPr>
                <w:b/>
                <w:color w:val="000000"/>
                <w:u w:val="single"/>
                <w:lang w:val="fr-FR"/>
              </w:rPr>
              <w:t>PPDB (Internet)</w:t>
            </w:r>
          </w:p>
          <w:p w14:paraId="47D0D61D" w14:textId="288A0ABD" w:rsidR="006F1716" w:rsidRPr="00F56A0E" w:rsidRDefault="006F1716" w:rsidP="00D076A8">
            <w:pPr>
              <w:rPr>
                <w:rFonts w:eastAsia="Times New Roman"/>
                <w:i/>
                <w:snapToGrid w:val="0"/>
                <w:szCs w:val="22"/>
                <w:lang w:val="fr-FR"/>
              </w:rPr>
            </w:pPr>
            <w:r w:rsidRPr="00F56A0E">
              <w:rPr>
                <w:color w:val="000000"/>
                <w:lang w:val="fr-FR"/>
              </w:rPr>
              <w:t>CL</w:t>
            </w:r>
            <w:r w:rsidRPr="00F56A0E">
              <w:rPr>
                <w:color w:val="000000"/>
                <w:vertAlign w:val="subscript"/>
                <w:lang w:val="fr-FR"/>
              </w:rPr>
              <w:t>50</w:t>
            </w:r>
            <w:r w:rsidRPr="00F56A0E">
              <w:rPr>
                <w:color w:val="000000"/>
                <w:lang w:val="fr-FR"/>
              </w:rPr>
              <w:t xml:space="preserve"> aiguë sur 96 heures</w:t>
            </w:r>
            <w:r w:rsidR="00157D75" w:rsidRPr="00F56A0E">
              <w:rPr>
                <w:color w:val="000000"/>
                <w:lang w:val="fr-FR"/>
              </w:rPr>
              <w:t> :</w:t>
            </w:r>
            <w:r w:rsidRPr="00F56A0E">
              <w:rPr>
                <w:color w:val="000000"/>
                <w:lang w:val="fr-FR"/>
              </w:rPr>
              <w:t xml:space="preserve"> 4 mg/kg p.c.</w:t>
            </w:r>
          </w:p>
          <w:p w14:paraId="31B2E117" w14:textId="77777777" w:rsidR="006F1716" w:rsidRPr="00F56A0E" w:rsidRDefault="006F1716" w:rsidP="00D076A8">
            <w:pPr>
              <w:rPr>
                <w:rFonts w:eastAsia="Times New Roman"/>
                <w:snapToGrid w:val="0"/>
                <w:szCs w:val="22"/>
                <w:lang w:val="fr-FR" w:eastAsia="en-US"/>
              </w:rPr>
            </w:pPr>
          </w:p>
        </w:tc>
      </w:tr>
      <w:tr w:rsidR="006F1716" w:rsidRPr="00F56A0E" w14:paraId="584DACF7" w14:textId="77777777" w:rsidTr="00D076A8">
        <w:tc>
          <w:tcPr>
            <w:tcW w:w="817" w:type="dxa"/>
            <w:shd w:val="clear" w:color="auto" w:fill="auto"/>
          </w:tcPr>
          <w:p w14:paraId="4E4DC68E" w14:textId="77777777" w:rsidR="006F1716" w:rsidRPr="00F56A0E" w:rsidRDefault="006F1716" w:rsidP="00D076A8">
            <w:pPr>
              <w:keepLines/>
              <w:rPr>
                <w:rFonts w:eastAsia="Times New Roman"/>
                <w:lang w:val="fr-FR"/>
              </w:rPr>
            </w:pPr>
            <w:r w:rsidRPr="00F56A0E">
              <w:rPr>
                <w:lang w:val="fr-FR"/>
              </w:rPr>
              <w:lastRenderedPageBreak/>
              <w:t>4.2.5</w:t>
            </w:r>
          </w:p>
        </w:tc>
        <w:tc>
          <w:tcPr>
            <w:tcW w:w="1701" w:type="dxa"/>
            <w:shd w:val="clear" w:color="auto" w:fill="auto"/>
          </w:tcPr>
          <w:p w14:paraId="18C7041D" w14:textId="77777777" w:rsidR="006F1716" w:rsidRPr="00F56A0E" w:rsidRDefault="006F1716" w:rsidP="00D076A8">
            <w:pPr>
              <w:spacing w:before="20" w:after="20"/>
              <w:outlineLvl w:val="2"/>
              <w:rPr>
                <w:rFonts w:eastAsia="Times New Roman"/>
                <w:lang w:val="fr-FR"/>
              </w:rPr>
            </w:pPr>
            <w:r w:rsidRPr="00F56A0E">
              <w:rPr>
                <w:lang w:val="fr-FR"/>
              </w:rPr>
              <w:t>Microorganismes du sol</w:t>
            </w:r>
          </w:p>
        </w:tc>
        <w:tc>
          <w:tcPr>
            <w:tcW w:w="7121" w:type="dxa"/>
            <w:shd w:val="clear" w:color="auto" w:fill="auto"/>
          </w:tcPr>
          <w:p w14:paraId="25F58DCD" w14:textId="5772347D" w:rsidR="006F1716" w:rsidRPr="00F56A0E" w:rsidRDefault="006F1716" w:rsidP="00D076A8">
            <w:pPr>
              <w:rPr>
                <w:rFonts w:eastAsia="Times New Roman"/>
                <w:snapToGrid w:val="0"/>
                <w:szCs w:val="22"/>
                <w:lang w:val="fr-FR"/>
              </w:rPr>
            </w:pPr>
            <w:r w:rsidRPr="00F56A0E">
              <w:rPr>
                <w:snapToGrid w:val="0"/>
                <w:lang w:val="fr-FR"/>
              </w:rPr>
              <w:t>Aucune donnée disponible.</w:t>
            </w:r>
          </w:p>
        </w:tc>
      </w:tr>
      <w:tr w:rsidR="006F1716" w:rsidRPr="00F56A0E" w14:paraId="3548151C" w14:textId="77777777" w:rsidTr="00D076A8">
        <w:tc>
          <w:tcPr>
            <w:tcW w:w="817" w:type="dxa"/>
            <w:shd w:val="clear" w:color="auto" w:fill="auto"/>
          </w:tcPr>
          <w:p w14:paraId="36F1621D" w14:textId="77777777" w:rsidR="006F1716" w:rsidRPr="00F56A0E" w:rsidRDefault="006F1716" w:rsidP="00D076A8">
            <w:pPr>
              <w:keepLines/>
              <w:rPr>
                <w:rFonts w:eastAsia="Times New Roman"/>
                <w:lang w:val="fr-FR"/>
              </w:rPr>
            </w:pPr>
            <w:r w:rsidRPr="00F56A0E">
              <w:rPr>
                <w:lang w:val="fr-FR"/>
              </w:rPr>
              <w:t>4.2.6</w:t>
            </w:r>
          </w:p>
        </w:tc>
        <w:tc>
          <w:tcPr>
            <w:tcW w:w="1701" w:type="dxa"/>
            <w:shd w:val="clear" w:color="auto" w:fill="auto"/>
          </w:tcPr>
          <w:p w14:paraId="654DB8F7" w14:textId="77777777" w:rsidR="006F1716" w:rsidRPr="00F56A0E" w:rsidRDefault="006F1716" w:rsidP="00D076A8">
            <w:pPr>
              <w:spacing w:before="20" w:after="20"/>
              <w:outlineLvl w:val="2"/>
              <w:rPr>
                <w:rFonts w:eastAsia="Times New Roman"/>
                <w:lang w:val="fr-FR"/>
              </w:rPr>
            </w:pPr>
            <w:r w:rsidRPr="00F56A0E">
              <w:rPr>
                <w:lang w:val="fr-FR"/>
              </w:rPr>
              <w:t>Plantes terrestres</w:t>
            </w:r>
          </w:p>
        </w:tc>
        <w:tc>
          <w:tcPr>
            <w:tcW w:w="7121" w:type="dxa"/>
            <w:shd w:val="clear" w:color="auto" w:fill="auto"/>
          </w:tcPr>
          <w:p w14:paraId="71BDD20A" w14:textId="5354732E" w:rsidR="006F1716" w:rsidRPr="00F56A0E" w:rsidRDefault="006F1716" w:rsidP="00D076A8">
            <w:pPr>
              <w:rPr>
                <w:rFonts w:eastAsia="Times New Roman"/>
                <w:snapToGrid w:val="0"/>
                <w:szCs w:val="22"/>
                <w:lang w:val="fr-FR"/>
              </w:rPr>
            </w:pPr>
            <w:r w:rsidRPr="00F56A0E">
              <w:rPr>
                <w:snapToGrid w:val="0"/>
                <w:lang w:val="fr-FR"/>
              </w:rPr>
              <w:t>Aucune donnée disponible.</w:t>
            </w:r>
          </w:p>
          <w:p w14:paraId="1A2FC292" w14:textId="77777777" w:rsidR="006F1716" w:rsidRPr="00F56A0E" w:rsidRDefault="006F1716" w:rsidP="00D076A8">
            <w:pPr>
              <w:rPr>
                <w:rFonts w:eastAsia="Times New Roman"/>
                <w:snapToGrid w:val="0"/>
                <w:szCs w:val="22"/>
                <w:lang w:val="fr-FR" w:eastAsia="en-US"/>
              </w:rPr>
            </w:pPr>
          </w:p>
        </w:tc>
      </w:tr>
      <w:tr w:rsidR="006F1716" w:rsidRPr="00F56A0E" w14:paraId="74F43605" w14:textId="77777777" w:rsidTr="00D076A8">
        <w:trPr>
          <w:cantSplit/>
        </w:trPr>
        <w:tc>
          <w:tcPr>
            <w:tcW w:w="817" w:type="dxa"/>
            <w:shd w:val="clear" w:color="auto" w:fill="auto"/>
          </w:tcPr>
          <w:p w14:paraId="295EA43F" w14:textId="77777777" w:rsidR="006F1716" w:rsidRPr="00F56A0E" w:rsidRDefault="006F1716" w:rsidP="00D076A8">
            <w:pPr>
              <w:spacing w:before="40" w:after="60"/>
              <w:outlineLvl w:val="0"/>
              <w:rPr>
                <w:rFonts w:eastAsia="Times New Roman"/>
                <w:kern w:val="28"/>
                <w:szCs w:val="29"/>
                <w:lang w:val="fr-FR"/>
              </w:rPr>
            </w:pPr>
            <w:r w:rsidRPr="00F56A0E">
              <w:rPr>
                <w:lang w:val="fr-FR"/>
              </w:rPr>
              <w:t>5</w:t>
            </w:r>
          </w:p>
        </w:tc>
        <w:tc>
          <w:tcPr>
            <w:tcW w:w="8822" w:type="dxa"/>
            <w:gridSpan w:val="2"/>
            <w:shd w:val="clear" w:color="auto" w:fill="auto"/>
          </w:tcPr>
          <w:p w14:paraId="2ECFCCE5" w14:textId="2487B3A2" w:rsidR="006F1716" w:rsidRPr="00F56A0E" w:rsidRDefault="006F1716" w:rsidP="00D076A8">
            <w:pPr>
              <w:spacing w:after="60"/>
              <w:outlineLvl w:val="0"/>
              <w:rPr>
                <w:rFonts w:eastAsia="Times New Roman"/>
                <w:snapToGrid w:val="0"/>
                <w:kern w:val="28"/>
                <w:szCs w:val="29"/>
                <w:u w:val="single"/>
                <w:lang w:val="fr-FR"/>
              </w:rPr>
            </w:pPr>
            <w:r w:rsidRPr="00F56A0E">
              <w:rPr>
                <w:lang w:val="fr-FR"/>
              </w:rPr>
              <w:t>Exposition environnementale/évaluation des risques</w:t>
            </w:r>
            <w:r w:rsidR="00AD2712" w:rsidRPr="00F56A0E">
              <w:rPr>
                <w:lang w:val="fr-FR"/>
              </w:rPr>
              <w:t xml:space="preserve"> </w:t>
            </w:r>
          </w:p>
        </w:tc>
      </w:tr>
      <w:tr w:rsidR="006F1716" w:rsidRPr="00F56A0E" w14:paraId="74B3F7F4" w14:textId="77777777" w:rsidTr="00D076A8">
        <w:tc>
          <w:tcPr>
            <w:tcW w:w="817" w:type="dxa"/>
            <w:shd w:val="clear" w:color="auto" w:fill="auto"/>
          </w:tcPr>
          <w:p w14:paraId="57C94CEF" w14:textId="77777777" w:rsidR="006F1716" w:rsidRPr="00F56A0E" w:rsidRDefault="006F1716" w:rsidP="00D076A8">
            <w:pPr>
              <w:keepLines/>
              <w:rPr>
                <w:rFonts w:eastAsia="Times New Roman"/>
                <w:lang w:val="fr-FR"/>
              </w:rPr>
            </w:pPr>
            <w:r w:rsidRPr="00F56A0E">
              <w:rPr>
                <w:lang w:val="fr-FR"/>
              </w:rPr>
              <w:t>5.1</w:t>
            </w:r>
          </w:p>
        </w:tc>
        <w:tc>
          <w:tcPr>
            <w:tcW w:w="1701" w:type="dxa"/>
            <w:shd w:val="clear" w:color="auto" w:fill="auto"/>
          </w:tcPr>
          <w:p w14:paraId="6099550C" w14:textId="77777777" w:rsidR="006F1716" w:rsidRPr="00F56A0E" w:rsidRDefault="006F1716" w:rsidP="00D076A8">
            <w:pPr>
              <w:spacing w:before="20" w:after="20"/>
              <w:outlineLvl w:val="2"/>
              <w:rPr>
                <w:rFonts w:eastAsia="Times New Roman"/>
                <w:lang w:val="fr-FR"/>
              </w:rPr>
            </w:pPr>
            <w:r w:rsidRPr="00F56A0E">
              <w:rPr>
                <w:lang w:val="fr-FR"/>
              </w:rPr>
              <w:t>Vertébrés terrestres</w:t>
            </w:r>
          </w:p>
        </w:tc>
        <w:tc>
          <w:tcPr>
            <w:tcW w:w="7121" w:type="dxa"/>
            <w:shd w:val="clear" w:color="auto" w:fill="auto"/>
          </w:tcPr>
          <w:p w14:paraId="7560A099" w14:textId="77777777" w:rsidR="006F1716" w:rsidRPr="00F56A0E" w:rsidRDefault="006F1716" w:rsidP="00D076A8">
            <w:pPr>
              <w:rPr>
                <w:rFonts w:eastAsia="Times New Roman"/>
                <w:b/>
                <w:u w:val="single"/>
                <w:lang w:val="fr-FR"/>
              </w:rPr>
            </w:pPr>
            <w:r w:rsidRPr="00F56A0E">
              <w:rPr>
                <w:b/>
                <w:u w:val="single"/>
                <w:lang w:val="fr-FR"/>
              </w:rPr>
              <w:t>Canada</w:t>
            </w:r>
          </w:p>
          <w:p w14:paraId="16FDF55C" w14:textId="62076044" w:rsidR="006F1716" w:rsidRPr="00F56A0E" w:rsidRDefault="006F1716" w:rsidP="00D076A8">
            <w:pPr>
              <w:textAlignment w:val="baseline"/>
              <w:rPr>
                <w:rFonts w:eastAsia="Times New Roman"/>
                <w:lang w:val="fr-FR"/>
              </w:rPr>
            </w:pPr>
            <w:r w:rsidRPr="00F56A0E">
              <w:rPr>
                <w:lang w:val="fr-FR"/>
              </w:rPr>
              <w:t>L</w:t>
            </w:r>
            <w:r w:rsidR="00870D0E" w:rsidRPr="00F56A0E">
              <w:rPr>
                <w:lang w:val="fr-FR"/>
              </w:rPr>
              <w:t>’</w:t>
            </w:r>
            <w:r w:rsidRPr="00F56A0E">
              <w:rPr>
                <w:lang w:val="fr-FR"/>
              </w:rPr>
              <w:t>Agence de réglementation de la lutte antiparasitaire (ARLA) considère que toutes les utilisations homologuées du terbufos présentent des risques extrêmement élevés pour les organismes terrestres. Cette évaluation s</w:t>
            </w:r>
            <w:r w:rsidR="00870D0E" w:rsidRPr="00F56A0E">
              <w:rPr>
                <w:lang w:val="fr-FR"/>
              </w:rPr>
              <w:t>’</w:t>
            </w:r>
            <w:r w:rsidRPr="00F56A0E">
              <w:rPr>
                <w:lang w:val="fr-FR"/>
              </w:rPr>
              <w:t>appuie sur des déclarations de pollution accidentelle effectuées au Canada et aux États-Unis. Les concentrations d</w:t>
            </w:r>
            <w:r w:rsidR="00870D0E" w:rsidRPr="00F56A0E">
              <w:rPr>
                <w:lang w:val="fr-FR"/>
              </w:rPr>
              <w:t>’</w:t>
            </w:r>
            <w:r w:rsidRPr="00F56A0E">
              <w:rPr>
                <w:lang w:val="fr-FR"/>
              </w:rPr>
              <w:t>exposition estimées pour les organismes terrestres dépassent les niveaux induisant une toxicité aiguë tant chez les oiseaux que chez les mammifères. Le risque aigu découlant d</w:t>
            </w:r>
            <w:r w:rsidR="00870D0E" w:rsidRPr="00F56A0E">
              <w:rPr>
                <w:lang w:val="fr-FR"/>
              </w:rPr>
              <w:t>’</w:t>
            </w:r>
            <w:r w:rsidRPr="00F56A0E">
              <w:rPr>
                <w:lang w:val="fr-FR"/>
              </w:rPr>
              <w:t>une consommation directe de granulés est plus important pour les espèces</w:t>
            </w:r>
            <w:r w:rsidR="0075172B" w:rsidRPr="00F56A0E">
              <w:rPr>
                <w:lang w:val="fr-FR"/>
              </w:rPr>
              <w:t xml:space="preserve"> de petite taille</w:t>
            </w:r>
            <w:r w:rsidRPr="00F56A0E">
              <w:rPr>
                <w:lang w:val="fr-FR"/>
              </w:rPr>
              <w:t>. Le quotient de risque utilisé pour les produits en granulés est défini comme le nombre de doses létales disponibles dans un mètre carré immédiatement après application, il s</w:t>
            </w:r>
            <w:r w:rsidR="00870D0E" w:rsidRPr="00F56A0E">
              <w:rPr>
                <w:lang w:val="fr-FR"/>
              </w:rPr>
              <w:t>’</w:t>
            </w:r>
            <w:r w:rsidRPr="00F56A0E">
              <w:rPr>
                <w:lang w:val="fr-FR"/>
              </w:rPr>
              <w:t>exprime en DL</w:t>
            </w:r>
            <w:r w:rsidRPr="00F56A0E">
              <w:rPr>
                <w:vertAlign w:val="subscript"/>
                <w:lang w:val="fr-FR"/>
              </w:rPr>
              <w:t>50</w:t>
            </w:r>
            <w:r w:rsidRPr="00F56A0E">
              <w:rPr>
                <w:lang w:val="fr-FR"/>
              </w:rPr>
              <w:t>/m</w:t>
            </w:r>
            <w:r w:rsidRPr="00F56A0E">
              <w:rPr>
                <w:vertAlign w:val="superscript"/>
                <w:lang w:val="fr-FR"/>
              </w:rPr>
              <w:t>2</w:t>
            </w:r>
            <w:r w:rsidRPr="00F56A0E">
              <w:rPr>
                <w:lang w:val="fr-FR"/>
              </w:rPr>
              <w:t>.</w:t>
            </w:r>
          </w:p>
          <w:p w14:paraId="27BA93EE" w14:textId="77777777" w:rsidR="006F1716" w:rsidRPr="00F56A0E" w:rsidRDefault="006F1716" w:rsidP="00D076A8">
            <w:pPr>
              <w:textAlignment w:val="baseline"/>
              <w:rPr>
                <w:rFonts w:eastAsia="Times New Roman"/>
                <w:lang w:val="fr-FR"/>
              </w:rPr>
            </w:pPr>
          </w:p>
          <w:p w14:paraId="47ABD051" w14:textId="61BA0D6B" w:rsidR="006F1716" w:rsidRPr="00F56A0E" w:rsidRDefault="006F1716" w:rsidP="000D20E2">
            <w:pPr>
              <w:textAlignment w:val="baseline"/>
              <w:rPr>
                <w:rFonts w:eastAsia="Times New Roman"/>
                <w:lang w:val="fr-FR"/>
              </w:rPr>
            </w:pPr>
            <w:r w:rsidRPr="00F56A0E">
              <w:rPr>
                <w:lang w:val="fr-FR"/>
              </w:rPr>
              <w:t>Les quotients de risque pour la toxicité aiguë chez les mammifères étaient supérieurs à 1 DL</w:t>
            </w:r>
            <w:r w:rsidRPr="00F56A0E">
              <w:rPr>
                <w:vertAlign w:val="subscript"/>
                <w:lang w:val="fr-FR"/>
              </w:rPr>
              <w:t>50</w:t>
            </w:r>
            <w:r w:rsidRPr="00F56A0E">
              <w:rPr>
                <w:lang w:val="fr-FR"/>
              </w:rPr>
              <w:t>/m</w:t>
            </w:r>
            <w:r w:rsidRPr="00F56A0E">
              <w:rPr>
                <w:vertAlign w:val="superscript"/>
                <w:lang w:val="fr-FR"/>
              </w:rPr>
              <w:t>2</w:t>
            </w:r>
            <w:r w:rsidRPr="00F56A0E">
              <w:rPr>
                <w:lang w:val="fr-FR"/>
              </w:rPr>
              <w:t>, le seuil de préoccupation pour les espèces testées, après application de Counter 15-G sur les cultures de maïs, de rutabaga et de betterave sucrière. Ils allaient de 5 à 5910 DL</w:t>
            </w:r>
            <w:r w:rsidRPr="00F56A0E">
              <w:rPr>
                <w:vertAlign w:val="subscript"/>
                <w:lang w:val="fr-FR"/>
              </w:rPr>
              <w:t>50</w:t>
            </w:r>
            <w:r w:rsidRPr="00F56A0E">
              <w:rPr>
                <w:lang w:val="fr-FR"/>
              </w:rPr>
              <w:t>/m</w:t>
            </w:r>
            <w:r w:rsidRPr="00F56A0E">
              <w:rPr>
                <w:vertAlign w:val="superscript"/>
                <w:lang w:val="fr-FR"/>
              </w:rPr>
              <w:t>2</w:t>
            </w:r>
            <w:r w:rsidRPr="00F56A0E">
              <w:rPr>
                <w:lang w:val="fr-FR"/>
              </w:rPr>
              <w:t xml:space="preserve"> en fonction de la taille de l</w:t>
            </w:r>
            <w:r w:rsidR="00870D0E" w:rsidRPr="00F56A0E">
              <w:rPr>
                <w:lang w:val="fr-FR"/>
              </w:rPr>
              <w:t>’</w:t>
            </w:r>
            <w:r w:rsidRPr="00F56A0E">
              <w:rPr>
                <w:lang w:val="fr-FR"/>
              </w:rPr>
              <w:t>animal et de l</w:t>
            </w:r>
            <w:r w:rsidR="00870D0E" w:rsidRPr="00F56A0E">
              <w:rPr>
                <w:lang w:val="fr-FR"/>
              </w:rPr>
              <w:t>’</w:t>
            </w:r>
            <w:r w:rsidRPr="00F56A0E">
              <w:rPr>
                <w:lang w:val="fr-FR"/>
              </w:rPr>
              <w:t>efficacité de la méthode d</w:t>
            </w:r>
            <w:r w:rsidR="00870D0E" w:rsidRPr="00F56A0E">
              <w:rPr>
                <w:lang w:val="fr-FR"/>
              </w:rPr>
              <w:t>’</w:t>
            </w:r>
            <w:r w:rsidRPr="00F56A0E">
              <w:rPr>
                <w:lang w:val="fr-FR"/>
              </w:rPr>
              <w:t>enfouissement. Les quotients de risque pour les effets aigus chez les mammifères après application de Counter 5-G sur les cultures de canola variaient de 0,1 à 88 DL</w:t>
            </w:r>
            <w:r w:rsidRPr="00F56A0E">
              <w:rPr>
                <w:vertAlign w:val="subscript"/>
                <w:lang w:val="fr-FR"/>
              </w:rPr>
              <w:t>50</w:t>
            </w:r>
            <w:r w:rsidRPr="00F56A0E">
              <w:rPr>
                <w:lang w:val="fr-FR"/>
              </w:rPr>
              <w:t>/m</w:t>
            </w:r>
            <w:r w:rsidRPr="00F56A0E">
              <w:rPr>
                <w:vertAlign w:val="superscript"/>
                <w:lang w:val="fr-FR"/>
              </w:rPr>
              <w:t>2</w:t>
            </w:r>
            <w:r w:rsidRPr="00F56A0E">
              <w:rPr>
                <w:lang w:val="fr-FR"/>
              </w:rPr>
              <w:t>, en fonction de la taille de l</w:t>
            </w:r>
            <w:r w:rsidR="00870D0E" w:rsidRPr="00F56A0E">
              <w:rPr>
                <w:lang w:val="fr-FR"/>
              </w:rPr>
              <w:t>’</w:t>
            </w:r>
            <w:r w:rsidRPr="00F56A0E">
              <w:rPr>
                <w:lang w:val="fr-FR"/>
              </w:rPr>
              <w:t>animal et de l</w:t>
            </w:r>
            <w:r w:rsidR="00870D0E" w:rsidRPr="00F56A0E">
              <w:rPr>
                <w:lang w:val="fr-FR"/>
              </w:rPr>
              <w:t>’</w:t>
            </w:r>
            <w:r w:rsidRPr="00F56A0E">
              <w:rPr>
                <w:lang w:val="fr-FR"/>
              </w:rPr>
              <w:t>efficacité de la méthode d</w:t>
            </w:r>
            <w:r w:rsidR="00870D0E" w:rsidRPr="00F56A0E">
              <w:rPr>
                <w:lang w:val="fr-FR"/>
              </w:rPr>
              <w:t>’</w:t>
            </w:r>
            <w:r w:rsidRPr="00F56A0E">
              <w:rPr>
                <w:lang w:val="fr-FR"/>
              </w:rPr>
              <w:t>enfouissement.</w:t>
            </w:r>
            <w:r w:rsidR="000D20E2" w:rsidRPr="00F56A0E">
              <w:rPr>
                <w:lang w:val="fr-FR"/>
              </w:rPr>
              <w:t xml:space="preserve"> </w:t>
            </w:r>
            <w:r w:rsidRPr="00F56A0E">
              <w:rPr>
                <w:lang w:val="fr-FR"/>
              </w:rPr>
              <w:t>Pour les oiseaux, les quotients de risque étaient compris entre 7 et 11250 DL</w:t>
            </w:r>
            <w:r w:rsidRPr="00F56A0E">
              <w:rPr>
                <w:vertAlign w:val="subscript"/>
                <w:lang w:val="fr-FR"/>
              </w:rPr>
              <w:t>50</w:t>
            </w:r>
            <w:r w:rsidRPr="00F56A0E">
              <w:rPr>
                <w:lang w:val="fr-FR"/>
              </w:rPr>
              <w:t>/m</w:t>
            </w:r>
            <w:r w:rsidRPr="00F56A0E">
              <w:rPr>
                <w:vertAlign w:val="superscript"/>
                <w:lang w:val="fr-FR"/>
              </w:rPr>
              <w:t>2</w:t>
            </w:r>
            <w:r w:rsidRPr="00F56A0E">
              <w:rPr>
                <w:lang w:val="fr-FR"/>
              </w:rPr>
              <w:t xml:space="preserve"> après application de Counter 15-G sur les cultures de maïs, de rutabaga et de betterave sucrière, en fonction de la taille de l</w:t>
            </w:r>
            <w:r w:rsidR="00870D0E" w:rsidRPr="00F56A0E">
              <w:rPr>
                <w:lang w:val="fr-FR"/>
              </w:rPr>
              <w:t>’</w:t>
            </w:r>
            <w:r w:rsidRPr="00F56A0E">
              <w:rPr>
                <w:lang w:val="fr-FR"/>
              </w:rPr>
              <w:t>oiseau et de l</w:t>
            </w:r>
            <w:r w:rsidR="00870D0E" w:rsidRPr="00F56A0E">
              <w:rPr>
                <w:lang w:val="fr-FR"/>
              </w:rPr>
              <w:t>’</w:t>
            </w:r>
            <w:r w:rsidRPr="00F56A0E">
              <w:rPr>
                <w:lang w:val="fr-FR"/>
              </w:rPr>
              <w:t>efficacité de la méthode d</w:t>
            </w:r>
            <w:r w:rsidR="00870D0E" w:rsidRPr="00F56A0E">
              <w:rPr>
                <w:lang w:val="fr-FR"/>
              </w:rPr>
              <w:t>’</w:t>
            </w:r>
            <w:r w:rsidRPr="00F56A0E">
              <w:rPr>
                <w:lang w:val="fr-FR"/>
              </w:rPr>
              <w:t>enfouissement. Ils allaient de 0,2 à 170 DL</w:t>
            </w:r>
            <w:r w:rsidRPr="00F56A0E">
              <w:rPr>
                <w:vertAlign w:val="subscript"/>
                <w:lang w:val="fr-FR"/>
              </w:rPr>
              <w:t>50</w:t>
            </w:r>
            <w:r w:rsidRPr="00F56A0E">
              <w:rPr>
                <w:lang w:val="fr-FR"/>
              </w:rPr>
              <w:t>/m</w:t>
            </w:r>
            <w:r w:rsidRPr="00F56A0E">
              <w:rPr>
                <w:vertAlign w:val="superscript"/>
                <w:lang w:val="fr-FR"/>
              </w:rPr>
              <w:t>2</w:t>
            </w:r>
            <w:r w:rsidRPr="00F56A0E">
              <w:rPr>
                <w:lang w:val="fr-FR"/>
              </w:rPr>
              <w:t xml:space="preserve"> après application de Counter 5-G sur les cultures de canola, en fonction de la taille de l</w:t>
            </w:r>
            <w:r w:rsidR="00870D0E" w:rsidRPr="00F56A0E">
              <w:rPr>
                <w:lang w:val="fr-FR"/>
              </w:rPr>
              <w:t>’</w:t>
            </w:r>
            <w:r w:rsidRPr="00F56A0E">
              <w:rPr>
                <w:lang w:val="fr-FR"/>
              </w:rPr>
              <w:t>oiseau et de l</w:t>
            </w:r>
            <w:r w:rsidR="00870D0E" w:rsidRPr="00F56A0E">
              <w:rPr>
                <w:lang w:val="fr-FR"/>
              </w:rPr>
              <w:t>’</w:t>
            </w:r>
            <w:r w:rsidRPr="00F56A0E">
              <w:rPr>
                <w:lang w:val="fr-FR"/>
              </w:rPr>
              <w:t>efficacité de la méthode d</w:t>
            </w:r>
            <w:r w:rsidR="00870D0E" w:rsidRPr="00F56A0E">
              <w:rPr>
                <w:lang w:val="fr-FR"/>
              </w:rPr>
              <w:t>’</w:t>
            </w:r>
            <w:r w:rsidRPr="00F56A0E">
              <w:rPr>
                <w:lang w:val="fr-FR"/>
              </w:rPr>
              <w:t>enfouissement.</w:t>
            </w:r>
          </w:p>
          <w:p w14:paraId="25637CB5" w14:textId="77777777" w:rsidR="006F1716" w:rsidRPr="00F56A0E" w:rsidRDefault="006F1716" w:rsidP="00D076A8">
            <w:pPr>
              <w:textAlignment w:val="baseline"/>
              <w:rPr>
                <w:rFonts w:eastAsia="Times New Roman"/>
                <w:snapToGrid w:val="0"/>
                <w:szCs w:val="22"/>
                <w:lang w:val="fr-FR" w:eastAsia="en-US"/>
              </w:rPr>
            </w:pPr>
          </w:p>
        </w:tc>
      </w:tr>
      <w:tr w:rsidR="006F1716" w:rsidRPr="00F56A0E" w14:paraId="5D2A77FA" w14:textId="77777777" w:rsidTr="00F94378">
        <w:trPr>
          <w:trHeight w:val="1082"/>
        </w:trPr>
        <w:tc>
          <w:tcPr>
            <w:tcW w:w="817" w:type="dxa"/>
            <w:shd w:val="clear" w:color="auto" w:fill="auto"/>
          </w:tcPr>
          <w:p w14:paraId="373C416E" w14:textId="77777777" w:rsidR="006F1716" w:rsidRPr="00F56A0E" w:rsidRDefault="006F1716" w:rsidP="00D076A8">
            <w:pPr>
              <w:keepLines/>
              <w:rPr>
                <w:rFonts w:eastAsia="Times New Roman"/>
                <w:lang w:val="fr-FR"/>
              </w:rPr>
            </w:pPr>
            <w:r w:rsidRPr="00F56A0E">
              <w:rPr>
                <w:lang w:val="fr-FR"/>
              </w:rPr>
              <w:t>5.2</w:t>
            </w:r>
          </w:p>
        </w:tc>
        <w:tc>
          <w:tcPr>
            <w:tcW w:w="1701" w:type="dxa"/>
            <w:shd w:val="clear" w:color="auto" w:fill="auto"/>
          </w:tcPr>
          <w:p w14:paraId="1DA6E11F" w14:textId="77777777" w:rsidR="006F1716" w:rsidRPr="00F56A0E" w:rsidRDefault="006F1716" w:rsidP="00D076A8">
            <w:pPr>
              <w:spacing w:before="20" w:after="20"/>
              <w:outlineLvl w:val="2"/>
              <w:rPr>
                <w:rFonts w:eastAsia="Times New Roman"/>
                <w:lang w:val="fr-FR"/>
              </w:rPr>
            </w:pPr>
            <w:r w:rsidRPr="00F56A0E">
              <w:rPr>
                <w:lang w:val="fr-FR"/>
              </w:rPr>
              <w:t>Espèces aquatiques</w:t>
            </w:r>
          </w:p>
        </w:tc>
        <w:tc>
          <w:tcPr>
            <w:tcW w:w="7121" w:type="dxa"/>
            <w:shd w:val="clear" w:color="auto" w:fill="auto"/>
          </w:tcPr>
          <w:p w14:paraId="261712AB" w14:textId="77777777" w:rsidR="006F1716" w:rsidRPr="00F56A0E" w:rsidRDefault="006F1716" w:rsidP="00D076A8">
            <w:pPr>
              <w:rPr>
                <w:rFonts w:eastAsia="Times New Roman"/>
                <w:b/>
                <w:u w:val="single"/>
                <w:lang w:val="fr-FR"/>
              </w:rPr>
            </w:pPr>
            <w:r w:rsidRPr="00F56A0E">
              <w:rPr>
                <w:b/>
                <w:u w:val="single"/>
                <w:lang w:val="fr-FR"/>
              </w:rPr>
              <w:t>Canada</w:t>
            </w:r>
          </w:p>
          <w:p w14:paraId="5E33EAA2" w14:textId="571889ED" w:rsidR="006F1716" w:rsidRPr="00F56A0E" w:rsidRDefault="006F1716" w:rsidP="00D076A8">
            <w:pPr>
              <w:ind w:right="72"/>
              <w:textAlignment w:val="baseline"/>
              <w:rPr>
                <w:rFonts w:eastAsia="Times New Roman"/>
                <w:lang w:val="fr-FR"/>
              </w:rPr>
            </w:pPr>
            <w:r w:rsidRPr="00F56A0E">
              <w:rPr>
                <w:lang w:val="fr-FR"/>
              </w:rPr>
              <w:t>L</w:t>
            </w:r>
            <w:r w:rsidR="00870D0E" w:rsidRPr="00F56A0E">
              <w:rPr>
                <w:lang w:val="fr-FR"/>
              </w:rPr>
              <w:t>’</w:t>
            </w:r>
            <w:r w:rsidRPr="00F56A0E">
              <w:rPr>
                <w:lang w:val="fr-FR"/>
              </w:rPr>
              <w:t>ARLA estime que toutes les utilisations homologuées du terbufos présentent des risques extrêmement élevés pour les organismes aquatiques. Cette évaluation s</w:t>
            </w:r>
            <w:r w:rsidR="00870D0E" w:rsidRPr="00F56A0E">
              <w:rPr>
                <w:lang w:val="fr-FR"/>
              </w:rPr>
              <w:t>’</w:t>
            </w:r>
            <w:r w:rsidRPr="00F56A0E">
              <w:rPr>
                <w:lang w:val="fr-FR"/>
              </w:rPr>
              <w:t>appuie sur des déclarations de pollution accidentelle effectuées aux États-Unis, qui font état d</w:t>
            </w:r>
            <w:r w:rsidR="00870D0E" w:rsidRPr="00F56A0E">
              <w:rPr>
                <w:lang w:val="fr-FR"/>
              </w:rPr>
              <w:t>’</w:t>
            </w:r>
            <w:r w:rsidRPr="00F56A0E">
              <w:rPr>
                <w:lang w:val="fr-FR"/>
              </w:rPr>
              <w:t>effets nocifs. Des incidents similaires ont pu se produire au Canada, mais ce pays ne dispose pas d</w:t>
            </w:r>
            <w:r w:rsidR="00870D0E" w:rsidRPr="00F56A0E">
              <w:rPr>
                <w:lang w:val="fr-FR"/>
              </w:rPr>
              <w:t>’</w:t>
            </w:r>
            <w:r w:rsidRPr="00F56A0E">
              <w:rPr>
                <w:lang w:val="fr-FR"/>
              </w:rPr>
              <w:t>un système de notification équivalent.</w:t>
            </w:r>
          </w:p>
          <w:p w14:paraId="08BD31C1" w14:textId="7CB480E8" w:rsidR="006F1716" w:rsidRPr="00F56A0E" w:rsidRDefault="006F1716" w:rsidP="000D20E2">
            <w:pPr>
              <w:spacing w:after="120"/>
              <w:ind w:right="288"/>
              <w:textAlignment w:val="baseline"/>
              <w:rPr>
                <w:rFonts w:eastAsia="Times New Roman"/>
                <w:spacing w:val="-3"/>
                <w:lang w:val="fr-FR"/>
              </w:rPr>
            </w:pPr>
            <w:r w:rsidRPr="00F56A0E">
              <w:rPr>
                <w:lang w:val="fr-FR"/>
              </w:rPr>
              <w:t>Les concentrations environnementales estimées dépassent les niveaux induisant une toxicité aiguë et chronique tant chez les poissons que chez les invertébrés aquatiques. Les quotients de risque pour la toxicité aiguë chez la majorité des invertébrés aquatiques testés étaient supérieurs à 1, le seuil de préoccupation. Les valeurs étaient comprises entre 10 et 409 après application sur les cultures de canola, et entre 28 et 2795 après application sur les cultures de maïs, de rutabaga et de betterave sucrière. Ces quotients correspondent à des niveaux de risque élevé</w:t>
            </w:r>
            <w:r w:rsidR="00A16264" w:rsidRPr="00F56A0E">
              <w:rPr>
                <w:lang w:val="fr-FR"/>
              </w:rPr>
              <w:t>s</w:t>
            </w:r>
            <w:r w:rsidRPr="00F56A0E">
              <w:rPr>
                <w:lang w:val="fr-FR"/>
              </w:rPr>
              <w:t xml:space="preserve"> à extrêmement élevé</w:t>
            </w:r>
            <w:r w:rsidR="00A16264" w:rsidRPr="00F56A0E">
              <w:rPr>
                <w:lang w:val="fr-FR"/>
              </w:rPr>
              <w:t>s</w:t>
            </w:r>
            <w:r w:rsidRPr="00F56A0E">
              <w:rPr>
                <w:lang w:val="fr-FR"/>
              </w:rPr>
              <w:t>. Les quotients de risque pour la toxicité aiguë chez les poissons étaient supérieurs à 1, le seuil de préoccupation. Les valeurs étaient comprises entre 4 et 106 après application sur les cultures de canola, et entre 11</w:t>
            </w:r>
            <w:r w:rsidR="00C4591F" w:rsidRPr="00F56A0E">
              <w:rPr>
                <w:lang w:val="fr-FR"/>
              </w:rPr>
              <w:t> </w:t>
            </w:r>
            <w:r w:rsidRPr="00F56A0E">
              <w:rPr>
                <w:lang w:val="fr-FR"/>
              </w:rPr>
              <w:t>et 726</w:t>
            </w:r>
            <w:r w:rsidR="000D20E2" w:rsidRPr="00F56A0E">
              <w:rPr>
                <w:lang w:val="fr-FR"/>
              </w:rPr>
              <w:t> </w:t>
            </w:r>
            <w:r w:rsidRPr="00F56A0E">
              <w:rPr>
                <w:lang w:val="fr-FR"/>
              </w:rPr>
              <w:t>après application sur les cultures de maïs, de rutabaga et de betterave sucrière. Ces quotients correspondent à des niveaux de risque modéré à extrêmement élevé.</w:t>
            </w:r>
          </w:p>
        </w:tc>
      </w:tr>
      <w:tr w:rsidR="006F1716" w:rsidRPr="00F56A0E" w14:paraId="67BB1A93" w14:textId="77777777" w:rsidTr="00D076A8">
        <w:tc>
          <w:tcPr>
            <w:tcW w:w="817" w:type="dxa"/>
            <w:shd w:val="clear" w:color="auto" w:fill="auto"/>
          </w:tcPr>
          <w:p w14:paraId="41499ADF" w14:textId="77777777" w:rsidR="006F1716" w:rsidRPr="00F56A0E" w:rsidRDefault="006F1716" w:rsidP="00D076A8">
            <w:pPr>
              <w:keepLines/>
              <w:rPr>
                <w:rFonts w:eastAsia="Times New Roman"/>
                <w:lang w:val="fr-FR"/>
              </w:rPr>
            </w:pPr>
            <w:r w:rsidRPr="00F56A0E">
              <w:rPr>
                <w:lang w:val="fr-FR"/>
              </w:rPr>
              <w:t>5.3</w:t>
            </w:r>
          </w:p>
        </w:tc>
        <w:tc>
          <w:tcPr>
            <w:tcW w:w="1701" w:type="dxa"/>
            <w:shd w:val="clear" w:color="auto" w:fill="auto"/>
          </w:tcPr>
          <w:p w14:paraId="3FC729D0" w14:textId="77777777" w:rsidR="006F1716" w:rsidRPr="00F56A0E" w:rsidRDefault="006F1716" w:rsidP="00D076A8">
            <w:pPr>
              <w:spacing w:before="20" w:after="20"/>
              <w:outlineLvl w:val="2"/>
              <w:rPr>
                <w:rFonts w:eastAsia="Times New Roman"/>
                <w:lang w:val="fr-FR"/>
              </w:rPr>
            </w:pPr>
            <w:r w:rsidRPr="00F56A0E">
              <w:rPr>
                <w:lang w:val="fr-FR"/>
              </w:rPr>
              <w:t>Abeilles domestiques</w:t>
            </w:r>
          </w:p>
        </w:tc>
        <w:tc>
          <w:tcPr>
            <w:tcW w:w="7121" w:type="dxa"/>
            <w:shd w:val="clear" w:color="auto" w:fill="auto"/>
          </w:tcPr>
          <w:p w14:paraId="569BF15E" w14:textId="613274C3" w:rsidR="006F1716" w:rsidRPr="00F56A0E" w:rsidRDefault="006F1716" w:rsidP="00D076A8">
            <w:pPr>
              <w:rPr>
                <w:rFonts w:eastAsia="Times New Roman"/>
                <w:snapToGrid w:val="0"/>
                <w:szCs w:val="22"/>
                <w:lang w:val="fr-FR"/>
              </w:rPr>
            </w:pPr>
            <w:r w:rsidRPr="00F56A0E">
              <w:rPr>
                <w:snapToGrid w:val="0"/>
                <w:lang w:val="fr-FR"/>
              </w:rPr>
              <w:t>Aucune information n</w:t>
            </w:r>
            <w:r w:rsidR="00870D0E" w:rsidRPr="00F56A0E">
              <w:rPr>
                <w:snapToGrid w:val="0"/>
                <w:lang w:val="fr-FR"/>
              </w:rPr>
              <w:t>’</w:t>
            </w:r>
            <w:r w:rsidRPr="00F56A0E">
              <w:rPr>
                <w:snapToGrid w:val="0"/>
                <w:lang w:val="fr-FR"/>
              </w:rPr>
              <w:t>a été communiquée.</w:t>
            </w:r>
          </w:p>
          <w:p w14:paraId="37879710" w14:textId="77777777" w:rsidR="006F1716" w:rsidRPr="00F56A0E" w:rsidRDefault="006F1716" w:rsidP="00D076A8">
            <w:pPr>
              <w:rPr>
                <w:rFonts w:eastAsia="Times New Roman"/>
                <w:snapToGrid w:val="0"/>
                <w:szCs w:val="22"/>
                <w:lang w:val="fr-FR" w:eastAsia="en-US"/>
              </w:rPr>
            </w:pPr>
          </w:p>
        </w:tc>
      </w:tr>
      <w:tr w:rsidR="006F1716" w:rsidRPr="00F56A0E" w14:paraId="094202B5" w14:textId="77777777" w:rsidTr="00D076A8">
        <w:tc>
          <w:tcPr>
            <w:tcW w:w="817" w:type="dxa"/>
            <w:shd w:val="clear" w:color="auto" w:fill="auto"/>
          </w:tcPr>
          <w:p w14:paraId="0FF76A79" w14:textId="77777777" w:rsidR="006F1716" w:rsidRPr="00F56A0E" w:rsidRDefault="006F1716" w:rsidP="00D076A8">
            <w:pPr>
              <w:keepLines/>
              <w:rPr>
                <w:rFonts w:eastAsia="Times New Roman"/>
                <w:lang w:val="fr-FR"/>
              </w:rPr>
            </w:pPr>
            <w:r w:rsidRPr="00F56A0E">
              <w:rPr>
                <w:lang w:val="fr-FR"/>
              </w:rPr>
              <w:t>5.4</w:t>
            </w:r>
          </w:p>
        </w:tc>
        <w:tc>
          <w:tcPr>
            <w:tcW w:w="1701" w:type="dxa"/>
            <w:shd w:val="clear" w:color="auto" w:fill="auto"/>
          </w:tcPr>
          <w:p w14:paraId="21BC5B1B" w14:textId="77777777" w:rsidR="006F1716" w:rsidRPr="00F56A0E" w:rsidRDefault="006F1716" w:rsidP="00D076A8">
            <w:pPr>
              <w:spacing w:before="20" w:after="20"/>
              <w:outlineLvl w:val="2"/>
              <w:rPr>
                <w:rFonts w:eastAsia="Times New Roman"/>
                <w:lang w:val="fr-FR"/>
              </w:rPr>
            </w:pPr>
            <w:r w:rsidRPr="00F56A0E">
              <w:rPr>
                <w:lang w:val="fr-FR"/>
              </w:rPr>
              <w:t>Vers de terre</w:t>
            </w:r>
          </w:p>
        </w:tc>
        <w:tc>
          <w:tcPr>
            <w:tcW w:w="7121" w:type="dxa"/>
            <w:shd w:val="clear" w:color="auto" w:fill="auto"/>
          </w:tcPr>
          <w:p w14:paraId="51FFE8A9" w14:textId="55F79063" w:rsidR="006F1716" w:rsidRPr="00F56A0E" w:rsidRDefault="006F1716" w:rsidP="00D076A8">
            <w:pPr>
              <w:rPr>
                <w:rFonts w:eastAsia="Times New Roman"/>
                <w:snapToGrid w:val="0"/>
                <w:szCs w:val="22"/>
                <w:lang w:val="fr-FR"/>
              </w:rPr>
            </w:pPr>
            <w:r w:rsidRPr="00F56A0E">
              <w:rPr>
                <w:snapToGrid w:val="0"/>
                <w:lang w:val="fr-FR"/>
              </w:rPr>
              <w:t>Aucune information n</w:t>
            </w:r>
            <w:r w:rsidR="00870D0E" w:rsidRPr="00F56A0E">
              <w:rPr>
                <w:snapToGrid w:val="0"/>
                <w:lang w:val="fr-FR"/>
              </w:rPr>
              <w:t>’</w:t>
            </w:r>
            <w:r w:rsidRPr="00F56A0E">
              <w:rPr>
                <w:snapToGrid w:val="0"/>
                <w:lang w:val="fr-FR"/>
              </w:rPr>
              <w:t>a été communiquée.</w:t>
            </w:r>
          </w:p>
          <w:p w14:paraId="618D6AAB" w14:textId="77777777" w:rsidR="006F1716" w:rsidRPr="00F56A0E" w:rsidRDefault="006F1716" w:rsidP="00D076A8">
            <w:pPr>
              <w:rPr>
                <w:rFonts w:eastAsia="Times New Roman"/>
                <w:snapToGrid w:val="0"/>
                <w:szCs w:val="22"/>
                <w:lang w:val="fr-FR" w:eastAsia="en-US"/>
              </w:rPr>
            </w:pPr>
          </w:p>
        </w:tc>
      </w:tr>
      <w:tr w:rsidR="006F1716" w:rsidRPr="00F56A0E" w14:paraId="0FA26568" w14:textId="77777777" w:rsidTr="00D076A8">
        <w:tc>
          <w:tcPr>
            <w:tcW w:w="817" w:type="dxa"/>
            <w:shd w:val="clear" w:color="auto" w:fill="auto"/>
          </w:tcPr>
          <w:p w14:paraId="446E9266" w14:textId="77777777" w:rsidR="006F1716" w:rsidRPr="00F56A0E" w:rsidRDefault="006F1716" w:rsidP="00D076A8">
            <w:pPr>
              <w:keepLines/>
              <w:rPr>
                <w:rFonts w:eastAsia="Times New Roman"/>
                <w:lang w:val="fr-FR"/>
              </w:rPr>
            </w:pPr>
            <w:r w:rsidRPr="00F56A0E">
              <w:rPr>
                <w:lang w:val="fr-FR"/>
              </w:rPr>
              <w:t>5.5</w:t>
            </w:r>
          </w:p>
        </w:tc>
        <w:tc>
          <w:tcPr>
            <w:tcW w:w="1701" w:type="dxa"/>
            <w:shd w:val="clear" w:color="auto" w:fill="auto"/>
          </w:tcPr>
          <w:p w14:paraId="60F3392E" w14:textId="77777777" w:rsidR="006F1716" w:rsidRPr="00F56A0E" w:rsidRDefault="006F1716" w:rsidP="00D076A8">
            <w:pPr>
              <w:spacing w:before="20" w:after="20"/>
              <w:outlineLvl w:val="2"/>
              <w:rPr>
                <w:rFonts w:eastAsia="Times New Roman"/>
                <w:lang w:val="fr-FR"/>
              </w:rPr>
            </w:pPr>
            <w:r w:rsidRPr="00F56A0E">
              <w:rPr>
                <w:lang w:val="fr-FR"/>
              </w:rPr>
              <w:t>Microorganismes du sol</w:t>
            </w:r>
          </w:p>
        </w:tc>
        <w:tc>
          <w:tcPr>
            <w:tcW w:w="7121" w:type="dxa"/>
            <w:shd w:val="clear" w:color="auto" w:fill="auto"/>
          </w:tcPr>
          <w:p w14:paraId="6DE589A7" w14:textId="487F09FE" w:rsidR="006F1716" w:rsidRPr="00F56A0E" w:rsidRDefault="006F1716" w:rsidP="00D076A8">
            <w:pPr>
              <w:rPr>
                <w:rFonts w:eastAsia="Times New Roman"/>
                <w:snapToGrid w:val="0"/>
                <w:szCs w:val="22"/>
                <w:lang w:val="fr-FR"/>
              </w:rPr>
            </w:pPr>
            <w:r w:rsidRPr="00F56A0E">
              <w:rPr>
                <w:snapToGrid w:val="0"/>
                <w:lang w:val="fr-FR"/>
              </w:rPr>
              <w:t>Aucune information n</w:t>
            </w:r>
            <w:r w:rsidR="00870D0E" w:rsidRPr="00F56A0E">
              <w:rPr>
                <w:snapToGrid w:val="0"/>
                <w:lang w:val="fr-FR"/>
              </w:rPr>
              <w:t>’</w:t>
            </w:r>
            <w:r w:rsidRPr="00F56A0E">
              <w:rPr>
                <w:snapToGrid w:val="0"/>
                <w:lang w:val="fr-FR"/>
              </w:rPr>
              <w:t>a été communiquée.</w:t>
            </w:r>
          </w:p>
          <w:p w14:paraId="19DEB3BF" w14:textId="77777777" w:rsidR="006F1716" w:rsidRPr="00F56A0E" w:rsidRDefault="006F1716" w:rsidP="00D076A8">
            <w:pPr>
              <w:rPr>
                <w:rFonts w:eastAsia="Times New Roman"/>
                <w:snapToGrid w:val="0"/>
                <w:szCs w:val="22"/>
                <w:lang w:val="fr-FR" w:eastAsia="en-US"/>
              </w:rPr>
            </w:pPr>
          </w:p>
        </w:tc>
      </w:tr>
      <w:tr w:rsidR="006F1716" w:rsidRPr="00F56A0E" w14:paraId="36EAC5B2" w14:textId="77777777" w:rsidTr="00D076A8">
        <w:tc>
          <w:tcPr>
            <w:tcW w:w="817" w:type="dxa"/>
            <w:shd w:val="clear" w:color="auto" w:fill="auto"/>
          </w:tcPr>
          <w:p w14:paraId="6418F10A" w14:textId="77777777" w:rsidR="006F1716" w:rsidRPr="00F56A0E" w:rsidRDefault="006F1716" w:rsidP="00D076A8">
            <w:pPr>
              <w:keepLines/>
              <w:rPr>
                <w:rFonts w:eastAsia="Times New Roman"/>
                <w:lang w:val="fr-FR"/>
              </w:rPr>
            </w:pPr>
            <w:r w:rsidRPr="00F56A0E">
              <w:rPr>
                <w:lang w:val="fr-FR"/>
              </w:rPr>
              <w:t>5.6</w:t>
            </w:r>
          </w:p>
        </w:tc>
        <w:tc>
          <w:tcPr>
            <w:tcW w:w="1701" w:type="dxa"/>
            <w:shd w:val="clear" w:color="auto" w:fill="auto"/>
          </w:tcPr>
          <w:p w14:paraId="2BE3F78F" w14:textId="77777777" w:rsidR="006F1716" w:rsidRPr="00F56A0E" w:rsidRDefault="006F1716" w:rsidP="00D076A8">
            <w:pPr>
              <w:spacing w:before="20" w:after="20"/>
              <w:outlineLvl w:val="2"/>
              <w:rPr>
                <w:rFonts w:eastAsia="Times New Roman"/>
                <w:lang w:val="fr-FR"/>
              </w:rPr>
            </w:pPr>
            <w:r w:rsidRPr="00F56A0E">
              <w:rPr>
                <w:lang w:val="fr-FR"/>
              </w:rPr>
              <w:t>Résumé – Évaluation globale des risques</w:t>
            </w:r>
          </w:p>
        </w:tc>
        <w:tc>
          <w:tcPr>
            <w:tcW w:w="7121" w:type="dxa"/>
            <w:shd w:val="clear" w:color="auto" w:fill="auto"/>
          </w:tcPr>
          <w:p w14:paraId="639CE424" w14:textId="3983F3AF" w:rsidR="006F1716" w:rsidRPr="00F56A0E" w:rsidRDefault="006F1716" w:rsidP="00D076A8">
            <w:pPr>
              <w:tabs>
                <w:tab w:val="left" w:pos="624"/>
                <w:tab w:val="left" w:pos="1247"/>
                <w:tab w:val="left" w:pos="1814"/>
                <w:tab w:val="left" w:pos="2381"/>
                <w:tab w:val="left" w:pos="2948"/>
                <w:tab w:val="left" w:pos="3515"/>
              </w:tabs>
              <w:spacing w:after="120"/>
              <w:rPr>
                <w:bCs/>
                <w:lang w:val="fr-FR"/>
              </w:rPr>
            </w:pPr>
            <w:r w:rsidRPr="00F56A0E">
              <w:rPr>
                <w:lang w:val="fr-FR"/>
              </w:rPr>
              <w:t>L</w:t>
            </w:r>
            <w:r w:rsidR="00870D0E" w:rsidRPr="00F56A0E">
              <w:rPr>
                <w:lang w:val="fr-FR"/>
              </w:rPr>
              <w:t>’</w:t>
            </w:r>
            <w:r w:rsidRPr="00F56A0E">
              <w:rPr>
                <w:lang w:val="fr-FR"/>
              </w:rPr>
              <w:t>Agence de réglementation de la lutte antiparasitaire (ARLA) estime que toutes les utilisations homologuées du terbufos présentent des risques extrêmement élevés pour les organismes terrestres. Cette évaluation s</w:t>
            </w:r>
            <w:r w:rsidR="00870D0E" w:rsidRPr="00F56A0E">
              <w:rPr>
                <w:lang w:val="fr-FR"/>
              </w:rPr>
              <w:t>’</w:t>
            </w:r>
            <w:r w:rsidRPr="00F56A0E">
              <w:rPr>
                <w:lang w:val="fr-FR"/>
              </w:rPr>
              <w:t>appuie sur des déclarations de pollution accidentelle effectuées au Canada et aux États-Unis.</w:t>
            </w:r>
          </w:p>
          <w:p w14:paraId="14E925F4" w14:textId="66AE15B7" w:rsidR="006F1716" w:rsidRPr="00F56A0E" w:rsidRDefault="006F1716" w:rsidP="00D076A8">
            <w:pPr>
              <w:tabs>
                <w:tab w:val="left" w:pos="624"/>
                <w:tab w:val="left" w:pos="1247"/>
                <w:tab w:val="left" w:pos="1814"/>
                <w:tab w:val="left" w:pos="2381"/>
                <w:tab w:val="left" w:pos="2948"/>
                <w:tab w:val="left" w:pos="3515"/>
              </w:tabs>
              <w:spacing w:after="120"/>
              <w:rPr>
                <w:bCs/>
                <w:lang w:val="fr-FR"/>
              </w:rPr>
            </w:pPr>
            <w:r w:rsidRPr="00F56A0E">
              <w:rPr>
                <w:lang w:val="fr-FR"/>
              </w:rPr>
              <w:lastRenderedPageBreak/>
              <w:t>L</w:t>
            </w:r>
            <w:r w:rsidR="00870D0E" w:rsidRPr="00F56A0E">
              <w:rPr>
                <w:lang w:val="fr-FR"/>
              </w:rPr>
              <w:t>’</w:t>
            </w:r>
            <w:r w:rsidRPr="00F56A0E">
              <w:rPr>
                <w:lang w:val="fr-FR"/>
              </w:rPr>
              <w:t>ARLA estime que toutes les utilisations homologuées du terbufos présentent des risques extrêmement élevés pour les organismes aquatiques. Cette évaluation s</w:t>
            </w:r>
            <w:r w:rsidR="00870D0E" w:rsidRPr="00F56A0E">
              <w:rPr>
                <w:lang w:val="fr-FR"/>
              </w:rPr>
              <w:t>’</w:t>
            </w:r>
            <w:r w:rsidRPr="00F56A0E">
              <w:rPr>
                <w:lang w:val="fr-FR"/>
              </w:rPr>
              <w:t>appuie sur des déclarations de pollution accidentelle effectuées aux États-Unis, qui font état d</w:t>
            </w:r>
            <w:r w:rsidR="00870D0E" w:rsidRPr="00F56A0E">
              <w:rPr>
                <w:lang w:val="fr-FR"/>
              </w:rPr>
              <w:t>’</w:t>
            </w:r>
            <w:r w:rsidRPr="00F56A0E">
              <w:rPr>
                <w:lang w:val="fr-FR"/>
              </w:rPr>
              <w:t>effets nocifs. Des incidents similaires ont pu se produire au Canada, mais ce pays ne dispose pas d</w:t>
            </w:r>
            <w:r w:rsidR="00870D0E" w:rsidRPr="00F56A0E">
              <w:rPr>
                <w:lang w:val="fr-FR"/>
              </w:rPr>
              <w:t>’</w:t>
            </w:r>
            <w:r w:rsidRPr="00F56A0E">
              <w:rPr>
                <w:lang w:val="fr-FR"/>
              </w:rPr>
              <w:t>un système de notification équivalent.</w:t>
            </w:r>
          </w:p>
          <w:p w14:paraId="4F61B232" w14:textId="4658D7E7" w:rsidR="006F1716" w:rsidRPr="00F56A0E" w:rsidRDefault="006F1716" w:rsidP="00D076A8">
            <w:pPr>
              <w:tabs>
                <w:tab w:val="left" w:pos="624"/>
                <w:tab w:val="left" w:pos="1247"/>
                <w:tab w:val="left" w:pos="1814"/>
                <w:tab w:val="left" w:pos="2381"/>
                <w:tab w:val="left" w:pos="2948"/>
                <w:tab w:val="left" w:pos="3515"/>
              </w:tabs>
              <w:spacing w:after="120"/>
              <w:rPr>
                <w:bCs/>
                <w:lang w:val="fr-FR"/>
              </w:rPr>
            </w:pPr>
            <w:r w:rsidRPr="00F56A0E">
              <w:rPr>
                <w:lang w:val="fr-FR"/>
              </w:rPr>
              <w:t>Les quotients de risque calculés pour les applications des préparations commerciales de terbufos Counter 5-G et Counter 15-G font ressortir des risques pour tous les groupes d</w:t>
            </w:r>
            <w:r w:rsidR="00870D0E" w:rsidRPr="00F56A0E">
              <w:rPr>
                <w:lang w:val="fr-FR"/>
              </w:rPr>
              <w:t>’</w:t>
            </w:r>
            <w:r w:rsidRPr="00F56A0E">
              <w:rPr>
                <w:lang w:val="fr-FR"/>
              </w:rPr>
              <w:t>organismes (oiseaux, mammifères, poissons et invertébrés aquatiques) dans tous les cas de figure. Les données de toxicité disponibles montrent que les risques sont élevés à extrêmement élevés pour les organismes aquatiques et, dans la plupart des cas, élevés à extrêmement élevés pour les oiseaux. De même, les risques sont considérés comme faibles pour les grands mammifères et élevés pour les petits mammifères.</w:t>
            </w:r>
          </w:p>
          <w:p w14:paraId="71FDF69C" w14:textId="77777777" w:rsidR="006F1716" w:rsidRPr="00F56A0E" w:rsidRDefault="006F1716" w:rsidP="00D076A8">
            <w:pPr>
              <w:rPr>
                <w:rFonts w:eastAsia="Times New Roman"/>
                <w:snapToGrid w:val="0"/>
                <w:szCs w:val="22"/>
                <w:lang w:val="fr-FR" w:eastAsia="en-US"/>
              </w:rPr>
            </w:pPr>
          </w:p>
        </w:tc>
      </w:tr>
    </w:tbl>
    <w:p w14:paraId="67AEFD6D" w14:textId="77777777" w:rsidR="006F1716" w:rsidRPr="00F56A0E" w:rsidRDefault="006F1716" w:rsidP="006F1716">
      <w:pPr>
        <w:pStyle w:val="Normal-pool"/>
        <w:rPr>
          <w:lang w:val="fr-FR"/>
        </w:rPr>
      </w:pPr>
      <w:r w:rsidRPr="00F56A0E">
        <w:rPr>
          <w:lang w:val="fr-FR"/>
        </w:rPr>
        <w:lastRenderedPageBreak/>
        <w:br w:type="page"/>
      </w:r>
    </w:p>
    <w:tbl>
      <w:tblPr>
        <w:tblW w:w="0" w:type="auto"/>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504"/>
      </w:tblGrid>
      <w:tr w:rsidR="006F1716" w:rsidRPr="00F56A0E" w14:paraId="292F4C36" w14:textId="77777777" w:rsidTr="00D076A8">
        <w:trPr>
          <w:cantSplit/>
        </w:trPr>
        <w:tc>
          <w:tcPr>
            <w:tcW w:w="9504" w:type="dxa"/>
            <w:shd w:val="pct12" w:color="000000" w:fill="FFFFFF"/>
          </w:tcPr>
          <w:p w14:paraId="3F3D2E8A" w14:textId="6E342DBE" w:rsidR="006F1716" w:rsidRPr="00F56A0E" w:rsidRDefault="006F1716" w:rsidP="00D076A8">
            <w:pPr>
              <w:spacing w:before="40" w:after="60"/>
              <w:outlineLvl w:val="0"/>
              <w:rPr>
                <w:rFonts w:eastAsia="Times New Roman"/>
                <w:b/>
                <w:bCs/>
                <w:kern w:val="28"/>
                <w:szCs w:val="29"/>
                <w:lang w:val="fr-FR"/>
              </w:rPr>
            </w:pPr>
            <w:r w:rsidRPr="00F56A0E">
              <w:rPr>
                <w:lang w:val="fr-FR"/>
              </w:rPr>
              <w:lastRenderedPageBreak/>
              <w:br w:type="page"/>
            </w:r>
            <w:r w:rsidRPr="00F56A0E">
              <w:rPr>
                <w:lang w:val="fr-FR"/>
              </w:rPr>
              <w:br w:type="page"/>
            </w:r>
            <w:r w:rsidRPr="00F56A0E">
              <w:rPr>
                <w:lang w:val="fr-FR"/>
              </w:rPr>
              <w:br w:type="page"/>
            </w:r>
            <w:r w:rsidRPr="00F56A0E">
              <w:rPr>
                <w:lang w:val="fr-FR"/>
              </w:rPr>
              <w:br w:type="page"/>
            </w:r>
            <w:r w:rsidRPr="00F56A0E">
              <w:rPr>
                <w:lang w:val="fr-FR"/>
              </w:rPr>
              <w:br w:type="page"/>
            </w:r>
            <w:r w:rsidRPr="00F56A0E">
              <w:rPr>
                <w:b/>
                <w:lang w:val="fr-FR"/>
              </w:rPr>
              <w:br w:type="page"/>
              <w:t>Annexe 2 – Détail</w:t>
            </w:r>
            <w:r w:rsidR="00D076A8" w:rsidRPr="00F56A0E">
              <w:rPr>
                <w:b/>
                <w:lang w:val="fr-FR"/>
              </w:rPr>
              <w:t>s</w:t>
            </w:r>
            <w:r w:rsidRPr="00F56A0E">
              <w:rPr>
                <w:b/>
                <w:lang w:val="fr-FR"/>
              </w:rPr>
              <w:t xml:space="preserve"> des mesures de réglementation finales </w:t>
            </w:r>
          </w:p>
        </w:tc>
      </w:tr>
    </w:tbl>
    <w:p w14:paraId="168B728F" w14:textId="77777777" w:rsidR="006F1716" w:rsidRPr="00F56A0E" w:rsidRDefault="006F1716" w:rsidP="006F1716">
      <w:pPr>
        <w:tabs>
          <w:tab w:val="left" w:pos="-720"/>
          <w:tab w:val="left" w:pos="0"/>
          <w:tab w:val="left" w:pos="720"/>
        </w:tabs>
        <w:suppressAutoHyphens/>
        <w:rPr>
          <w:rFonts w:eastAsia="Times New Roman"/>
          <w:lang w:val="fr-FR" w:eastAsia="en-U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6F1716" w:rsidRPr="00F56A0E" w14:paraId="3F627FFD" w14:textId="77777777" w:rsidTr="00D076A8">
        <w:tc>
          <w:tcPr>
            <w:tcW w:w="9498" w:type="dxa"/>
          </w:tcPr>
          <w:p w14:paraId="7EB6A19A" w14:textId="48A8DE73" w:rsidR="006F1716" w:rsidRPr="00F56A0E" w:rsidRDefault="006F1716" w:rsidP="00D076A8">
            <w:pPr>
              <w:outlineLvl w:val="1"/>
              <w:rPr>
                <w:rFonts w:eastAsia="Times New Roman"/>
                <w:b/>
                <w:bCs/>
                <w:szCs w:val="28"/>
                <w:lang w:val="fr-FR"/>
              </w:rPr>
            </w:pPr>
            <w:r w:rsidRPr="00F56A0E">
              <w:rPr>
                <w:b/>
                <w:lang w:val="fr-FR"/>
              </w:rPr>
              <w:t>Nom du pays</w:t>
            </w:r>
            <w:r w:rsidR="00157D75" w:rsidRPr="00F56A0E">
              <w:rPr>
                <w:b/>
                <w:lang w:val="fr-FR"/>
              </w:rPr>
              <w:t> :</w:t>
            </w:r>
            <w:r w:rsidRPr="00F56A0E">
              <w:rPr>
                <w:b/>
                <w:lang w:val="fr-FR"/>
              </w:rPr>
              <w:t xml:space="preserve"> Canada</w:t>
            </w:r>
          </w:p>
        </w:tc>
      </w:tr>
    </w:tbl>
    <w:p w14:paraId="40D4EE3E" w14:textId="77777777" w:rsidR="006F1716" w:rsidRPr="00F56A0E" w:rsidRDefault="006F1716" w:rsidP="006F1716">
      <w:pPr>
        <w:tabs>
          <w:tab w:val="left" w:pos="-720"/>
          <w:tab w:val="left" w:pos="0"/>
          <w:tab w:val="left" w:pos="720"/>
        </w:tabs>
        <w:suppressAutoHyphens/>
        <w:rPr>
          <w:rFonts w:eastAsia="Times New Roman"/>
          <w:lang w:val="fr-FR" w:eastAsia="en-US"/>
        </w:rPr>
      </w:pPr>
    </w:p>
    <w:tbl>
      <w:tblPr>
        <w:tblW w:w="5070" w:type="pct"/>
        <w:tblInd w:w="142" w:type="dxa"/>
        <w:tblLayout w:type="fixed"/>
        <w:tblLook w:val="0000" w:firstRow="0" w:lastRow="0" w:firstColumn="0" w:lastColumn="0" w:noHBand="0" w:noVBand="0"/>
      </w:tblPr>
      <w:tblGrid>
        <w:gridCol w:w="488"/>
        <w:gridCol w:w="67"/>
        <w:gridCol w:w="2149"/>
        <w:gridCol w:w="67"/>
        <w:gridCol w:w="6791"/>
        <w:gridCol w:w="67"/>
      </w:tblGrid>
      <w:tr w:rsidR="006F1716" w:rsidRPr="00F56A0E" w14:paraId="1A5CB767" w14:textId="77777777" w:rsidTr="00DB14D7">
        <w:trPr>
          <w:gridAfter w:val="1"/>
          <w:wAfter w:w="67" w:type="dxa"/>
        </w:trPr>
        <w:tc>
          <w:tcPr>
            <w:tcW w:w="488" w:type="dxa"/>
          </w:tcPr>
          <w:p w14:paraId="43C4987D" w14:textId="77777777" w:rsidR="006F1716" w:rsidRPr="00F56A0E" w:rsidRDefault="006F1716" w:rsidP="00D076A8">
            <w:pPr>
              <w:widowControl w:val="0"/>
              <w:rPr>
                <w:rFonts w:eastAsia="Times New Roman"/>
                <w:b/>
                <w:bCs/>
                <w:snapToGrid w:val="0"/>
                <w:lang w:val="fr-FR"/>
              </w:rPr>
            </w:pPr>
            <w:r w:rsidRPr="00F56A0E">
              <w:rPr>
                <w:b/>
                <w:snapToGrid w:val="0"/>
                <w:lang w:val="fr-FR"/>
              </w:rPr>
              <w:t>1</w:t>
            </w:r>
          </w:p>
        </w:tc>
        <w:tc>
          <w:tcPr>
            <w:tcW w:w="2216" w:type="dxa"/>
            <w:gridSpan w:val="2"/>
          </w:tcPr>
          <w:p w14:paraId="681AD6B0" w14:textId="445F9933" w:rsidR="006F1716" w:rsidRPr="00F56A0E" w:rsidRDefault="006F1716" w:rsidP="00D076A8">
            <w:pPr>
              <w:spacing w:before="20" w:after="20"/>
              <w:outlineLvl w:val="2"/>
              <w:rPr>
                <w:rFonts w:eastAsia="Times New Roman"/>
                <w:b/>
                <w:bCs/>
                <w:lang w:val="fr-FR"/>
              </w:rPr>
            </w:pPr>
            <w:r w:rsidRPr="00F56A0E">
              <w:rPr>
                <w:b/>
                <w:lang w:val="fr-FR"/>
              </w:rPr>
              <w:t>Date(s) effective(s) d</w:t>
            </w:r>
            <w:r w:rsidR="00870D0E" w:rsidRPr="00F56A0E">
              <w:rPr>
                <w:b/>
                <w:lang w:val="fr-FR"/>
              </w:rPr>
              <w:t>’</w:t>
            </w:r>
            <w:r w:rsidRPr="00F56A0E">
              <w:rPr>
                <w:b/>
                <w:lang w:val="fr-FR"/>
              </w:rPr>
              <w:t>entrée en vigueur des mesures</w:t>
            </w:r>
          </w:p>
          <w:p w14:paraId="68AB11A0" w14:textId="77777777" w:rsidR="006F1716" w:rsidRPr="00F56A0E" w:rsidRDefault="006F1716" w:rsidP="00D076A8">
            <w:pPr>
              <w:spacing w:before="20" w:after="20"/>
              <w:outlineLvl w:val="2"/>
              <w:rPr>
                <w:rFonts w:eastAsia="Times New Roman"/>
                <w:b/>
                <w:bCs/>
                <w:lang w:val="fr-FR" w:eastAsia="en-US"/>
              </w:rPr>
            </w:pPr>
          </w:p>
        </w:tc>
        <w:tc>
          <w:tcPr>
            <w:tcW w:w="6857" w:type="dxa"/>
            <w:gridSpan w:val="2"/>
          </w:tcPr>
          <w:p w14:paraId="05D0125A" w14:textId="77777777" w:rsidR="006F1716" w:rsidRPr="00F56A0E" w:rsidRDefault="006F1716" w:rsidP="00D076A8">
            <w:pPr>
              <w:rPr>
                <w:rFonts w:eastAsia="Times New Roman"/>
                <w:lang w:val="fr-FR"/>
              </w:rPr>
            </w:pPr>
            <w:r w:rsidRPr="00F56A0E">
              <w:rPr>
                <w:lang w:val="fr-FR"/>
              </w:rPr>
              <w:t>1</w:t>
            </w:r>
            <w:r w:rsidRPr="00F56A0E">
              <w:rPr>
                <w:vertAlign w:val="superscript"/>
                <w:lang w:val="fr-FR"/>
              </w:rPr>
              <w:t>er</w:t>
            </w:r>
            <w:r w:rsidRPr="00F56A0E">
              <w:rPr>
                <w:lang w:val="fr-FR"/>
              </w:rPr>
              <w:t> août 2012</w:t>
            </w:r>
          </w:p>
        </w:tc>
      </w:tr>
      <w:tr w:rsidR="006F1716" w:rsidRPr="00F56A0E" w14:paraId="150130E8" w14:textId="77777777" w:rsidTr="00DB14D7">
        <w:trPr>
          <w:gridAfter w:val="1"/>
          <w:wAfter w:w="67" w:type="dxa"/>
        </w:trPr>
        <w:tc>
          <w:tcPr>
            <w:tcW w:w="488" w:type="dxa"/>
          </w:tcPr>
          <w:p w14:paraId="71F4A070" w14:textId="77777777" w:rsidR="006F1716" w:rsidRPr="00F56A0E" w:rsidRDefault="006F1716" w:rsidP="00D076A8">
            <w:pPr>
              <w:widowControl w:val="0"/>
              <w:rPr>
                <w:rFonts w:eastAsia="Times New Roman"/>
                <w:b/>
                <w:bCs/>
                <w:snapToGrid w:val="0"/>
                <w:lang w:val="fr-FR" w:eastAsia="en-US"/>
              </w:rPr>
            </w:pPr>
          </w:p>
        </w:tc>
        <w:tc>
          <w:tcPr>
            <w:tcW w:w="2216" w:type="dxa"/>
            <w:gridSpan w:val="2"/>
          </w:tcPr>
          <w:p w14:paraId="50BBE777" w14:textId="534F7A71" w:rsidR="006F1716" w:rsidRPr="00F56A0E" w:rsidRDefault="006F1716" w:rsidP="00D076A8">
            <w:pPr>
              <w:rPr>
                <w:rFonts w:eastAsia="Times New Roman"/>
                <w:b/>
                <w:bCs/>
                <w:lang w:val="fr-FR"/>
              </w:rPr>
            </w:pPr>
            <w:r w:rsidRPr="00F56A0E">
              <w:rPr>
                <w:b/>
                <w:lang w:val="fr-FR"/>
              </w:rPr>
              <w:t>Référence aux</w:t>
            </w:r>
            <w:r w:rsidR="008E6BAA" w:rsidRPr="00F56A0E">
              <w:rPr>
                <w:b/>
                <w:lang w:val="fr-FR"/>
              </w:rPr>
              <w:t> </w:t>
            </w:r>
            <w:r w:rsidRPr="00F56A0E">
              <w:rPr>
                <w:b/>
                <w:lang w:val="fr-FR"/>
              </w:rPr>
              <w:t>documents réglementaires</w:t>
            </w:r>
          </w:p>
        </w:tc>
        <w:tc>
          <w:tcPr>
            <w:tcW w:w="6857" w:type="dxa"/>
            <w:gridSpan w:val="2"/>
          </w:tcPr>
          <w:p w14:paraId="53ABA6F5" w14:textId="45E33720" w:rsidR="006F1716" w:rsidRPr="00F56A0E" w:rsidRDefault="006F1716" w:rsidP="00D076A8">
            <w:pPr>
              <w:rPr>
                <w:rFonts w:eastAsia="Times New Roman"/>
                <w:lang w:val="fr-FR"/>
              </w:rPr>
            </w:pPr>
            <w:r w:rsidRPr="00F56A0E">
              <w:rPr>
                <w:lang w:val="fr-FR"/>
              </w:rPr>
              <w:t>Agence de réglementation de la lutte antiparasitaire, Santé Canada. 2004. Décision de réévaluation RRD2004-04</w:t>
            </w:r>
            <w:r w:rsidR="00157D75" w:rsidRPr="00F56A0E">
              <w:rPr>
                <w:lang w:val="fr-FR"/>
              </w:rPr>
              <w:t> :</w:t>
            </w:r>
            <w:r w:rsidRPr="00F56A0E">
              <w:rPr>
                <w:lang w:val="fr-FR"/>
              </w:rPr>
              <w:t xml:space="preserve"> Réévaluation du Terbufos.</w:t>
            </w:r>
          </w:p>
          <w:p w14:paraId="7B30DFF7" w14:textId="3432677E" w:rsidR="006F1716" w:rsidRPr="00F56A0E" w:rsidRDefault="006F1716" w:rsidP="00D076A8">
            <w:pPr>
              <w:rPr>
                <w:rFonts w:eastAsia="Times New Roman"/>
                <w:lang w:val="fr-FR"/>
              </w:rPr>
            </w:pPr>
            <w:r w:rsidRPr="00F56A0E">
              <w:rPr>
                <w:lang w:val="fr-FR"/>
              </w:rPr>
              <w:t>Agence de réglementation de la lutte antiparasitaire, Santé Canada. 2008. Note de réévaluation REV2008-06</w:t>
            </w:r>
            <w:r w:rsidR="00157D75" w:rsidRPr="00F56A0E">
              <w:rPr>
                <w:lang w:val="fr-FR"/>
              </w:rPr>
              <w:t> :</w:t>
            </w:r>
            <w:r w:rsidRPr="00F56A0E">
              <w:rPr>
                <w:lang w:val="fr-FR"/>
              </w:rPr>
              <w:t xml:space="preserve"> Mise à jour concernant l</w:t>
            </w:r>
            <w:r w:rsidR="00870D0E" w:rsidRPr="00F56A0E">
              <w:rPr>
                <w:lang w:val="fr-FR"/>
              </w:rPr>
              <w:t>’</w:t>
            </w:r>
            <w:r w:rsidRPr="00F56A0E">
              <w:rPr>
                <w:lang w:val="fr-FR"/>
              </w:rPr>
              <w:t>utilisation du terbufos sur les betteraves à sucre.</w:t>
            </w:r>
          </w:p>
          <w:p w14:paraId="1D0CF434" w14:textId="77777777" w:rsidR="006F1716" w:rsidRPr="00F56A0E" w:rsidRDefault="006F1716" w:rsidP="00D076A8">
            <w:pPr>
              <w:rPr>
                <w:rFonts w:eastAsia="Times New Roman"/>
                <w:lang w:val="fr-FR" w:eastAsia="en-US"/>
              </w:rPr>
            </w:pPr>
          </w:p>
        </w:tc>
      </w:tr>
      <w:tr w:rsidR="006F1716" w:rsidRPr="00F56A0E" w14:paraId="3C0881E1" w14:textId="77777777" w:rsidTr="00DB14D7">
        <w:trPr>
          <w:gridAfter w:val="1"/>
          <w:wAfter w:w="67" w:type="dxa"/>
        </w:trPr>
        <w:tc>
          <w:tcPr>
            <w:tcW w:w="488" w:type="dxa"/>
          </w:tcPr>
          <w:p w14:paraId="69BDE8BB"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2</w:t>
            </w:r>
          </w:p>
        </w:tc>
        <w:tc>
          <w:tcPr>
            <w:tcW w:w="2216" w:type="dxa"/>
            <w:gridSpan w:val="2"/>
          </w:tcPr>
          <w:p w14:paraId="35962D78" w14:textId="77777777" w:rsidR="006F1716" w:rsidRPr="00F56A0E" w:rsidRDefault="006F1716" w:rsidP="00D076A8">
            <w:pPr>
              <w:spacing w:before="20" w:after="20"/>
              <w:rPr>
                <w:rFonts w:eastAsia="Times New Roman"/>
                <w:b/>
                <w:bCs/>
                <w:lang w:val="fr-FR"/>
              </w:rPr>
            </w:pPr>
            <w:r w:rsidRPr="00F56A0E">
              <w:rPr>
                <w:b/>
                <w:lang w:val="fr-FR"/>
              </w:rPr>
              <w:t>Description succincte de la ou des mesures de réglementation finales</w:t>
            </w:r>
          </w:p>
        </w:tc>
        <w:tc>
          <w:tcPr>
            <w:tcW w:w="6857" w:type="dxa"/>
            <w:gridSpan w:val="2"/>
          </w:tcPr>
          <w:p w14:paraId="5D5B1EC5" w14:textId="1D2FA174" w:rsidR="006F1716" w:rsidRPr="00F56A0E" w:rsidRDefault="006F1716" w:rsidP="00D076A8">
            <w:pPr>
              <w:rPr>
                <w:rFonts w:eastAsia="Times New Roman"/>
                <w:lang w:val="fr-FR"/>
              </w:rPr>
            </w:pPr>
            <w:r w:rsidRPr="00F56A0E">
              <w:rPr>
                <w:lang w:val="fr-FR"/>
              </w:rPr>
              <w:t>La vente de pesticides contenant du terbufos a été interdite au Canada à compter du 1</w:t>
            </w:r>
            <w:r w:rsidRPr="00F56A0E">
              <w:rPr>
                <w:vertAlign w:val="superscript"/>
                <w:lang w:val="fr-FR"/>
              </w:rPr>
              <w:t>er</w:t>
            </w:r>
            <w:r w:rsidRPr="00F56A0E">
              <w:rPr>
                <w:lang w:val="fr-FR"/>
              </w:rPr>
              <w:t> mai 2012. L</w:t>
            </w:r>
            <w:r w:rsidR="00870D0E" w:rsidRPr="00F56A0E">
              <w:rPr>
                <w:lang w:val="fr-FR"/>
              </w:rPr>
              <w:t>’</w:t>
            </w:r>
            <w:r w:rsidRPr="00F56A0E">
              <w:rPr>
                <w:lang w:val="fr-FR"/>
              </w:rPr>
              <w:t>utilisation de produits en contenant a été interdite après le 1</w:t>
            </w:r>
            <w:r w:rsidRPr="00F56A0E">
              <w:rPr>
                <w:vertAlign w:val="superscript"/>
                <w:lang w:val="fr-FR"/>
              </w:rPr>
              <w:t>er</w:t>
            </w:r>
            <w:r w:rsidRPr="00F56A0E">
              <w:rPr>
                <w:lang w:val="fr-FR"/>
              </w:rPr>
              <w:t> août 2012.</w:t>
            </w:r>
          </w:p>
          <w:p w14:paraId="0BB86507" w14:textId="77777777" w:rsidR="006F1716" w:rsidRPr="00F56A0E" w:rsidRDefault="006F1716" w:rsidP="00D076A8">
            <w:pPr>
              <w:spacing w:before="20" w:after="20"/>
              <w:rPr>
                <w:rFonts w:eastAsia="Times New Roman"/>
                <w:lang w:val="fr-FR" w:eastAsia="en-US"/>
              </w:rPr>
            </w:pPr>
          </w:p>
        </w:tc>
      </w:tr>
      <w:tr w:rsidR="006F1716" w:rsidRPr="00F56A0E" w14:paraId="5C731095" w14:textId="77777777" w:rsidTr="00DB14D7">
        <w:trPr>
          <w:gridAfter w:val="1"/>
          <w:wAfter w:w="67" w:type="dxa"/>
        </w:trPr>
        <w:tc>
          <w:tcPr>
            <w:tcW w:w="488" w:type="dxa"/>
          </w:tcPr>
          <w:p w14:paraId="2D6B6164"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3</w:t>
            </w:r>
          </w:p>
        </w:tc>
        <w:tc>
          <w:tcPr>
            <w:tcW w:w="2216" w:type="dxa"/>
            <w:gridSpan w:val="2"/>
          </w:tcPr>
          <w:p w14:paraId="0B840C34" w14:textId="77777777" w:rsidR="006F1716" w:rsidRPr="00F56A0E" w:rsidRDefault="006F1716" w:rsidP="00D076A8">
            <w:pPr>
              <w:spacing w:before="20" w:after="20"/>
              <w:rPr>
                <w:rFonts w:eastAsia="Times New Roman"/>
                <w:b/>
                <w:bCs/>
                <w:lang w:val="fr-FR"/>
              </w:rPr>
            </w:pPr>
            <w:r w:rsidRPr="00F56A0E">
              <w:rPr>
                <w:b/>
                <w:lang w:val="fr-FR"/>
              </w:rPr>
              <w:t>Motifs des mesures</w:t>
            </w:r>
          </w:p>
        </w:tc>
        <w:tc>
          <w:tcPr>
            <w:tcW w:w="6857" w:type="dxa"/>
            <w:gridSpan w:val="2"/>
          </w:tcPr>
          <w:p w14:paraId="63D4D652" w14:textId="0FD062AE" w:rsidR="006F1716" w:rsidRPr="00F56A0E" w:rsidRDefault="006F1716" w:rsidP="00D076A8">
            <w:pPr>
              <w:rPr>
                <w:rFonts w:eastAsia="Times New Roman"/>
                <w:lang w:val="fr-FR"/>
              </w:rPr>
            </w:pPr>
            <w:r w:rsidRPr="00F56A0E">
              <w:rPr>
                <w:lang w:val="fr-FR"/>
              </w:rPr>
              <w:t>Le terbufos est susceptible de porter atteinte à l</w:t>
            </w:r>
            <w:r w:rsidR="00870D0E" w:rsidRPr="00F56A0E">
              <w:rPr>
                <w:lang w:val="fr-FR"/>
              </w:rPr>
              <w:t>’</w:t>
            </w:r>
            <w:r w:rsidRPr="00F56A0E">
              <w:rPr>
                <w:lang w:val="fr-FR"/>
              </w:rPr>
              <w:t>environnement. Interdire l</w:t>
            </w:r>
            <w:r w:rsidR="00870D0E" w:rsidRPr="00F56A0E">
              <w:rPr>
                <w:lang w:val="fr-FR"/>
              </w:rPr>
              <w:t>’</w:t>
            </w:r>
            <w:r w:rsidRPr="00F56A0E">
              <w:rPr>
                <w:lang w:val="fr-FR"/>
              </w:rPr>
              <w:t>utilisation de ce produit chimique permet de protéger l</w:t>
            </w:r>
            <w:r w:rsidR="00870D0E" w:rsidRPr="00F56A0E">
              <w:rPr>
                <w:lang w:val="fr-FR"/>
              </w:rPr>
              <w:t>’</w:t>
            </w:r>
            <w:r w:rsidRPr="00F56A0E">
              <w:rPr>
                <w:lang w:val="fr-FR"/>
              </w:rPr>
              <w:t>environnement et les organismes non ciblés contre les risques liés à l</w:t>
            </w:r>
            <w:r w:rsidR="00870D0E" w:rsidRPr="00F56A0E">
              <w:rPr>
                <w:lang w:val="fr-FR"/>
              </w:rPr>
              <w:t>’</w:t>
            </w:r>
            <w:r w:rsidRPr="00F56A0E">
              <w:rPr>
                <w:lang w:val="fr-FR"/>
              </w:rPr>
              <w:t>exposition.</w:t>
            </w:r>
          </w:p>
          <w:p w14:paraId="772EE0CD" w14:textId="77777777" w:rsidR="006F1716" w:rsidRPr="00F56A0E" w:rsidRDefault="006F1716" w:rsidP="00D076A8">
            <w:pPr>
              <w:rPr>
                <w:rFonts w:eastAsia="Times New Roman"/>
                <w:lang w:val="fr-FR" w:eastAsia="en-US"/>
              </w:rPr>
            </w:pPr>
          </w:p>
        </w:tc>
      </w:tr>
      <w:tr w:rsidR="006F1716" w:rsidRPr="00F56A0E" w14:paraId="281B76A4" w14:textId="77777777" w:rsidTr="00DB14D7">
        <w:trPr>
          <w:gridAfter w:val="1"/>
          <w:wAfter w:w="67" w:type="dxa"/>
        </w:trPr>
        <w:tc>
          <w:tcPr>
            <w:tcW w:w="488" w:type="dxa"/>
          </w:tcPr>
          <w:p w14:paraId="45500490"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4</w:t>
            </w:r>
          </w:p>
        </w:tc>
        <w:tc>
          <w:tcPr>
            <w:tcW w:w="2216" w:type="dxa"/>
            <w:gridSpan w:val="2"/>
          </w:tcPr>
          <w:p w14:paraId="29CBD963" w14:textId="12641D6B" w:rsidR="006F1716" w:rsidRPr="00F56A0E" w:rsidRDefault="006F1716" w:rsidP="00D076A8">
            <w:pPr>
              <w:spacing w:before="20" w:after="20"/>
              <w:rPr>
                <w:rFonts w:eastAsia="Times New Roman"/>
                <w:b/>
                <w:bCs/>
                <w:lang w:val="fr-FR"/>
              </w:rPr>
            </w:pPr>
            <w:r w:rsidRPr="00F56A0E">
              <w:rPr>
                <w:b/>
                <w:lang w:val="fr-FR"/>
              </w:rPr>
              <w:t>Justification de l</w:t>
            </w:r>
            <w:r w:rsidR="00870D0E" w:rsidRPr="00F56A0E">
              <w:rPr>
                <w:b/>
                <w:lang w:val="fr-FR"/>
              </w:rPr>
              <w:t>’</w:t>
            </w:r>
            <w:r w:rsidRPr="00F56A0E">
              <w:rPr>
                <w:b/>
                <w:lang w:val="fr-FR"/>
              </w:rPr>
              <w:t>inscription à l</w:t>
            </w:r>
            <w:r w:rsidR="00870D0E" w:rsidRPr="00F56A0E">
              <w:rPr>
                <w:b/>
                <w:lang w:val="fr-FR"/>
              </w:rPr>
              <w:t>’</w:t>
            </w:r>
            <w:r w:rsidRPr="00F56A0E">
              <w:rPr>
                <w:b/>
                <w:lang w:val="fr-FR"/>
              </w:rPr>
              <w:t>Annexe III</w:t>
            </w:r>
          </w:p>
        </w:tc>
        <w:tc>
          <w:tcPr>
            <w:tcW w:w="6857" w:type="dxa"/>
            <w:gridSpan w:val="2"/>
          </w:tcPr>
          <w:p w14:paraId="0C5F72F9" w14:textId="3792A0B1" w:rsidR="006F1716" w:rsidRPr="00F56A0E" w:rsidRDefault="006F1716" w:rsidP="00D076A8">
            <w:pPr>
              <w:rPr>
                <w:rFonts w:eastAsia="Times New Roman"/>
                <w:lang w:val="fr-FR"/>
              </w:rPr>
            </w:pPr>
            <w:r w:rsidRPr="00F56A0E">
              <w:rPr>
                <w:lang w:val="fr-FR"/>
              </w:rPr>
              <w:t>La mesure de réglementation finale s</w:t>
            </w:r>
            <w:r w:rsidR="00870D0E" w:rsidRPr="00F56A0E">
              <w:rPr>
                <w:lang w:val="fr-FR"/>
              </w:rPr>
              <w:t>’</w:t>
            </w:r>
            <w:r w:rsidRPr="00F56A0E">
              <w:rPr>
                <w:lang w:val="fr-FR"/>
              </w:rPr>
              <w:t>appuyait sur une évaluation des risques tenant compte des conditions prévalant au Canada.</w:t>
            </w:r>
          </w:p>
          <w:p w14:paraId="44CA834A" w14:textId="77777777" w:rsidR="006F1716" w:rsidRPr="00F56A0E" w:rsidRDefault="006F1716" w:rsidP="00D076A8">
            <w:pPr>
              <w:rPr>
                <w:rFonts w:eastAsia="Times New Roman"/>
                <w:lang w:val="fr-FR" w:eastAsia="en-US"/>
              </w:rPr>
            </w:pPr>
          </w:p>
        </w:tc>
      </w:tr>
      <w:tr w:rsidR="006F1716" w:rsidRPr="00F56A0E" w14:paraId="29D6C771" w14:textId="77777777" w:rsidTr="00DB14D7">
        <w:tc>
          <w:tcPr>
            <w:tcW w:w="555" w:type="dxa"/>
            <w:gridSpan w:val="2"/>
          </w:tcPr>
          <w:p w14:paraId="40A3335E"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4.1</w:t>
            </w:r>
          </w:p>
        </w:tc>
        <w:tc>
          <w:tcPr>
            <w:tcW w:w="2216" w:type="dxa"/>
            <w:gridSpan w:val="2"/>
          </w:tcPr>
          <w:p w14:paraId="4FF6630E" w14:textId="77777777" w:rsidR="006F1716" w:rsidRPr="00F56A0E" w:rsidRDefault="006F1716" w:rsidP="00496594">
            <w:pPr>
              <w:spacing w:before="20" w:after="20"/>
              <w:ind w:left="-109"/>
              <w:rPr>
                <w:rFonts w:eastAsia="Times New Roman"/>
                <w:b/>
                <w:lang w:val="fr-FR"/>
              </w:rPr>
            </w:pPr>
            <w:r w:rsidRPr="00F56A0E">
              <w:rPr>
                <w:b/>
                <w:lang w:val="fr-FR"/>
              </w:rPr>
              <w:t>Évaluation des risques</w:t>
            </w:r>
          </w:p>
        </w:tc>
        <w:tc>
          <w:tcPr>
            <w:tcW w:w="6857" w:type="dxa"/>
            <w:gridSpan w:val="2"/>
          </w:tcPr>
          <w:p w14:paraId="3A42FBFC" w14:textId="77777777" w:rsidR="006F1716" w:rsidRPr="00F56A0E" w:rsidRDefault="006F1716" w:rsidP="00D076A8">
            <w:pPr>
              <w:rPr>
                <w:lang w:val="fr-FR"/>
              </w:rPr>
            </w:pPr>
            <w:r w:rsidRPr="00F56A0E">
              <w:rPr>
                <w:lang w:val="fr-FR"/>
              </w:rPr>
              <w:t>Une réévaluation de la matière active terbufos et de ses préparations commerciales destinées à une utilisation sur les cultures de canola, de maïs, de moutarde, de rutabaga et de betterave sucrière a été entreprise en vertu de la section 16 de la Loi sur les produits antiparasitaires.</w:t>
            </w:r>
          </w:p>
          <w:p w14:paraId="36C9BB9A" w14:textId="77777777" w:rsidR="006F1716" w:rsidRPr="00F56A0E" w:rsidRDefault="006F1716" w:rsidP="00D076A8">
            <w:pPr>
              <w:rPr>
                <w:lang w:val="fr-FR" w:eastAsia="en-US"/>
              </w:rPr>
            </w:pPr>
          </w:p>
          <w:p w14:paraId="742EE09A" w14:textId="50B3A2B3" w:rsidR="006F1716" w:rsidRPr="00F56A0E" w:rsidRDefault="006F1716" w:rsidP="00D076A8">
            <w:pPr>
              <w:rPr>
                <w:rFonts w:eastAsia="Times New Roman"/>
                <w:lang w:val="fr-FR"/>
              </w:rPr>
            </w:pPr>
            <w:r w:rsidRPr="00F56A0E">
              <w:rPr>
                <w:lang w:val="fr-FR"/>
              </w:rPr>
              <w:t>S</w:t>
            </w:r>
            <w:r w:rsidR="00870D0E" w:rsidRPr="00F56A0E">
              <w:rPr>
                <w:lang w:val="fr-FR"/>
              </w:rPr>
              <w:t>’</w:t>
            </w:r>
            <w:r w:rsidRPr="00F56A0E">
              <w:rPr>
                <w:lang w:val="fr-FR"/>
              </w:rPr>
              <w:t>agissant de la santé humaine, des évaluations des risques professionnels, alimentaires et globaux (exposition par les aliments et l</w:t>
            </w:r>
            <w:r w:rsidR="00870D0E" w:rsidRPr="00F56A0E">
              <w:rPr>
                <w:lang w:val="fr-FR"/>
              </w:rPr>
              <w:t>’</w:t>
            </w:r>
            <w:r w:rsidRPr="00F56A0E">
              <w:rPr>
                <w:lang w:val="fr-FR"/>
              </w:rPr>
              <w:t>eau potable) ont été menées. Une évaluation déterministe des risques pour l</w:t>
            </w:r>
            <w:r w:rsidR="00870D0E" w:rsidRPr="00F56A0E">
              <w:rPr>
                <w:lang w:val="fr-FR"/>
              </w:rPr>
              <w:t>’</w:t>
            </w:r>
            <w:r w:rsidRPr="00F56A0E">
              <w:rPr>
                <w:lang w:val="fr-FR"/>
              </w:rPr>
              <w:t>environnement posés par les produits antiparasitaires a également été effectuée. Les risques pour l</w:t>
            </w:r>
            <w:r w:rsidR="00870D0E" w:rsidRPr="00F56A0E">
              <w:rPr>
                <w:lang w:val="fr-FR"/>
              </w:rPr>
              <w:t>’</w:t>
            </w:r>
            <w:r w:rsidRPr="00F56A0E">
              <w:rPr>
                <w:lang w:val="fr-FR"/>
              </w:rPr>
              <w:t>environnement ont été déterminés selon la méthode du quotient, qui consiste à calculer le rapport entre la concentration estimée dans l</w:t>
            </w:r>
            <w:r w:rsidR="00870D0E" w:rsidRPr="00F56A0E">
              <w:rPr>
                <w:lang w:val="fr-FR"/>
              </w:rPr>
              <w:t>’</w:t>
            </w:r>
            <w:r w:rsidRPr="00F56A0E">
              <w:rPr>
                <w:lang w:val="fr-FR"/>
              </w:rPr>
              <w:t>environnement et la concentration sans effet observé sur les organismes non ciblés. On considère qu</w:t>
            </w:r>
            <w:r w:rsidR="00870D0E" w:rsidRPr="00F56A0E">
              <w:rPr>
                <w:lang w:val="fr-FR"/>
              </w:rPr>
              <w:t>’</w:t>
            </w:r>
            <w:r w:rsidRPr="00F56A0E">
              <w:rPr>
                <w:lang w:val="fr-FR"/>
              </w:rPr>
              <w:t>un quotient de risque inférieur à un atteste d</w:t>
            </w:r>
            <w:r w:rsidR="00870D0E" w:rsidRPr="00F56A0E">
              <w:rPr>
                <w:lang w:val="fr-FR"/>
              </w:rPr>
              <w:t>’</w:t>
            </w:r>
            <w:r w:rsidRPr="00F56A0E">
              <w:rPr>
                <w:lang w:val="fr-FR"/>
              </w:rPr>
              <w:t>un faible danger pour les organismes non ciblés, tandis qu</w:t>
            </w:r>
            <w:r w:rsidR="00870D0E" w:rsidRPr="00F56A0E">
              <w:rPr>
                <w:lang w:val="fr-FR"/>
              </w:rPr>
              <w:t>’</w:t>
            </w:r>
            <w:r w:rsidRPr="00F56A0E">
              <w:rPr>
                <w:lang w:val="fr-FR"/>
              </w:rPr>
              <w:t>une valeur supérieure à un indique un certain niveau de danger pour ces organismes. Par ailleurs, les évaluations des risques ont fait l</w:t>
            </w:r>
            <w:r w:rsidR="00870D0E" w:rsidRPr="00F56A0E">
              <w:rPr>
                <w:lang w:val="fr-FR"/>
              </w:rPr>
              <w:t>’</w:t>
            </w:r>
            <w:r w:rsidRPr="00F56A0E">
              <w:rPr>
                <w:lang w:val="fr-FR"/>
              </w:rPr>
              <w:t>objet de consultations publiques pendant 60 jours, afin de donner aux parties intéressées l</w:t>
            </w:r>
            <w:r w:rsidR="00870D0E" w:rsidRPr="00F56A0E">
              <w:rPr>
                <w:lang w:val="fr-FR"/>
              </w:rPr>
              <w:t>’</w:t>
            </w:r>
            <w:r w:rsidRPr="00F56A0E">
              <w:rPr>
                <w:lang w:val="fr-FR"/>
              </w:rPr>
              <w:t>occasion de contribuer à la décision de réévaluation.</w:t>
            </w:r>
          </w:p>
          <w:p w14:paraId="456B7619" w14:textId="77777777" w:rsidR="006F1716" w:rsidRPr="00F56A0E" w:rsidRDefault="006F1716" w:rsidP="00D076A8">
            <w:pPr>
              <w:rPr>
                <w:rFonts w:eastAsia="Times New Roman"/>
                <w:lang w:val="fr-FR" w:eastAsia="en-US"/>
              </w:rPr>
            </w:pPr>
          </w:p>
          <w:p w14:paraId="469E6430" w14:textId="37F16B3B" w:rsidR="006F1716" w:rsidRPr="00F56A0E" w:rsidRDefault="006F1716" w:rsidP="00D076A8">
            <w:pPr>
              <w:rPr>
                <w:rFonts w:eastAsia="Times New Roman"/>
                <w:lang w:val="fr-FR"/>
              </w:rPr>
            </w:pPr>
            <w:r w:rsidRPr="00F56A0E">
              <w:rPr>
                <w:lang w:val="fr-FR"/>
              </w:rPr>
              <w:t>Le terbufos est peu soluble dans l</w:t>
            </w:r>
            <w:r w:rsidR="00870D0E" w:rsidRPr="00F56A0E">
              <w:rPr>
                <w:lang w:val="fr-FR"/>
              </w:rPr>
              <w:t>’</w:t>
            </w:r>
            <w:r w:rsidRPr="00F56A0E">
              <w:rPr>
                <w:lang w:val="fr-FR"/>
              </w:rPr>
              <w:t xml:space="preserve">eau et </w:t>
            </w:r>
            <w:r w:rsidR="00A16264" w:rsidRPr="00F56A0E">
              <w:rPr>
                <w:lang w:val="fr-FR"/>
              </w:rPr>
              <w:t>son potentiel de volatilisation à partir d</w:t>
            </w:r>
            <w:r w:rsidRPr="00F56A0E">
              <w:rPr>
                <w:lang w:val="fr-FR"/>
              </w:rPr>
              <w:t xml:space="preserve">es sols humides et </w:t>
            </w:r>
            <w:r w:rsidR="00A16264" w:rsidRPr="00F56A0E">
              <w:rPr>
                <w:lang w:val="fr-FR"/>
              </w:rPr>
              <w:t>d</w:t>
            </w:r>
            <w:r w:rsidRPr="00F56A0E">
              <w:rPr>
                <w:lang w:val="fr-FR"/>
              </w:rPr>
              <w:t>es eaux superficielles est modéré. Les coefficients de partage octanol-eau montrent que le composé parent présente un potentiel de bioaccumulation, et que celui-ci est limité pour le terbufos-sulfone et le terbufos-sulfoxyde. Les études menées sur les poissons indiquent que le terbufos présente un potentiel de bioconcentration.</w:t>
            </w:r>
          </w:p>
          <w:p w14:paraId="45766DBD" w14:textId="77777777" w:rsidR="006F1716" w:rsidRPr="00F56A0E" w:rsidRDefault="006F1716" w:rsidP="00D076A8">
            <w:pPr>
              <w:rPr>
                <w:rFonts w:eastAsia="Times New Roman"/>
                <w:lang w:val="fr-FR" w:eastAsia="en-US"/>
              </w:rPr>
            </w:pPr>
          </w:p>
          <w:p w14:paraId="6B5CBF81" w14:textId="5513CAB3" w:rsidR="006F1716" w:rsidRPr="00F56A0E" w:rsidRDefault="006F1716" w:rsidP="00D076A8">
            <w:pPr>
              <w:rPr>
                <w:rFonts w:eastAsia="Times New Roman"/>
                <w:lang w:val="fr-FR"/>
              </w:rPr>
            </w:pPr>
            <w:r w:rsidRPr="00F56A0E">
              <w:rPr>
                <w:lang w:val="fr-FR"/>
              </w:rPr>
              <w:t>Le terbufos est susceptible d</w:t>
            </w:r>
            <w:r w:rsidR="00870D0E" w:rsidRPr="00F56A0E">
              <w:rPr>
                <w:lang w:val="fr-FR"/>
              </w:rPr>
              <w:t>’</w:t>
            </w:r>
            <w:r w:rsidRPr="00F56A0E">
              <w:rPr>
                <w:lang w:val="fr-FR"/>
              </w:rPr>
              <w:t>être transformé par des processus abiotiques et biotiques. L</w:t>
            </w:r>
            <w:r w:rsidR="00870D0E" w:rsidRPr="00F56A0E">
              <w:rPr>
                <w:lang w:val="fr-FR"/>
              </w:rPr>
              <w:t>’</w:t>
            </w:r>
            <w:r w:rsidRPr="00F56A0E">
              <w:rPr>
                <w:lang w:val="fr-FR"/>
              </w:rPr>
              <w:t>hydrolyse semble être la principale voie de transformation abiotique du terbufos (composé parent). L</w:t>
            </w:r>
            <w:r w:rsidR="00870D0E" w:rsidRPr="00F56A0E">
              <w:rPr>
                <w:lang w:val="fr-FR"/>
              </w:rPr>
              <w:t>’</w:t>
            </w:r>
            <w:r w:rsidRPr="00F56A0E">
              <w:rPr>
                <w:lang w:val="fr-FR"/>
              </w:rPr>
              <w:t>hydrolyse du terbufos-sulfoxyde et du terbufos-sulfone dépend du pH et est plus lente que celle du composé parent. La principale voie de dégradation biotique est la biodégradation aérobie, dont les principaux produits sont le terbufos-sulfoxyde, le terbufos-sulfone et le CO</w:t>
            </w:r>
            <w:r w:rsidRPr="00F56A0E">
              <w:rPr>
                <w:vertAlign w:val="subscript"/>
                <w:lang w:val="fr-FR"/>
              </w:rPr>
              <w:t>2</w:t>
            </w:r>
            <w:r w:rsidRPr="00F56A0E">
              <w:rPr>
                <w:lang w:val="fr-FR"/>
              </w:rPr>
              <w:t>. Les données disponibles montrent que le terbufos est faiblement à modérément persistant dans les sols, en fonction de leurs caractéristiques et de la température.</w:t>
            </w:r>
          </w:p>
          <w:p w14:paraId="602B9B84" w14:textId="77777777" w:rsidR="006F1716" w:rsidRPr="00F56A0E" w:rsidRDefault="006F1716" w:rsidP="00D076A8">
            <w:pPr>
              <w:rPr>
                <w:rFonts w:eastAsia="Times New Roman"/>
                <w:lang w:val="fr-FR" w:eastAsia="en-US"/>
              </w:rPr>
            </w:pPr>
          </w:p>
          <w:p w14:paraId="03FA0746" w14:textId="7A2FF34D" w:rsidR="006F1716" w:rsidRPr="00F56A0E" w:rsidRDefault="006F1716" w:rsidP="008E6BAA">
            <w:pPr>
              <w:keepNext/>
              <w:keepLines/>
              <w:rPr>
                <w:rFonts w:eastAsia="Times New Roman"/>
                <w:lang w:val="fr-FR"/>
              </w:rPr>
            </w:pPr>
            <w:r w:rsidRPr="00F56A0E">
              <w:rPr>
                <w:lang w:val="fr-FR"/>
              </w:rPr>
              <w:lastRenderedPageBreak/>
              <w:t xml:space="preserve">Les propriétés physiques et chimiques du terbufos indiquent que, dans les systèmes aquatiques, il se fixe dans les sédiments. Les données sur les vitesses de dégradation dans les systèmes eau-sédiments font apparaître des demi-vies de 27 à 41 jours, avec une dégradation relativement rapide dans la phase aqueuse, principalement par hydrolyse, et une dégradation plus lente </w:t>
            </w:r>
            <w:r w:rsidR="00A16264" w:rsidRPr="00F56A0E">
              <w:rPr>
                <w:lang w:val="fr-FR"/>
              </w:rPr>
              <w:t xml:space="preserve">de la fraction </w:t>
            </w:r>
            <w:r w:rsidRPr="00F56A0E">
              <w:rPr>
                <w:lang w:val="fr-FR"/>
              </w:rPr>
              <w:t>adsorbé</w:t>
            </w:r>
            <w:r w:rsidR="00A16264" w:rsidRPr="00F56A0E">
              <w:rPr>
                <w:lang w:val="fr-FR"/>
              </w:rPr>
              <w:t>e</w:t>
            </w:r>
            <w:r w:rsidRPr="00F56A0E">
              <w:rPr>
                <w:lang w:val="fr-FR"/>
              </w:rPr>
              <w:t xml:space="preserve"> sur les sédiments. Les deux principaux produits de dégradation du terbufos dans les systèmes terrestres, à savoir le terbufos-sulfoxyde et le terbufos-sulfone, sont nettement plus persistants que le composé parent. D</w:t>
            </w:r>
            <w:r w:rsidR="00870D0E" w:rsidRPr="00F56A0E">
              <w:rPr>
                <w:lang w:val="fr-FR"/>
              </w:rPr>
              <w:t>’</w:t>
            </w:r>
            <w:r w:rsidRPr="00F56A0E">
              <w:rPr>
                <w:lang w:val="fr-FR"/>
              </w:rPr>
              <w:t>après les déclarations de pollution accidentelle recensées aux États-Unis, il est évident que le terbufos pénètre dans les systèmes aquatiques principalement par ruissellement depuis les champs traités.</w:t>
            </w:r>
          </w:p>
          <w:p w14:paraId="29F5C69F" w14:textId="77777777" w:rsidR="006F1716" w:rsidRPr="00F56A0E" w:rsidRDefault="006F1716" w:rsidP="00D076A8">
            <w:pPr>
              <w:rPr>
                <w:rFonts w:eastAsia="Times New Roman"/>
                <w:lang w:val="fr-FR" w:eastAsia="en-US"/>
              </w:rPr>
            </w:pPr>
          </w:p>
          <w:p w14:paraId="54D19275" w14:textId="7EB10D78" w:rsidR="006F1716" w:rsidRPr="00F56A0E" w:rsidRDefault="006F1716" w:rsidP="00D076A8">
            <w:pPr>
              <w:rPr>
                <w:rFonts w:eastAsia="Times New Roman"/>
                <w:lang w:val="fr-FR"/>
              </w:rPr>
            </w:pPr>
            <w:r w:rsidRPr="00F56A0E">
              <w:rPr>
                <w:lang w:val="fr-FR"/>
              </w:rPr>
              <w:t>L</w:t>
            </w:r>
            <w:r w:rsidR="00870D0E" w:rsidRPr="00F56A0E">
              <w:rPr>
                <w:lang w:val="fr-FR"/>
              </w:rPr>
              <w:t>’</w:t>
            </w:r>
            <w:r w:rsidRPr="00F56A0E">
              <w:rPr>
                <w:lang w:val="fr-FR"/>
              </w:rPr>
              <w:t>Agence de réglementation de la lutte antiparasitaire (ARLA) estime que toutes les utilisations homologuées du terbufos présentent des risques extrêmement élevés pour les organismes terrestres. Cette évaluation s</w:t>
            </w:r>
            <w:r w:rsidR="00870D0E" w:rsidRPr="00F56A0E">
              <w:rPr>
                <w:lang w:val="fr-FR"/>
              </w:rPr>
              <w:t>’</w:t>
            </w:r>
            <w:r w:rsidRPr="00F56A0E">
              <w:rPr>
                <w:lang w:val="fr-FR"/>
              </w:rPr>
              <w:t>appuie sur des déclarations de pollution accidentelle effectuées au Canada et aux États-Unis.</w:t>
            </w:r>
          </w:p>
          <w:p w14:paraId="06EC8466" w14:textId="77777777" w:rsidR="006F1716" w:rsidRPr="00F56A0E" w:rsidRDefault="006F1716" w:rsidP="00D076A8">
            <w:pPr>
              <w:rPr>
                <w:rFonts w:eastAsia="Times New Roman"/>
                <w:lang w:val="fr-FR" w:eastAsia="en-US"/>
              </w:rPr>
            </w:pPr>
          </w:p>
          <w:p w14:paraId="3A9FF421" w14:textId="48DB5DB8" w:rsidR="006F1716" w:rsidRPr="00F56A0E" w:rsidRDefault="006F1716" w:rsidP="00D076A8">
            <w:pPr>
              <w:rPr>
                <w:rFonts w:eastAsia="Times New Roman"/>
                <w:lang w:val="fr-FR"/>
              </w:rPr>
            </w:pPr>
            <w:r w:rsidRPr="00F56A0E">
              <w:rPr>
                <w:lang w:val="fr-FR"/>
              </w:rPr>
              <w:t>L</w:t>
            </w:r>
            <w:r w:rsidR="00870D0E" w:rsidRPr="00F56A0E">
              <w:rPr>
                <w:lang w:val="fr-FR"/>
              </w:rPr>
              <w:t>’</w:t>
            </w:r>
            <w:r w:rsidRPr="00F56A0E">
              <w:rPr>
                <w:lang w:val="fr-FR"/>
              </w:rPr>
              <w:t>ARLA estime que toutes les utilisations homologuées du terbufos présentent des risques extrêmement élevés pour les organismes aquatiques. Cette évaluation s</w:t>
            </w:r>
            <w:r w:rsidR="00870D0E" w:rsidRPr="00F56A0E">
              <w:rPr>
                <w:lang w:val="fr-FR"/>
              </w:rPr>
              <w:t>’</w:t>
            </w:r>
            <w:r w:rsidRPr="00F56A0E">
              <w:rPr>
                <w:lang w:val="fr-FR"/>
              </w:rPr>
              <w:t>appuie sur des déclarations de pollution accidentelle effectuées aux États-Unis, qui font état d</w:t>
            </w:r>
            <w:r w:rsidR="00870D0E" w:rsidRPr="00F56A0E">
              <w:rPr>
                <w:lang w:val="fr-FR"/>
              </w:rPr>
              <w:t>’</w:t>
            </w:r>
            <w:r w:rsidRPr="00F56A0E">
              <w:rPr>
                <w:lang w:val="fr-FR"/>
              </w:rPr>
              <w:t>effets nocifs. Des incidents similaires ont pu se produire au Canada, mais ce pays ne dispose pas d</w:t>
            </w:r>
            <w:r w:rsidR="00870D0E" w:rsidRPr="00F56A0E">
              <w:rPr>
                <w:lang w:val="fr-FR"/>
              </w:rPr>
              <w:t>’</w:t>
            </w:r>
            <w:r w:rsidRPr="00F56A0E">
              <w:rPr>
                <w:lang w:val="fr-FR"/>
              </w:rPr>
              <w:t>un système de notification équivalent.</w:t>
            </w:r>
          </w:p>
          <w:p w14:paraId="25655CDF" w14:textId="77777777" w:rsidR="006F1716" w:rsidRPr="00F56A0E" w:rsidRDefault="006F1716" w:rsidP="00D076A8">
            <w:pPr>
              <w:rPr>
                <w:rFonts w:eastAsia="Times New Roman"/>
                <w:lang w:val="fr-FR" w:eastAsia="en-US"/>
              </w:rPr>
            </w:pPr>
          </w:p>
          <w:p w14:paraId="3CA8AA68" w14:textId="058C57B0" w:rsidR="006F1716" w:rsidRPr="00F56A0E" w:rsidRDefault="006F1716" w:rsidP="00D076A8">
            <w:pPr>
              <w:rPr>
                <w:rFonts w:eastAsia="Times New Roman"/>
                <w:lang w:val="fr-FR"/>
              </w:rPr>
            </w:pPr>
            <w:r w:rsidRPr="00F56A0E">
              <w:rPr>
                <w:lang w:val="fr-FR"/>
              </w:rPr>
              <w:t>Les quotients de risque calculés pour les applications des préparations commerciales de terbufos Counter 5-G et Counter 15-G font ressortir des risques pour tous les groupes d</w:t>
            </w:r>
            <w:r w:rsidR="00870D0E" w:rsidRPr="00F56A0E">
              <w:rPr>
                <w:lang w:val="fr-FR"/>
              </w:rPr>
              <w:t>’</w:t>
            </w:r>
            <w:r w:rsidRPr="00F56A0E">
              <w:rPr>
                <w:lang w:val="fr-FR"/>
              </w:rPr>
              <w:t xml:space="preserve">organismes (oiseaux, mammifères, poissons et invertébrés aquatiques) dans tous les cas de figure. Les données de toxicité disponibles montrent que les risques sont élevés à extrêmement élevés pour les organismes aquatiques et, dans la plupart des cas, élevés à extrêmement élevés pour les oiseaux. </w:t>
            </w:r>
            <w:r w:rsidR="003C1E17" w:rsidRPr="00F56A0E">
              <w:rPr>
                <w:lang w:val="fr-FR"/>
              </w:rPr>
              <w:t>Ils</w:t>
            </w:r>
            <w:r w:rsidRPr="00F56A0E">
              <w:rPr>
                <w:lang w:val="fr-FR"/>
              </w:rPr>
              <w:t xml:space="preserve"> sont considérés comme faibles pour les grands mammifères et élevés pour les petits mammifères.</w:t>
            </w:r>
          </w:p>
          <w:p w14:paraId="2D9E37FE" w14:textId="77777777" w:rsidR="006F1716" w:rsidRPr="00F56A0E" w:rsidRDefault="006F1716" w:rsidP="00D076A8">
            <w:pPr>
              <w:spacing w:after="20"/>
              <w:rPr>
                <w:rFonts w:eastAsia="Times New Roman"/>
                <w:lang w:val="fr-FR" w:eastAsia="en-US"/>
              </w:rPr>
            </w:pPr>
          </w:p>
        </w:tc>
      </w:tr>
      <w:tr w:rsidR="006F1716" w:rsidRPr="00F56A0E" w14:paraId="6846E040" w14:textId="77777777" w:rsidTr="00DB14D7">
        <w:trPr>
          <w:gridAfter w:val="1"/>
          <w:wAfter w:w="67" w:type="dxa"/>
        </w:trPr>
        <w:tc>
          <w:tcPr>
            <w:tcW w:w="488" w:type="dxa"/>
          </w:tcPr>
          <w:p w14:paraId="2FAE0E6C" w14:textId="77777777" w:rsidR="006F1716" w:rsidRPr="00F56A0E" w:rsidRDefault="006F1716" w:rsidP="00D076A8">
            <w:pPr>
              <w:rPr>
                <w:rFonts w:eastAsia="Times New Roman"/>
                <w:b/>
                <w:bCs/>
                <w:snapToGrid w:val="0"/>
                <w:lang w:val="fr-FR"/>
              </w:rPr>
            </w:pPr>
            <w:r w:rsidRPr="00F56A0E">
              <w:rPr>
                <w:b/>
                <w:snapToGrid w:val="0"/>
                <w:lang w:val="fr-FR"/>
              </w:rPr>
              <w:lastRenderedPageBreak/>
              <w:t>4.2</w:t>
            </w:r>
          </w:p>
        </w:tc>
        <w:tc>
          <w:tcPr>
            <w:tcW w:w="2216" w:type="dxa"/>
            <w:gridSpan w:val="2"/>
          </w:tcPr>
          <w:p w14:paraId="436C0CF1" w14:textId="77777777" w:rsidR="006F1716" w:rsidRPr="00F56A0E" w:rsidRDefault="006F1716" w:rsidP="00D076A8">
            <w:pPr>
              <w:rPr>
                <w:rFonts w:eastAsia="Times New Roman"/>
                <w:b/>
                <w:lang w:val="fr-FR"/>
              </w:rPr>
            </w:pPr>
            <w:r w:rsidRPr="00F56A0E">
              <w:rPr>
                <w:b/>
                <w:lang w:val="fr-FR"/>
              </w:rPr>
              <w:t>Critères appliqués</w:t>
            </w:r>
          </w:p>
        </w:tc>
        <w:tc>
          <w:tcPr>
            <w:tcW w:w="6857" w:type="dxa"/>
            <w:gridSpan w:val="2"/>
          </w:tcPr>
          <w:p w14:paraId="23394CE0" w14:textId="2504D043" w:rsidR="006F1716" w:rsidRPr="00F56A0E" w:rsidRDefault="006F1716" w:rsidP="00D076A8">
            <w:pPr>
              <w:rPr>
                <w:rFonts w:eastAsia="Times New Roman"/>
                <w:iCs/>
                <w:lang w:val="fr-FR"/>
              </w:rPr>
            </w:pPr>
            <w:r w:rsidRPr="00F56A0E">
              <w:rPr>
                <w:lang w:val="fr-FR"/>
              </w:rPr>
              <w:t>Risques pour l</w:t>
            </w:r>
            <w:r w:rsidR="00870D0E" w:rsidRPr="00F56A0E">
              <w:rPr>
                <w:lang w:val="fr-FR"/>
              </w:rPr>
              <w:t>’</w:t>
            </w:r>
            <w:r w:rsidRPr="00F56A0E">
              <w:rPr>
                <w:lang w:val="fr-FR"/>
              </w:rPr>
              <w:t>environnement</w:t>
            </w:r>
          </w:p>
        </w:tc>
      </w:tr>
      <w:tr w:rsidR="006F1716" w:rsidRPr="00F56A0E" w14:paraId="628697DE" w14:textId="77777777" w:rsidTr="00DB14D7">
        <w:trPr>
          <w:gridAfter w:val="1"/>
          <w:wAfter w:w="67" w:type="dxa"/>
          <w:trHeight w:val="983"/>
        </w:trPr>
        <w:tc>
          <w:tcPr>
            <w:tcW w:w="488" w:type="dxa"/>
          </w:tcPr>
          <w:p w14:paraId="0215DDE8" w14:textId="77777777" w:rsidR="006F1716" w:rsidRPr="00F56A0E" w:rsidRDefault="006F1716" w:rsidP="00D076A8">
            <w:pPr>
              <w:widowControl w:val="0"/>
              <w:rPr>
                <w:rFonts w:eastAsia="Times New Roman"/>
                <w:b/>
                <w:bCs/>
                <w:snapToGrid w:val="0"/>
                <w:lang w:val="fr-FR" w:eastAsia="en-US"/>
              </w:rPr>
            </w:pPr>
          </w:p>
        </w:tc>
        <w:tc>
          <w:tcPr>
            <w:tcW w:w="2216" w:type="dxa"/>
            <w:gridSpan w:val="2"/>
          </w:tcPr>
          <w:p w14:paraId="1BEEBAEA" w14:textId="4BC14CBD" w:rsidR="006F1716" w:rsidRPr="00F56A0E" w:rsidRDefault="006F1716" w:rsidP="00D076A8">
            <w:pPr>
              <w:rPr>
                <w:rFonts w:eastAsia="Times New Roman"/>
                <w:b/>
                <w:lang w:val="fr-FR"/>
              </w:rPr>
            </w:pPr>
            <w:r w:rsidRPr="00F56A0E">
              <w:rPr>
                <w:b/>
                <w:lang w:val="fr-FR"/>
              </w:rPr>
              <w:t>Pertinence pour d</w:t>
            </w:r>
            <w:r w:rsidR="00870D0E" w:rsidRPr="00F56A0E">
              <w:rPr>
                <w:b/>
                <w:lang w:val="fr-FR"/>
              </w:rPr>
              <w:t>’</w:t>
            </w:r>
            <w:r w:rsidRPr="00F56A0E">
              <w:rPr>
                <w:b/>
                <w:lang w:val="fr-FR"/>
              </w:rPr>
              <w:t>autres États ou d</w:t>
            </w:r>
            <w:r w:rsidR="00870D0E" w:rsidRPr="00F56A0E">
              <w:rPr>
                <w:b/>
                <w:lang w:val="fr-FR"/>
              </w:rPr>
              <w:t>’</w:t>
            </w:r>
            <w:r w:rsidRPr="00F56A0E">
              <w:rPr>
                <w:b/>
                <w:lang w:val="fr-FR"/>
              </w:rPr>
              <w:t>autres régions</w:t>
            </w:r>
          </w:p>
        </w:tc>
        <w:tc>
          <w:tcPr>
            <w:tcW w:w="6857" w:type="dxa"/>
            <w:gridSpan w:val="2"/>
          </w:tcPr>
          <w:p w14:paraId="30856E3D" w14:textId="7852B59E" w:rsidR="006F1716" w:rsidRPr="00F56A0E" w:rsidRDefault="006F1716" w:rsidP="00D076A8">
            <w:pPr>
              <w:rPr>
                <w:rFonts w:eastAsia="Times New Roman"/>
                <w:iCs/>
                <w:lang w:val="fr-FR"/>
              </w:rPr>
            </w:pPr>
            <w:r w:rsidRPr="00F56A0E">
              <w:rPr>
                <w:lang w:val="fr-FR"/>
              </w:rPr>
              <w:t>Les risques environnementaux sont susceptibles de concerner d</w:t>
            </w:r>
            <w:r w:rsidR="00870D0E" w:rsidRPr="00F56A0E">
              <w:rPr>
                <w:lang w:val="fr-FR"/>
              </w:rPr>
              <w:t>’</w:t>
            </w:r>
            <w:r w:rsidRPr="00F56A0E">
              <w:rPr>
                <w:lang w:val="fr-FR"/>
              </w:rPr>
              <w:t>autres pays utilisant le terbufos de manière similaire.</w:t>
            </w:r>
          </w:p>
          <w:p w14:paraId="09E2F2BB" w14:textId="77777777" w:rsidR="006F1716" w:rsidRPr="00F56A0E" w:rsidRDefault="006F1716" w:rsidP="00D076A8">
            <w:pPr>
              <w:rPr>
                <w:rFonts w:eastAsia="Times New Roman"/>
                <w:lang w:val="fr-FR" w:eastAsia="en-US"/>
              </w:rPr>
            </w:pPr>
          </w:p>
        </w:tc>
      </w:tr>
      <w:tr w:rsidR="006F1716" w:rsidRPr="00F56A0E" w14:paraId="20DC199F" w14:textId="77777777" w:rsidTr="00DB14D7">
        <w:trPr>
          <w:gridAfter w:val="1"/>
          <w:wAfter w:w="67" w:type="dxa"/>
          <w:trHeight w:val="722"/>
        </w:trPr>
        <w:tc>
          <w:tcPr>
            <w:tcW w:w="488" w:type="dxa"/>
          </w:tcPr>
          <w:p w14:paraId="607D18BB" w14:textId="77777777" w:rsidR="006F1716" w:rsidRPr="00F56A0E" w:rsidRDefault="006F1716" w:rsidP="00D076A8">
            <w:pPr>
              <w:widowControl w:val="0"/>
              <w:rPr>
                <w:rFonts w:eastAsia="Times New Roman"/>
                <w:b/>
                <w:bCs/>
                <w:snapToGrid w:val="0"/>
                <w:lang w:val="fr-FR"/>
              </w:rPr>
            </w:pPr>
            <w:r w:rsidRPr="00F56A0E">
              <w:rPr>
                <w:b/>
                <w:snapToGrid w:val="0"/>
                <w:lang w:val="fr-FR"/>
              </w:rPr>
              <w:t>5</w:t>
            </w:r>
          </w:p>
        </w:tc>
        <w:tc>
          <w:tcPr>
            <w:tcW w:w="2216" w:type="dxa"/>
            <w:gridSpan w:val="2"/>
          </w:tcPr>
          <w:p w14:paraId="3A2AAC27" w14:textId="77777777" w:rsidR="006F1716" w:rsidRPr="00F56A0E" w:rsidRDefault="006F1716" w:rsidP="00D076A8">
            <w:pPr>
              <w:rPr>
                <w:rFonts w:eastAsia="Times New Roman"/>
                <w:b/>
                <w:bCs/>
                <w:lang w:val="fr-FR"/>
              </w:rPr>
            </w:pPr>
            <w:r w:rsidRPr="00F56A0E">
              <w:rPr>
                <w:b/>
                <w:lang w:val="fr-FR"/>
              </w:rPr>
              <w:t>Solutions de remplacement</w:t>
            </w:r>
          </w:p>
        </w:tc>
        <w:tc>
          <w:tcPr>
            <w:tcW w:w="6857" w:type="dxa"/>
            <w:gridSpan w:val="2"/>
          </w:tcPr>
          <w:p w14:paraId="121B356E" w14:textId="77777777" w:rsidR="006F1716" w:rsidRPr="00F56A0E" w:rsidRDefault="006F1716" w:rsidP="00D076A8">
            <w:pPr>
              <w:keepNext/>
              <w:outlineLvl w:val="8"/>
              <w:rPr>
                <w:rFonts w:eastAsia="Times New Roman"/>
                <w:iCs/>
                <w:lang w:val="fr-FR"/>
              </w:rPr>
            </w:pPr>
            <w:r w:rsidRPr="00F56A0E">
              <w:rPr>
                <w:lang w:val="fr-FR"/>
              </w:rPr>
              <w:t>Voir section 3.3</w:t>
            </w:r>
          </w:p>
          <w:p w14:paraId="38DD6799" w14:textId="77777777" w:rsidR="006F1716" w:rsidRPr="00F56A0E" w:rsidRDefault="006F1716" w:rsidP="00D076A8">
            <w:pPr>
              <w:rPr>
                <w:rFonts w:eastAsia="Times New Roman"/>
                <w:lang w:val="fr-FR" w:eastAsia="en-US"/>
              </w:rPr>
            </w:pPr>
          </w:p>
        </w:tc>
      </w:tr>
      <w:tr w:rsidR="006F1716" w:rsidRPr="00F56A0E" w14:paraId="136D70F6" w14:textId="77777777" w:rsidTr="00DB14D7">
        <w:trPr>
          <w:gridAfter w:val="1"/>
          <w:wAfter w:w="67" w:type="dxa"/>
          <w:trHeight w:val="632"/>
        </w:trPr>
        <w:tc>
          <w:tcPr>
            <w:tcW w:w="488" w:type="dxa"/>
          </w:tcPr>
          <w:p w14:paraId="36CFB5B7" w14:textId="77777777" w:rsidR="006F1716" w:rsidRPr="00F56A0E" w:rsidRDefault="006F1716" w:rsidP="00D076A8">
            <w:pPr>
              <w:widowControl w:val="0"/>
              <w:rPr>
                <w:rFonts w:eastAsia="Times New Roman"/>
                <w:b/>
                <w:bCs/>
                <w:snapToGrid w:val="0"/>
                <w:lang w:val="fr-FR"/>
              </w:rPr>
            </w:pPr>
            <w:r w:rsidRPr="00F56A0E">
              <w:rPr>
                <w:b/>
                <w:snapToGrid w:val="0"/>
                <w:lang w:val="fr-FR"/>
              </w:rPr>
              <w:t>6</w:t>
            </w:r>
          </w:p>
        </w:tc>
        <w:tc>
          <w:tcPr>
            <w:tcW w:w="2216" w:type="dxa"/>
            <w:gridSpan w:val="2"/>
          </w:tcPr>
          <w:p w14:paraId="597AF5DC" w14:textId="77777777" w:rsidR="006F1716" w:rsidRPr="00F56A0E" w:rsidRDefault="006F1716" w:rsidP="00D076A8">
            <w:pPr>
              <w:rPr>
                <w:rFonts w:eastAsia="Times New Roman"/>
                <w:b/>
                <w:bCs/>
                <w:lang w:val="fr-FR"/>
              </w:rPr>
            </w:pPr>
            <w:r w:rsidRPr="00F56A0E">
              <w:rPr>
                <w:b/>
                <w:lang w:val="fr-FR"/>
              </w:rPr>
              <w:t>Gestion des déchets</w:t>
            </w:r>
          </w:p>
        </w:tc>
        <w:tc>
          <w:tcPr>
            <w:tcW w:w="6857" w:type="dxa"/>
            <w:gridSpan w:val="2"/>
          </w:tcPr>
          <w:p w14:paraId="5D36E498" w14:textId="77777777" w:rsidR="006F1716" w:rsidRPr="00F56A0E" w:rsidRDefault="006F1716" w:rsidP="00D076A8">
            <w:pPr>
              <w:widowControl w:val="0"/>
              <w:rPr>
                <w:rFonts w:eastAsia="Times New Roman"/>
                <w:snapToGrid w:val="0"/>
                <w:lang w:val="fr-FR"/>
              </w:rPr>
            </w:pPr>
            <w:r w:rsidRPr="00F56A0E">
              <w:rPr>
                <w:snapToGrid w:val="0"/>
                <w:lang w:val="fr-FR"/>
              </w:rPr>
              <w:t>Néant</w:t>
            </w:r>
          </w:p>
          <w:p w14:paraId="1DEC75BC" w14:textId="77777777" w:rsidR="006F1716" w:rsidRPr="00F56A0E" w:rsidRDefault="006F1716" w:rsidP="00D076A8">
            <w:pPr>
              <w:widowControl w:val="0"/>
              <w:rPr>
                <w:rFonts w:eastAsia="Times New Roman"/>
                <w:snapToGrid w:val="0"/>
                <w:lang w:val="fr-FR" w:eastAsia="en-US"/>
              </w:rPr>
            </w:pPr>
          </w:p>
        </w:tc>
      </w:tr>
      <w:tr w:rsidR="006F1716" w:rsidRPr="00F56A0E" w14:paraId="2205B20D" w14:textId="77777777" w:rsidTr="00DB14D7">
        <w:trPr>
          <w:gridAfter w:val="1"/>
          <w:wAfter w:w="67" w:type="dxa"/>
        </w:trPr>
        <w:tc>
          <w:tcPr>
            <w:tcW w:w="488" w:type="dxa"/>
          </w:tcPr>
          <w:p w14:paraId="689341AA" w14:textId="77777777" w:rsidR="006F1716" w:rsidRPr="00F56A0E" w:rsidRDefault="006F1716" w:rsidP="00D076A8">
            <w:pPr>
              <w:widowControl w:val="0"/>
              <w:rPr>
                <w:rFonts w:eastAsia="Times New Roman"/>
                <w:b/>
                <w:bCs/>
                <w:snapToGrid w:val="0"/>
                <w:lang w:val="fr-FR"/>
              </w:rPr>
            </w:pPr>
            <w:r w:rsidRPr="00F56A0E">
              <w:rPr>
                <w:b/>
                <w:snapToGrid w:val="0"/>
                <w:lang w:val="fr-FR"/>
              </w:rPr>
              <w:t>7</w:t>
            </w:r>
          </w:p>
        </w:tc>
        <w:tc>
          <w:tcPr>
            <w:tcW w:w="2216" w:type="dxa"/>
            <w:gridSpan w:val="2"/>
          </w:tcPr>
          <w:p w14:paraId="744B0EB7" w14:textId="77777777" w:rsidR="006F1716" w:rsidRPr="00F56A0E" w:rsidRDefault="006F1716" w:rsidP="00D076A8">
            <w:pPr>
              <w:ind w:left="288" w:hanging="288"/>
              <w:rPr>
                <w:rFonts w:eastAsia="Times New Roman"/>
                <w:b/>
                <w:snapToGrid w:val="0"/>
                <w:lang w:val="fr-FR"/>
              </w:rPr>
            </w:pPr>
            <w:r w:rsidRPr="00F56A0E">
              <w:rPr>
                <w:b/>
                <w:lang w:val="fr-FR"/>
              </w:rPr>
              <w:t>Autres</w:t>
            </w:r>
          </w:p>
        </w:tc>
        <w:tc>
          <w:tcPr>
            <w:tcW w:w="6857" w:type="dxa"/>
            <w:gridSpan w:val="2"/>
          </w:tcPr>
          <w:p w14:paraId="7E807B43" w14:textId="77777777" w:rsidR="006F1716" w:rsidRPr="00F56A0E" w:rsidRDefault="006F1716" w:rsidP="00D076A8">
            <w:pPr>
              <w:widowControl w:val="0"/>
              <w:rPr>
                <w:rFonts w:eastAsia="Times New Roman"/>
                <w:snapToGrid w:val="0"/>
                <w:lang w:val="fr-FR"/>
              </w:rPr>
            </w:pPr>
            <w:r w:rsidRPr="00F56A0E">
              <w:rPr>
                <w:snapToGrid w:val="0"/>
                <w:lang w:val="fr-FR"/>
              </w:rPr>
              <w:t>Néant</w:t>
            </w:r>
          </w:p>
        </w:tc>
      </w:tr>
    </w:tbl>
    <w:p w14:paraId="4F8C682D" w14:textId="77777777" w:rsidR="006F1716" w:rsidRPr="00F56A0E" w:rsidRDefault="006F1716" w:rsidP="006F1716">
      <w:pPr>
        <w:rPr>
          <w:rFonts w:eastAsia="Times New Roman"/>
          <w:lang w:val="fr-FR" w:eastAsia="en-US"/>
        </w:rPr>
      </w:pPr>
    </w:p>
    <w:p w14:paraId="58855CD0" w14:textId="77777777" w:rsidR="006F1716" w:rsidRPr="00F56A0E" w:rsidRDefault="006F1716" w:rsidP="006F1716">
      <w:pPr>
        <w:rPr>
          <w:rFonts w:eastAsia="Times New Roman"/>
          <w:lang w:val="fr-FR"/>
        </w:rPr>
      </w:pPr>
      <w:r w:rsidRPr="00F56A0E">
        <w:rPr>
          <w:lang w:val="fr-FR"/>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6F1716" w:rsidRPr="00F56A0E" w14:paraId="1FFFE57C" w14:textId="77777777" w:rsidTr="00D076A8">
        <w:tc>
          <w:tcPr>
            <w:tcW w:w="9498" w:type="dxa"/>
          </w:tcPr>
          <w:p w14:paraId="0F4688EF" w14:textId="366162D4" w:rsidR="006F1716" w:rsidRPr="00F56A0E" w:rsidRDefault="006F1716" w:rsidP="00D076A8">
            <w:pPr>
              <w:keepNext/>
              <w:outlineLvl w:val="1"/>
              <w:rPr>
                <w:rFonts w:eastAsia="Times New Roman"/>
                <w:b/>
                <w:bCs/>
                <w:szCs w:val="28"/>
                <w:lang w:val="fr-FR"/>
              </w:rPr>
            </w:pPr>
            <w:r w:rsidRPr="00F56A0E">
              <w:rPr>
                <w:b/>
                <w:lang w:val="fr-FR"/>
              </w:rPr>
              <w:lastRenderedPageBreak/>
              <w:t>Nom du pays</w:t>
            </w:r>
            <w:r w:rsidR="00157D75" w:rsidRPr="00F56A0E">
              <w:rPr>
                <w:b/>
                <w:lang w:val="fr-FR"/>
              </w:rPr>
              <w:t> :</w:t>
            </w:r>
            <w:r w:rsidRPr="00F56A0E">
              <w:rPr>
                <w:b/>
                <w:lang w:val="fr-FR"/>
              </w:rPr>
              <w:t xml:space="preserve"> Mozambique</w:t>
            </w:r>
          </w:p>
        </w:tc>
      </w:tr>
    </w:tbl>
    <w:p w14:paraId="3713836A" w14:textId="77777777" w:rsidR="006F1716" w:rsidRPr="00F56A0E" w:rsidRDefault="006F1716" w:rsidP="006F1716">
      <w:pPr>
        <w:tabs>
          <w:tab w:val="left" w:pos="-720"/>
          <w:tab w:val="left" w:pos="0"/>
          <w:tab w:val="left" w:pos="720"/>
        </w:tabs>
        <w:suppressAutoHyphens/>
        <w:rPr>
          <w:rFonts w:eastAsia="Times New Roman"/>
          <w:sz w:val="10"/>
          <w:szCs w:val="10"/>
          <w:lang w:val="fr-FR"/>
        </w:rPr>
      </w:pPr>
      <w:r w:rsidRPr="00F56A0E">
        <w:rPr>
          <w:sz w:val="10"/>
          <w:lang w:val="fr-FR"/>
        </w:rPr>
        <w:tab/>
      </w:r>
      <w:r w:rsidRPr="00F56A0E">
        <w:rPr>
          <w:sz w:val="10"/>
          <w:lang w:val="fr-FR"/>
        </w:rPr>
        <w:tab/>
      </w:r>
    </w:p>
    <w:tbl>
      <w:tblPr>
        <w:tblW w:w="9560" w:type="dxa"/>
        <w:tblInd w:w="142" w:type="dxa"/>
        <w:tblLayout w:type="fixed"/>
        <w:tblLook w:val="0000" w:firstRow="0" w:lastRow="0" w:firstColumn="0" w:lastColumn="0" w:noHBand="0" w:noVBand="0"/>
      </w:tblPr>
      <w:tblGrid>
        <w:gridCol w:w="488"/>
        <w:gridCol w:w="1701"/>
        <w:gridCol w:w="7371"/>
      </w:tblGrid>
      <w:tr w:rsidR="006F1716" w:rsidRPr="00F56A0E" w14:paraId="1EE2D602" w14:textId="77777777" w:rsidTr="00F15581">
        <w:tc>
          <w:tcPr>
            <w:tcW w:w="488" w:type="dxa"/>
          </w:tcPr>
          <w:p w14:paraId="02A54A49"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1</w:t>
            </w:r>
          </w:p>
        </w:tc>
        <w:tc>
          <w:tcPr>
            <w:tcW w:w="1701" w:type="dxa"/>
          </w:tcPr>
          <w:p w14:paraId="1A1F7EA8" w14:textId="7DA19115" w:rsidR="006F1716" w:rsidRPr="00F56A0E" w:rsidRDefault="006F1716" w:rsidP="00D076A8">
            <w:pPr>
              <w:spacing w:before="20" w:after="20"/>
              <w:rPr>
                <w:rFonts w:eastAsia="Times New Roman"/>
                <w:b/>
                <w:lang w:val="fr-FR"/>
              </w:rPr>
            </w:pPr>
            <w:r w:rsidRPr="00F56A0E">
              <w:rPr>
                <w:b/>
                <w:lang w:val="fr-FR"/>
              </w:rPr>
              <w:t>Date(s) effective(s) d</w:t>
            </w:r>
            <w:r w:rsidR="00870D0E" w:rsidRPr="00F56A0E">
              <w:rPr>
                <w:b/>
                <w:lang w:val="fr-FR"/>
              </w:rPr>
              <w:t>’</w:t>
            </w:r>
            <w:r w:rsidRPr="00F56A0E">
              <w:rPr>
                <w:b/>
                <w:lang w:val="fr-FR"/>
              </w:rPr>
              <w:t>entrée en vigueur des mesures</w:t>
            </w:r>
          </w:p>
          <w:p w14:paraId="454AA5FC" w14:textId="77777777" w:rsidR="006F1716" w:rsidRPr="00F56A0E" w:rsidRDefault="006F1716" w:rsidP="00D076A8">
            <w:pPr>
              <w:spacing w:before="20" w:after="20"/>
              <w:rPr>
                <w:rFonts w:eastAsia="Times New Roman"/>
                <w:b/>
                <w:lang w:val="fr-FR" w:eastAsia="en-US"/>
              </w:rPr>
            </w:pPr>
          </w:p>
        </w:tc>
        <w:tc>
          <w:tcPr>
            <w:tcW w:w="7371" w:type="dxa"/>
          </w:tcPr>
          <w:p w14:paraId="5BCE92CE" w14:textId="77777777" w:rsidR="006F1716" w:rsidRPr="00F56A0E" w:rsidRDefault="006F1716" w:rsidP="00D076A8">
            <w:pPr>
              <w:spacing w:before="20" w:after="20"/>
              <w:ind w:left="34"/>
              <w:rPr>
                <w:rFonts w:eastAsia="Times New Roman"/>
                <w:lang w:val="fr-FR"/>
              </w:rPr>
            </w:pPr>
            <w:r w:rsidRPr="00F56A0E">
              <w:rPr>
                <w:lang w:val="fr-FR"/>
              </w:rPr>
              <w:t>15 juillet 2014</w:t>
            </w:r>
          </w:p>
        </w:tc>
      </w:tr>
      <w:tr w:rsidR="006F1716" w:rsidRPr="00F56A0E" w14:paraId="202D1312" w14:textId="77777777" w:rsidTr="00F15581">
        <w:tc>
          <w:tcPr>
            <w:tcW w:w="488" w:type="dxa"/>
          </w:tcPr>
          <w:p w14:paraId="7F38D726" w14:textId="77777777" w:rsidR="006F1716" w:rsidRPr="00F56A0E" w:rsidRDefault="006F1716" w:rsidP="00D076A8">
            <w:pPr>
              <w:widowControl w:val="0"/>
              <w:spacing w:before="20" w:after="20"/>
              <w:rPr>
                <w:rFonts w:eastAsia="Times New Roman"/>
                <w:b/>
                <w:bCs/>
                <w:snapToGrid w:val="0"/>
                <w:lang w:val="fr-FR" w:eastAsia="en-US"/>
              </w:rPr>
            </w:pPr>
          </w:p>
        </w:tc>
        <w:tc>
          <w:tcPr>
            <w:tcW w:w="1701" w:type="dxa"/>
          </w:tcPr>
          <w:p w14:paraId="42A2D77F" w14:textId="77777777" w:rsidR="006F1716" w:rsidRPr="00F56A0E" w:rsidRDefault="006F1716" w:rsidP="00D076A8">
            <w:pPr>
              <w:spacing w:before="20" w:after="20"/>
              <w:rPr>
                <w:rFonts w:eastAsia="Times New Roman"/>
                <w:b/>
                <w:lang w:val="fr-FR"/>
              </w:rPr>
            </w:pPr>
            <w:r w:rsidRPr="00F56A0E">
              <w:rPr>
                <w:b/>
                <w:lang w:val="fr-FR"/>
              </w:rPr>
              <w:t>Référence aux documents réglementaires</w:t>
            </w:r>
          </w:p>
        </w:tc>
        <w:tc>
          <w:tcPr>
            <w:tcW w:w="7371" w:type="dxa"/>
          </w:tcPr>
          <w:p w14:paraId="7C32055D" w14:textId="39FFB76C" w:rsidR="006F1716" w:rsidRPr="00F56A0E" w:rsidRDefault="006F1716" w:rsidP="00D076A8">
            <w:pPr>
              <w:spacing w:after="120"/>
              <w:ind w:right="215"/>
              <w:textAlignment w:val="baseline"/>
              <w:rPr>
                <w:lang w:val="fr-FR"/>
              </w:rPr>
            </w:pPr>
            <w:r w:rsidRPr="00F56A0E">
              <w:rPr>
                <w:lang w:val="fr-FR"/>
              </w:rPr>
              <w:t>Deliberação Nr. 001/DNSA/2014 de la Direction Nationale de l</w:t>
            </w:r>
            <w:r w:rsidR="00870D0E" w:rsidRPr="00F56A0E">
              <w:rPr>
                <w:lang w:val="fr-FR"/>
              </w:rPr>
              <w:t>’</w:t>
            </w:r>
            <w:r w:rsidRPr="00F56A0E">
              <w:rPr>
                <w:lang w:val="fr-FR"/>
              </w:rPr>
              <w:t>agriculture et des services agraires (Autorité d</w:t>
            </w:r>
            <w:r w:rsidR="00870D0E" w:rsidRPr="00F56A0E">
              <w:rPr>
                <w:lang w:val="fr-FR"/>
              </w:rPr>
              <w:t>’</w:t>
            </w:r>
            <w:r w:rsidRPr="00F56A0E">
              <w:rPr>
                <w:lang w:val="fr-FR"/>
              </w:rPr>
              <w:t>homologation des pesticides).</w:t>
            </w:r>
          </w:p>
          <w:p w14:paraId="2604C602" w14:textId="77777777" w:rsidR="006F1716" w:rsidRPr="00F56A0E" w:rsidRDefault="006F1716" w:rsidP="00D076A8">
            <w:pPr>
              <w:spacing w:before="20" w:after="20"/>
              <w:rPr>
                <w:rFonts w:eastAsia="Times New Roman"/>
                <w:lang w:val="fr-FR" w:eastAsia="en-US"/>
              </w:rPr>
            </w:pPr>
          </w:p>
        </w:tc>
      </w:tr>
      <w:tr w:rsidR="006F1716" w:rsidRPr="00F56A0E" w14:paraId="540C8AE0" w14:textId="77777777" w:rsidTr="00F15581">
        <w:tc>
          <w:tcPr>
            <w:tcW w:w="488" w:type="dxa"/>
          </w:tcPr>
          <w:p w14:paraId="7C4152EE"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2</w:t>
            </w:r>
          </w:p>
        </w:tc>
        <w:tc>
          <w:tcPr>
            <w:tcW w:w="1701" w:type="dxa"/>
          </w:tcPr>
          <w:p w14:paraId="711779E8" w14:textId="77777777" w:rsidR="006F1716" w:rsidRPr="00F56A0E" w:rsidRDefault="006F1716" w:rsidP="00D076A8">
            <w:pPr>
              <w:spacing w:before="20" w:after="20"/>
              <w:rPr>
                <w:rFonts w:eastAsia="Times New Roman"/>
                <w:b/>
                <w:bCs/>
                <w:lang w:val="fr-FR"/>
              </w:rPr>
            </w:pPr>
            <w:r w:rsidRPr="00F56A0E">
              <w:rPr>
                <w:b/>
                <w:lang w:val="fr-FR"/>
              </w:rPr>
              <w:t>Description succincte de la ou des mesures de réglementation finales</w:t>
            </w:r>
          </w:p>
        </w:tc>
        <w:tc>
          <w:tcPr>
            <w:tcW w:w="7371" w:type="dxa"/>
          </w:tcPr>
          <w:p w14:paraId="2CACA674" w14:textId="2F26D7CB" w:rsidR="006F1716" w:rsidRPr="00F56A0E" w:rsidRDefault="006F1716" w:rsidP="00D076A8">
            <w:pPr>
              <w:spacing w:before="20" w:after="20"/>
              <w:rPr>
                <w:rFonts w:eastAsia="Times New Roman"/>
                <w:lang w:val="fr-FR"/>
              </w:rPr>
            </w:pPr>
            <w:r w:rsidRPr="00F56A0E">
              <w:rPr>
                <w:lang w:val="fr-FR"/>
              </w:rPr>
              <w:t>La Direction nationale des services agraires, par sa décision 001/DNSA/2014, a interdit la poursuite de l</w:t>
            </w:r>
            <w:r w:rsidR="00870D0E" w:rsidRPr="00F56A0E">
              <w:rPr>
                <w:lang w:val="fr-FR"/>
              </w:rPr>
              <w:t>’</w:t>
            </w:r>
            <w:r w:rsidRPr="00F56A0E">
              <w:rPr>
                <w:lang w:val="fr-FR"/>
              </w:rPr>
              <w:t>importation et de l</w:t>
            </w:r>
            <w:r w:rsidR="00870D0E" w:rsidRPr="00F56A0E">
              <w:rPr>
                <w:lang w:val="fr-FR"/>
              </w:rPr>
              <w:t>’</w:t>
            </w:r>
            <w:r w:rsidRPr="00F56A0E">
              <w:rPr>
                <w:lang w:val="fr-FR"/>
              </w:rPr>
              <w:t>utilisation de terbufos au Mozambique. L</w:t>
            </w:r>
            <w:r w:rsidR="00870D0E" w:rsidRPr="00F56A0E">
              <w:rPr>
                <w:lang w:val="fr-FR"/>
              </w:rPr>
              <w:t>’</w:t>
            </w:r>
            <w:r w:rsidRPr="00F56A0E">
              <w:rPr>
                <w:lang w:val="fr-FR"/>
              </w:rPr>
              <w:t xml:space="preserve">interdiction de toute utilisation </w:t>
            </w:r>
            <w:r w:rsidR="00035FF3" w:rsidRPr="00F56A0E">
              <w:rPr>
                <w:lang w:val="fr-FR"/>
              </w:rPr>
              <w:t xml:space="preserve">de cette substance </w:t>
            </w:r>
            <w:r w:rsidRPr="00F56A0E">
              <w:rPr>
                <w:lang w:val="fr-FR"/>
              </w:rPr>
              <w:t>et l</w:t>
            </w:r>
            <w:r w:rsidR="00870D0E" w:rsidRPr="00F56A0E">
              <w:rPr>
                <w:lang w:val="fr-FR"/>
              </w:rPr>
              <w:t>’</w:t>
            </w:r>
            <w:r w:rsidRPr="00F56A0E">
              <w:rPr>
                <w:lang w:val="fr-FR"/>
              </w:rPr>
              <w:t>annulation de l</w:t>
            </w:r>
            <w:r w:rsidR="00870D0E" w:rsidRPr="00F56A0E">
              <w:rPr>
                <w:lang w:val="fr-FR"/>
              </w:rPr>
              <w:t>’</w:t>
            </w:r>
            <w:r w:rsidRPr="00F56A0E">
              <w:rPr>
                <w:lang w:val="fr-FR"/>
              </w:rPr>
              <w:t xml:space="preserve">homologation des produits </w:t>
            </w:r>
            <w:r w:rsidR="00035FF3" w:rsidRPr="00F56A0E">
              <w:rPr>
                <w:lang w:val="fr-FR"/>
              </w:rPr>
              <w:t xml:space="preserve">qui en </w:t>
            </w:r>
            <w:r w:rsidRPr="00F56A0E">
              <w:rPr>
                <w:lang w:val="fr-FR"/>
              </w:rPr>
              <w:t>cont</w:t>
            </w:r>
            <w:r w:rsidR="00035FF3" w:rsidRPr="00F56A0E">
              <w:rPr>
                <w:lang w:val="fr-FR"/>
              </w:rPr>
              <w:t>ienne</w:t>
            </w:r>
            <w:r w:rsidRPr="00F56A0E">
              <w:rPr>
                <w:lang w:val="fr-FR"/>
              </w:rPr>
              <w:t xml:space="preserve">nt ont été décidées </w:t>
            </w:r>
            <w:r w:rsidR="00035FF3" w:rsidRPr="00F56A0E">
              <w:rPr>
                <w:lang w:val="fr-FR"/>
              </w:rPr>
              <w:t>en raison de sa toxicité et de ses propriétés dangereuses qui, conjuguées à son application incorrecte imputable aux conditions d</w:t>
            </w:r>
            <w:r w:rsidR="00870D0E" w:rsidRPr="00F56A0E">
              <w:rPr>
                <w:lang w:val="fr-FR"/>
              </w:rPr>
              <w:t>’</w:t>
            </w:r>
            <w:r w:rsidR="00035FF3" w:rsidRPr="00F56A0E">
              <w:rPr>
                <w:lang w:val="fr-FR"/>
              </w:rPr>
              <w:t>utilisation particulières propres au pays, peuvent nuire à la santé humaine et animale. La décision d</w:t>
            </w:r>
            <w:r w:rsidR="00870D0E" w:rsidRPr="00F56A0E">
              <w:rPr>
                <w:lang w:val="fr-FR"/>
              </w:rPr>
              <w:t>’</w:t>
            </w:r>
            <w:r w:rsidR="00035FF3" w:rsidRPr="00F56A0E">
              <w:rPr>
                <w:lang w:val="fr-FR"/>
              </w:rPr>
              <w:t>annuler son homologation a été prise dans le cadre de la dernière étape du projet visant à réduire les risques liés aux pesticides très dangereux, qui a circonscrit les pesticides très dangereux homologués au Mozambique. L</w:t>
            </w:r>
            <w:r w:rsidR="00870D0E" w:rsidRPr="00F56A0E">
              <w:rPr>
                <w:lang w:val="fr-FR"/>
              </w:rPr>
              <w:t>’</w:t>
            </w:r>
            <w:r w:rsidR="00035FF3" w:rsidRPr="00F56A0E">
              <w:rPr>
                <w:lang w:val="fr-FR"/>
              </w:rPr>
              <w:t>annulation de l</w:t>
            </w:r>
            <w:r w:rsidR="00870D0E" w:rsidRPr="00F56A0E">
              <w:rPr>
                <w:lang w:val="fr-FR"/>
              </w:rPr>
              <w:t>’</w:t>
            </w:r>
            <w:r w:rsidR="00035FF3" w:rsidRPr="00F56A0E">
              <w:rPr>
                <w:lang w:val="fr-FR"/>
              </w:rPr>
              <w:t>homologation de ces derniers et le retrait consécutif des autorisations d</w:t>
            </w:r>
            <w:r w:rsidR="00870D0E" w:rsidRPr="00F56A0E">
              <w:rPr>
                <w:lang w:val="fr-FR"/>
              </w:rPr>
              <w:t>’</w:t>
            </w:r>
            <w:r w:rsidR="00035FF3" w:rsidRPr="00F56A0E">
              <w:rPr>
                <w:lang w:val="fr-FR"/>
              </w:rPr>
              <w:t>utilisation correspondantes ont été approuvés à l</w:t>
            </w:r>
            <w:r w:rsidR="00870D0E" w:rsidRPr="00F56A0E">
              <w:rPr>
                <w:lang w:val="fr-FR"/>
              </w:rPr>
              <w:t>’</w:t>
            </w:r>
            <w:r w:rsidR="00035FF3" w:rsidRPr="00F56A0E">
              <w:rPr>
                <w:lang w:val="fr-FR"/>
              </w:rPr>
              <w:t>issue de consultations avec différents acteurs (secteur public, secteur privé, société civile et autres)</w:t>
            </w:r>
            <w:r w:rsidRPr="00F56A0E">
              <w:rPr>
                <w:lang w:val="fr-FR"/>
              </w:rPr>
              <w:t>.</w:t>
            </w:r>
          </w:p>
          <w:p w14:paraId="767A7CA4" w14:textId="77777777" w:rsidR="006F1716" w:rsidRPr="00F56A0E" w:rsidRDefault="006F1716" w:rsidP="00D076A8">
            <w:pPr>
              <w:spacing w:before="20" w:after="20"/>
              <w:rPr>
                <w:rFonts w:eastAsia="Times New Roman"/>
                <w:lang w:val="fr-FR" w:eastAsia="en-US"/>
              </w:rPr>
            </w:pPr>
          </w:p>
        </w:tc>
      </w:tr>
      <w:tr w:rsidR="006F1716" w:rsidRPr="00F56A0E" w14:paraId="6F07057B" w14:textId="77777777" w:rsidTr="00F15581">
        <w:tc>
          <w:tcPr>
            <w:tcW w:w="488" w:type="dxa"/>
          </w:tcPr>
          <w:p w14:paraId="0038916A"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3</w:t>
            </w:r>
          </w:p>
        </w:tc>
        <w:tc>
          <w:tcPr>
            <w:tcW w:w="1701" w:type="dxa"/>
          </w:tcPr>
          <w:p w14:paraId="152F416A" w14:textId="77777777" w:rsidR="006F1716" w:rsidRPr="00F56A0E" w:rsidRDefault="006F1716" w:rsidP="00D076A8">
            <w:pPr>
              <w:spacing w:before="20" w:after="20"/>
              <w:rPr>
                <w:rFonts w:eastAsia="Times New Roman"/>
                <w:b/>
                <w:bCs/>
                <w:lang w:val="fr-FR"/>
              </w:rPr>
            </w:pPr>
            <w:r w:rsidRPr="00F56A0E">
              <w:rPr>
                <w:b/>
                <w:lang w:val="fr-FR"/>
              </w:rPr>
              <w:t>Motifs des mesures</w:t>
            </w:r>
          </w:p>
        </w:tc>
        <w:tc>
          <w:tcPr>
            <w:tcW w:w="7371" w:type="dxa"/>
          </w:tcPr>
          <w:p w14:paraId="50ED31EF" w14:textId="7F9E3FD1" w:rsidR="006F1716" w:rsidRPr="00F56A0E" w:rsidRDefault="006F1716" w:rsidP="00D076A8">
            <w:pPr>
              <w:spacing w:before="20" w:after="20"/>
              <w:rPr>
                <w:rFonts w:eastAsia="Times New Roman"/>
                <w:lang w:val="fr-FR"/>
              </w:rPr>
            </w:pPr>
            <w:r w:rsidRPr="00F56A0E">
              <w:rPr>
                <w:lang w:val="fr-FR"/>
              </w:rPr>
              <w:t>Réduire les risques pour la santé humaine posés par l</w:t>
            </w:r>
            <w:r w:rsidR="00870D0E" w:rsidRPr="00F56A0E">
              <w:rPr>
                <w:lang w:val="fr-FR"/>
              </w:rPr>
              <w:t>’</w:t>
            </w:r>
            <w:r w:rsidRPr="00F56A0E">
              <w:rPr>
                <w:lang w:val="fr-FR"/>
              </w:rPr>
              <w:t>utilisation des pesticides dangereux au Mozambique, en particulier le terbufos.</w:t>
            </w:r>
          </w:p>
          <w:p w14:paraId="36A18F66" w14:textId="77777777" w:rsidR="006F1716" w:rsidRPr="00F56A0E" w:rsidRDefault="006F1716" w:rsidP="00D076A8">
            <w:pPr>
              <w:spacing w:before="20" w:after="20"/>
              <w:rPr>
                <w:rFonts w:eastAsia="Times New Roman"/>
                <w:lang w:val="fr-FR" w:eastAsia="en-US"/>
              </w:rPr>
            </w:pPr>
          </w:p>
        </w:tc>
      </w:tr>
      <w:tr w:rsidR="006F1716" w:rsidRPr="00F56A0E" w14:paraId="63BCE3BD" w14:textId="77777777" w:rsidTr="00F15581">
        <w:trPr>
          <w:trHeight w:val="938"/>
        </w:trPr>
        <w:tc>
          <w:tcPr>
            <w:tcW w:w="488" w:type="dxa"/>
          </w:tcPr>
          <w:p w14:paraId="7B6A402F"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4</w:t>
            </w:r>
          </w:p>
        </w:tc>
        <w:tc>
          <w:tcPr>
            <w:tcW w:w="1701" w:type="dxa"/>
          </w:tcPr>
          <w:p w14:paraId="362D38B2" w14:textId="2073A8C9" w:rsidR="006F1716" w:rsidRPr="00F56A0E" w:rsidRDefault="006F1716" w:rsidP="00D076A8">
            <w:pPr>
              <w:spacing w:before="20" w:after="20"/>
              <w:rPr>
                <w:rFonts w:eastAsia="Times New Roman"/>
                <w:b/>
                <w:bCs/>
                <w:lang w:val="fr-FR"/>
              </w:rPr>
            </w:pPr>
            <w:r w:rsidRPr="00F56A0E">
              <w:rPr>
                <w:b/>
                <w:lang w:val="fr-FR"/>
              </w:rPr>
              <w:t>Justification de l</w:t>
            </w:r>
            <w:r w:rsidR="00870D0E" w:rsidRPr="00F56A0E">
              <w:rPr>
                <w:b/>
                <w:lang w:val="fr-FR"/>
              </w:rPr>
              <w:t>’</w:t>
            </w:r>
            <w:r w:rsidRPr="00F56A0E">
              <w:rPr>
                <w:b/>
                <w:lang w:val="fr-FR"/>
              </w:rPr>
              <w:t>inscription à</w:t>
            </w:r>
            <w:r w:rsidR="00F15581" w:rsidRPr="00F56A0E">
              <w:rPr>
                <w:b/>
                <w:lang w:val="fr-FR"/>
              </w:rPr>
              <w:t> </w:t>
            </w:r>
            <w:r w:rsidRPr="00F56A0E">
              <w:rPr>
                <w:b/>
                <w:lang w:val="fr-FR"/>
              </w:rPr>
              <w:t>l</w:t>
            </w:r>
            <w:r w:rsidR="00870D0E" w:rsidRPr="00F56A0E">
              <w:rPr>
                <w:b/>
                <w:lang w:val="fr-FR"/>
              </w:rPr>
              <w:t>’</w:t>
            </w:r>
            <w:r w:rsidRPr="00F56A0E">
              <w:rPr>
                <w:b/>
                <w:lang w:val="fr-FR"/>
              </w:rPr>
              <w:t>Annexe III</w:t>
            </w:r>
          </w:p>
        </w:tc>
        <w:tc>
          <w:tcPr>
            <w:tcW w:w="7371" w:type="dxa"/>
          </w:tcPr>
          <w:p w14:paraId="7FE4D49C" w14:textId="5D0B65D1" w:rsidR="006F1716" w:rsidRPr="00F56A0E" w:rsidRDefault="006F1716" w:rsidP="00D076A8">
            <w:pPr>
              <w:rPr>
                <w:rFonts w:eastAsia="Times New Roman"/>
                <w:lang w:val="fr-FR"/>
              </w:rPr>
            </w:pPr>
            <w:r w:rsidRPr="00F56A0E">
              <w:rPr>
                <w:lang w:val="fr-FR"/>
              </w:rPr>
              <w:t>La mesure de réglementation finale s</w:t>
            </w:r>
            <w:r w:rsidR="00870D0E" w:rsidRPr="00F56A0E">
              <w:rPr>
                <w:lang w:val="fr-FR"/>
              </w:rPr>
              <w:t>’</w:t>
            </w:r>
            <w:r w:rsidRPr="00F56A0E">
              <w:rPr>
                <w:lang w:val="fr-FR"/>
              </w:rPr>
              <w:t>appuyait sur une évaluation des risques tenant compte des conditions prévalant au Mozambique.</w:t>
            </w:r>
          </w:p>
          <w:p w14:paraId="08BD5D9C" w14:textId="77777777" w:rsidR="006F1716" w:rsidRPr="00F56A0E" w:rsidRDefault="006F1716" w:rsidP="00D076A8">
            <w:pPr>
              <w:spacing w:before="20" w:after="20"/>
              <w:rPr>
                <w:rFonts w:eastAsia="Times New Roman"/>
                <w:lang w:val="fr-FR" w:eastAsia="en-US"/>
              </w:rPr>
            </w:pPr>
          </w:p>
        </w:tc>
      </w:tr>
      <w:tr w:rsidR="006F1716" w:rsidRPr="00F56A0E" w14:paraId="54E978F9" w14:textId="77777777" w:rsidTr="00F15581">
        <w:tc>
          <w:tcPr>
            <w:tcW w:w="488" w:type="dxa"/>
          </w:tcPr>
          <w:p w14:paraId="6079C118"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4.1</w:t>
            </w:r>
          </w:p>
        </w:tc>
        <w:tc>
          <w:tcPr>
            <w:tcW w:w="1701" w:type="dxa"/>
          </w:tcPr>
          <w:p w14:paraId="39F1A417" w14:textId="0CED1213" w:rsidR="006F1716" w:rsidRPr="00F56A0E" w:rsidRDefault="006F1716" w:rsidP="00D076A8">
            <w:pPr>
              <w:spacing w:before="20" w:after="20"/>
              <w:rPr>
                <w:rFonts w:eastAsia="Times New Roman"/>
                <w:b/>
                <w:lang w:val="fr-FR"/>
              </w:rPr>
            </w:pPr>
            <w:r w:rsidRPr="00F56A0E">
              <w:rPr>
                <w:b/>
                <w:lang w:val="fr-FR"/>
              </w:rPr>
              <w:t>Évaluation des</w:t>
            </w:r>
            <w:r w:rsidR="00F15581" w:rsidRPr="00F56A0E">
              <w:rPr>
                <w:b/>
                <w:lang w:val="fr-FR"/>
              </w:rPr>
              <w:t> </w:t>
            </w:r>
            <w:r w:rsidRPr="00F56A0E">
              <w:rPr>
                <w:b/>
                <w:lang w:val="fr-FR"/>
              </w:rPr>
              <w:t>risques</w:t>
            </w:r>
          </w:p>
        </w:tc>
        <w:tc>
          <w:tcPr>
            <w:tcW w:w="7371" w:type="dxa"/>
          </w:tcPr>
          <w:p w14:paraId="0630CF31" w14:textId="185605F2" w:rsidR="006F1716" w:rsidRPr="00F56A0E" w:rsidRDefault="006F1716" w:rsidP="00D076A8">
            <w:pPr>
              <w:pStyle w:val="ListParagraph"/>
              <w:tabs>
                <w:tab w:val="left" w:pos="1800"/>
              </w:tabs>
              <w:snapToGrid w:val="0"/>
              <w:spacing w:after="120"/>
              <w:ind w:left="0"/>
              <w:contextualSpacing w:val="0"/>
              <w:rPr>
                <w:rFonts w:eastAsia="MS Mincho"/>
                <w:bCs/>
                <w:iCs/>
                <w:sz w:val="20"/>
                <w:szCs w:val="20"/>
                <w:lang w:val="fr-FR"/>
              </w:rPr>
            </w:pPr>
            <w:r w:rsidRPr="00F56A0E">
              <w:rPr>
                <w:sz w:val="20"/>
                <w:lang w:val="fr-FR"/>
              </w:rPr>
              <w:t>La notification indique que la mesure de réglementation finale est fondée sur une évaluation des risques ou des dangers qui tient compte des conditions prévalant dans la Partie afin de protéger la santé humaine (UNEP/FAO/RC/CRC.17/8/Rev.1, section 2.4 de la notification reçue du Mozambique). Dans le but de réduire les risques les plus importants liés à l</w:t>
            </w:r>
            <w:r w:rsidR="00870D0E" w:rsidRPr="00F56A0E">
              <w:rPr>
                <w:sz w:val="20"/>
                <w:lang w:val="fr-FR"/>
              </w:rPr>
              <w:t>’</w:t>
            </w:r>
            <w:r w:rsidRPr="00F56A0E">
              <w:rPr>
                <w:sz w:val="20"/>
                <w:lang w:val="fr-FR"/>
              </w:rPr>
              <w:t>utilisation des pesticides, le Gouvernement mozambicain avait lancé le projet de réduction des risques présentés par les pesticides très dangereux avec l</w:t>
            </w:r>
            <w:r w:rsidR="00870D0E" w:rsidRPr="00F56A0E">
              <w:rPr>
                <w:sz w:val="20"/>
                <w:lang w:val="fr-FR"/>
              </w:rPr>
              <w:t>’</w:t>
            </w:r>
            <w:r w:rsidRPr="00F56A0E">
              <w:rPr>
                <w:sz w:val="20"/>
                <w:lang w:val="fr-FR"/>
              </w:rPr>
              <w:t>appui technique de l</w:t>
            </w:r>
            <w:r w:rsidR="00870D0E" w:rsidRPr="00F56A0E">
              <w:rPr>
                <w:sz w:val="20"/>
                <w:lang w:val="fr-FR"/>
              </w:rPr>
              <w:t>’</w:t>
            </w:r>
            <w:r w:rsidRPr="00F56A0E">
              <w:rPr>
                <w:sz w:val="20"/>
                <w:lang w:val="fr-FR"/>
              </w:rPr>
              <w:t>Unité de gestion des pesticides de la FAO et un financement du Fonds d</w:t>
            </w:r>
            <w:r w:rsidR="00870D0E" w:rsidRPr="00F56A0E">
              <w:rPr>
                <w:sz w:val="20"/>
                <w:lang w:val="fr-FR"/>
              </w:rPr>
              <w:t>’</w:t>
            </w:r>
            <w:r w:rsidRPr="00F56A0E">
              <w:rPr>
                <w:sz w:val="20"/>
                <w:lang w:val="fr-FR"/>
              </w:rPr>
              <w:t>affectation spéciale du Programme de démarrage rapide de l</w:t>
            </w:r>
            <w:r w:rsidR="00870D0E" w:rsidRPr="00F56A0E">
              <w:rPr>
                <w:sz w:val="20"/>
                <w:lang w:val="fr-FR"/>
              </w:rPr>
              <w:t>’</w:t>
            </w:r>
            <w:r w:rsidRPr="00F56A0E">
              <w:rPr>
                <w:sz w:val="20"/>
                <w:lang w:val="fr-FR"/>
              </w:rPr>
              <w:t>Approche stratégique de la gestion internationale des produits chimiques (SAICM). L</w:t>
            </w:r>
            <w:r w:rsidR="00870D0E" w:rsidRPr="00F56A0E">
              <w:rPr>
                <w:sz w:val="20"/>
                <w:lang w:val="fr-FR"/>
              </w:rPr>
              <w:t>’</w:t>
            </w:r>
            <w:r w:rsidRPr="00F56A0E">
              <w:rPr>
                <w:sz w:val="20"/>
                <w:lang w:val="fr-FR"/>
              </w:rPr>
              <w:t>objectif ultime du projet était d</w:t>
            </w:r>
            <w:r w:rsidR="00870D0E" w:rsidRPr="00F56A0E">
              <w:rPr>
                <w:sz w:val="20"/>
                <w:lang w:val="fr-FR"/>
              </w:rPr>
              <w:t>’</w:t>
            </w:r>
            <w:r w:rsidRPr="00F56A0E">
              <w:rPr>
                <w:sz w:val="20"/>
                <w:lang w:val="fr-FR"/>
              </w:rPr>
              <w:t>élaborer et de mettre en œuvre un plan d</w:t>
            </w:r>
            <w:r w:rsidR="00870D0E" w:rsidRPr="00F56A0E">
              <w:rPr>
                <w:sz w:val="20"/>
                <w:lang w:val="fr-FR"/>
              </w:rPr>
              <w:t>’</w:t>
            </w:r>
            <w:r w:rsidRPr="00F56A0E">
              <w:rPr>
                <w:sz w:val="20"/>
                <w:lang w:val="fr-FR"/>
              </w:rPr>
              <w:t>action pour la réduction des risques présentés par les pesticides très dangereux, axé sur les pesticides et les utilisations présentant le plus de danger, qui se traduirait au fil du temps par la mise en œuvre de diverses mesures de réduction des risques fondées sur un examen des conditions d</w:t>
            </w:r>
            <w:r w:rsidR="00870D0E" w:rsidRPr="00F56A0E">
              <w:rPr>
                <w:sz w:val="20"/>
                <w:lang w:val="fr-FR"/>
              </w:rPr>
              <w:t>’</w:t>
            </w:r>
            <w:r w:rsidRPr="00F56A0E">
              <w:rPr>
                <w:sz w:val="20"/>
                <w:lang w:val="fr-FR"/>
              </w:rPr>
              <w:t>utilisation. Ces mesures pouvaient comprendre l</w:t>
            </w:r>
            <w:r w:rsidR="00870D0E" w:rsidRPr="00F56A0E">
              <w:rPr>
                <w:sz w:val="20"/>
                <w:lang w:val="fr-FR"/>
              </w:rPr>
              <w:t>’</w:t>
            </w:r>
            <w:r w:rsidRPr="00F56A0E">
              <w:rPr>
                <w:sz w:val="20"/>
                <w:lang w:val="fr-FR"/>
              </w:rPr>
              <w:t>annulation de certaines homologations de pesticides très dangereux, la mise en œuvre de mesures d</w:t>
            </w:r>
            <w:r w:rsidR="00870D0E" w:rsidRPr="00F56A0E">
              <w:rPr>
                <w:sz w:val="20"/>
                <w:lang w:val="fr-FR"/>
              </w:rPr>
              <w:t>’</w:t>
            </w:r>
            <w:r w:rsidRPr="00F56A0E">
              <w:rPr>
                <w:sz w:val="20"/>
                <w:lang w:val="fr-FR"/>
              </w:rPr>
              <w:t>atténuation des risques, des restrictions d</w:t>
            </w:r>
            <w:r w:rsidR="00870D0E" w:rsidRPr="00F56A0E">
              <w:rPr>
                <w:sz w:val="20"/>
                <w:lang w:val="fr-FR"/>
              </w:rPr>
              <w:t>’</w:t>
            </w:r>
            <w:r w:rsidRPr="00F56A0E">
              <w:rPr>
                <w:sz w:val="20"/>
                <w:lang w:val="fr-FR"/>
              </w:rPr>
              <w:t>utilisation appropriées, l</w:t>
            </w:r>
            <w:r w:rsidR="00870D0E" w:rsidRPr="00F56A0E">
              <w:rPr>
                <w:sz w:val="20"/>
                <w:lang w:val="fr-FR"/>
              </w:rPr>
              <w:t>’</w:t>
            </w:r>
            <w:r w:rsidRPr="00F56A0E">
              <w:rPr>
                <w:sz w:val="20"/>
                <w:lang w:val="fr-FR"/>
              </w:rPr>
              <w:t>élaboration d</w:t>
            </w:r>
            <w:r w:rsidR="00870D0E" w:rsidRPr="00F56A0E">
              <w:rPr>
                <w:sz w:val="20"/>
                <w:lang w:val="fr-FR"/>
              </w:rPr>
              <w:t>’</w:t>
            </w:r>
            <w:r w:rsidRPr="00F56A0E">
              <w:rPr>
                <w:sz w:val="20"/>
                <w:lang w:val="fr-FR"/>
              </w:rPr>
              <w:t>autres stratégies de lutte antiparasitaire, la promotion de bonnes pratiques agricoles et l</w:t>
            </w:r>
            <w:r w:rsidR="00870D0E" w:rsidRPr="00F56A0E">
              <w:rPr>
                <w:sz w:val="20"/>
                <w:lang w:val="fr-FR"/>
              </w:rPr>
              <w:t>’</w:t>
            </w:r>
            <w:r w:rsidRPr="00F56A0E">
              <w:rPr>
                <w:sz w:val="20"/>
                <w:lang w:val="fr-FR"/>
              </w:rPr>
              <w:t xml:space="preserve">éventuel abandon progressif de certains pesticides (UNEP/FAO/RC/CRC.17/INF/18). </w:t>
            </w:r>
          </w:p>
          <w:p w14:paraId="19892D32" w14:textId="1C372E8F" w:rsidR="006F1716" w:rsidRPr="00F56A0E" w:rsidRDefault="006F1716" w:rsidP="00D076A8">
            <w:pPr>
              <w:tabs>
                <w:tab w:val="left" w:pos="624"/>
                <w:tab w:val="left" w:pos="1247"/>
                <w:tab w:val="left" w:pos="1814"/>
                <w:tab w:val="left" w:pos="2381"/>
                <w:tab w:val="left" w:pos="2948"/>
                <w:tab w:val="left" w:pos="3515"/>
              </w:tabs>
              <w:spacing w:after="120"/>
              <w:rPr>
                <w:rFonts w:eastAsia="Times New Roman"/>
                <w:lang w:val="fr-FR"/>
              </w:rPr>
            </w:pPr>
            <w:r w:rsidRPr="00F56A0E">
              <w:rPr>
                <w:lang w:val="fr-FR"/>
              </w:rPr>
              <w:t>La première étape du projet a consisté à passer en revue tous les pesticides homologués au Mozambique et à établir une liste restreinte de pesticides très dangereux. Cette liste restreinte a été arrêtée sur la base d</w:t>
            </w:r>
            <w:r w:rsidR="00870D0E" w:rsidRPr="00F56A0E">
              <w:rPr>
                <w:lang w:val="fr-FR"/>
              </w:rPr>
              <w:t>’</w:t>
            </w:r>
            <w:r w:rsidRPr="00F56A0E">
              <w:rPr>
                <w:lang w:val="fr-FR"/>
              </w:rPr>
              <w:t>une évaluation des dangers présentés par les pesticides considérés, selon des critères établis par la JMPR (FAO/OMS, 2008).</w:t>
            </w:r>
          </w:p>
          <w:p w14:paraId="3E9798F4" w14:textId="744A7F27" w:rsidR="006F1716" w:rsidRPr="00F56A0E" w:rsidRDefault="006F1716" w:rsidP="00D076A8">
            <w:pPr>
              <w:spacing w:after="120"/>
              <w:rPr>
                <w:rFonts w:eastAsia="Times New Roman"/>
                <w:lang w:val="fr-FR"/>
              </w:rPr>
            </w:pPr>
            <w:r w:rsidRPr="00F56A0E">
              <w:rPr>
                <w:lang w:val="fr-FR"/>
              </w:rPr>
              <w:t>Au cours de la deuxième étape du projet, une enquête sur l</w:t>
            </w:r>
            <w:r w:rsidR="00870D0E" w:rsidRPr="00F56A0E">
              <w:rPr>
                <w:lang w:val="fr-FR"/>
              </w:rPr>
              <w:t>’</w:t>
            </w:r>
            <w:r w:rsidRPr="00F56A0E">
              <w:rPr>
                <w:lang w:val="fr-FR"/>
              </w:rPr>
              <w:t>utilisation des pesticides a été menée dans certaines régions et certains systèmes de culture du Mozambique. Cette enquête visait principalement à déterminer les conditions d</w:t>
            </w:r>
            <w:r w:rsidR="00870D0E" w:rsidRPr="00F56A0E">
              <w:rPr>
                <w:lang w:val="fr-FR"/>
              </w:rPr>
              <w:t>’</w:t>
            </w:r>
            <w:r w:rsidRPr="00F56A0E">
              <w:rPr>
                <w:lang w:val="fr-FR"/>
              </w:rPr>
              <w:t>utilisation des pesticides dans le pays et la mesure dans laquelle elles aggravaient les risques potentiels pour la santé humaine et pour l</w:t>
            </w:r>
            <w:r w:rsidR="00870D0E" w:rsidRPr="00F56A0E">
              <w:rPr>
                <w:lang w:val="fr-FR"/>
              </w:rPr>
              <w:t>’</w:t>
            </w:r>
            <w:r w:rsidRPr="00F56A0E">
              <w:rPr>
                <w:lang w:val="fr-FR"/>
              </w:rPr>
              <w:t>environnement.</w:t>
            </w:r>
          </w:p>
          <w:p w14:paraId="58D38E8C" w14:textId="34572CCD" w:rsidR="006F1716" w:rsidRPr="00F56A0E" w:rsidRDefault="006F1716" w:rsidP="002C4422">
            <w:pPr>
              <w:keepNext/>
              <w:keepLines/>
              <w:tabs>
                <w:tab w:val="left" w:pos="624"/>
                <w:tab w:val="left" w:pos="1247"/>
                <w:tab w:val="left" w:pos="1814"/>
                <w:tab w:val="left" w:pos="2381"/>
                <w:tab w:val="left" w:pos="2948"/>
                <w:tab w:val="left" w:pos="3515"/>
              </w:tabs>
              <w:spacing w:after="120"/>
              <w:rPr>
                <w:bCs/>
                <w:lang w:val="fr-FR"/>
              </w:rPr>
            </w:pPr>
            <w:r w:rsidRPr="00F56A0E">
              <w:rPr>
                <w:lang w:val="fr-FR"/>
              </w:rPr>
              <w:lastRenderedPageBreak/>
              <w:t>La troisième étape du projet a consisté à organiser une consultation des parties prenantes, afin d</w:t>
            </w:r>
            <w:r w:rsidR="00870D0E" w:rsidRPr="00F56A0E">
              <w:rPr>
                <w:lang w:val="fr-FR"/>
              </w:rPr>
              <w:t>’</w:t>
            </w:r>
            <w:r w:rsidRPr="00F56A0E">
              <w:rPr>
                <w:lang w:val="fr-FR"/>
              </w:rPr>
              <w:t>examiner plus avant l</w:t>
            </w:r>
            <w:r w:rsidR="00870D0E" w:rsidRPr="00F56A0E">
              <w:rPr>
                <w:lang w:val="fr-FR"/>
              </w:rPr>
              <w:t>’</w:t>
            </w:r>
            <w:r w:rsidRPr="00F56A0E">
              <w:rPr>
                <w:lang w:val="fr-FR"/>
              </w:rPr>
              <w:t>utilisation des pesticides très dangereux et les risques qu</w:t>
            </w:r>
            <w:r w:rsidR="00870D0E" w:rsidRPr="00F56A0E">
              <w:rPr>
                <w:lang w:val="fr-FR"/>
              </w:rPr>
              <w:t>’</w:t>
            </w:r>
            <w:r w:rsidRPr="00F56A0E">
              <w:rPr>
                <w:lang w:val="fr-FR"/>
              </w:rPr>
              <w:t>ils présentaient au Mozambique, et d</w:t>
            </w:r>
            <w:r w:rsidR="00870D0E" w:rsidRPr="00F56A0E">
              <w:rPr>
                <w:lang w:val="fr-FR"/>
              </w:rPr>
              <w:t>’</w:t>
            </w:r>
            <w:r w:rsidRPr="00F56A0E">
              <w:rPr>
                <w:lang w:val="fr-FR"/>
              </w:rPr>
              <w:t>affiner la liste restreinte en s</w:t>
            </w:r>
            <w:r w:rsidR="00870D0E" w:rsidRPr="00F56A0E">
              <w:rPr>
                <w:lang w:val="fr-FR"/>
              </w:rPr>
              <w:t>’</w:t>
            </w:r>
            <w:r w:rsidRPr="00F56A0E">
              <w:rPr>
                <w:lang w:val="fr-FR"/>
              </w:rPr>
              <w:t>appuyant sur les résultats de l</w:t>
            </w:r>
            <w:r w:rsidR="00870D0E" w:rsidRPr="00F56A0E">
              <w:rPr>
                <w:lang w:val="fr-FR"/>
              </w:rPr>
              <w:t>’</w:t>
            </w:r>
            <w:r w:rsidRPr="00F56A0E">
              <w:rPr>
                <w:lang w:val="fr-FR"/>
              </w:rPr>
              <w:t>enquête ainsi que sur les compétences et l</w:t>
            </w:r>
            <w:r w:rsidR="00870D0E" w:rsidRPr="00F56A0E">
              <w:rPr>
                <w:lang w:val="fr-FR"/>
              </w:rPr>
              <w:t>’</w:t>
            </w:r>
            <w:r w:rsidRPr="00F56A0E">
              <w:rPr>
                <w:lang w:val="fr-FR"/>
              </w:rPr>
              <w:t>expérience des parties prenantes.</w:t>
            </w:r>
          </w:p>
          <w:p w14:paraId="47107CC2" w14:textId="4E4E0AC0" w:rsidR="006F1716" w:rsidRPr="00F56A0E" w:rsidRDefault="006F1716" w:rsidP="00D076A8">
            <w:pPr>
              <w:tabs>
                <w:tab w:val="left" w:pos="624"/>
                <w:tab w:val="left" w:pos="1247"/>
                <w:tab w:val="left" w:pos="1814"/>
                <w:tab w:val="left" w:pos="2381"/>
                <w:tab w:val="left" w:pos="2948"/>
                <w:tab w:val="left" w:pos="3515"/>
              </w:tabs>
              <w:spacing w:after="120"/>
              <w:rPr>
                <w:rFonts w:eastAsia="Times New Roman"/>
                <w:lang w:val="fr-FR"/>
              </w:rPr>
            </w:pPr>
            <w:r w:rsidRPr="00F56A0E">
              <w:rPr>
                <w:lang w:val="fr-FR"/>
              </w:rPr>
              <w:t>En conséquence, une liste restreinte de pesticides très dangereux utilisés dans le pays, qui comprenait également des pesticides presque aussi dangereux, a été établie. L</w:t>
            </w:r>
            <w:r w:rsidR="00870D0E" w:rsidRPr="00F56A0E">
              <w:rPr>
                <w:lang w:val="fr-FR"/>
              </w:rPr>
              <w:t>’</w:t>
            </w:r>
            <w:r w:rsidRPr="00F56A0E">
              <w:rPr>
                <w:lang w:val="fr-FR"/>
              </w:rPr>
              <w:t>inscription du terbufos sur cette liste en tant que pesticide très dangereux reposait sur le critère suivant de la JMPR</w:t>
            </w:r>
            <w:r w:rsidR="00157D75" w:rsidRPr="00F56A0E">
              <w:rPr>
                <w:lang w:val="fr-FR"/>
              </w:rPr>
              <w:t> :</w:t>
            </w:r>
          </w:p>
          <w:p w14:paraId="5E8EE788" w14:textId="2DDF3560" w:rsidR="006F1716" w:rsidRPr="00F56A0E" w:rsidRDefault="006F1716" w:rsidP="00D076A8">
            <w:pPr>
              <w:spacing w:after="120"/>
              <w:ind w:left="720" w:hanging="720"/>
              <w:rPr>
                <w:rFonts w:eastAsia="Times New Roman"/>
                <w:lang w:val="fr-FR"/>
              </w:rPr>
            </w:pPr>
            <w:r w:rsidRPr="00F56A0E">
              <w:rPr>
                <w:lang w:val="fr-FR"/>
              </w:rPr>
              <w:t>-</w:t>
            </w:r>
            <w:r w:rsidRPr="00F56A0E">
              <w:rPr>
                <w:lang w:val="fr-FR"/>
              </w:rPr>
              <w:tab/>
              <w:t>formulations de pesticides répondant aux critères des classes Ia ou Ib de la Classification OMS recommandée des pesticides en fonction des dangers qu</w:t>
            </w:r>
            <w:r w:rsidR="00870D0E" w:rsidRPr="00F56A0E">
              <w:rPr>
                <w:lang w:val="fr-FR"/>
              </w:rPr>
              <w:t>’</w:t>
            </w:r>
            <w:r w:rsidRPr="00F56A0E">
              <w:rPr>
                <w:lang w:val="fr-FR"/>
              </w:rPr>
              <w:t>ils présentent.</w:t>
            </w:r>
          </w:p>
          <w:p w14:paraId="2B552A11" w14:textId="579EAF6E" w:rsidR="006F1716" w:rsidRPr="00F56A0E" w:rsidRDefault="006F1716" w:rsidP="00D076A8">
            <w:pPr>
              <w:spacing w:after="120"/>
              <w:rPr>
                <w:rFonts w:eastAsia="Times New Roman"/>
                <w:lang w:val="fr-FR"/>
              </w:rPr>
            </w:pPr>
            <w:r w:rsidRPr="00F56A0E">
              <w:rPr>
                <w:lang w:val="fr-FR"/>
              </w:rPr>
              <w:t>Toutes les formulations de pesticides homologuées au Mozambique ont été évaluées en fonction de ces critères. Les valeurs des DL</w:t>
            </w:r>
            <w:r w:rsidRPr="00F56A0E">
              <w:rPr>
                <w:vertAlign w:val="subscript"/>
                <w:lang w:val="fr-FR"/>
              </w:rPr>
              <w:t>50</w:t>
            </w:r>
            <w:r w:rsidRPr="00F56A0E">
              <w:rPr>
                <w:lang w:val="fr-FR"/>
              </w:rPr>
              <w:t xml:space="preserve"> par voie orale et par voie cutanée (indiquées dans le dossier d</w:t>
            </w:r>
            <w:r w:rsidR="00870D0E" w:rsidRPr="00F56A0E">
              <w:rPr>
                <w:lang w:val="fr-FR"/>
              </w:rPr>
              <w:t>’</w:t>
            </w:r>
            <w:r w:rsidRPr="00F56A0E">
              <w:rPr>
                <w:lang w:val="fr-FR"/>
              </w:rPr>
              <w:t>homologation) ont servi de point de départ pour le classement.</w:t>
            </w:r>
          </w:p>
          <w:p w14:paraId="7D3BA9F6" w14:textId="52729B32" w:rsidR="006F1716" w:rsidRPr="00F56A0E" w:rsidRDefault="006F1716" w:rsidP="00D076A8">
            <w:pPr>
              <w:spacing w:after="120"/>
              <w:rPr>
                <w:rFonts w:eastAsia="Times New Roman"/>
                <w:lang w:val="fr-FR"/>
              </w:rPr>
            </w:pPr>
            <w:r w:rsidRPr="00F56A0E">
              <w:rPr>
                <w:lang w:val="fr-FR"/>
              </w:rPr>
              <w:t>Les valeurs de DL</w:t>
            </w:r>
            <w:r w:rsidRPr="00F56A0E">
              <w:rPr>
                <w:vertAlign w:val="subscript"/>
                <w:lang w:val="fr-FR"/>
              </w:rPr>
              <w:t>50</w:t>
            </w:r>
            <w:r w:rsidRPr="00F56A0E">
              <w:rPr>
                <w:lang w:val="fr-FR"/>
              </w:rPr>
              <w:t xml:space="preserve"> étaient disponibles ou ont été estimées pour plus de 99 % des produits pesticides homologués, les seules exceptions étant trois pesticides microbiens et un produit à base d</w:t>
            </w:r>
            <w:r w:rsidR="00870D0E" w:rsidRPr="00F56A0E">
              <w:rPr>
                <w:lang w:val="fr-FR"/>
              </w:rPr>
              <w:t>’</w:t>
            </w:r>
            <w:r w:rsidRPr="00F56A0E">
              <w:rPr>
                <w:lang w:val="fr-FR"/>
              </w:rPr>
              <w:t>huile de citronnelle.</w:t>
            </w:r>
          </w:p>
          <w:p w14:paraId="74F42FC2" w14:textId="76D70168" w:rsidR="006F1716" w:rsidRPr="00F56A0E" w:rsidRDefault="006F1716" w:rsidP="00D076A8">
            <w:pPr>
              <w:spacing w:after="120"/>
              <w:rPr>
                <w:rFonts w:eastAsia="Times New Roman"/>
                <w:lang w:val="fr-FR"/>
              </w:rPr>
            </w:pPr>
            <w:r w:rsidRPr="00F56A0E">
              <w:rPr>
                <w:lang w:val="fr-FR"/>
              </w:rPr>
              <w:t>Il a été établi, selon les critères de la JMPM relatifs aux pesticides très dangereux, établis sur la base de la Classification OMS recommandée des pesticides en fonction des dangers qu</w:t>
            </w:r>
            <w:r w:rsidR="00870D0E" w:rsidRPr="00F56A0E">
              <w:rPr>
                <w:lang w:val="fr-FR"/>
              </w:rPr>
              <w:t>’</w:t>
            </w:r>
            <w:r w:rsidRPr="00F56A0E">
              <w:rPr>
                <w:lang w:val="fr-FR"/>
              </w:rPr>
              <w:t>ils présentent, que les formulations du terbufos étaient extrêmement dangereuses (classe Ia). Elles ont donc été considérées comme des pesticides très dangereux et inscrites en tant que tels sur la liste restreinte (Come et van der Valk, 2014).</w:t>
            </w:r>
          </w:p>
          <w:p w14:paraId="56D92D2C" w14:textId="0FAABE12" w:rsidR="006F1716" w:rsidRPr="00F56A0E" w:rsidRDefault="006F1716" w:rsidP="00D076A8">
            <w:pPr>
              <w:spacing w:after="120"/>
              <w:rPr>
                <w:rFonts w:eastAsia="Times New Roman"/>
                <w:lang w:val="fr-FR"/>
              </w:rPr>
            </w:pPr>
            <w:r w:rsidRPr="00F56A0E">
              <w:rPr>
                <w:lang w:val="fr-FR"/>
              </w:rPr>
              <w:t>Au cours de la deuxième phase du projet, une enquête de terrain sur l</w:t>
            </w:r>
            <w:r w:rsidR="00870D0E" w:rsidRPr="00F56A0E">
              <w:rPr>
                <w:lang w:val="fr-FR"/>
              </w:rPr>
              <w:t>’</w:t>
            </w:r>
            <w:r w:rsidRPr="00F56A0E">
              <w:rPr>
                <w:lang w:val="fr-FR"/>
              </w:rPr>
              <w:t>utilisation et l</w:t>
            </w:r>
            <w:r w:rsidR="00870D0E" w:rsidRPr="00F56A0E">
              <w:rPr>
                <w:lang w:val="fr-FR"/>
              </w:rPr>
              <w:t>’</w:t>
            </w:r>
            <w:r w:rsidRPr="00F56A0E">
              <w:rPr>
                <w:lang w:val="fr-FR"/>
              </w:rPr>
              <w:t>exposition aux pesticides a été effectuée. Cette enquête (menée auprès de 325 agriculteurs de subsistance) a révélé que la plupart des agriculteurs (95 %) utilisaient des pesticides et que les conditions d</w:t>
            </w:r>
            <w:r w:rsidR="00870D0E" w:rsidRPr="00F56A0E">
              <w:rPr>
                <w:lang w:val="fr-FR"/>
              </w:rPr>
              <w:t>’</w:t>
            </w:r>
            <w:r w:rsidRPr="00F56A0E">
              <w:rPr>
                <w:lang w:val="fr-FR"/>
              </w:rPr>
              <w:t>utilisation étaient susceptibles d</w:t>
            </w:r>
            <w:r w:rsidR="00870D0E" w:rsidRPr="00F56A0E">
              <w:rPr>
                <w:lang w:val="fr-FR"/>
              </w:rPr>
              <w:t>’</w:t>
            </w:r>
            <w:r w:rsidRPr="00F56A0E">
              <w:rPr>
                <w:lang w:val="fr-FR"/>
              </w:rPr>
              <w:t>entraîner une exposition excessive. La moitié des agriculteurs interrogés n</w:t>
            </w:r>
            <w:r w:rsidR="00870D0E" w:rsidRPr="00F56A0E">
              <w:rPr>
                <w:lang w:val="fr-FR"/>
              </w:rPr>
              <w:t>’</w:t>
            </w:r>
            <w:r w:rsidRPr="00F56A0E">
              <w:rPr>
                <w:lang w:val="fr-FR"/>
              </w:rPr>
              <w:t>avaient jamais été formés à l</w:t>
            </w:r>
            <w:r w:rsidR="00870D0E" w:rsidRPr="00F56A0E">
              <w:rPr>
                <w:lang w:val="fr-FR"/>
              </w:rPr>
              <w:t>’</w:t>
            </w:r>
            <w:r w:rsidRPr="00F56A0E">
              <w:rPr>
                <w:lang w:val="fr-FR"/>
              </w:rPr>
              <w:t>utilisation des pesticides, et même ceux qui avaient bénéficié d</w:t>
            </w:r>
            <w:r w:rsidR="00870D0E" w:rsidRPr="00F56A0E">
              <w:rPr>
                <w:lang w:val="fr-FR"/>
              </w:rPr>
              <w:t>’</w:t>
            </w:r>
            <w:r w:rsidRPr="00F56A0E">
              <w:rPr>
                <w:lang w:val="fr-FR"/>
              </w:rPr>
              <w:t>une telle formation ne comprenaient pas toujours les risques encourus. Les agriculteurs pulvérisaient les cultures maraîchères au moins 14 fois par saison de croissance. Une pulvérisation sur trois se faisait avec une préparation contenant un pesticide très dangereux (près de 30 % des agriculteurs interrogés utilisaient des pesticides très dangereux).</w:t>
            </w:r>
          </w:p>
          <w:p w14:paraId="64A6C906" w14:textId="34D1D78C" w:rsidR="006F1716" w:rsidRPr="00F56A0E" w:rsidRDefault="006F1716" w:rsidP="00D076A8">
            <w:pPr>
              <w:spacing w:after="120"/>
              <w:rPr>
                <w:rFonts w:eastAsia="Times New Roman"/>
                <w:lang w:val="fr-FR"/>
              </w:rPr>
            </w:pPr>
            <w:r w:rsidRPr="00F56A0E">
              <w:rPr>
                <w:lang w:val="fr-FR"/>
              </w:rPr>
              <w:t>En outre, la quasi-totalité des agriculteurs (93 %) ne possédai</w:t>
            </w:r>
            <w:r w:rsidR="00295D67" w:rsidRPr="00F56A0E">
              <w:rPr>
                <w:lang w:val="fr-FR"/>
              </w:rPr>
              <w:t>en</w:t>
            </w:r>
            <w:r w:rsidRPr="00F56A0E">
              <w:rPr>
                <w:lang w:val="fr-FR"/>
              </w:rPr>
              <w:t>t pas ou ne portai</w:t>
            </w:r>
            <w:r w:rsidR="00295D67" w:rsidRPr="00F56A0E">
              <w:rPr>
                <w:lang w:val="fr-FR"/>
              </w:rPr>
              <w:t>en</w:t>
            </w:r>
            <w:r w:rsidRPr="00F56A0E">
              <w:rPr>
                <w:lang w:val="fr-FR"/>
              </w:rPr>
              <w:t>t pas d</w:t>
            </w:r>
            <w:r w:rsidR="00870D0E" w:rsidRPr="00F56A0E">
              <w:rPr>
                <w:lang w:val="fr-FR"/>
              </w:rPr>
              <w:t>’</w:t>
            </w:r>
            <w:r w:rsidRPr="00F56A0E">
              <w:rPr>
                <w:lang w:val="fr-FR"/>
              </w:rPr>
              <w:t>équipement de protection individuelle (EPI) adapté, ou n</w:t>
            </w:r>
            <w:r w:rsidR="00870D0E" w:rsidRPr="00F56A0E">
              <w:rPr>
                <w:lang w:val="fr-FR"/>
              </w:rPr>
              <w:t>’</w:t>
            </w:r>
            <w:r w:rsidRPr="00F56A0E">
              <w:rPr>
                <w:lang w:val="fr-FR"/>
              </w:rPr>
              <w:t>utilisai</w:t>
            </w:r>
            <w:r w:rsidR="00295D67" w:rsidRPr="00F56A0E">
              <w:rPr>
                <w:lang w:val="fr-FR"/>
              </w:rPr>
              <w:t>en</w:t>
            </w:r>
            <w:r w:rsidRPr="00F56A0E">
              <w:rPr>
                <w:lang w:val="fr-FR"/>
              </w:rPr>
              <w:t>t qu</w:t>
            </w:r>
            <w:r w:rsidR="00870D0E" w:rsidRPr="00F56A0E">
              <w:rPr>
                <w:lang w:val="fr-FR"/>
              </w:rPr>
              <w:t>’</w:t>
            </w:r>
            <w:r w:rsidRPr="00F56A0E">
              <w:rPr>
                <w:lang w:val="fr-FR"/>
              </w:rPr>
              <w:t>un seul élément de protection. Seuls 2 % de ceux qui se servaient de pesticides très dangereux portaient un EPI adéquat offrant une protection intégrale. Environ la moitié des agriculteurs (50,2 %) n</w:t>
            </w:r>
            <w:r w:rsidR="00870D0E" w:rsidRPr="00F56A0E">
              <w:rPr>
                <w:lang w:val="fr-FR"/>
              </w:rPr>
              <w:t>’</w:t>
            </w:r>
            <w:r w:rsidRPr="00F56A0E">
              <w:rPr>
                <w:lang w:val="fr-FR"/>
              </w:rPr>
              <w:t>avaient reçu aucune formation sur l</w:t>
            </w:r>
            <w:r w:rsidR="00870D0E" w:rsidRPr="00F56A0E">
              <w:rPr>
                <w:lang w:val="fr-FR"/>
              </w:rPr>
              <w:t>’</w:t>
            </w:r>
            <w:r w:rsidRPr="00F56A0E">
              <w:rPr>
                <w:lang w:val="fr-FR"/>
              </w:rPr>
              <w:t xml:space="preserve">utilisation des pesticides. La majorité des </w:t>
            </w:r>
            <w:r w:rsidR="00295D67" w:rsidRPr="00F56A0E">
              <w:rPr>
                <w:lang w:val="fr-FR"/>
              </w:rPr>
              <w:t>préposés à l</w:t>
            </w:r>
            <w:r w:rsidR="00870D0E" w:rsidRPr="00F56A0E">
              <w:rPr>
                <w:lang w:val="fr-FR"/>
              </w:rPr>
              <w:t>’</w:t>
            </w:r>
            <w:r w:rsidR="00295D67" w:rsidRPr="00F56A0E">
              <w:rPr>
                <w:lang w:val="fr-FR"/>
              </w:rPr>
              <w:t xml:space="preserve">application des pesticides </w:t>
            </w:r>
            <w:r w:rsidRPr="00F56A0E">
              <w:rPr>
                <w:lang w:val="fr-FR"/>
              </w:rPr>
              <w:t>utilisaient des pulvérisateurs manuels (36 %). Venaient ensuite les pulvérisateurs électriques à batterie (33 %) et des équipements inappropriés tels que des arrosoirs (13,5 %) ou d</w:t>
            </w:r>
            <w:r w:rsidR="00870D0E" w:rsidRPr="00F56A0E">
              <w:rPr>
                <w:lang w:val="fr-FR"/>
              </w:rPr>
              <w:t>’</w:t>
            </w:r>
            <w:r w:rsidRPr="00F56A0E">
              <w:rPr>
                <w:lang w:val="fr-FR"/>
              </w:rPr>
              <w:t>autres moyens (non précisés) (12,5 %). Environ la moitié des agriculteurs interrogés ont déclaré avoir reçu des projections de pesticide sur leurs vêtements, sur leur peau nue ou dans les yeux lors des traitements. Sur le plan de la santé, les principaux symptômes associés à l</w:t>
            </w:r>
            <w:r w:rsidR="00870D0E" w:rsidRPr="00F56A0E">
              <w:rPr>
                <w:lang w:val="fr-FR"/>
              </w:rPr>
              <w:t>’</w:t>
            </w:r>
            <w:r w:rsidRPr="00F56A0E">
              <w:rPr>
                <w:lang w:val="fr-FR"/>
              </w:rPr>
              <w:t>utilisation de pesticides signalés par les agriculteurs étaient les suivants</w:t>
            </w:r>
            <w:r w:rsidR="00157D75" w:rsidRPr="00F56A0E">
              <w:rPr>
                <w:lang w:val="fr-FR"/>
              </w:rPr>
              <w:t> :</w:t>
            </w:r>
            <w:r w:rsidRPr="00F56A0E">
              <w:rPr>
                <w:lang w:val="fr-FR"/>
              </w:rPr>
              <w:t xml:space="preserve"> céphalées, éruptions cutanées, irritation des yeux, vomissements, irritation des narines, vision trouble, vertiges et transpiration excessive. Près de la moitié des agriculteurs ont déclaré ne pas lire les étiquettes des pesticides, y compris les instructions d</w:t>
            </w:r>
            <w:r w:rsidR="00870D0E" w:rsidRPr="00F56A0E">
              <w:rPr>
                <w:lang w:val="fr-FR"/>
              </w:rPr>
              <w:t>’</w:t>
            </w:r>
            <w:r w:rsidRPr="00F56A0E">
              <w:rPr>
                <w:lang w:val="fr-FR"/>
              </w:rPr>
              <w:t>utilisation concernant par exemple le dosage et les mesures de protection, principalement pour des raisons d</w:t>
            </w:r>
            <w:r w:rsidR="00870D0E" w:rsidRPr="00F56A0E">
              <w:rPr>
                <w:lang w:val="fr-FR"/>
              </w:rPr>
              <w:t>’</w:t>
            </w:r>
            <w:r w:rsidRPr="00F56A0E">
              <w:rPr>
                <w:lang w:val="fr-FR"/>
              </w:rPr>
              <w:t>analphabétisme. Un agriculteur sur quatre ne comprenait pas bien le code couleur figurant sur les étiquettes des pesticides, qui alertait sur la toxicité aiguë de ces produits.</w:t>
            </w:r>
          </w:p>
          <w:p w14:paraId="6D7AD56D" w14:textId="74699FAE" w:rsidR="006F1716" w:rsidRPr="00F56A0E" w:rsidRDefault="006F1716" w:rsidP="00D076A8">
            <w:pPr>
              <w:spacing w:after="120"/>
              <w:rPr>
                <w:rFonts w:eastAsia="Times New Roman"/>
                <w:lang w:val="fr-FR"/>
              </w:rPr>
            </w:pPr>
            <w:r w:rsidRPr="00F56A0E">
              <w:rPr>
                <w:lang w:val="fr-FR"/>
              </w:rPr>
              <w:t>Les résultats de l</w:t>
            </w:r>
            <w:r w:rsidR="00870D0E" w:rsidRPr="00F56A0E">
              <w:rPr>
                <w:lang w:val="fr-FR"/>
              </w:rPr>
              <w:t>’</w:t>
            </w:r>
            <w:r w:rsidRPr="00F56A0E">
              <w:rPr>
                <w:lang w:val="fr-FR"/>
              </w:rPr>
              <w:t>enquête ont montré qu</w:t>
            </w:r>
            <w:r w:rsidR="00870D0E" w:rsidRPr="00F56A0E">
              <w:rPr>
                <w:lang w:val="fr-FR"/>
              </w:rPr>
              <w:t>’</w:t>
            </w:r>
            <w:r w:rsidRPr="00F56A0E">
              <w:rPr>
                <w:lang w:val="fr-FR"/>
              </w:rPr>
              <w:t>au Mozambique, l</w:t>
            </w:r>
            <w:r w:rsidR="00870D0E" w:rsidRPr="00F56A0E">
              <w:rPr>
                <w:lang w:val="fr-FR"/>
              </w:rPr>
              <w:t>’</w:t>
            </w:r>
            <w:r w:rsidRPr="00F56A0E">
              <w:rPr>
                <w:lang w:val="fr-FR"/>
              </w:rPr>
              <w:t>utilisation des pesticides en général, et des pesticides très dangereux en particulier, était susceptible d</w:t>
            </w:r>
            <w:r w:rsidR="00870D0E" w:rsidRPr="00F56A0E">
              <w:rPr>
                <w:lang w:val="fr-FR"/>
              </w:rPr>
              <w:t>’</w:t>
            </w:r>
            <w:r w:rsidRPr="00F56A0E">
              <w:rPr>
                <w:lang w:val="fr-FR"/>
              </w:rPr>
              <w:t>entraîner une exposition excessive des agriculteurs. Dès lors, il serait difficile et peu efficace de faire appliquer des mesures d</w:t>
            </w:r>
            <w:r w:rsidR="00870D0E" w:rsidRPr="00F56A0E">
              <w:rPr>
                <w:lang w:val="fr-FR"/>
              </w:rPr>
              <w:t>’</w:t>
            </w:r>
            <w:r w:rsidRPr="00F56A0E">
              <w:rPr>
                <w:lang w:val="fr-FR"/>
              </w:rPr>
              <w:t>atténuation des risques reposant uniquement sur le port d</w:t>
            </w:r>
            <w:r w:rsidR="00870D0E" w:rsidRPr="00F56A0E">
              <w:rPr>
                <w:lang w:val="fr-FR"/>
              </w:rPr>
              <w:t>’</w:t>
            </w:r>
            <w:r w:rsidRPr="00F56A0E">
              <w:rPr>
                <w:lang w:val="fr-FR"/>
              </w:rPr>
              <w:t>un EPI approprié dans les conditions locales d</w:t>
            </w:r>
            <w:r w:rsidR="00870D0E" w:rsidRPr="00F56A0E">
              <w:rPr>
                <w:lang w:val="fr-FR"/>
              </w:rPr>
              <w:t>’</w:t>
            </w:r>
            <w:r w:rsidRPr="00F56A0E">
              <w:rPr>
                <w:lang w:val="fr-FR"/>
              </w:rPr>
              <w:t>utilisation.</w:t>
            </w:r>
          </w:p>
          <w:p w14:paraId="5E772CDA" w14:textId="77777777" w:rsidR="00413BA6" w:rsidRPr="00F56A0E" w:rsidRDefault="00413BA6" w:rsidP="00413BA6">
            <w:pPr>
              <w:pStyle w:val="ListParagraph"/>
              <w:keepNext/>
              <w:keepLines/>
              <w:tabs>
                <w:tab w:val="left" w:pos="1800"/>
              </w:tabs>
              <w:snapToGrid w:val="0"/>
              <w:spacing w:after="120"/>
              <w:ind w:left="0"/>
              <w:contextualSpacing w:val="0"/>
              <w:rPr>
                <w:sz w:val="20"/>
                <w:lang w:val="fr-FR"/>
              </w:rPr>
            </w:pPr>
          </w:p>
          <w:p w14:paraId="1C5AA62B" w14:textId="56002423" w:rsidR="006F1716" w:rsidRPr="00F56A0E" w:rsidRDefault="006F1716" w:rsidP="00413BA6">
            <w:pPr>
              <w:pStyle w:val="ListParagraph"/>
              <w:keepNext/>
              <w:keepLines/>
              <w:tabs>
                <w:tab w:val="left" w:pos="1800"/>
              </w:tabs>
              <w:snapToGrid w:val="0"/>
              <w:spacing w:after="120"/>
              <w:ind w:left="0"/>
              <w:contextualSpacing w:val="0"/>
              <w:rPr>
                <w:rFonts w:eastAsia="MS Mincho"/>
                <w:bCs/>
                <w:iCs/>
                <w:sz w:val="20"/>
                <w:szCs w:val="20"/>
                <w:lang w:val="fr-FR"/>
              </w:rPr>
            </w:pPr>
            <w:r w:rsidRPr="00F56A0E">
              <w:rPr>
                <w:sz w:val="20"/>
                <w:lang w:val="fr-FR"/>
              </w:rPr>
              <w:t>La troisième étape du projet a consisté à organiser une consultation des parties prenantes, afin d</w:t>
            </w:r>
            <w:r w:rsidR="00870D0E" w:rsidRPr="00F56A0E">
              <w:rPr>
                <w:sz w:val="20"/>
                <w:lang w:val="fr-FR"/>
              </w:rPr>
              <w:t>’</w:t>
            </w:r>
            <w:r w:rsidRPr="00F56A0E">
              <w:rPr>
                <w:sz w:val="20"/>
                <w:lang w:val="fr-FR"/>
              </w:rPr>
              <w:t>examiner plus avant l</w:t>
            </w:r>
            <w:r w:rsidR="00870D0E" w:rsidRPr="00F56A0E">
              <w:rPr>
                <w:sz w:val="20"/>
                <w:lang w:val="fr-FR"/>
              </w:rPr>
              <w:t>’</w:t>
            </w:r>
            <w:r w:rsidRPr="00F56A0E">
              <w:rPr>
                <w:sz w:val="20"/>
                <w:lang w:val="fr-FR"/>
              </w:rPr>
              <w:t>utilisation des pesticides très dangereux et les risques qu</w:t>
            </w:r>
            <w:r w:rsidR="00870D0E" w:rsidRPr="00F56A0E">
              <w:rPr>
                <w:sz w:val="20"/>
                <w:lang w:val="fr-FR"/>
              </w:rPr>
              <w:t>’</w:t>
            </w:r>
            <w:r w:rsidRPr="00F56A0E">
              <w:rPr>
                <w:sz w:val="20"/>
                <w:lang w:val="fr-FR"/>
              </w:rPr>
              <w:t>ils présentaient au Mozambique, et d</w:t>
            </w:r>
            <w:r w:rsidR="00870D0E" w:rsidRPr="00F56A0E">
              <w:rPr>
                <w:sz w:val="20"/>
                <w:lang w:val="fr-FR"/>
              </w:rPr>
              <w:t>’</w:t>
            </w:r>
            <w:r w:rsidRPr="00F56A0E">
              <w:rPr>
                <w:sz w:val="20"/>
                <w:lang w:val="fr-FR"/>
              </w:rPr>
              <w:t>affiner la liste restreinte en s</w:t>
            </w:r>
            <w:r w:rsidR="00870D0E" w:rsidRPr="00F56A0E">
              <w:rPr>
                <w:sz w:val="20"/>
                <w:lang w:val="fr-FR"/>
              </w:rPr>
              <w:t>’</w:t>
            </w:r>
            <w:r w:rsidRPr="00F56A0E">
              <w:rPr>
                <w:sz w:val="20"/>
                <w:lang w:val="fr-FR"/>
              </w:rPr>
              <w:t>appuyant sur les résultats de l</w:t>
            </w:r>
            <w:r w:rsidR="00870D0E" w:rsidRPr="00F56A0E">
              <w:rPr>
                <w:sz w:val="20"/>
                <w:lang w:val="fr-FR"/>
              </w:rPr>
              <w:t>’</w:t>
            </w:r>
            <w:r w:rsidRPr="00F56A0E">
              <w:rPr>
                <w:sz w:val="20"/>
                <w:lang w:val="fr-FR"/>
              </w:rPr>
              <w:t>enquête ainsi que sur les compétences et l</w:t>
            </w:r>
            <w:r w:rsidR="00870D0E" w:rsidRPr="00F56A0E">
              <w:rPr>
                <w:sz w:val="20"/>
                <w:lang w:val="fr-FR"/>
              </w:rPr>
              <w:t>’</w:t>
            </w:r>
            <w:r w:rsidRPr="00F56A0E">
              <w:rPr>
                <w:sz w:val="20"/>
                <w:lang w:val="fr-FR"/>
              </w:rPr>
              <w:t>expérience des parties prenantes.</w:t>
            </w:r>
          </w:p>
          <w:p w14:paraId="5CA584EE" w14:textId="0EF5EB29" w:rsidR="006F1716" w:rsidRPr="00F56A0E" w:rsidRDefault="006F1716" w:rsidP="00D076A8">
            <w:pPr>
              <w:spacing w:after="120"/>
              <w:rPr>
                <w:rFonts w:eastAsia="Times New Roman"/>
                <w:lang w:val="fr-FR"/>
              </w:rPr>
            </w:pPr>
            <w:r w:rsidRPr="00F56A0E">
              <w:rPr>
                <w:lang w:val="fr-FR"/>
              </w:rPr>
              <w:t>Le terbufos et les produits en contenant ont été jugés nocifs pour la santé humaine dans les conditions locales d</w:t>
            </w:r>
            <w:r w:rsidR="00870D0E" w:rsidRPr="00F56A0E">
              <w:rPr>
                <w:lang w:val="fr-FR"/>
              </w:rPr>
              <w:t>’</w:t>
            </w:r>
            <w:r w:rsidRPr="00F56A0E">
              <w:rPr>
                <w:lang w:val="fr-FR"/>
              </w:rPr>
              <w:t>utilisation au Mozambique, ce qui impliquait de prendre des mesures d</w:t>
            </w:r>
            <w:r w:rsidR="00870D0E" w:rsidRPr="00F56A0E">
              <w:rPr>
                <w:lang w:val="fr-FR"/>
              </w:rPr>
              <w:t>’</w:t>
            </w:r>
            <w:r w:rsidRPr="00F56A0E">
              <w:rPr>
                <w:lang w:val="fr-FR"/>
              </w:rPr>
              <w:t>atténuation des risques. Les autorités ont donc décidé d</w:t>
            </w:r>
            <w:r w:rsidR="00870D0E" w:rsidRPr="00F56A0E">
              <w:rPr>
                <w:lang w:val="fr-FR"/>
              </w:rPr>
              <w:t>’</w:t>
            </w:r>
            <w:r w:rsidRPr="00F56A0E">
              <w:rPr>
                <w:lang w:val="fr-FR"/>
              </w:rPr>
              <w:t>interdire la poursuite de l</w:t>
            </w:r>
            <w:r w:rsidR="00870D0E" w:rsidRPr="00F56A0E">
              <w:rPr>
                <w:lang w:val="fr-FR"/>
              </w:rPr>
              <w:t>’</w:t>
            </w:r>
            <w:r w:rsidRPr="00F56A0E">
              <w:rPr>
                <w:lang w:val="fr-FR"/>
              </w:rPr>
              <w:t>utilisation du terbufos dans le pays et d</w:t>
            </w:r>
            <w:r w:rsidR="00870D0E" w:rsidRPr="00F56A0E">
              <w:rPr>
                <w:lang w:val="fr-FR"/>
              </w:rPr>
              <w:t>’</w:t>
            </w:r>
            <w:r w:rsidRPr="00F56A0E">
              <w:rPr>
                <w:lang w:val="fr-FR"/>
              </w:rPr>
              <w:t>annuler l</w:t>
            </w:r>
            <w:r w:rsidR="00870D0E" w:rsidRPr="00F56A0E">
              <w:rPr>
                <w:lang w:val="fr-FR"/>
              </w:rPr>
              <w:t>’</w:t>
            </w:r>
            <w:r w:rsidRPr="00F56A0E">
              <w:rPr>
                <w:lang w:val="fr-FR"/>
              </w:rPr>
              <w:t>homologation de tous les produits en contenant.</w:t>
            </w:r>
          </w:p>
        </w:tc>
      </w:tr>
      <w:tr w:rsidR="006F1716" w:rsidRPr="00F56A0E" w14:paraId="4AC75173" w14:textId="77777777" w:rsidTr="00F15581">
        <w:trPr>
          <w:trHeight w:val="758"/>
        </w:trPr>
        <w:tc>
          <w:tcPr>
            <w:tcW w:w="488" w:type="dxa"/>
          </w:tcPr>
          <w:p w14:paraId="1BD2D27C" w14:textId="77777777" w:rsidR="006F1716" w:rsidRPr="00F56A0E" w:rsidRDefault="006F1716" w:rsidP="00D076A8">
            <w:pPr>
              <w:spacing w:before="20" w:after="20"/>
              <w:rPr>
                <w:rFonts w:eastAsia="Times New Roman"/>
                <w:b/>
                <w:bCs/>
                <w:snapToGrid w:val="0"/>
                <w:lang w:val="fr-FR"/>
              </w:rPr>
            </w:pPr>
            <w:r w:rsidRPr="00F56A0E">
              <w:rPr>
                <w:b/>
                <w:snapToGrid w:val="0"/>
                <w:lang w:val="fr-FR"/>
              </w:rPr>
              <w:lastRenderedPageBreak/>
              <w:t>4.2</w:t>
            </w:r>
          </w:p>
        </w:tc>
        <w:tc>
          <w:tcPr>
            <w:tcW w:w="1701" w:type="dxa"/>
          </w:tcPr>
          <w:p w14:paraId="01E1935A" w14:textId="77777777" w:rsidR="006F1716" w:rsidRPr="00F56A0E" w:rsidRDefault="006F1716" w:rsidP="00D076A8">
            <w:pPr>
              <w:spacing w:before="20" w:after="20"/>
              <w:rPr>
                <w:rFonts w:eastAsia="Times New Roman"/>
                <w:b/>
                <w:lang w:val="fr-FR"/>
              </w:rPr>
            </w:pPr>
            <w:r w:rsidRPr="00F56A0E">
              <w:rPr>
                <w:b/>
                <w:lang w:val="fr-FR"/>
              </w:rPr>
              <w:t>Critères appliqués</w:t>
            </w:r>
          </w:p>
        </w:tc>
        <w:tc>
          <w:tcPr>
            <w:tcW w:w="7371" w:type="dxa"/>
          </w:tcPr>
          <w:p w14:paraId="45DE8EEE" w14:textId="77777777" w:rsidR="006F1716" w:rsidRPr="00F56A0E" w:rsidRDefault="006F1716" w:rsidP="00D076A8">
            <w:pPr>
              <w:spacing w:before="20" w:after="20"/>
              <w:rPr>
                <w:rFonts w:eastAsia="Times New Roman"/>
                <w:iCs/>
                <w:lang w:val="fr-FR"/>
              </w:rPr>
            </w:pPr>
            <w:r w:rsidRPr="00F56A0E">
              <w:rPr>
                <w:lang w:val="fr-FR"/>
              </w:rPr>
              <w:t>Risques pour la santé humaine</w:t>
            </w:r>
          </w:p>
          <w:p w14:paraId="061E12E3" w14:textId="77777777" w:rsidR="006F1716" w:rsidRPr="00F56A0E" w:rsidRDefault="006F1716" w:rsidP="00D076A8">
            <w:pPr>
              <w:spacing w:before="20" w:after="20"/>
              <w:rPr>
                <w:rFonts w:eastAsia="Times New Roman"/>
                <w:iCs/>
                <w:lang w:val="fr-FR" w:eastAsia="en-US"/>
              </w:rPr>
            </w:pPr>
          </w:p>
        </w:tc>
      </w:tr>
      <w:tr w:rsidR="006F1716" w:rsidRPr="00F56A0E" w14:paraId="033740D6" w14:textId="77777777" w:rsidTr="00F15581">
        <w:trPr>
          <w:trHeight w:val="1091"/>
        </w:trPr>
        <w:tc>
          <w:tcPr>
            <w:tcW w:w="488" w:type="dxa"/>
          </w:tcPr>
          <w:p w14:paraId="5B8C9173" w14:textId="77777777" w:rsidR="006F1716" w:rsidRPr="00F56A0E" w:rsidRDefault="006F1716" w:rsidP="00D076A8">
            <w:pPr>
              <w:widowControl w:val="0"/>
              <w:spacing w:before="20" w:after="20"/>
              <w:rPr>
                <w:rFonts w:eastAsia="Times New Roman"/>
                <w:b/>
                <w:bCs/>
                <w:snapToGrid w:val="0"/>
                <w:lang w:val="fr-FR" w:eastAsia="en-US"/>
              </w:rPr>
            </w:pPr>
          </w:p>
        </w:tc>
        <w:tc>
          <w:tcPr>
            <w:tcW w:w="1701" w:type="dxa"/>
          </w:tcPr>
          <w:p w14:paraId="3AB4DF77" w14:textId="39277DE5" w:rsidR="006F1716" w:rsidRPr="00F56A0E" w:rsidRDefault="006F1716" w:rsidP="00D076A8">
            <w:pPr>
              <w:spacing w:before="20" w:after="20"/>
              <w:rPr>
                <w:rFonts w:eastAsia="Times New Roman"/>
                <w:b/>
                <w:lang w:val="fr-FR"/>
              </w:rPr>
            </w:pPr>
            <w:r w:rsidRPr="00F56A0E">
              <w:rPr>
                <w:b/>
                <w:lang w:val="fr-FR"/>
              </w:rPr>
              <w:t>Pertinence pour d</w:t>
            </w:r>
            <w:r w:rsidR="00870D0E" w:rsidRPr="00F56A0E">
              <w:rPr>
                <w:b/>
                <w:lang w:val="fr-FR"/>
              </w:rPr>
              <w:t>’</w:t>
            </w:r>
            <w:r w:rsidRPr="00F56A0E">
              <w:rPr>
                <w:b/>
                <w:lang w:val="fr-FR"/>
              </w:rPr>
              <w:t>autres États ou d</w:t>
            </w:r>
            <w:r w:rsidR="00870D0E" w:rsidRPr="00F56A0E">
              <w:rPr>
                <w:b/>
                <w:lang w:val="fr-FR"/>
              </w:rPr>
              <w:t>’</w:t>
            </w:r>
            <w:r w:rsidRPr="00F56A0E">
              <w:rPr>
                <w:b/>
                <w:lang w:val="fr-FR"/>
              </w:rPr>
              <w:t>autres régions</w:t>
            </w:r>
          </w:p>
        </w:tc>
        <w:tc>
          <w:tcPr>
            <w:tcW w:w="7371" w:type="dxa"/>
          </w:tcPr>
          <w:p w14:paraId="47EDA748" w14:textId="77777777" w:rsidR="006F1716" w:rsidRPr="00F56A0E" w:rsidRDefault="006F1716" w:rsidP="00D076A8">
            <w:pPr>
              <w:spacing w:before="20" w:after="20"/>
              <w:rPr>
                <w:rFonts w:eastAsia="Times New Roman"/>
                <w:lang w:val="fr-FR"/>
              </w:rPr>
            </w:pPr>
            <w:r w:rsidRPr="00F56A0E">
              <w:rPr>
                <w:lang w:val="fr-FR"/>
              </w:rPr>
              <w:t>Les pays qui connaissent des conditions similaires et où les agriculteurs utilisent des pesticides sans équipement de protection pourraient prendre une décision similaire afin de protéger la santé humaine.</w:t>
            </w:r>
          </w:p>
        </w:tc>
      </w:tr>
      <w:tr w:rsidR="006F1716" w:rsidRPr="00F56A0E" w14:paraId="1F1D5C17" w14:textId="77777777" w:rsidTr="00F15581">
        <w:trPr>
          <w:trHeight w:val="812"/>
        </w:trPr>
        <w:tc>
          <w:tcPr>
            <w:tcW w:w="488" w:type="dxa"/>
          </w:tcPr>
          <w:p w14:paraId="79BF16BF"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5</w:t>
            </w:r>
          </w:p>
        </w:tc>
        <w:tc>
          <w:tcPr>
            <w:tcW w:w="1701" w:type="dxa"/>
          </w:tcPr>
          <w:p w14:paraId="32D8A8C2" w14:textId="77777777" w:rsidR="006F1716" w:rsidRPr="00F56A0E" w:rsidRDefault="006F1716" w:rsidP="00D076A8">
            <w:pPr>
              <w:spacing w:before="20" w:after="20"/>
              <w:rPr>
                <w:rFonts w:eastAsia="Times New Roman"/>
                <w:b/>
                <w:bCs/>
                <w:lang w:val="fr-FR"/>
              </w:rPr>
            </w:pPr>
            <w:r w:rsidRPr="00F56A0E">
              <w:rPr>
                <w:b/>
                <w:lang w:val="fr-FR"/>
              </w:rPr>
              <w:t>Solutions de remplacement</w:t>
            </w:r>
          </w:p>
        </w:tc>
        <w:tc>
          <w:tcPr>
            <w:tcW w:w="7371" w:type="dxa"/>
          </w:tcPr>
          <w:p w14:paraId="3CCEDF56" w14:textId="77777777" w:rsidR="006F1716" w:rsidRPr="00F56A0E" w:rsidRDefault="006F1716" w:rsidP="00D076A8">
            <w:pPr>
              <w:spacing w:before="20" w:after="20"/>
              <w:rPr>
                <w:rFonts w:eastAsia="Times New Roman"/>
                <w:lang w:val="fr-FR"/>
              </w:rPr>
            </w:pPr>
            <w:r w:rsidRPr="00F56A0E">
              <w:rPr>
                <w:lang w:val="fr-FR"/>
              </w:rPr>
              <w:t>Voir section 3.3</w:t>
            </w:r>
          </w:p>
          <w:p w14:paraId="675ABD4F" w14:textId="77777777" w:rsidR="006F1716" w:rsidRPr="00F56A0E" w:rsidRDefault="006F1716" w:rsidP="00D076A8">
            <w:pPr>
              <w:spacing w:before="20" w:after="20"/>
              <w:rPr>
                <w:rFonts w:eastAsia="Times New Roman"/>
                <w:lang w:val="fr-FR" w:eastAsia="en-US"/>
              </w:rPr>
            </w:pPr>
          </w:p>
        </w:tc>
      </w:tr>
      <w:tr w:rsidR="006F1716" w:rsidRPr="00F56A0E" w14:paraId="3CAA1495" w14:textId="77777777" w:rsidTr="00F15581">
        <w:trPr>
          <w:trHeight w:val="812"/>
        </w:trPr>
        <w:tc>
          <w:tcPr>
            <w:tcW w:w="488" w:type="dxa"/>
          </w:tcPr>
          <w:p w14:paraId="44629068"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6</w:t>
            </w:r>
          </w:p>
        </w:tc>
        <w:tc>
          <w:tcPr>
            <w:tcW w:w="1701" w:type="dxa"/>
          </w:tcPr>
          <w:p w14:paraId="144ACC83" w14:textId="77777777" w:rsidR="006F1716" w:rsidRPr="00F56A0E" w:rsidRDefault="006F1716" w:rsidP="00D076A8">
            <w:pPr>
              <w:spacing w:before="20" w:after="20"/>
              <w:rPr>
                <w:rFonts w:eastAsia="Times New Roman"/>
                <w:b/>
                <w:bCs/>
                <w:lang w:val="fr-FR"/>
              </w:rPr>
            </w:pPr>
            <w:r w:rsidRPr="00F56A0E">
              <w:rPr>
                <w:b/>
                <w:lang w:val="fr-FR"/>
              </w:rPr>
              <w:t>Gestion des déchets</w:t>
            </w:r>
          </w:p>
        </w:tc>
        <w:tc>
          <w:tcPr>
            <w:tcW w:w="7371" w:type="dxa"/>
          </w:tcPr>
          <w:p w14:paraId="14947231" w14:textId="77777777" w:rsidR="006F1716" w:rsidRPr="00F56A0E" w:rsidRDefault="006F1716" w:rsidP="00D076A8">
            <w:pPr>
              <w:widowControl w:val="0"/>
              <w:spacing w:before="20" w:after="20"/>
              <w:rPr>
                <w:rFonts w:eastAsia="Times New Roman"/>
                <w:snapToGrid w:val="0"/>
                <w:lang w:val="fr-FR"/>
              </w:rPr>
            </w:pPr>
            <w:r w:rsidRPr="00F56A0E">
              <w:rPr>
                <w:snapToGrid w:val="0"/>
                <w:lang w:val="fr-FR"/>
              </w:rPr>
              <w:t>Néant</w:t>
            </w:r>
          </w:p>
          <w:p w14:paraId="1DED88E9" w14:textId="77777777" w:rsidR="006F1716" w:rsidRPr="00F56A0E" w:rsidRDefault="006F1716" w:rsidP="00D076A8">
            <w:pPr>
              <w:widowControl w:val="0"/>
              <w:spacing w:before="20" w:after="20"/>
              <w:rPr>
                <w:rFonts w:eastAsia="Times New Roman"/>
                <w:snapToGrid w:val="0"/>
                <w:lang w:val="fr-FR" w:eastAsia="en-US"/>
              </w:rPr>
            </w:pPr>
          </w:p>
        </w:tc>
      </w:tr>
      <w:tr w:rsidR="006F1716" w:rsidRPr="00F56A0E" w14:paraId="4A3C2539" w14:textId="77777777" w:rsidTr="00F15581">
        <w:tc>
          <w:tcPr>
            <w:tcW w:w="488" w:type="dxa"/>
          </w:tcPr>
          <w:p w14:paraId="63E46BF9" w14:textId="77777777" w:rsidR="006F1716" w:rsidRPr="00F56A0E" w:rsidRDefault="006F1716" w:rsidP="00D076A8">
            <w:pPr>
              <w:widowControl w:val="0"/>
              <w:spacing w:before="20" w:after="20"/>
              <w:rPr>
                <w:rFonts w:eastAsia="Times New Roman"/>
                <w:b/>
                <w:bCs/>
                <w:snapToGrid w:val="0"/>
                <w:lang w:val="fr-FR"/>
              </w:rPr>
            </w:pPr>
            <w:r w:rsidRPr="00F56A0E">
              <w:rPr>
                <w:b/>
                <w:snapToGrid w:val="0"/>
                <w:lang w:val="fr-FR"/>
              </w:rPr>
              <w:t>7</w:t>
            </w:r>
          </w:p>
        </w:tc>
        <w:tc>
          <w:tcPr>
            <w:tcW w:w="1701" w:type="dxa"/>
          </w:tcPr>
          <w:p w14:paraId="4D0F131C" w14:textId="77777777" w:rsidR="006F1716" w:rsidRPr="00F56A0E" w:rsidRDefault="006F1716" w:rsidP="00D076A8">
            <w:pPr>
              <w:spacing w:before="20" w:after="20"/>
              <w:ind w:left="288" w:hanging="288"/>
              <w:rPr>
                <w:rFonts w:eastAsia="Times New Roman"/>
                <w:b/>
                <w:snapToGrid w:val="0"/>
                <w:lang w:val="fr-FR"/>
              </w:rPr>
            </w:pPr>
            <w:r w:rsidRPr="00F56A0E">
              <w:rPr>
                <w:b/>
                <w:lang w:val="fr-FR"/>
              </w:rPr>
              <w:t>Autres</w:t>
            </w:r>
          </w:p>
        </w:tc>
        <w:tc>
          <w:tcPr>
            <w:tcW w:w="7371" w:type="dxa"/>
          </w:tcPr>
          <w:p w14:paraId="565D0957" w14:textId="77777777" w:rsidR="006F1716" w:rsidRPr="00F56A0E" w:rsidRDefault="006F1716" w:rsidP="00D076A8">
            <w:pPr>
              <w:tabs>
                <w:tab w:val="left" w:pos="720"/>
                <w:tab w:val="center" w:pos="4320"/>
                <w:tab w:val="right" w:pos="8640"/>
              </w:tabs>
              <w:rPr>
                <w:rFonts w:eastAsia="Times New Roman"/>
                <w:snapToGrid w:val="0"/>
                <w:lang w:val="fr-FR"/>
              </w:rPr>
            </w:pPr>
            <w:r w:rsidRPr="00F56A0E">
              <w:rPr>
                <w:snapToGrid w:val="0"/>
                <w:lang w:val="fr-FR"/>
              </w:rPr>
              <w:t>Néant</w:t>
            </w:r>
          </w:p>
        </w:tc>
      </w:tr>
    </w:tbl>
    <w:p w14:paraId="006CD4A7" w14:textId="77777777" w:rsidR="006F1716" w:rsidRPr="00F56A0E" w:rsidRDefault="006F1716" w:rsidP="006F1716">
      <w:pPr>
        <w:rPr>
          <w:rFonts w:eastAsia="Times New Roman"/>
          <w:lang w:val="fr-FR"/>
        </w:rPr>
      </w:pPr>
      <w:r w:rsidRPr="00F56A0E">
        <w:rPr>
          <w:lang w:val="fr-FR"/>
        </w:rPr>
        <w:br w:type="page"/>
      </w:r>
    </w:p>
    <w:tbl>
      <w:tblPr>
        <w:tblW w:w="9504"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92"/>
        <w:gridCol w:w="4103"/>
        <w:gridCol w:w="109"/>
      </w:tblGrid>
      <w:tr w:rsidR="001323B1" w:rsidRPr="00F56A0E" w14:paraId="3F774D1C" w14:textId="77777777" w:rsidTr="00260ED6">
        <w:trPr>
          <w:cantSplit/>
        </w:trPr>
        <w:tc>
          <w:tcPr>
            <w:tcW w:w="9504" w:type="dxa"/>
            <w:gridSpan w:val="3"/>
            <w:tcBorders>
              <w:top w:val="single" w:sz="6" w:space="0" w:color="808080"/>
              <w:bottom w:val="single" w:sz="6" w:space="0" w:color="808080"/>
            </w:tcBorders>
            <w:shd w:val="pct12" w:color="000000" w:fill="FFFFFF"/>
          </w:tcPr>
          <w:p w14:paraId="2A69FF63" w14:textId="3F584075" w:rsidR="001323B1" w:rsidRPr="00F56A0E" w:rsidRDefault="001323B1" w:rsidP="005E14FB">
            <w:pPr>
              <w:spacing w:before="40" w:after="60"/>
              <w:outlineLvl w:val="0"/>
              <w:rPr>
                <w:rFonts w:eastAsia="Times New Roman"/>
                <w:b/>
                <w:bCs/>
                <w:kern w:val="28"/>
                <w:szCs w:val="29"/>
                <w:lang w:val="fr-FR"/>
              </w:rPr>
            </w:pPr>
            <w:r w:rsidRPr="00F56A0E">
              <w:rPr>
                <w:b/>
                <w:bCs/>
                <w:lang w:val="fr-FR"/>
              </w:rPr>
              <w:t>Annexe 3 - Coordonnées des autorités nationales désignées</w:t>
            </w:r>
            <w:r w:rsidRPr="00F56A0E">
              <w:rPr>
                <w:lang w:val="fr-FR"/>
              </w:rPr>
              <w:t xml:space="preserve"> </w:t>
            </w:r>
          </w:p>
        </w:tc>
      </w:tr>
      <w:tr w:rsidR="001323B1" w:rsidRPr="00F56A0E" w14:paraId="537136ED" w14:textId="77777777" w:rsidTr="00260ED6">
        <w:tblPrEx>
          <w:tblBorders>
            <w:top w:val="none" w:sz="0" w:space="0" w:color="auto"/>
            <w:left w:val="none" w:sz="0" w:space="0" w:color="auto"/>
            <w:bottom w:val="none" w:sz="0" w:space="0" w:color="auto"/>
            <w:right w:val="none" w:sz="0" w:space="0" w:color="auto"/>
          </w:tblBorders>
        </w:tblPrEx>
        <w:trPr>
          <w:gridAfter w:val="1"/>
          <w:wAfter w:w="109" w:type="dxa"/>
          <w:cantSplit/>
        </w:trPr>
        <w:tc>
          <w:tcPr>
            <w:tcW w:w="9395" w:type="dxa"/>
            <w:gridSpan w:val="2"/>
            <w:tcBorders>
              <w:top w:val="single" w:sz="6" w:space="0" w:color="auto"/>
              <w:left w:val="single" w:sz="6" w:space="0" w:color="auto"/>
              <w:bottom w:val="single" w:sz="6" w:space="0" w:color="auto"/>
              <w:right w:val="single" w:sz="6" w:space="0" w:color="auto"/>
            </w:tcBorders>
          </w:tcPr>
          <w:p w14:paraId="5ED60456" w14:textId="77777777" w:rsidR="001323B1" w:rsidRPr="00F56A0E" w:rsidRDefault="001323B1" w:rsidP="005E14FB">
            <w:pPr>
              <w:widowControl w:val="0"/>
              <w:spacing w:before="80"/>
              <w:rPr>
                <w:rFonts w:eastAsia="Times New Roman"/>
                <w:b/>
                <w:bCs/>
                <w:i/>
                <w:snapToGrid w:val="0"/>
                <w:lang w:val="fr-FR"/>
              </w:rPr>
            </w:pPr>
            <w:r w:rsidRPr="00F56A0E">
              <w:rPr>
                <w:b/>
                <w:bCs/>
                <w:i/>
                <w:iCs/>
                <w:lang w:val="fr-FR"/>
              </w:rPr>
              <w:t>CANADA</w:t>
            </w:r>
          </w:p>
        </w:tc>
      </w:tr>
      <w:tr w:rsidR="001323B1" w:rsidRPr="00F56A0E" w14:paraId="08B668F6" w14:textId="77777777" w:rsidTr="00260ED6">
        <w:tblPrEx>
          <w:tblBorders>
            <w:top w:val="none" w:sz="0" w:space="0" w:color="auto"/>
            <w:left w:val="none" w:sz="0" w:space="0" w:color="auto"/>
            <w:bottom w:val="none" w:sz="0" w:space="0" w:color="auto"/>
            <w:right w:val="none" w:sz="0" w:space="0" w:color="auto"/>
          </w:tblBorders>
        </w:tblPrEx>
        <w:trPr>
          <w:gridAfter w:val="1"/>
          <w:wAfter w:w="109" w:type="dxa"/>
          <w:cantSplit/>
        </w:trPr>
        <w:tc>
          <w:tcPr>
            <w:tcW w:w="5292" w:type="dxa"/>
            <w:tcBorders>
              <w:right w:val="single" w:sz="4" w:space="0" w:color="auto"/>
            </w:tcBorders>
          </w:tcPr>
          <w:p w14:paraId="3954FA37" w14:textId="01EE2253" w:rsidR="001323B1" w:rsidRPr="00F56A0E" w:rsidRDefault="001323B1" w:rsidP="005E14FB">
            <w:pPr>
              <w:rPr>
                <w:rFonts w:eastAsia="Times New Roman"/>
                <w:lang w:val="fr-FR"/>
              </w:rPr>
            </w:pPr>
            <w:r w:rsidRPr="00F56A0E">
              <w:rPr>
                <w:lang w:val="fr-FR"/>
              </w:rPr>
              <w:t>(Extrait du site Web de la Convention de Rotterdam</w:t>
            </w:r>
            <w:r w:rsidR="00157D75" w:rsidRPr="00F56A0E">
              <w:rPr>
                <w:lang w:val="fr-FR"/>
              </w:rPr>
              <w:t> :</w:t>
            </w:r>
            <w:r w:rsidRPr="00F56A0E">
              <w:rPr>
                <w:lang w:val="fr-FR"/>
              </w:rPr>
              <w:t xml:space="preserve"> 13</w:t>
            </w:r>
            <w:r w:rsidR="00EC031B" w:rsidRPr="00F56A0E">
              <w:rPr>
                <w:lang w:val="fr-FR"/>
              </w:rPr>
              <w:t> </w:t>
            </w:r>
            <w:r w:rsidRPr="00F56A0E">
              <w:rPr>
                <w:lang w:val="fr-FR"/>
              </w:rPr>
              <w:t>octobre 2021)</w:t>
            </w:r>
          </w:p>
          <w:p w14:paraId="0C0FDAD6" w14:textId="77777777" w:rsidR="001323B1" w:rsidRPr="00F56A0E" w:rsidRDefault="001323B1" w:rsidP="005E14FB">
            <w:pPr>
              <w:rPr>
                <w:rFonts w:eastAsia="Times New Roman"/>
                <w:lang w:val="fr-FR" w:eastAsia="en-CA"/>
              </w:rPr>
            </w:pPr>
          </w:p>
          <w:p w14:paraId="574B08D3" w14:textId="1ABA1D58" w:rsidR="001323B1" w:rsidRPr="00F56A0E" w:rsidRDefault="001323B1" w:rsidP="005E14FB">
            <w:pPr>
              <w:rPr>
                <w:rFonts w:eastAsia="Times New Roman"/>
                <w:lang w:val="fr-FR"/>
              </w:rPr>
            </w:pPr>
            <w:r w:rsidRPr="00F56A0E">
              <w:rPr>
                <w:lang w:val="fr-FR"/>
              </w:rPr>
              <w:t>Rôle</w:t>
            </w:r>
            <w:r w:rsidR="00157D75" w:rsidRPr="00F56A0E">
              <w:rPr>
                <w:lang w:val="fr-FR"/>
              </w:rPr>
              <w:t> :</w:t>
            </w:r>
            <w:r w:rsidRPr="00F56A0E">
              <w:rPr>
                <w:lang w:val="fr-FR"/>
              </w:rPr>
              <w:t xml:space="preserve"> Autorité nationale désignée P* </w:t>
            </w:r>
          </w:p>
          <w:p w14:paraId="749E729F" w14:textId="5170A6B5" w:rsidR="001323B1" w:rsidRPr="00F56A0E" w:rsidRDefault="001323B1" w:rsidP="005E14FB">
            <w:pPr>
              <w:rPr>
                <w:rFonts w:eastAsia="Times New Roman"/>
                <w:lang w:val="fr-FR"/>
              </w:rPr>
            </w:pPr>
            <w:r w:rsidRPr="00F56A0E">
              <w:rPr>
                <w:lang w:val="fr-FR"/>
              </w:rPr>
              <w:t>Nom</w:t>
            </w:r>
            <w:r w:rsidR="00157D75" w:rsidRPr="00F56A0E">
              <w:rPr>
                <w:lang w:val="fr-FR"/>
              </w:rPr>
              <w:t> :</w:t>
            </w:r>
            <w:r w:rsidRPr="00F56A0E">
              <w:rPr>
                <w:lang w:val="fr-FR"/>
              </w:rPr>
              <w:t xml:space="preserve"> M. Jason Flint </w:t>
            </w:r>
          </w:p>
          <w:p w14:paraId="7DA03425" w14:textId="5D9F63E4" w:rsidR="001323B1" w:rsidRPr="00F56A0E" w:rsidRDefault="001323B1" w:rsidP="005E14FB">
            <w:pPr>
              <w:rPr>
                <w:rFonts w:eastAsia="Times New Roman"/>
                <w:lang w:val="fr-FR"/>
              </w:rPr>
            </w:pPr>
            <w:r w:rsidRPr="00F56A0E">
              <w:rPr>
                <w:lang w:val="fr-FR"/>
              </w:rPr>
              <w:t>Fonction</w:t>
            </w:r>
            <w:r w:rsidR="00157D75" w:rsidRPr="00F56A0E">
              <w:rPr>
                <w:lang w:val="fr-FR"/>
              </w:rPr>
              <w:t> :</w:t>
            </w:r>
            <w:r w:rsidRPr="00F56A0E">
              <w:rPr>
                <w:lang w:val="fr-FR"/>
              </w:rPr>
              <w:t xml:space="preserve"> Directeur général </w:t>
            </w:r>
          </w:p>
          <w:p w14:paraId="05FD6F59" w14:textId="00FD6193" w:rsidR="001323B1" w:rsidRPr="00F56A0E" w:rsidRDefault="001323B1" w:rsidP="005E14FB">
            <w:pPr>
              <w:rPr>
                <w:rFonts w:eastAsia="Times New Roman"/>
                <w:lang w:val="fr-FR"/>
              </w:rPr>
            </w:pPr>
            <w:r w:rsidRPr="00F56A0E">
              <w:rPr>
                <w:lang w:val="fr-FR"/>
              </w:rPr>
              <w:t>Service</w:t>
            </w:r>
            <w:r w:rsidR="00157D75" w:rsidRPr="00F56A0E">
              <w:rPr>
                <w:lang w:val="fr-FR"/>
              </w:rPr>
              <w:t> :</w:t>
            </w:r>
            <w:r w:rsidRPr="00F56A0E">
              <w:rPr>
                <w:lang w:val="fr-FR"/>
              </w:rPr>
              <w:t xml:space="preserve"> Direction des politiques et des opérations </w:t>
            </w:r>
          </w:p>
          <w:p w14:paraId="66A55F34" w14:textId="52D9DCB9" w:rsidR="001323B1" w:rsidRPr="00F56A0E" w:rsidRDefault="001323B1" w:rsidP="005E14FB">
            <w:pPr>
              <w:rPr>
                <w:rFonts w:eastAsia="Times New Roman"/>
                <w:lang w:val="fr-FR"/>
              </w:rPr>
            </w:pPr>
            <w:r w:rsidRPr="00F56A0E">
              <w:rPr>
                <w:lang w:val="fr-FR"/>
              </w:rPr>
              <w:t>Institution</w:t>
            </w:r>
            <w:r w:rsidR="00157D75" w:rsidRPr="00F56A0E">
              <w:rPr>
                <w:lang w:val="fr-FR"/>
              </w:rPr>
              <w:t> :</w:t>
            </w:r>
            <w:r w:rsidRPr="00F56A0E">
              <w:rPr>
                <w:lang w:val="fr-FR"/>
              </w:rPr>
              <w:t xml:space="preserve"> Agence de réglementation de la lutte antiparasitaire, Santé Canada, </w:t>
            </w:r>
          </w:p>
          <w:p w14:paraId="71423EBB" w14:textId="09DF3110" w:rsidR="001323B1" w:rsidRPr="00F56A0E" w:rsidRDefault="001323B1" w:rsidP="005E14FB">
            <w:pPr>
              <w:rPr>
                <w:rFonts w:eastAsia="Times New Roman"/>
                <w:lang w:val="fr-FR"/>
              </w:rPr>
            </w:pPr>
            <w:r w:rsidRPr="00F56A0E">
              <w:rPr>
                <w:lang w:val="fr-FR"/>
              </w:rPr>
              <w:t>Adresse postale</w:t>
            </w:r>
            <w:r w:rsidR="00157D75" w:rsidRPr="00F56A0E">
              <w:rPr>
                <w:lang w:val="fr-FR"/>
              </w:rPr>
              <w:t> :</w:t>
            </w:r>
            <w:r w:rsidRPr="00F56A0E">
              <w:rPr>
                <w:lang w:val="fr-FR"/>
              </w:rPr>
              <w:t xml:space="preserve"> 2720 Riverside Drive K1A 0K9 Ottawa Ontario Canada </w:t>
            </w:r>
          </w:p>
          <w:p w14:paraId="156D7AE8" w14:textId="77777777" w:rsidR="001323B1" w:rsidRPr="00F56A0E" w:rsidRDefault="001323B1" w:rsidP="005E14FB">
            <w:pPr>
              <w:rPr>
                <w:rFonts w:eastAsia="Times New Roman"/>
                <w:b/>
                <w:szCs w:val="10"/>
                <w:lang w:val="fr-FR" w:eastAsia="en-US"/>
              </w:rPr>
            </w:pPr>
          </w:p>
        </w:tc>
        <w:tc>
          <w:tcPr>
            <w:tcW w:w="4103" w:type="dxa"/>
            <w:tcBorders>
              <w:left w:val="single" w:sz="4" w:space="0" w:color="auto"/>
            </w:tcBorders>
          </w:tcPr>
          <w:p w14:paraId="2410CA35" w14:textId="77777777" w:rsidR="001323B1" w:rsidRPr="00F56A0E" w:rsidRDefault="001323B1" w:rsidP="005E14FB">
            <w:pPr>
              <w:rPr>
                <w:rFonts w:eastAsia="Times New Roman"/>
                <w:lang w:val="fr-FR" w:eastAsia="en-CA"/>
              </w:rPr>
            </w:pPr>
          </w:p>
          <w:p w14:paraId="332A2860" w14:textId="77777777" w:rsidR="001323B1" w:rsidRPr="00F56A0E" w:rsidRDefault="001323B1" w:rsidP="005E14FB">
            <w:pPr>
              <w:rPr>
                <w:rFonts w:eastAsia="Times New Roman"/>
                <w:lang w:val="fr-FR" w:eastAsia="en-CA"/>
              </w:rPr>
            </w:pPr>
          </w:p>
          <w:p w14:paraId="735BAB89" w14:textId="4688D5F7" w:rsidR="001323B1" w:rsidRPr="00F56A0E" w:rsidRDefault="001323B1" w:rsidP="005E14FB">
            <w:pPr>
              <w:rPr>
                <w:rFonts w:eastAsia="Times New Roman"/>
                <w:lang w:val="fr-FR"/>
              </w:rPr>
            </w:pPr>
            <w:r w:rsidRPr="00F56A0E">
              <w:rPr>
                <w:lang w:val="fr-FR"/>
              </w:rPr>
              <w:t>Tél.</w:t>
            </w:r>
            <w:r w:rsidR="00157D75" w:rsidRPr="00F56A0E">
              <w:rPr>
                <w:lang w:val="fr-FR"/>
              </w:rPr>
              <w:t> :</w:t>
            </w:r>
            <w:r w:rsidRPr="00F56A0E">
              <w:rPr>
                <w:lang w:val="fr-FR"/>
              </w:rPr>
              <w:t xml:space="preserve"> +1 613 736 3660 </w:t>
            </w:r>
          </w:p>
          <w:p w14:paraId="1ED09D9C" w14:textId="77777777" w:rsidR="001323B1" w:rsidRPr="00F56A0E" w:rsidRDefault="001323B1" w:rsidP="005E14FB">
            <w:pPr>
              <w:rPr>
                <w:rFonts w:eastAsia="Times New Roman"/>
                <w:lang w:val="fr-FR" w:eastAsia="en-CA"/>
              </w:rPr>
            </w:pPr>
          </w:p>
          <w:p w14:paraId="443B2072" w14:textId="34457E25" w:rsidR="001323B1" w:rsidRPr="00F56A0E" w:rsidRDefault="001323B1" w:rsidP="005E14FB">
            <w:pPr>
              <w:rPr>
                <w:rFonts w:eastAsia="Times New Roman"/>
                <w:lang w:val="fr-FR"/>
              </w:rPr>
            </w:pPr>
            <w:r w:rsidRPr="00F56A0E">
              <w:rPr>
                <w:lang w:val="fr-FR"/>
              </w:rPr>
              <w:t>Fax</w:t>
            </w:r>
            <w:r w:rsidR="00157D75" w:rsidRPr="00F56A0E">
              <w:rPr>
                <w:lang w:val="fr-FR"/>
              </w:rPr>
              <w:t> :</w:t>
            </w:r>
            <w:r w:rsidRPr="00F56A0E">
              <w:rPr>
                <w:lang w:val="fr-FR"/>
              </w:rPr>
              <w:t xml:space="preserve"> +1 613 736 3695 </w:t>
            </w:r>
          </w:p>
          <w:p w14:paraId="2B5886CA" w14:textId="77777777" w:rsidR="001323B1" w:rsidRPr="00F56A0E" w:rsidRDefault="001323B1" w:rsidP="005E14FB">
            <w:pPr>
              <w:rPr>
                <w:rFonts w:eastAsia="Times New Roman"/>
                <w:lang w:val="fr-FR" w:eastAsia="en-CA"/>
              </w:rPr>
            </w:pPr>
          </w:p>
          <w:p w14:paraId="398A4644" w14:textId="037A5BF1" w:rsidR="001323B1" w:rsidRPr="00F56A0E" w:rsidRDefault="001323B1" w:rsidP="008C3121">
            <w:pPr>
              <w:rPr>
                <w:rFonts w:eastAsia="Times New Roman"/>
                <w:lang w:val="fr-FR"/>
              </w:rPr>
            </w:pPr>
            <w:r w:rsidRPr="00F56A0E">
              <w:rPr>
                <w:lang w:val="fr-FR"/>
              </w:rPr>
              <w:t>Courriel</w:t>
            </w:r>
            <w:r w:rsidR="00157D75" w:rsidRPr="00F56A0E">
              <w:rPr>
                <w:lang w:val="fr-FR"/>
              </w:rPr>
              <w:t> :</w:t>
            </w:r>
            <w:r w:rsidRPr="00F56A0E">
              <w:rPr>
                <w:lang w:val="fr-FR"/>
              </w:rPr>
              <w:t xml:space="preserve"> jason.flint@hc-sc.gc.ca </w:t>
            </w:r>
          </w:p>
        </w:tc>
      </w:tr>
    </w:tbl>
    <w:p w14:paraId="23FDA86E" w14:textId="77777777" w:rsidR="001323B1" w:rsidRPr="00F56A0E" w:rsidRDefault="001323B1" w:rsidP="001323B1">
      <w:pPr>
        <w:rPr>
          <w:rFonts w:eastAsia="Times New Roman"/>
          <w:lang w:val="fr-FR" w:eastAsia="en-US"/>
        </w:rPr>
      </w:pPr>
    </w:p>
    <w:tbl>
      <w:tblPr>
        <w:tblW w:w="0" w:type="auto"/>
        <w:tblInd w:w="108" w:type="dxa"/>
        <w:tblLayout w:type="fixed"/>
        <w:tblLook w:val="0000" w:firstRow="0" w:lastRow="0" w:firstColumn="0" w:lastColumn="0" w:noHBand="0" w:noVBand="0"/>
      </w:tblPr>
      <w:tblGrid>
        <w:gridCol w:w="5352"/>
        <w:gridCol w:w="4043"/>
      </w:tblGrid>
      <w:tr w:rsidR="001323B1" w:rsidRPr="00F56A0E" w14:paraId="2AF09DB2" w14:textId="77777777" w:rsidTr="005E14FB">
        <w:trPr>
          <w:cantSplit/>
        </w:trPr>
        <w:tc>
          <w:tcPr>
            <w:tcW w:w="9395" w:type="dxa"/>
            <w:gridSpan w:val="2"/>
            <w:tcBorders>
              <w:top w:val="single" w:sz="6" w:space="0" w:color="auto"/>
              <w:left w:val="single" w:sz="6" w:space="0" w:color="auto"/>
              <w:bottom w:val="single" w:sz="6" w:space="0" w:color="auto"/>
              <w:right w:val="single" w:sz="6" w:space="0" w:color="auto"/>
            </w:tcBorders>
          </w:tcPr>
          <w:p w14:paraId="55334526" w14:textId="31E5F8B5" w:rsidR="001323B1" w:rsidRPr="00F56A0E" w:rsidRDefault="001323B1" w:rsidP="005E14FB">
            <w:pPr>
              <w:widowControl w:val="0"/>
              <w:spacing w:before="80"/>
              <w:rPr>
                <w:rFonts w:eastAsia="Times New Roman"/>
                <w:b/>
                <w:bCs/>
                <w:i/>
                <w:snapToGrid w:val="0"/>
                <w:lang w:val="fr-FR"/>
              </w:rPr>
            </w:pPr>
            <w:r w:rsidRPr="00F56A0E">
              <w:rPr>
                <w:b/>
                <w:bCs/>
                <w:i/>
                <w:iCs/>
                <w:lang w:val="fr-FR"/>
              </w:rPr>
              <w:t>M</w:t>
            </w:r>
            <w:r w:rsidR="003F19C2" w:rsidRPr="00F56A0E">
              <w:rPr>
                <w:b/>
                <w:bCs/>
                <w:i/>
                <w:iCs/>
                <w:lang w:val="fr-FR"/>
              </w:rPr>
              <w:t>OZAMBIQUE</w:t>
            </w:r>
          </w:p>
        </w:tc>
      </w:tr>
      <w:tr w:rsidR="001323B1" w:rsidRPr="00F56A0E" w14:paraId="241CEAAC" w14:textId="77777777" w:rsidTr="005E14FB">
        <w:trPr>
          <w:cantSplit/>
        </w:trPr>
        <w:tc>
          <w:tcPr>
            <w:tcW w:w="5352" w:type="dxa"/>
            <w:tcBorders>
              <w:right w:val="single" w:sz="4" w:space="0" w:color="auto"/>
            </w:tcBorders>
          </w:tcPr>
          <w:p w14:paraId="6BDE75CD" w14:textId="60B7BA65" w:rsidR="001323B1" w:rsidRPr="00F56A0E" w:rsidRDefault="001323B1" w:rsidP="005E14FB">
            <w:pPr>
              <w:rPr>
                <w:rFonts w:eastAsia="Times New Roman"/>
                <w:lang w:val="fr-FR"/>
              </w:rPr>
            </w:pPr>
            <w:r w:rsidRPr="00F56A0E">
              <w:rPr>
                <w:lang w:val="fr-FR"/>
              </w:rPr>
              <w:t>(Extrait du site Web de la Convention de Rotterdam</w:t>
            </w:r>
            <w:r w:rsidR="00157D75" w:rsidRPr="00F56A0E">
              <w:rPr>
                <w:lang w:val="fr-FR"/>
              </w:rPr>
              <w:t> :</w:t>
            </w:r>
            <w:r w:rsidRPr="00F56A0E">
              <w:rPr>
                <w:lang w:val="fr-FR"/>
              </w:rPr>
              <w:t xml:space="preserve"> 13</w:t>
            </w:r>
            <w:r w:rsidR="003F19C2" w:rsidRPr="00F56A0E">
              <w:rPr>
                <w:lang w:val="fr-FR"/>
              </w:rPr>
              <w:t> </w:t>
            </w:r>
            <w:r w:rsidRPr="00F56A0E">
              <w:rPr>
                <w:lang w:val="fr-FR"/>
              </w:rPr>
              <w:t>octobre 2021)</w:t>
            </w:r>
          </w:p>
          <w:p w14:paraId="505A25E5" w14:textId="77777777" w:rsidR="001323B1" w:rsidRPr="00F56A0E" w:rsidRDefault="001323B1" w:rsidP="005E14FB">
            <w:pPr>
              <w:rPr>
                <w:rFonts w:eastAsia="Times New Roman"/>
                <w:i/>
                <w:lang w:val="fr-FR" w:eastAsia="en-US"/>
              </w:rPr>
            </w:pPr>
          </w:p>
          <w:p w14:paraId="2D6C95BD" w14:textId="2F9AFE9D" w:rsidR="001323B1" w:rsidRPr="00F56A0E" w:rsidRDefault="001323B1" w:rsidP="005E14FB">
            <w:pPr>
              <w:rPr>
                <w:rFonts w:eastAsia="Times New Roman"/>
                <w:lang w:val="fr-FR"/>
              </w:rPr>
            </w:pPr>
            <w:r w:rsidRPr="00F56A0E">
              <w:rPr>
                <w:lang w:val="fr-FR"/>
              </w:rPr>
              <w:t>Rôle</w:t>
            </w:r>
            <w:r w:rsidR="00157D75" w:rsidRPr="00F56A0E">
              <w:rPr>
                <w:lang w:val="fr-FR"/>
              </w:rPr>
              <w:t> :</w:t>
            </w:r>
            <w:r w:rsidRPr="00F56A0E">
              <w:rPr>
                <w:lang w:val="fr-FR"/>
              </w:rPr>
              <w:t xml:space="preserve"> Autorité nationale désignée P* </w:t>
            </w:r>
          </w:p>
          <w:p w14:paraId="39B93B71" w14:textId="2C0B0600" w:rsidR="001323B1" w:rsidRPr="00F56A0E" w:rsidRDefault="001323B1" w:rsidP="005E14FB">
            <w:pPr>
              <w:rPr>
                <w:rFonts w:eastAsia="Times New Roman"/>
                <w:lang w:val="fr-FR"/>
              </w:rPr>
            </w:pPr>
            <w:r w:rsidRPr="00F56A0E">
              <w:rPr>
                <w:lang w:val="fr-FR"/>
              </w:rPr>
              <w:t>Nom</w:t>
            </w:r>
            <w:r w:rsidR="00157D75" w:rsidRPr="00F56A0E">
              <w:rPr>
                <w:lang w:val="fr-FR"/>
              </w:rPr>
              <w:t> :</w:t>
            </w:r>
            <w:r w:rsidRPr="00F56A0E">
              <w:rPr>
                <w:lang w:val="fr-FR"/>
              </w:rPr>
              <w:t xml:space="preserve"> M. Khalid Cassam </w:t>
            </w:r>
          </w:p>
          <w:p w14:paraId="122A3858" w14:textId="05A2BD22" w:rsidR="001323B1" w:rsidRPr="00F56A0E" w:rsidRDefault="001323B1" w:rsidP="005E14FB">
            <w:pPr>
              <w:rPr>
                <w:rFonts w:eastAsia="Times New Roman"/>
                <w:lang w:val="fr-FR"/>
              </w:rPr>
            </w:pPr>
            <w:r w:rsidRPr="00F56A0E">
              <w:rPr>
                <w:lang w:val="fr-FR"/>
              </w:rPr>
              <w:t>Service</w:t>
            </w:r>
            <w:r w:rsidR="00157D75" w:rsidRPr="00F56A0E">
              <w:rPr>
                <w:lang w:val="fr-FR"/>
              </w:rPr>
              <w:t> :</w:t>
            </w:r>
            <w:r w:rsidRPr="00F56A0E">
              <w:rPr>
                <w:lang w:val="fr-FR"/>
              </w:rPr>
              <w:t xml:space="preserve"> Service de la protection phytosanitaire </w:t>
            </w:r>
          </w:p>
          <w:p w14:paraId="78C036B9" w14:textId="273A9B8A" w:rsidR="001323B1" w:rsidRPr="00F56A0E" w:rsidRDefault="001323B1" w:rsidP="005E14FB">
            <w:pPr>
              <w:rPr>
                <w:rFonts w:eastAsia="Times New Roman"/>
                <w:lang w:val="fr-FR"/>
              </w:rPr>
            </w:pPr>
            <w:r w:rsidRPr="00F56A0E">
              <w:rPr>
                <w:lang w:val="fr-FR"/>
              </w:rPr>
              <w:t>Institution</w:t>
            </w:r>
            <w:r w:rsidR="00157D75" w:rsidRPr="00F56A0E">
              <w:rPr>
                <w:lang w:val="fr-FR"/>
              </w:rPr>
              <w:t> :</w:t>
            </w:r>
            <w:r w:rsidRPr="00F56A0E">
              <w:rPr>
                <w:lang w:val="fr-FR"/>
              </w:rPr>
              <w:t xml:space="preserve"> Ministère de l</w:t>
            </w:r>
            <w:r w:rsidR="00870D0E" w:rsidRPr="00F56A0E">
              <w:rPr>
                <w:lang w:val="fr-FR"/>
              </w:rPr>
              <w:t>’</w:t>
            </w:r>
            <w:r w:rsidRPr="00F56A0E">
              <w:rPr>
                <w:lang w:val="fr-FR"/>
              </w:rPr>
              <w:t xml:space="preserve">agriculture et du développement rural </w:t>
            </w:r>
          </w:p>
          <w:p w14:paraId="01003E3D" w14:textId="22AF903D" w:rsidR="001323B1" w:rsidRPr="00F56A0E" w:rsidRDefault="001323B1" w:rsidP="005E14FB">
            <w:pPr>
              <w:rPr>
                <w:lang w:val="fr-FR"/>
              </w:rPr>
            </w:pPr>
            <w:r w:rsidRPr="00F56A0E">
              <w:rPr>
                <w:lang w:val="fr-FR"/>
              </w:rPr>
              <w:t>Adresse postale</w:t>
            </w:r>
            <w:r w:rsidR="00157D75" w:rsidRPr="00F56A0E">
              <w:rPr>
                <w:lang w:val="fr-FR"/>
              </w:rPr>
              <w:t> :</w:t>
            </w:r>
            <w:r w:rsidRPr="00F56A0E">
              <w:rPr>
                <w:lang w:val="fr-FR"/>
              </w:rPr>
              <w:t xml:space="preserve"> c/o INIA P.O. Box 3658 Maputo Mozambique </w:t>
            </w:r>
          </w:p>
          <w:p w14:paraId="01605459" w14:textId="77777777" w:rsidR="001323B1" w:rsidRPr="00F56A0E" w:rsidRDefault="001323B1" w:rsidP="005E14FB">
            <w:pPr>
              <w:rPr>
                <w:i/>
                <w:lang w:val="fr-FR"/>
              </w:rPr>
            </w:pPr>
          </w:p>
        </w:tc>
        <w:tc>
          <w:tcPr>
            <w:tcW w:w="4043" w:type="dxa"/>
            <w:tcBorders>
              <w:left w:val="single" w:sz="4" w:space="0" w:color="auto"/>
            </w:tcBorders>
          </w:tcPr>
          <w:p w14:paraId="679097EC" w14:textId="77777777" w:rsidR="001323B1" w:rsidRPr="00F56A0E" w:rsidRDefault="001323B1" w:rsidP="005E14FB">
            <w:pPr>
              <w:rPr>
                <w:lang w:val="fr-FR"/>
              </w:rPr>
            </w:pPr>
          </w:p>
          <w:p w14:paraId="312129EA" w14:textId="77777777" w:rsidR="001323B1" w:rsidRPr="00F56A0E" w:rsidRDefault="001323B1" w:rsidP="005E14FB">
            <w:pPr>
              <w:rPr>
                <w:lang w:val="fr-FR"/>
              </w:rPr>
            </w:pPr>
          </w:p>
          <w:p w14:paraId="6051B3D2" w14:textId="7E9B6B08" w:rsidR="001323B1" w:rsidRPr="00F56A0E" w:rsidRDefault="001323B1" w:rsidP="005E14FB">
            <w:pPr>
              <w:rPr>
                <w:rFonts w:eastAsia="Times New Roman"/>
                <w:lang w:val="fr-FR"/>
              </w:rPr>
            </w:pPr>
            <w:r w:rsidRPr="00F56A0E">
              <w:rPr>
                <w:lang w:val="fr-FR"/>
              </w:rPr>
              <w:t>Tél.</w:t>
            </w:r>
            <w:r w:rsidR="00157D75" w:rsidRPr="00F56A0E">
              <w:rPr>
                <w:lang w:val="fr-FR"/>
              </w:rPr>
              <w:t> :</w:t>
            </w:r>
            <w:r w:rsidRPr="00F56A0E">
              <w:rPr>
                <w:lang w:val="fr-FR"/>
              </w:rPr>
              <w:t xml:space="preserve"> +258 1 46 05 91 </w:t>
            </w:r>
          </w:p>
          <w:p w14:paraId="396C79DF" w14:textId="77777777" w:rsidR="001323B1" w:rsidRPr="00F56A0E" w:rsidRDefault="001323B1" w:rsidP="005E14FB">
            <w:pPr>
              <w:rPr>
                <w:rFonts w:eastAsia="Times New Roman"/>
                <w:lang w:val="fr-FR" w:eastAsia="en-CA"/>
              </w:rPr>
            </w:pPr>
          </w:p>
          <w:p w14:paraId="118C4026" w14:textId="048F9C68" w:rsidR="001323B1" w:rsidRPr="00F56A0E" w:rsidRDefault="001323B1" w:rsidP="005E14FB">
            <w:pPr>
              <w:rPr>
                <w:rFonts w:eastAsia="Times New Roman"/>
                <w:lang w:val="fr-FR"/>
              </w:rPr>
            </w:pPr>
            <w:r w:rsidRPr="00F56A0E">
              <w:rPr>
                <w:lang w:val="fr-FR"/>
              </w:rPr>
              <w:t>Fax</w:t>
            </w:r>
            <w:r w:rsidR="00157D75" w:rsidRPr="00F56A0E">
              <w:rPr>
                <w:lang w:val="fr-FR"/>
              </w:rPr>
              <w:t> :</w:t>
            </w:r>
            <w:r w:rsidRPr="00F56A0E">
              <w:rPr>
                <w:lang w:val="fr-FR"/>
              </w:rPr>
              <w:t xml:space="preserve"> +258 1 46 01 95 </w:t>
            </w:r>
          </w:p>
          <w:p w14:paraId="4C85A701" w14:textId="77777777" w:rsidR="001323B1" w:rsidRPr="00F56A0E" w:rsidRDefault="001323B1" w:rsidP="005E14FB">
            <w:pPr>
              <w:rPr>
                <w:rFonts w:eastAsia="Times New Roman"/>
                <w:lang w:val="fr-FR" w:eastAsia="en-CA"/>
              </w:rPr>
            </w:pPr>
          </w:p>
          <w:p w14:paraId="3E64A9DB" w14:textId="2748C954" w:rsidR="001323B1" w:rsidRPr="00F56A0E" w:rsidRDefault="001323B1" w:rsidP="005E14FB">
            <w:pPr>
              <w:rPr>
                <w:rFonts w:eastAsia="Times New Roman"/>
                <w:lang w:val="fr-FR"/>
              </w:rPr>
            </w:pPr>
            <w:r w:rsidRPr="00F56A0E">
              <w:rPr>
                <w:lang w:val="fr-FR"/>
              </w:rPr>
              <w:t>Courriel</w:t>
            </w:r>
            <w:r w:rsidR="00157D75" w:rsidRPr="00F56A0E">
              <w:rPr>
                <w:lang w:val="fr-FR"/>
              </w:rPr>
              <w:t> :</w:t>
            </w:r>
            <w:r w:rsidRPr="00F56A0E">
              <w:rPr>
                <w:lang w:val="fr-FR"/>
              </w:rPr>
              <w:t xml:space="preserve"> khalidcassam@yahoo.com.br </w:t>
            </w:r>
          </w:p>
          <w:p w14:paraId="36D4FDE4" w14:textId="77777777" w:rsidR="001323B1" w:rsidRPr="00F56A0E" w:rsidRDefault="001323B1" w:rsidP="005E14FB">
            <w:pPr>
              <w:rPr>
                <w:rFonts w:eastAsia="Times New Roman"/>
                <w:lang w:val="fr-FR" w:eastAsia="en-US"/>
              </w:rPr>
            </w:pPr>
          </w:p>
        </w:tc>
      </w:tr>
    </w:tbl>
    <w:p w14:paraId="04638FF8" w14:textId="77777777" w:rsidR="001323B1" w:rsidRPr="00F56A0E" w:rsidRDefault="001323B1" w:rsidP="001323B1">
      <w:pPr>
        <w:rPr>
          <w:rFonts w:eastAsia="Times New Roman"/>
          <w:lang w:val="fr-FR" w:eastAsia="en-US"/>
        </w:rPr>
      </w:pPr>
    </w:p>
    <w:p w14:paraId="7A96DB81" w14:textId="77777777" w:rsidR="001323B1" w:rsidRPr="00F56A0E" w:rsidRDefault="001323B1" w:rsidP="001323B1">
      <w:pPr>
        <w:autoSpaceDE w:val="0"/>
        <w:autoSpaceDN w:val="0"/>
        <w:adjustRightInd w:val="0"/>
        <w:rPr>
          <w:rFonts w:eastAsia="Times New Roman"/>
          <w:b/>
          <w:lang w:val="fr-FR"/>
        </w:rPr>
      </w:pPr>
      <w:r w:rsidRPr="00F56A0E">
        <w:rPr>
          <w:b/>
          <w:bCs/>
          <w:lang w:val="fr-FR"/>
        </w:rPr>
        <w:t xml:space="preserve">*P </w:t>
      </w:r>
      <w:r w:rsidRPr="00F56A0E">
        <w:rPr>
          <w:lang w:val="fr-FR"/>
        </w:rPr>
        <w:t>Pesticides</w:t>
      </w:r>
    </w:p>
    <w:p w14:paraId="086FEFD5" w14:textId="77777777" w:rsidR="001323B1" w:rsidRPr="00F56A0E" w:rsidRDefault="001323B1" w:rsidP="001323B1">
      <w:pPr>
        <w:tabs>
          <w:tab w:val="left" w:pos="-720"/>
          <w:tab w:val="left" w:pos="0"/>
          <w:tab w:val="left" w:pos="720"/>
        </w:tabs>
        <w:suppressAutoHyphens/>
        <w:rPr>
          <w:rFonts w:eastAsia="Times New Roman"/>
          <w:sz w:val="10"/>
          <w:szCs w:val="10"/>
          <w:lang w:val="fr-FR" w:eastAsia="en-US"/>
        </w:rPr>
      </w:pPr>
      <w:r w:rsidRPr="00F56A0E">
        <w:rPr>
          <w:rFonts w:eastAsia="Times New Roman"/>
          <w:sz w:val="10"/>
          <w:szCs w:val="10"/>
          <w:lang w:val="fr-FR" w:eastAsia="en-US"/>
        </w:rPr>
        <w:br w:type="page"/>
      </w:r>
    </w:p>
    <w:tbl>
      <w:tblPr>
        <w:tblW w:w="9450"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450"/>
      </w:tblGrid>
      <w:tr w:rsidR="001323B1" w:rsidRPr="00F56A0E" w14:paraId="2FED1C0F" w14:textId="77777777" w:rsidTr="005E14FB">
        <w:trPr>
          <w:cantSplit/>
        </w:trPr>
        <w:tc>
          <w:tcPr>
            <w:tcW w:w="9450" w:type="dxa"/>
            <w:shd w:val="pct12" w:color="000000" w:fill="FFFFFF"/>
          </w:tcPr>
          <w:p w14:paraId="49507D8B" w14:textId="58C0C2C8" w:rsidR="001323B1" w:rsidRPr="00F56A0E" w:rsidRDefault="001323B1" w:rsidP="005E14FB">
            <w:pPr>
              <w:spacing w:before="80"/>
              <w:rPr>
                <w:rFonts w:eastAsia="Times New Roman"/>
                <w:b/>
                <w:lang w:val="fr-FR"/>
              </w:rPr>
            </w:pPr>
            <w:r w:rsidRPr="00F56A0E">
              <w:rPr>
                <w:b/>
                <w:bCs/>
                <w:lang w:val="fr-FR"/>
              </w:rPr>
              <w:t>Annexe 4 – Références</w:t>
            </w:r>
            <w:r w:rsidRPr="00F56A0E">
              <w:rPr>
                <w:lang w:val="fr-FR"/>
              </w:rPr>
              <w:t xml:space="preserve"> </w:t>
            </w:r>
          </w:p>
        </w:tc>
      </w:tr>
    </w:tbl>
    <w:p w14:paraId="365A27C4" w14:textId="77777777" w:rsidR="001323B1" w:rsidRPr="00F56A0E" w:rsidRDefault="001323B1" w:rsidP="001323B1">
      <w:pPr>
        <w:spacing w:before="120" w:after="20"/>
        <w:outlineLvl w:val="2"/>
        <w:rPr>
          <w:rFonts w:eastAsia="Times New Roman"/>
          <w:b/>
          <w:bCs/>
          <w:sz w:val="22"/>
          <w:szCs w:val="22"/>
          <w:lang w:val="fr-FR"/>
        </w:rPr>
      </w:pPr>
      <w:r w:rsidRPr="00F56A0E">
        <w:rPr>
          <w:b/>
          <w:bCs/>
          <w:lang w:val="fr-FR"/>
        </w:rPr>
        <w:t>Mesures de réglementation</w:t>
      </w:r>
    </w:p>
    <w:p w14:paraId="3BB46C82" w14:textId="77777777" w:rsidR="001323B1" w:rsidRPr="00F56A0E" w:rsidRDefault="001323B1" w:rsidP="001323B1">
      <w:pPr>
        <w:rPr>
          <w:rFonts w:eastAsia="Times New Roman"/>
          <w:b/>
          <w:bCs/>
          <w:sz w:val="22"/>
          <w:szCs w:val="22"/>
          <w:u w:val="single"/>
          <w:lang w:val="fr-FR"/>
        </w:rPr>
      </w:pPr>
      <w:r w:rsidRPr="00F56A0E">
        <w:rPr>
          <w:b/>
          <w:bCs/>
          <w:u w:val="single"/>
          <w:lang w:val="fr-FR"/>
        </w:rPr>
        <w:t>Canada</w:t>
      </w:r>
    </w:p>
    <w:p w14:paraId="13B39D0F" w14:textId="4512DAC6" w:rsidR="001323B1" w:rsidRPr="00F56A0E" w:rsidRDefault="001323B1" w:rsidP="001323B1">
      <w:pPr>
        <w:spacing w:before="81" w:line="231" w:lineRule="exact"/>
        <w:ind w:right="504"/>
        <w:textAlignment w:val="baseline"/>
        <w:rPr>
          <w:lang w:val="fr-FR"/>
        </w:rPr>
      </w:pPr>
      <w:r w:rsidRPr="00F56A0E">
        <w:rPr>
          <w:lang w:val="fr-FR"/>
        </w:rPr>
        <w:t>Santé Canada, 2008. Note de réévaluation REV2008-06</w:t>
      </w:r>
      <w:r w:rsidR="00157D75" w:rsidRPr="00F56A0E">
        <w:rPr>
          <w:lang w:val="fr-FR"/>
        </w:rPr>
        <w:t> :</w:t>
      </w:r>
      <w:r w:rsidRPr="00F56A0E">
        <w:rPr>
          <w:lang w:val="fr-FR"/>
        </w:rPr>
        <w:t xml:space="preserve"> Mise à jour concernant la réévaluation de l</w:t>
      </w:r>
      <w:r w:rsidR="00870D0E" w:rsidRPr="00F56A0E">
        <w:rPr>
          <w:lang w:val="fr-FR"/>
        </w:rPr>
        <w:t>’</w:t>
      </w:r>
      <w:r w:rsidRPr="00F56A0E">
        <w:rPr>
          <w:lang w:val="fr-FR"/>
        </w:rPr>
        <w:t>utilisation du terbufos sur les betteraves à sucre. Agence de réglementation de la lutte antiparasitaire.</w:t>
      </w:r>
    </w:p>
    <w:p w14:paraId="6C9CF627" w14:textId="171F6679" w:rsidR="001323B1" w:rsidRPr="00F56A0E" w:rsidRDefault="001323B1" w:rsidP="001323B1">
      <w:pPr>
        <w:spacing w:before="81" w:line="231" w:lineRule="exact"/>
        <w:ind w:right="504"/>
        <w:textAlignment w:val="baseline"/>
        <w:rPr>
          <w:lang w:val="fr-FR"/>
        </w:rPr>
      </w:pPr>
      <w:r w:rsidRPr="00F56A0E">
        <w:rPr>
          <w:lang w:val="fr-FR"/>
        </w:rPr>
        <w:t>Santé Canada, 2003. Projet d</w:t>
      </w:r>
      <w:r w:rsidR="00870D0E" w:rsidRPr="00F56A0E">
        <w:rPr>
          <w:lang w:val="fr-FR"/>
        </w:rPr>
        <w:t>’</w:t>
      </w:r>
      <w:r w:rsidRPr="00F56A0E">
        <w:rPr>
          <w:lang w:val="fr-FR"/>
        </w:rPr>
        <w:t>acceptabilité d</w:t>
      </w:r>
      <w:r w:rsidR="00870D0E" w:rsidRPr="00F56A0E">
        <w:rPr>
          <w:lang w:val="fr-FR"/>
        </w:rPr>
        <w:t>’</w:t>
      </w:r>
      <w:r w:rsidRPr="00F56A0E">
        <w:rPr>
          <w:lang w:val="fr-FR"/>
        </w:rPr>
        <w:t>homologation continue (PACR2003-02)</w:t>
      </w:r>
      <w:r w:rsidR="00157D75" w:rsidRPr="00F56A0E">
        <w:rPr>
          <w:lang w:val="fr-FR"/>
        </w:rPr>
        <w:t> :</w:t>
      </w:r>
      <w:r w:rsidRPr="00F56A0E">
        <w:rPr>
          <w:lang w:val="fr-FR"/>
        </w:rPr>
        <w:t xml:space="preserve"> Réévaluation du terbufos. Agence de réglementation de la lutte antiparasitaire.</w:t>
      </w:r>
    </w:p>
    <w:p w14:paraId="5C9C2EBA" w14:textId="7A201CC4" w:rsidR="001323B1" w:rsidRPr="00F56A0E" w:rsidRDefault="001323B1" w:rsidP="001323B1">
      <w:pPr>
        <w:spacing w:before="81" w:line="231" w:lineRule="exact"/>
        <w:ind w:right="504"/>
        <w:textAlignment w:val="baseline"/>
        <w:rPr>
          <w:lang w:val="fr-FR"/>
        </w:rPr>
      </w:pPr>
      <w:r w:rsidRPr="00F56A0E">
        <w:rPr>
          <w:lang w:val="fr-FR"/>
        </w:rPr>
        <w:t>Santé Canada, 2004. Décision de réévaluation RRD2004-04</w:t>
      </w:r>
      <w:r w:rsidR="00157D75" w:rsidRPr="00F56A0E">
        <w:rPr>
          <w:lang w:val="fr-FR"/>
        </w:rPr>
        <w:t> :</w:t>
      </w:r>
      <w:r w:rsidRPr="00F56A0E">
        <w:rPr>
          <w:lang w:val="fr-FR"/>
        </w:rPr>
        <w:t xml:space="preserve"> Réévaluation du terbufos. Agence de réglementation de la lutte antiparasitaire.</w:t>
      </w:r>
    </w:p>
    <w:p w14:paraId="6EB97972" w14:textId="77777777" w:rsidR="001323B1" w:rsidRPr="00F56A0E" w:rsidRDefault="001323B1" w:rsidP="001323B1">
      <w:pPr>
        <w:rPr>
          <w:rFonts w:eastAsia="Times New Roman"/>
          <w:color w:val="000000"/>
          <w:lang w:val="fr-FR"/>
        </w:rPr>
      </w:pPr>
    </w:p>
    <w:p w14:paraId="5C750F7C" w14:textId="77777777" w:rsidR="001323B1" w:rsidRPr="00F56A0E" w:rsidRDefault="001323B1" w:rsidP="001323B1">
      <w:pPr>
        <w:rPr>
          <w:rFonts w:eastAsia="Times New Roman"/>
          <w:b/>
          <w:bCs/>
          <w:sz w:val="22"/>
          <w:szCs w:val="22"/>
          <w:u w:val="single"/>
          <w:lang w:val="fr-FR"/>
        </w:rPr>
      </w:pPr>
      <w:r w:rsidRPr="00F56A0E">
        <w:rPr>
          <w:b/>
          <w:bCs/>
          <w:u w:val="single"/>
          <w:lang w:val="fr-FR"/>
        </w:rPr>
        <w:t>Mozambique</w:t>
      </w:r>
    </w:p>
    <w:p w14:paraId="11DFF8AB" w14:textId="44614B75" w:rsidR="001323B1" w:rsidRPr="00F56A0E" w:rsidRDefault="001323B1" w:rsidP="001323B1">
      <w:pPr>
        <w:spacing w:before="81" w:line="231" w:lineRule="exact"/>
        <w:ind w:right="504"/>
        <w:textAlignment w:val="baseline"/>
        <w:rPr>
          <w:lang w:val="fr-FR"/>
        </w:rPr>
      </w:pPr>
      <w:r w:rsidRPr="00F56A0E">
        <w:rPr>
          <w:lang w:val="fr-FR"/>
        </w:rPr>
        <w:t>Deliberação Nr. 001/DNSA/2014 de la Direction nationale de l</w:t>
      </w:r>
      <w:r w:rsidR="00870D0E" w:rsidRPr="00F56A0E">
        <w:rPr>
          <w:lang w:val="fr-FR"/>
        </w:rPr>
        <w:t>’</w:t>
      </w:r>
      <w:r w:rsidRPr="00F56A0E">
        <w:rPr>
          <w:lang w:val="fr-FR"/>
        </w:rPr>
        <w:t>agriculture et des services agraires (autorité d</w:t>
      </w:r>
      <w:r w:rsidR="00870D0E" w:rsidRPr="00F56A0E">
        <w:rPr>
          <w:lang w:val="fr-FR"/>
        </w:rPr>
        <w:t>’</w:t>
      </w:r>
      <w:r w:rsidRPr="00F56A0E">
        <w:rPr>
          <w:lang w:val="fr-FR"/>
        </w:rPr>
        <w:t>homologation des pesticides).</w:t>
      </w:r>
    </w:p>
    <w:p w14:paraId="58536BD2" w14:textId="77777777" w:rsidR="001323B1" w:rsidRPr="00F56A0E" w:rsidRDefault="001323B1" w:rsidP="001323B1">
      <w:pPr>
        <w:widowControl w:val="0"/>
        <w:tabs>
          <w:tab w:val="left" w:pos="90"/>
        </w:tabs>
        <w:rPr>
          <w:rFonts w:eastAsia="Times New Roman"/>
          <w:b/>
          <w:bCs/>
          <w:snapToGrid w:val="0"/>
          <w:color w:val="000000"/>
          <w:sz w:val="22"/>
          <w:szCs w:val="22"/>
          <w:lang w:val="fr-FR" w:eastAsia="en-US"/>
        </w:rPr>
      </w:pPr>
    </w:p>
    <w:p w14:paraId="135C3DDE" w14:textId="70F12475" w:rsidR="001323B1" w:rsidRPr="00F56A0E" w:rsidRDefault="001323B1" w:rsidP="001323B1">
      <w:pPr>
        <w:widowControl w:val="0"/>
        <w:tabs>
          <w:tab w:val="left" w:pos="90"/>
        </w:tabs>
        <w:rPr>
          <w:rFonts w:eastAsia="Times New Roman"/>
          <w:b/>
          <w:bCs/>
          <w:snapToGrid w:val="0"/>
          <w:color w:val="000000"/>
          <w:sz w:val="22"/>
          <w:szCs w:val="22"/>
          <w:lang w:val="fr-FR"/>
        </w:rPr>
      </w:pPr>
      <w:r w:rsidRPr="00F56A0E">
        <w:rPr>
          <w:b/>
          <w:bCs/>
          <w:lang w:val="fr-FR"/>
        </w:rPr>
        <w:t>Documentation à l</w:t>
      </w:r>
      <w:r w:rsidR="00870D0E" w:rsidRPr="00F56A0E">
        <w:rPr>
          <w:b/>
          <w:bCs/>
          <w:lang w:val="fr-FR"/>
        </w:rPr>
        <w:t>’</w:t>
      </w:r>
      <w:r w:rsidRPr="00F56A0E">
        <w:rPr>
          <w:b/>
          <w:bCs/>
          <w:lang w:val="fr-FR"/>
        </w:rPr>
        <w:t>appui</w:t>
      </w:r>
    </w:p>
    <w:p w14:paraId="54BE3AAC" w14:textId="77777777" w:rsidR="001323B1" w:rsidRPr="00F56A0E" w:rsidRDefault="001323B1" w:rsidP="001323B1">
      <w:pPr>
        <w:widowControl w:val="0"/>
        <w:tabs>
          <w:tab w:val="left" w:pos="90"/>
        </w:tabs>
        <w:rPr>
          <w:rFonts w:eastAsia="Times New Roman"/>
          <w:b/>
          <w:bCs/>
          <w:snapToGrid w:val="0"/>
          <w:color w:val="000000"/>
          <w:sz w:val="22"/>
          <w:szCs w:val="22"/>
          <w:u w:val="single"/>
          <w:lang w:val="fr-FR"/>
        </w:rPr>
      </w:pPr>
      <w:r w:rsidRPr="00F56A0E">
        <w:rPr>
          <w:b/>
          <w:bCs/>
          <w:u w:val="single"/>
          <w:lang w:val="fr-FR"/>
        </w:rPr>
        <w:t>Canada</w:t>
      </w:r>
    </w:p>
    <w:p w14:paraId="20DDCE33" w14:textId="4079DB26" w:rsidR="001323B1" w:rsidRPr="00F56A0E" w:rsidRDefault="001323B1" w:rsidP="001323B1">
      <w:pPr>
        <w:pStyle w:val="Normal-pool"/>
        <w:spacing w:after="120"/>
        <w:rPr>
          <w:lang w:val="fr-FR"/>
        </w:rPr>
      </w:pPr>
      <w:r w:rsidRPr="00F56A0E">
        <w:rPr>
          <w:lang w:val="fr-FR"/>
        </w:rPr>
        <w:t>Examen des notifications de mesure de réglementation finale</w:t>
      </w:r>
      <w:r w:rsidR="00157D75" w:rsidRPr="00F56A0E">
        <w:rPr>
          <w:lang w:val="fr-FR"/>
        </w:rPr>
        <w:t> :</w:t>
      </w:r>
      <w:r w:rsidRPr="00F56A0E">
        <w:rPr>
          <w:lang w:val="fr-FR"/>
        </w:rPr>
        <w:t xml:space="preserve"> UNEP/FAO/RC/CRC.17/8/Rev.1</w:t>
      </w:r>
    </w:p>
    <w:p w14:paraId="783C3BB6" w14:textId="77777777" w:rsidR="001323B1" w:rsidRPr="00F56A0E" w:rsidRDefault="001323B1" w:rsidP="001323B1">
      <w:pPr>
        <w:pStyle w:val="Normal-pool"/>
        <w:spacing w:after="120"/>
        <w:rPr>
          <w:lang w:val="fr-FR"/>
        </w:rPr>
      </w:pPr>
      <w:r w:rsidRPr="00F56A0E">
        <w:rPr>
          <w:lang w:val="fr-FR"/>
        </w:rPr>
        <w:t>Terbufos: supporting documentation provided by Canada. UNEP/FAO/RC/CRC.17/INF/19/Rev.1</w:t>
      </w:r>
    </w:p>
    <w:p w14:paraId="39CBB65F" w14:textId="2B3F305E" w:rsidR="001323B1" w:rsidRPr="00F56A0E" w:rsidRDefault="001323B1" w:rsidP="001323B1">
      <w:pPr>
        <w:widowControl w:val="0"/>
        <w:tabs>
          <w:tab w:val="left" w:pos="90"/>
        </w:tabs>
        <w:rPr>
          <w:rFonts w:eastAsia="Times New Roman"/>
          <w:b/>
          <w:bCs/>
          <w:snapToGrid w:val="0"/>
          <w:color w:val="000000"/>
          <w:sz w:val="22"/>
          <w:szCs w:val="22"/>
          <w:lang w:val="fr-FR"/>
        </w:rPr>
      </w:pPr>
      <w:r w:rsidRPr="00F56A0E">
        <w:rPr>
          <w:lang w:val="fr-FR"/>
        </w:rPr>
        <w:t>The Pesticide Manual, 16th Edition: Extract on Terbufos. Cité dans</w:t>
      </w:r>
      <w:r w:rsidR="00157D75" w:rsidRPr="00F56A0E">
        <w:rPr>
          <w:lang w:val="fr-FR"/>
        </w:rPr>
        <w:t> :</w:t>
      </w:r>
      <w:r w:rsidRPr="00F56A0E">
        <w:rPr>
          <w:lang w:val="fr-FR"/>
        </w:rPr>
        <w:t xml:space="preserve"> UNEP/FAO/RC/CRC.17/INF/19/Rev.1</w:t>
      </w:r>
    </w:p>
    <w:p w14:paraId="57201AB9" w14:textId="77777777" w:rsidR="001323B1" w:rsidRPr="00F56A0E" w:rsidRDefault="001323B1" w:rsidP="001323B1">
      <w:pPr>
        <w:widowControl w:val="0"/>
        <w:tabs>
          <w:tab w:val="left" w:pos="90"/>
        </w:tabs>
        <w:rPr>
          <w:rFonts w:eastAsia="Times New Roman"/>
          <w:b/>
          <w:bCs/>
          <w:snapToGrid w:val="0"/>
          <w:color w:val="000000"/>
          <w:sz w:val="22"/>
          <w:szCs w:val="22"/>
          <w:lang w:val="fr-FR" w:eastAsia="en-US"/>
        </w:rPr>
      </w:pPr>
    </w:p>
    <w:p w14:paraId="05AE1E9A" w14:textId="77777777" w:rsidR="001323B1" w:rsidRPr="00F56A0E" w:rsidRDefault="001323B1" w:rsidP="001323B1">
      <w:pPr>
        <w:widowControl w:val="0"/>
        <w:tabs>
          <w:tab w:val="left" w:pos="90"/>
        </w:tabs>
        <w:rPr>
          <w:rFonts w:eastAsia="Times New Roman"/>
          <w:b/>
          <w:bCs/>
          <w:snapToGrid w:val="0"/>
          <w:color w:val="000000"/>
          <w:sz w:val="22"/>
          <w:szCs w:val="22"/>
          <w:u w:val="single"/>
          <w:lang w:val="fr-FR"/>
        </w:rPr>
      </w:pPr>
      <w:r w:rsidRPr="00F56A0E">
        <w:rPr>
          <w:b/>
          <w:bCs/>
          <w:u w:val="single"/>
          <w:lang w:val="fr-FR"/>
        </w:rPr>
        <w:t>Mozambique</w:t>
      </w:r>
    </w:p>
    <w:p w14:paraId="03D8A2EF" w14:textId="79612BCD" w:rsidR="001323B1" w:rsidRPr="00F56A0E" w:rsidRDefault="001323B1" w:rsidP="001323B1">
      <w:pPr>
        <w:spacing w:before="81" w:line="231" w:lineRule="exact"/>
        <w:ind w:right="504"/>
        <w:textAlignment w:val="baseline"/>
        <w:rPr>
          <w:rFonts w:eastAsia="MS Mincho"/>
          <w:bCs/>
          <w:iCs/>
          <w:lang w:val="fr-FR"/>
        </w:rPr>
      </w:pPr>
      <w:r w:rsidRPr="00F56A0E">
        <w:rPr>
          <w:lang w:val="fr-FR"/>
        </w:rPr>
        <w:t>Come A.M. &amp; van der Valk H., 2014. A. M. Come et H. van der Valk, « Reducing Risks of Highly Hazardous Pesticides in Mozambique: Step 1 – Shortlisting highly hazardous pesticides », rapport d</w:t>
      </w:r>
      <w:r w:rsidR="00870D0E" w:rsidRPr="00F56A0E">
        <w:rPr>
          <w:lang w:val="fr-FR"/>
        </w:rPr>
        <w:t>’</w:t>
      </w:r>
      <w:r w:rsidRPr="00F56A0E">
        <w:rPr>
          <w:lang w:val="fr-FR"/>
        </w:rPr>
        <w:t>expertise dans le cadre du projet EP/MOZ/101/UEP (2014)</w:t>
      </w:r>
      <w:r w:rsidR="001349EA" w:rsidRPr="00F56A0E">
        <w:rPr>
          <w:lang w:val="fr-FR"/>
        </w:rPr>
        <w:t> ;</w:t>
      </w:r>
    </w:p>
    <w:p w14:paraId="28EF6C03" w14:textId="77777777" w:rsidR="001323B1" w:rsidRPr="00F56A0E" w:rsidRDefault="001323B1" w:rsidP="001323B1">
      <w:pPr>
        <w:spacing w:before="81" w:line="231" w:lineRule="exact"/>
        <w:ind w:right="504"/>
        <w:textAlignment w:val="baseline"/>
        <w:rPr>
          <w:rFonts w:eastAsia="MS Mincho"/>
          <w:bCs/>
          <w:iCs/>
          <w:lang w:val="fr-FR"/>
        </w:rPr>
      </w:pPr>
      <w:r w:rsidRPr="00F56A0E">
        <w:rPr>
          <w:lang w:val="fr-FR"/>
        </w:rPr>
        <w:t>Come A.M.; Dona L.L.; Come A.M. &amp; van der Valk H., 2014. Reducing Risks of Highly Hazardous Pesticides in Mozambique: Step 2 – Survey of pesticide use practices in selected cropping systems.</w:t>
      </w:r>
    </w:p>
    <w:p w14:paraId="040F89FB" w14:textId="17930BE4" w:rsidR="001323B1" w:rsidRPr="00F56A0E" w:rsidRDefault="001323B1" w:rsidP="001323B1">
      <w:pPr>
        <w:spacing w:before="81" w:line="231" w:lineRule="exact"/>
        <w:ind w:right="504"/>
        <w:textAlignment w:val="baseline"/>
        <w:rPr>
          <w:lang w:val="fr-FR"/>
        </w:rPr>
      </w:pPr>
      <w:r w:rsidRPr="00F56A0E">
        <w:rPr>
          <w:lang w:val="fr-FR"/>
        </w:rPr>
        <w:t>FAO/OMS, 2008. Organisation des Nations Unies pour l</w:t>
      </w:r>
      <w:r w:rsidR="00870D0E" w:rsidRPr="00F56A0E">
        <w:rPr>
          <w:lang w:val="fr-FR"/>
        </w:rPr>
        <w:t>’</w:t>
      </w:r>
      <w:r w:rsidRPr="00F56A0E">
        <w:rPr>
          <w:lang w:val="fr-FR"/>
        </w:rPr>
        <w:t>alimentation et l</w:t>
      </w:r>
      <w:r w:rsidR="00870D0E" w:rsidRPr="00F56A0E">
        <w:rPr>
          <w:lang w:val="fr-FR"/>
        </w:rPr>
        <w:t>’</w:t>
      </w:r>
      <w:r w:rsidRPr="00F56A0E">
        <w:rPr>
          <w:lang w:val="fr-FR"/>
        </w:rPr>
        <w:t>agriculture (FAO)/Organisation mondiale de la Santé (OMS), 2008, « Report of the second FAO/WHO Joint Meeting on Pesticide Management and the fourth session of the FAO Panel of Experts on Pesticide Management » (p. 14 à 18), Genève (2008). 6-8 octobre 2008, Genève. Organisation des Nations unies pour l</w:t>
      </w:r>
      <w:r w:rsidR="00870D0E" w:rsidRPr="00F56A0E">
        <w:rPr>
          <w:lang w:val="fr-FR"/>
        </w:rPr>
        <w:t>’</w:t>
      </w:r>
      <w:r w:rsidRPr="00F56A0E">
        <w:rPr>
          <w:lang w:val="fr-FR"/>
        </w:rPr>
        <w:t>alimentation et l</w:t>
      </w:r>
      <w:r w:rsidR="00870D0E" w:rsidRPr="00F56A0E">
        <w:rPr>
          <w:lang w:val="fr-FR"/>
        </w:rPr>
        <w:t>’</w:t>
      </w:r>
      <w:r w:rsidRPr="00F56A0E">
        <w:rPr>
          <w:lang w:val="fr-FR"/>
        </w:rPr>
        <w:t>agriculture, Rome &amp; Organisation mondiale de la santé, Genève. Disponible à l</w:t>
      </w:r>
      <w:r w:rsidR="00870D0E" w:rsidRPr="00F56A0E">
        <w:rPr>
          <w:lang w:val="fr-FR"/>
        </w:rPr>
        <w:t>’</w:t>
      </w:r>
      <w:r w:rsidRPr="00F56A0E">
        <w:rPr>
          <w:lang w:val="fr-FR"/>
        </w:rPr>
        <w:t>adresse www.fao.org/fileadmin/templates/agphome/ documents/Pests_Pesticides/Code/Report.pdf</w:t>
      </w:r>
      <w:r w:rsidR="001349EA" w:rsidRPr="00F56A0E">
        <w:rPr>
          <w:lang w:val="fr-FR"/>
        </w:rPr>
        <w:t> ;</w:t>
      </w:r>
    </w:p>
    <w:p w14:paraId="632D2252" w14:textId="77777777" w:rsidR="001323B1" w:rsidRPr="00F56A0E" w:rsidRDefault="001323B1" w:rsidP="001323B1">
      <w:pPr>
        <w:spacing w:before="81" w:line="231" w:lineRule="exact"/>
        <w:ind w:right="504"/>
        <w:textAlignment w:val="baseline"/>
        <w:rPr>
          <w:lang w:val="fr-FR"/>
        </w:rPr>
      </w:pPr>
      <w:r w:rsidRPr="00F56A0E">
        <w:rPr>
          <w:lang w:val="fr-FR"/>
        </w:rPr>
        <w:t xml:space="preserve">Lahr J., R. Kruijne &amp; J. Groenwold, 2014. </w:t>
      </w:r>
      <w:r w:rsidRPr="00F56A0E">
        <w:rPr>
          <w:rFonts w:eastAsia="MS Mincho"/>
          <w:iCs/>
          <w:lang w:val="fr-FR" w:eastAsia="en-US" w:bidi="en-US"/>
        </w:rPr>
        <w:t>Hazards of pesticides imported into Mozambique, 2002-2011. Wageningen, Alterra Wageningen UR (University &amp; Research centre).</w:t>
      </w:r>
    </w:p>
    <w:p w14:paraId="558A9036" w14:textId="4398A0BE" w:rsidR="001323B1" w:rsidRPr="00F56A0E" w:rsidRDefault="001323B1" w:rsidP="001323B1">
      <w:pPr>
        <w:spacing w:before="81" w:line="231" w:lineRule="exact"/>
        <w:ind w:right="504"/>
        <w:textAlignment w:val="baseline"/>
        <w:rPr>
          <w:lang w:val="fr-FR"/>
        </w:rPr>
      </w:pPr>
      <w:r w:rsidRPr="00F56A0E">
        <w:rPr>
          <w:lang w:val="fr-FR"/>
        </w:rPr>
        <w:t>(JMPR, 200</w:t>
      </w:r>
      <w:r w:rsidR="00EA609B" w:rsidRPr="00F56A0E">
        <w:rPr>
          <w:lang w:val="fr-FR"/>
        </w:rPr>
        <w:t>4</w:t>
      </w:r>
      <w:r w:rsidRPr="00F56A0E">
        <w:rPr>
          <w:lang w:val="fr-FR"/>
        </w:rPr>
        <w:t>) Pesticide residues in food – 2003. Joint Meeting of the FAO Panel of Experts on Pesticide Residues in Food and the Environment and the WHO Core Assessment Group. Evaluations 2003. Part II Toxicological. PISSC, Organisation mondiale de la santé, Genève (WHO/PCS/04.1). https://inchem.org/documents/jmpr/jmpmono/v2003pr13.htm</w:t>
      </w:r>
    </w:p>
    <w:p w14:paraId="3FCB3B16" w14:textId="27493604" w:rsidR="001323B1" w:rsidRPr="00F56A0E" w:rsidRDefault="001323B1" w:rsidP="001323B1">
      <w:pPr>
        <w:spacing w:before="81" w:line="231" w:lineRule="exact"/>
        <w:ind w:right="504"/>
        <w:textAlignment w:val="baseline"/>
        <w:rPr>
          <w:color w:val="000000"/>
          <w:spacing w:val="-1"/>
          <w:lang w:val="fr-FR"/>
        </w:rPr>
      </w:pPr>
      <w:r w:rsidRPr="00F56A0E">
        <w:rPr>
          <w:lang w:val="fr-FR"/>
        </w:rPr>
        <w:t>(JMPR, 200</w:t>
      </w:r>
      <w:r w:rsidR="00EA609B" w:rsidRPr="00F56A0E">
        <w:rPr>
          <w:lang w:val="fr-FR"/>
        </w:rPr>
        <w:t>5</w:t>
      </w:r>
      <w:r w:rsidRPr="00F56A0E">
        <w:rPr>
          <w:lang w:val="fr-FR"/>
        </w:rPr>
        <w:t xml:space="preserve">) Evaluation on Terbufos, 2005. Joint Meeting of the FAO Panel of Experts on Pesticide Residues in Food and the Environment and the WHO Core Assessment Group. </w:t>
      </w:r>
      <w:hyperlink r:id="rId38" w:history="1">
        <w:r w:rsidR="00822255" w:rsidRPr="00F56A0E">
          <w:rPr>
            <w:rStyle w:val="Hyperlink"/>
            <w:color w:val="0070C0"/>
            <w:u w:val="single"/>
            <w:lang w:val="fr-FR"/>
          </w:rPr>
          <w:t>https://www.fao.org/fileadmin/templates/agphome/documents/Pests_Pesticides/JMPR/Evaluation05/2005_Terbufos1.pdf</w:t>
        </w:r>
      </w:hyperlink>
      <w:r w:rsidRPr="00F56A0E">
        <w:rPr>
          <w:lang w:val="fr-FR"/>
        </w:rPr>
        <w:t xml:space="preserve">. </w:t>
      </w:r>
    </w:p>
    <w:p w14:paraId="72A6A22A" w14:textId="3566B95D" w:rsidR="001323B1" w:rsidRPr="00F56A0E" w:rsidRDefault="001323B1" w:rsidP="001323B1">
      <w:pPr>
        <w:spacing w:before="81" w:line="231" w:lineRule="exact"/>
        <w:ind w:right="504"/>
        <w:textAlignment w:val="baseline"/>
        <w:rPr>
          <w:lang w:val="fr-FR"/>
        </w:rPr>
      </w:pPr>
      <w:r w:rsidRPr="00F56A0E">
        <w:rPr>
          <w:lang w:val="fr-FR"/>
        </w:rPr>
        <w:t>PPDB [Internet] Pesticide Properties Database Terbufos (Ref</w:t>
      </w:r>
      <w:r w:rsidR="00157D75" w:rsidRPr="00F56A0E">
        <w:rPr>
          <w:lang w:val="fr-FR"/>
        </w:rPr>
        <w:t> :</w:t>
      </w:r>
      <w:r w:rsidRPr="00F56A0E">
        <w:rPr>
          <w:lang w:val="fr-FR"/>
        </w:rPr>
        <w:t xml:space="preserve"> AC 92100), [consulté le 27 oct. 2021 pour le présent document]. Disponible à l</w:t>
      </w:r>
      <w:r w:rsidR="00870D0E" w:rsidRPr="00F56A0E">
        <w:rPr>
          <w:lang w:val="fr-FR"/>
        </w:rPr>
        <w:t>’</w:t>
      </w:r>
      <w:r w:rsidRPr="00F56A0E">
        <w:rPr>
          <w:lang w:val="fr-FR"/>
        </w:rPr>
        <w:t>adresse https://sitem.herts.ac.uk/aeru/ppdb/en/Reports/621.htm</w:t>
      </w:r>
      <w:r w:rsidR="001349EA" w:rsidRPr="00F56A0E">
        <w:rPr>
          <w:lang w:val="fr-FR"/>
        </w:rPr>
        <w:t> ;</w:t>
      </w:r>
    </w:p>
    <w:p w14:paraId="7DA82A07" w14:textId="6E24E652" w:rsidR="001323B1" w:rsidRPr="00F56A0E" w:rsidRDefault="001323B1" w:rsidP="001323B1">
      <w:pPr>
        <w:spacing w:before="81" w:line="231" w:lineRule="exact"/>
        <w:ind w:right="504"/>
        <w:textAlignment w:val="baseline"/>
        <w:rPr>
          <w:lang w:val="fr-FR"/>
        </w:rPr>
      </w:pPr>
      <w:r w:rsidRPr="00F56A0E">
        <w:rPr>
          <w:lang w:val="fr-FR"/>
        </w:rPr>
        <w:t>Examen des notifications de mesure de réglementation finale</w:t>
      </w:r>
      <w:r w:rsidR="00157D75" w:rsidRPr="00F56A0E">
        <w:rPr>
          <w:lang w:val="fr-FR"/>
        </w:rPr>
        <w:t> :</w:t>
      </w:r>
      <w:r w:rsidRPr="00F56A0E">
        <w:rPr>
          <w:lang w:val="fr-FR"/>
        </w:rPr>
        <w:t xml:space="preserve"> UNEP/FAO/RC/CRC.17/8/Rev.1</w:t>
      </w:r>
    </w:p>
    <w:p w14:paraId="376149A7" w14:textId="77777777" w:rsidR="001323B1" w:rsidRPr="00F56A0E" w:rsidRDefault="001323B1" w:rsidP="001323B1">
      <w:pPr>
        <w:spacing w:before="81" w:line="231" w:lineRule="exact"/>
        <w:ind w:right="504"/>
        <w:textAlignment w:val="baseline"/>
        <w:rPr>
          <w:lang w:val="fr-FR"/>
        </w:rPr>
      </w:pPr>
      <w:r w:rsidRPr="00F56A0E">
        <w:rPr>
          <w:lang w:val="fr-FR"/>
        </w:rPr>
        <w:t>Terbufos: supporting documentation provided by Mozambique. UNEP/FAO/RC/CRC.17/INF/18</w:t>
      </w:r>
    </w:p>
    <w:p w14:paraId="2A534FEE" w14:textId="77777777" w:rsidR="001323B1" w:rsidRPr="00F56A0E" w:rsidRDefault="001323B1" w:rsidP="001323B1">
      <w:pPr>
        <w:widowControl w:val="0"/>
        <w:tabs>
          <w:tab w:val="left" w:pos="90"/>
        </w:tabs>
        <w:rPr>
          <w:rFonts w:eastAsia="Times New Roman"/>
          <w:b/>
          <w:bCs/>
          <w:snapToGrid w:val="0"/>
          <w:color w:val="000000"/>
          <w:sz w:val="22"/>
          <w:szCs w:val="22"/>
          <w:lang w:val="fr-FR" w:eastAsia="en-US"/>
        </w:rPr>
      </w:pPr>
    </w:p>
    <w:p w14:paraId="592E2325" w14:textId="77777777" w:rsidR="001323B1" w:rsidRPr="00F56A0E" w:rsidRDefault="001323B1" w:rsidP="001323B1">
      <w:pPr>
        <w:widowControl w:val="0"/>
        <w:tabs>
          <w:tab w:val="left" w:pos="90"/>
        </w:tabs>
        <w:rPr>
          <w:rFonts w:eastAsia="Times New Roman"/>
          <w:b/>
          <w:bCs/>
          <w:snapToGrid w:val="0"/>
          <w:color w:val="000000"/>
          <w:sz w:val="22"/>
          <w:szCs w:val="22"/>
          <w:lang w:val="fr-FR"/>
        </w:rPr>
      </w:pPr>
      <w:r w:rsidRPr="00F56A0E">
        <w:rPr>
          <w:b/>
          <w:bCs/>
          <w:lang w:val="fr-FR"/>
        </w:rPr>
        <w:t>Autres documents</w:t>
      </w:r>
    </w:p>
    <w:p w14:paraId="5A07196F" w14:textId="07975618" w:rsidR="001323B1" w:rsidRPr="00F56A0E" w:rsidRDefault="001323B1" w:rsidP="001323B1">
      <w:pPr>
        <w:spacing w:before="81" w:line="231" w:lineRule="exact"/>
        <w:ind w:right="504"/>
        <w:textAlignment w:val="baseline"/>
        <w:rPr>
          <w:lang w:val="fr-FR"/>
        </w:rPr>
      </w:pPr>
      <w:r w:rsidRPr="00F56A0E">
        <w:rPr>
          <w:lang w:val="fr-FR"/>
        </w:rPr>
        <w:t>Convention de Bâle sur le contrôle des mouvements transfrontières de déchets dangereux et de leur élimination Disponible sur</w:t>
      </w:r>
      <w:r w:rsidR="00157D75" w:rsidRPr="00F56A0E">
        <w:rPr>
          <w:lang w:val="fr-FR"/>
        </w:rPr>
        <w:t> :</w:t>
      </w:r>
      <w:r w:rsidRPr="00F56A0E">
        <w:rPr>
          <w:lang w:val="fr-FR"/>
        </w:rPr>
        <w:t xml:space="preserve"> www.basel.int </w:t>
      </w:r>
    </w:p>
    <w:p w14:paraId="5D678CBE" w14:textId="77777777" w:rsidR="001323B1" w:rsidRPr="00F56A0E" w:rsidRDefault="001323B1" w:rsidP="001323B1">
      <w:pPr>
        <w:spacing w:before="81" w:line="231" w:lineRule="exact"/>
        <w:ind w:right="504"/>
        <w:textAlignment w:val="baseline"/>
        <w:rPr>
          <w:lang w:val="fr-FR"/>
        </w:rPr>
      </w:pPr>
      <w:r w:rsidRPr="00F56A0E">
        <w:rPr>
          <w:lang w:val="fr-FR"/>
        </w:rPr>
        <w:t>European Union Pesticides Database – maximum residue levels for terbufos: https://ec.europa.eu/food/plant/pesticides/eu-pesticides-database/mrls/?event=details&amp;pest_res_ids=384&amp;product_ids=&amp;v=1&amp;e=search.pr</w:t>
      </w:r>
    </w:p>
    <w:p w14:paraId="688F318F" w14:textId="77777777" w:rsidR="001323B1" w:rsidRPr="00F56A0E" w:rsidRDefault="001323B1" w:rsidP="001323B1">
      <w:pPr>
        <w:spacing w:before="121" w:line="229" w:lineRule="exact"/>
        <w:textAlignment w:val="baseline"/>
        <w:rPr>
          <w:rFonts w:eastAsia="Times New Roman"/>
          <w:color w:val="000000"/>
          <w:lang w:val="fr-FR"/>
        </w:rPr>
      </w:pPr>
      <w:r w:rsidRPr="00F56A0E">
        <w:rPr>
          <w:lang w:val="fr-FR"/>
        </w:rPr>
        <w:t>Extoxnet (1996): Extension Toxicology Network, Pesticide Information Profiles: Terbufos. http://extoxnet.orst.edu/pips/terbufos.htm</w:t>
      </w:r>
    </w:p>
    <w:p w14:paraId="586D214D" w14:textId="77777777" w:rsidR="001323B1" w:rsidRPr="00F56A0E" w:rsidRDefault="001323B1" w:rsidP="001323B1">
      <w:pPr>
        <w:spacing w:before="81" w:line="231" w:lineRule="exact"/>
        <w:ind w:right="504"/>
        <w:textAlignment w:val="baseline"/>
        <w:rPr>
          <w:lang w:val="fr-FR" w:eastAsia="en-CA"/>
        </w:rPr>
      </w:pPr>
      <w:r w:rsidRPr="00F56A0E">
        <w:rPr>
          <w:lang w:val="fr-FR"/>
        </w:rPr>
        <w:t xml:space="preserve">PubChem [Internet]. Bethesda (MD): National Library of Medicine (US), National Center for Biotechnology Information; 2004-. PubChem Compound Summary for CID 25670, Terbufos; [cited 2021 Oct. 27]. Available from: </w:t>
      </w:r>
      <w:hyperlink r:id="rId39" w:history="1">
        <w:r w:rsidRPr="00F56A0E">
          <w:rPr>
            <w:rStyle w:val="Hyperlink"/>
            <w:lang w:val="fr-FR"/>
          </w:rPr>
          <w:t>https://pubchem.ncbi.nlm.nih.gov/compound/Terbufos</w:t>
        </w:r>
      </w:hyperlink>
    </w:p>
    <w:p w14:paraId="6DA36574" w14:textId="3451348A" w:rsidR="001323B1" w:rsidRPr="00F56A0E" w:rsidRDefault="001323B1" w:rsidP="001323B1">
      <w:pPr>
        <w:spacing w:before="81" w:line="231" w:lineRule="exact"/>
        <w:ind w:right="504"/>
        <w:textAlignment w:val="baseline"/>
        <w:rPr>
          <w:lang w:val="fr-FR"/>
        </w:rPr>
      </w:pPr>
      <w:r w:rsidRPr="00F56A0E">
        <w:rPr>
          <w:lang w:val="fr-FR"/>
        </w:rPr>
        <w:t>US EPA (19</w:t>
      </w:r>
      <w:r w:rsidR="00EA609B" w:rsidRPr="00F56A0E">
        <w:rPr>
          <w:lang w:val="fr-FR"/>
        </w:rPr>
        <w:t>8</w:t>
      </w:r>
      <w:r w:rsidRPr="00F56A0E">
        <w:rPr>
          <w:lang w:val="fr-FR"/>
        </w:rPr>
        <w:t>8). Terbufos Pesticide Factsheet No.5.2. https://nepis.epa.gov/Exe/ZyPURL.cgi?Dockey=2000TZ8L.txt</w:t>
      </w:r>
    </w:p>
    <w:p w14:paraId="30781538" w14:textId="1ED82671" w:rsidR="001323B1" w:rsidRPr="00F56A0E" w:rsidRDefault="001323B1" w:rsidP="001323B1">
      <w:pPr>
        <w:spacing w:before="81" w:line="231" w:lineRule="exact"/>
        <w:ind w:right="504"/>
        <w:textAlignment w:val="baseline"/>
        <w:rPr>
          <w:rStyle w:val="markedcontent"/>
          <w:lang w:val="fr-FR"/>
        </w:rPr>
      </w:pPr>
      <w:r w:rsidRPr="00F56A0E">
        <w:rPr>
          <w:lang w:val="fr-FR"/>
        </w:rPr>
        <w:t>OMS, 2019. Classification OMS recommandée des pesticides en fonction des dangers qu</w:t>
      </w:r>
      <w:r w:rsidR="00870D0E" w:rsidRPr="00F56A0E">
        <w:rPr>
          <w:lang w:val="fr-FR"/>
        </w:rPr>
        <w:t>’</w:t>
      </w:r>
      <w:r w:rsidRPr="00F56A0E">
        <w:rPr>
          <w:lang w:val="fr-FR"/>
        </w:rPr>
        <w:t>ils présentent et lignes directrices pour la classification, édition 2019. https://www.who.int/publications/i/item/9789240005662</w:t>
      </w:r>
    </w:p>
    <w:p w14:paraId="09D2C569" w14:textId="77777777" w:rsidR="001323B1" w:rsidRPr="00F56A0E" w:rsidRDefault="001323B1" w:rsidP="001323B1">
      <w:pPr>
        <w:rPr>
          <w:sz w:val="22"/>
          <w:szCs w:val="22"/>
          <w:lang w:val="fr-FR"/>
        </w:rPr>
      </w:pPr>
    </w:p>
    <w:p w14:paraId="75EC0C3B" w14:textId="66991403" w:rsidR="001323B1" w:rsidRPr="00F56A0E" w:rsidRDefault="00C84D9B" w:rsidP="001323B1">
      <w:pPr>
        <w:widowControl w:val="0"/>
        <w:tabs>
          <w:tab w:val="left" w:pos="90"/>
        </w:tabs>
        <w:rPr>
          <w:rFonts w:eastAsia="Times New Roman"/>
          <w:b/>
          <w:bCs/>
          <w:snapToGrid w:val="0"/>
          <w:color w:val="000000"/>
          <w:lang w:val="fr-FR"/>
        </w:rPr>
      </w:pPr>
      <w:r w:rsidRPr="00F56A0E">
        <w:rPr>
          <w:rFonts w:eastAsia="Times New Roman"/>
          <w:b/>
          <w:bCs/>
          <w:snapToGrid w:val="0"/>
          <w:color w:val="000000"/>
          <w:lang w:val="fr-FR"/>
        </w:rPr>
        <w:t xml:space="preserve">Documents </w:t>
      </w:r>
      <w:r w:rsidR="0005447B" w:rsidRPr="00F56A0E">
        <w:rPr>
          <w:rFonts w:eastAsia="Times New Roman"/>
          <w:b/>
          <w:bCs/>
          <w:snapToGrid w:val="0"/>
          <w:color w:val="000000"/>
          <w:lang w:val="fr-FR"/>
        </w:rPr>
        <w:t xml:space="preserve">d’orientation et </w:t>
      </w:r>
      <w:r w:rsidRPr="00F56A0E">
        <w:rPr>
          <w:rFonts w:eastAsia="Times New Roman"/>
          <w:b/>
          <w:bCs/>
          <w:snapToGrid w:val="0"/>
          <w:color w:val="000000"/>
          <w:lang w:val="fr-FR"/>
        </w:rPr>
        <w:t xml:space="preserve">de références </w:t>
      </w:r>
      <w:r w:rsidR="0005447B" w:rsidRPr="00F56A0E">
        <w:rPr>
          <w:rFonts w:eastAsia="Times New Roman"/>
          <w:b/>
          <w:bCs/>
          <w:snapToGrid w:val="0"/>
          <w:color w:val="000000"/>
          <w:lang w:val="fr-FR"/>
        </w:rPr>
        <w:t>pertinents</w:t>
      </w:r>
    </w:p>
    <w:p w14:paraId="7B9E3162" w14:textId="374A7E4F" w:rsidR="001323B1" w:rsidRPr="00F56A0E" w:rsidRDefault="001323B1" w:rsidP="001323B1">
      <w:pPr>
        <w:spacing w:before="118" w:line="231" w:lineRule="exact"/>
        <w:ind w:right="648"/>
        <w:textAlignment w:val="baseline"/>
        <w:rPr>
          <w:rFonts w:eastAsia="Times New Roman"/>
          <w:color w:val="000000"/>
          <w:lang w:val="fr-FR"/>
        </w:rPr>
      </w:pPr>
      <w:r w:rsidRPr="00F56A0E">
        <w:rPr>
          <w:lang w:val="fr-FR"/>
        </w:rPr>
        <w:t>Convention de Bâle sur le Contrôle des Mouvements Transfrontières de Déchets Dangereux et de leur Elimination Disponible sur</w:t>
      </w:r>
      <w:r w:rsidR="00157D75" w:rsidRPr="00F56A0E">
        <w:rPr>
          <w:lang w:val="fr-FR"/>
        </w:rPr>
        <w:t> :</w:t>
      </w:r>
      <w:r w:rsidRPr="00F56A0E">
        <w:rPr>
          <w:lang w:val="fr-FR"/>
        </w:rPr>
        <w:t xml:space="preserve"> www.basel.int</w:t>
      </w:r>
    </w:p>
    <w:p w14:paraId="7ED989D6" w14:textId="2017BE0C" w:rsidR="001323B1" w:rsidRPr="00F56A0E" w:rsidRDefault="001323B1" w:rsidP="001323B1">
      <w:pPr>
        <w:spacing w:before="81" w:line="231" w:lineRule="exact"/>
        <w:ind w:right="360"/>
        <w:textAlignment w:val="baseline"/>
        <w:rPr>
          <w:rFonts w:eastAsia="Times New Roman"/>
          <w:color w:val="000000"/>
          <w:lang w:val="fr-FR"/>
        </w:rPr>
      </w:pPr>
      <w:r w:rsidRPr="00F56A0E">
        <w:rPr>
          <w:lang w:val="fr-FR"/>
        </w:rPr>
        <w:t>FAO, 1995. Directives [provisoires]</w:t>
      </w:r>
      <w:r w:rsidR="00157D75" w:rsidRPr="00F56A0E">
        <w:rPr>
          <w:lang w:val="fr-FR"/>
        </w:rPr>
        <w:t> :</w:t>
      </w:r>
      <w:r w:rsidRPr="00F56A0E">
        <w:rPr>
          <w:lang w:val="fr-FR"/>
        </w:rPr>
        <w:t xml:space="preserve"> Prévention de l</w:t>
      </w:r>
      <w:r w:rsidR="00870D0E" w:rsidRPr="00F56A0E">
        <w:rPr>
          <w:lang w:val="fr-FR"/>
        </w:rPr>
        <w:t>’</w:t>
      </w:r>
      <w:r w:rsidRPr="00F56A0E">
        <w:rPr>
          <w:lang w:val="fr-FR"/>
        </w:rPr>
        <w:t>accumulation de stocks de pesticides périmés. FAO, Rome. Disponible à l</w:t>
      </w:r>
      <w:r w:rsidR="00870D0E" w:rsidRPr="00F56A0E">
        <w:rPr>
          <w:lang w:val="fr-FR"/>
        </w:rPr>
        <w:t>’</w:t>
      </w:r>
      <w:r w:rsidRPr="00F56A0E">
        <w:rPr>
          <w:lang w:val="fr-FR"/>
        </w:rPr>
        <w:t xml:space="preserve">adresse </w:t>
      </w:r>
      <w:hyperlink r:id="rId40" w:history="1">
        <w:r w:rsidR="00341A92" w:rsidRPr="00F56A0E">
          <w:rPr>
            <w:rStyle w:val="Hyperlink"/>
            <w:color w:val="0070C0"/>
            <w:u w:val="single"/>
            <w:lang w:val="fr-FR"/>
          </w:rPr>
          <w:t>https://www.fao.org/3/v7460e/v7460e.pdf</w:t>
        </w:r>
      </w:hyperlink>
    </w:p>
    <w:p w14:paraId="7A89E614" w14:textId="755C142A" w:rsidR="001323B1" w:rsidRPr="00F56A0E" w:rsidRDefault="001323B1" w:rsidP="001323B1">
      <w:pPr>
        <w:spacing w:before="77" w:line="230" w:lineRule="exact"/>
        <w:textAlignment w:val="baseline"/>
        <w:rPr>
          <w:rFonts w:eastAsia="Times New Roman"/>
          <w:color w:val="000000"/>
          <w:lang w:val="fr-FR"/>
        </w:rPr>
      </w:pPr>
      <w:r w:rsidRPr="00F56A0E">
        <w:rPr>
          <w:lang w:val="fr-FR"/>
        </w:rPr>
        <w:t>FAO, 1996a. Manuel</w:t>
      </w:r>
      <w:r w:rsidR="00157D75" w:rsidRPr="00F56A0E">
        <w:rPr>
          <w:lang w:val="fr-FR"/>
        </w:rPr>
        <w:t> :</w:t>
      </w:r>
      <w:r w:rsidRPr="00F56A0E">
        <w:rPr>
          <w:lang w:val="fr-FR"/>
        </w:rPr>
        <w:t xml:space="preserve"> Stockage des pesticides et contrôle des stocks, Rome. Disponible à l</w:t>
      </w:r>
      <w:r w:rsidR="00870D0E" w:rsidRPr="00F56A0E">
        <w:rPr>
          <w:lang w:val="fr-FR"/>
        </w:rPr>
        <w:t>’</w:t>
      </w:r>
      <w:r w:rsidRPr="00F56A0E">
        <w:rPr>
          <w:lang w:val="fr-FR"/>
        </w:rPr>
        <w:t xml:space="preserve">adresse </w:t>
      </w:r>
      <w:r w:rsidRPr="00F56A0E">
        <w:rPr>
          <w:color w:val="0070C0"/>
          <w:u w:val="single"/>
          <w:lang w:val="fr-FR"/>
        </w:rPr>
        <w:t xml:space="preserve">https://www.fao.org/agriculture/crops/obsolete-pesticides/resources0/fr/ </w:t>
      </w:r>
    </w:p>
    <w:p w14:paraId="174C798A" w14:textId="57C5F0E5" w:rsidR="001323B1" w:rsidRPr="00F56A0E" w:rsidRDefault="001323B1" w:rsidP="001323B1">
      <w:pPr>
        <w:spacing w:before="81" w:line="231" w:lineRule="exact"/>
        <w:ind w:right="504"/>
        <w:textAlignment w:val="baseline"/>
        <w:rPr>
          <w:rFonts w:eastAsia="Times New Roman"/>
          <w:color w:val="000000"/>
          <w:spacing w:val="-1"/>
          <w:lang w:val="fr-FR"/>
        </w:rPr>
      </w:pPr>
      <w:r w:rsidRPr="00F56A0E">
        <w:rPr>
          <w:lang w:val="fr-FR"/>
        </w:rPr>
        <w:t>FAO, 1996b. Directives techniques</w:t>
      </w:r>
      <w:r w:rsidR="00157D75" w:rsidRPr="00F56A0E">
        <w:rPr>
          <w:lang w:val="fr-FR"/>
        </w:rPr>
        <w:t> :</w:t>
      </w:r>
      <w:r w:rsidRPr="00F56A0E">
        <w:rPr>
          <w:lang w:val="fr-FR"/>
        </w:rPr>
        <w:t xml:space="preserve"> Élimination de grandes quantités de pesticides périmés dans les pays en développement. Disponible à l</w:t>
      </w:r>
      <w:r w:rsidR="00870D0E" w:rsidRPr="00F56A0E">
        <w:rPr>
          <w:lang w:val="fr-FR"/>
        </w:rPr>
        <w:t>’</w:t>
      </w:r>
      <w:r w:rsidRPr="00F56A0E">
        <w:rPr>
          <w:lang w:val="fr-FR"/>
        </w:rPr>
        <w:t xml:space="preserve">adresse </w:t>
      </w:r>
      <w:r w:rsidRPr="00F56A0E">
        <w:rPr>
          <w:color w:val="0070C0"/>
          <w:u w:val="single"/>
          <w:lang w:val="fr-FR"/>
        </w:rPr>
        <w:t>https://www.fao.org/agriculture/crops/plan-thematique-du-site/theme/pests/code/list-guide-new/fr/</w:t>
      </w:r>
      <w:r w:rsidRPr="00F56A0E">
        <w:rPr>
          <w:color w:val="0070C0"/>
          <w:lang w:val="fr-FR"/>
        </w:rPr>
        <w:t xml:space="preserve"> </w:t>
      </w:r>
    </w:p>
    <w:p w14:paraId="6BDF68BD" w14:textId="52ED33E8" w:rsidR="001323B1" w:rsidRPr="00F56A0E" w:rsidRDefault="001323B1" w:rsidP="001323B1">
      <w:pPr>
        <w:spacing w:before="77" w:line="230" w:lineRule="exact"/>
        <w:ind w:right="792"/>
        <w:textAlignment w:val="baseline"/>
        <w:rPr>
          <w:rFonts w:eastAsia="Times New Roman"/>
          <w:color w:val="000000"/>
          <w:lang w:val="fr-FR"/>
        </w:rPr>
      </w:pPr>
      <w:r w:rsidRPr="00F56A0E">
        <w:rPr>
          <w:lang w:val="fr-FR"/>
        </w:rPr>
        <w:t>FAO, 1999. Directives pour la gestion de petites quantités de pesticides indésirables et périmés Disponible à l</w:t>
      </w:r>
      <w:r w:rsidR="00870D0E" w:rsidRPr="00F56A0E">
        <w:rPr>
          <w:lang w:val="fr-FR"/>
        </w:rPr>
        <w:t>’</w:t>
      </w:r>
      <w:r w:rsidRPr="00F56A0E">
        <w:rPr>
          <w:lang w:val="fr-FR"/>
        </w:rPr>
        <w:t xml:space="preserve">adresse </w:t>
      </w:r>
      <w:r w:rsidRPr="00F56A0E">
        <w:rPr>
          <w:color w:val="0070C0"/>
          <w:u w:val="single"/>
          <w:lang w:val="fr-FR"/>
        </w:rPr>
        <w:t>https://www.fao.org/agriculture/crops/plan-thematique-du-site/theme/pests/code/list-guide-new/fr/</w:t>
      </w:r>
      <w:r w:rsidRPr="00F56A0E">
        <w:rPr>
          <w:color w:val="0070C0"/>
          <w:lang w:val="fr-FR"/>
        </w:rPr>
        <w:t xml:space="preserve"> </w:t>
      </w:r>
    </w:p>
    <w:p w14:paraId="74C2110B" w14:textId="56F1EE32" w:rsidR="001323B1" w:rsidRPr="00F56A0E" w:rsidRDefault="001323B1" w:rsidP="001323B1">
      <w:pPr>
        <w:spacing w:before="77" w:line="230" w:lineRule="exact"/>
        <w:ind w:right="720"/>
        <w:textAlignment w:val="baseline"/>
        <w:rPr>
          <w:lang w:val="fr-FR"/>
        </w:rPr>
      </w:pPr>
      <w:r w:rsidRPr="00F56A0E">
        <w:rPr>
          <w:lang w:val="fr-FR"/>
        </w:rPr>
        <w:t>FAO, 2015: Guidelines on Good Labelling Practice for Pesticides (Revised). Rome. Disponible à l</w:t>
      </w:r>
      <w:r w:rsidR="00870D0E" w:rsidRPr="00F56A0E">
        <w:rPr>
          <w:lang w:val="fr-FR"/>
        </w:rPr>
        <w:t>’</w:t>
      </w:r>
      <w:r w:rsidRPr="00F56A0E">
        <w:rPr>
          <w:lang w:val="fr-FR"/>
        </w:rPr>
        <w:t xml:space="preserve">adresse </w:t>
      </w:r>
      <w:r w:rsidRPr="00F56A0E">
        <w:rPr>
          <w:color w:val="0070C0"/>
          <w:u w:val="single"/>
          <w:lang w:val="fr-FR"/>
        </w:rPr>
        <w:t>https://www.fao.org/3/i4854e/i4854e.pdf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AF104B" w:rsidRPr="00F56A0E" w14:paraId="5EF59CA1" w14:textId="77777777" w:rsidTr="003515D9">
        <w:tc>
          <w:tcPr>
            <w:tcW w:w="1898" w:type="dxa"/>
          </w:tcPr>
          <w:p w14:paraId="2B703E0D" w14:textId="77777777" w:rsidR="00AF104B" w:rsidRPr="00F56A0E" w:rsidRDefault="00AF104B" w:rsidP="00D638E3">
            <w:pPr>
              <w:spacing w:before="520"/>
              <w:rPr>
                <w:lang w:val="fr-FR"/>
              </w:rPr>
            </w:pPr>
          </w:p>
        </w:tc>
        <w:tc>
          <w:tcPr>
            <w:tcW w:w="1899" w:type="dxa"/>
          </w:tcPr>
          <w:p w14:paraId="0C09345E" w14:textId="77777777" w:rsidR="00AF104B" w:rsidRPr="00F56A0E" w:rsidRDefault="00AF104B" w:rsidP="00D638E3">
            <w:pPr>
              <w:spacing w:before="520"/>
              <w:rPr>
                <w:lang w:val="fr-FR"/>
              </w:rPr>
            </w:pPr>
          </w:p>
        </w:tc>
        <w:tc>
          <w:tcPr>
            <w:tcW w:w="1899" w:type="dxa"/>
            <w:tcBorders>
              <w:bottom w:val="single" w:sz="4" w:space="0" w:color="auto"/>
            </w:tcBorders>
          </w:tcPr>
          <w:p w14:paraId="582AC41A" w14:textId="77777777" w:rsidR="00AF104B" w:rsidRPr="00F56A0E" w:rsidRDefault="00AF104B" w:rsidP="00D638E3">
            <w:pPr>
              <w:spacing w:before="520"/>
              <w:rPr>
                <w:lang w:val="fr-FR"/>
              </w:rPr>
            </w:pPr>
          </w:p>
        </w:tc>
        <w:tc>
          <w:tcPr>
            <w:tcW w:w="1900" w:type="dxa"/>
          </w:tcPr>
          <w:p w14:paraId="7BB1FDFF" w14:textId="77777777" w:rsidR="00AF104B" w:rsidRPr="00F56A0E" w:rsidRDefault="00AF104B" w:rsidP="00D638E3">
            <w:pPr>
              <w:spacing w:before="520"/>
              <w:rPr>
                <w:lang w:val="fr-FR"/>
              </w:rPr>
            </w:pPr>
          </w:p>
        </w:tc>
        <w:tc>
          <w:tcPr>
            <w:tcW w:w="1900" w:type="dxa"/>
          </w:tcPr>
          <w:p w14:paraId="766A16B2" w14:textId="77777777" w:rsidR="00AF104B" w:rsidRPr="00F56A0E" w:rsidRDefault="00AF104B" w:rsidP="00D638E3">
            <w:pPr>
              <w:spacing w:before="520"/>
              <w:rPr>
                <w:lang w:val="fr-FR"/>
              </w:rPr>
            </w:pPr>
          </w:p>
        </w:tc>
      </w:tr>
    </w:tbl>
    <w:p w14:paraId="0F86B0F8" w14:textId="77777777" w:rsidR="00772E66" w:rsidRPr="00F56A0E" w:rsidRDefault="00772E66" w:rsidP="00BE3A2D">
      <w:pPr>
        <w:tabs>
          <w:tab w:val="left" w:pos="1740"/>
        </w:tabs>
        <w:rPr>
          <w:lang w:val="fr-FR"/>
        </w:rPr>
      </w:pPr>
    </w:p>
    <w:sectPr w:rsidR="00772E66" w:rsidRPr="00F56A0E" w:rsidSect="001323B1">
      <w:headerReference w:type="even" r:id="rId41"/>
      <w:headerReference w:type="default" r:id="rId42"/>
      <w:footerReference w:type="even" r:id="rId43"/>
      <w:footerReference w:type="default" r:id="rId44"/>
      <w:headerReference w:type="first" r:id="rId45"/>
      <w:footerReference w:type="first" r:id="rId4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2C01" w14:textId="77777777" w:rsidR="00AF7770" w:rsidRDefault="00AF7770">
      <w:r>
        <w:separator/>
      </w:r>
    </w:p>
  </w:endnote>
  <w:endnote w:type="continuationSeparator" w:id="0">
    <w:p w14:paraId="5258D37F" w14:textId="77777777" w:rsidR="00AF7770" w:rsidRDefault="00A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52326"/>
      <w:docPartObj>
        <w:docPartGallery w:val="Page Numbers (Bottom of Page)"/>
        <w:docPartUnique/>
      </w:docPartObj>
    </w:sdtPr>
    <w:sdtEndPr>
      <w:rPr>
        <w:b/>
        <w:bCs/>
        <w:noProof/>
      </w:rPr>
    </w:sdtEndPr>
    <w:sdtContent>
      <w:p w14:paraId="131C7DAD" w14:textId="3B9A25D4" w:rsidR="009665A9" w:rsidRPr="00C21DF2" w:rsidRDefault="009665A9">
        <w:pPr>
          <w:pStyle w:val="Footer"/>
          <w:rPr>
            <w:b/>
            <w:bCs/>
          </w:rPr>
        </w:pPr>
        <w:r w:rsidRPr="00C21DF2">
          <w:rPr>
            <w:b/>
            <w:bCs/>
          </w:rPr>
          <w:fldChar w:fldCharType="begin"/>
        </w:r>
        <w:r w:rsidRPr="00C21DF2">
          <w:rPr>
            <w:b/>
            <w:bCs/>
          </w:rPr>
          <w:instrText xml:space="preserve"> PAGE   \* MERGEFORMAT </w:instrText>
        </w:r>
        <w:r w:rsidRPr="00C21DF2">
          <w:rPr>
            <w:b/>
            <w:bCs/>
          </w:rPr>
          <w:fldChar w:fldCharType="separate"/>
        </w:r>
        <w:r w:rsidRPr="00C21DF2">
          <w:rPr>
            <w:b/>
            <w:bCs/>
            <w:noProof/>
          </w:rPr>
          <w:t>2</w:t>
        </w:r>
        <w:r w:rsidRPr="00C21DF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EA84" w14:textId="77777777" w:rsidR="009665A9" w:rsidRDefault="009665A9" w:rsidP="005E14FB">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E2B5" w14:textId="37DDE601" w:rsidR="009665A9" w:rsidRPr="004944AA" w:rsidRDefault="00B7517C" w:rsidP="004944AA">
    <w:pPr>
      <w:pStyle w:val="Footer"/>
      <w:tabs>
        <w:tab w:val="clear" w:pos="4320"/>
        <w:tab w:val="clear" w:pos="8640"/>
      </w:tabs>
      <w:rPr>
        <w:sz w:val="20"/>
      </w:rPr>
    </w:pPr>
    <w:r>
      <w:rPr>
        <w:lang w:val="fr-FR"/>
      </w:rPr>
      <w:t>K</w:t>
    </w:r>
    <w:r w:rsidR="008E32D2">
      <w:rPr>
        <w:lang w:val="fr-FR"/>
      </w:rPr>
      <w:t>22</w:t>
    </w:r>
    <w:r w:rsidR="009665A9">
      <w:rPr>
        <w:lang w:val="fr-FR"/>
      </w:rPr>
      <w:t>22</w:t>
    </w:r>
    <w:r w:rsidR="008E32D2">
      <w:rPr>
        <w:lang w:val="fr-FR"/>
      </w:rPr>
      <w:t>971[F]</w:t>
    </w:r>
    <w:r w:rsidR="009665A9">
      <w:rPr>
        <w:lang w:val="fr-FR"/>
      </w:rPr>
      <w:tab/>
    </w:r>
    <w:r>
      <w:rPr>
        <w:lang w:val="fr-FR"/>
      </w:rPr>
      <w:t>0</w:t>
    </w:r>
    <w:r w:rsidR="00C17264">
      <w:rPr>
        <w:lang w:val="fr-FR"/>
      </w:rPr>
      <w:t>9</w:t>
    </w:r>
    <w:r>
      <w:rPr>
        <w:lang w:val="fr-FR"/>
      </w:rPr>
      <w:t>11</w:t>
    </w:r>
    <w:r w:rsidR="009665A9">
      <w:rPr>
        <w:lang w:val="fr-FR"/>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C0F" w14:textId="4487173F" w:rsidR="009665A9" w:rsidRDefault="009665A9" w:rsidP="00C21DF2">
    <w:pPr>
      <w:pStyle w:val="Footer-pool"/>
    </w:pPr>
    <w:r w:rsidRPr="003A0366">
      <w:rPr>
        <w:rStyle w:val="PageNumber"/>
        <w:b/>
      </w:rPr>
      <w:fldChar w:fldCharType="begin"/>
    </w:r>
    <w:r w:rsidRPr="003A0366">
      <w:rPr>
        <w:rStyle w:val="PageNumber"/>
        <w:b/>
      </w:rPr>
      <w:instrText xml:space="preserve"> PAGE </w:instrText>
    </w:r>
    <w:r w:rsidRPr="003A0366">
      <w:rPr>
        <w:rStyle w:val="PageNumber"/>
        <w:b/>
      </w:rPr>
      <w:fldChar w:fldCharType="separate"/>
    </w:r>
    <w:r>
      <w:rPr>
        <w:rStyle w:val="PageNumber"/>
        <w:b/>
        <w:noProof/>
      </w:rPr>
      <w:t>2</w:t>
    </w:r>
    <w:r w:rsidRPr="003A0366">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095" w14:textId="0D939279" w:rsidR="009665A9" w:rsidRDefault="009665A9" w:rsidP="00C21DF2">
    <w:pPr>
      <w:pStyle w:val="Footer-pool"/>
      <w:jc w:val="right"/>
    </w:pPr>
    <w:r w:rsidRPr="003515D9">
      <w:rPr>
        <w:rStyle w:val="PageNumber"/>
        <w:b/>
      </w:rPr>
      <w:fldChar w:fldCharType="begin"/>
    </w:r>
    <w:r w:rsidRPr="003515D9">
      <w:rPr>
        <w:rStyle w:val="PageNumber"/>
        <w:b/>
      </w:rPr>
      <w:instrText xml:space="preserve"> PAGE </w:instrText>
    </w:r>
    <w:r w:rsidRPr="003515D9">
      <w:rPr>
        <w:rStyle w:val="PageNumber"/>
        <w:b/>
      </w:rPr>
      <w:fldChar w:fldCharType="separate"/>
    </w:r>
    <w:r w:rsidRPr="003515D9">
      <w:rPr>
        <w:rStyle w:val="PageNumber"/>
        <w:b/>
      </w:rPr>
      <w:t>3</w:t>
    </w:r>
    <w:r w:rsidRPr="003515D9">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62251"/>
      <w:docPartObj>
        <w:docPartGallery w:val="Page Numbers (Bottom of Page)"/>
        <w:docPartUnique/>
      </w:docPartObj>
    </w:sdtPr>
    <w:sdtEndPr>
      <w:rPr>
        <w:b/>
        <w:bCs/>
        <w:noProof/>
      </w:rPr>
    </w:sdtEndPr>
    <w:sdtContent>
      <w:p w14:paraId="15CB8812" w14:textId="77777777" w:rsidR="009665A9" w:rsidRPr="00C21DF2" w:rsidRDefault="009665A9" w:rsidP="00C21DF2">
        <w:pPr>
          <w:pStyle w:val="Footer"/>
          <w:jc w:val="right"/>
          <w:rPr>
            <w:b/>
            <w:bCs/>
          </w:rPr>
        </w:pPr>
        <w:r w:rsidRPr="00C21DF2">
          <w:rPr>
            <w:b/>
            <w:bCs/>
          </w:rPr>
          <w:fldChar w:fldCharType="begin"/>
        </w:r>
        <w:r w:rsidRPr="00C21DF2">
          <w:rPr>
            <w:b/>
            <w:bCs/>
          </w:rPr>
          <w:instrText xml:space="preserve"> PAGE   \* MERGEFORMAT </w:instrText>
        </w:r>
        <w:r w:rsidRPr="00C21DF2">
          <w:rPr>
            <w:b/>
            <w:bCs/>
          </w:rPr>
          <w:fldChar w:fldCharType="separate"/>
        </w:r>
        <w:r w:rsidRPr="00C21DF2">
          <w:rPr>
            <w:b/>
            <w:bCs/>
            <w:noProof/>
          </w:rPr>
          <w:t>2</w:t>
        </w:r>
        <w:r w:rsidRPr="00C21DF2">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961E" w14:textId="77777777" w:rsidR="00AF7770" w:rsidRDefault="00AF7770" w:rsidP="00D92DE0">
      <w:pPr>
        <w:ind w:left="624"/>
      </w:pPr>
      <w:r>
        <w:separator/>
      </w:r>
    </w:p>
  </w:footnote>
  <w:footnote w:type="continuationSeparator" w:id="0">
    <w:p w14:paraId="53CCD3D9" w14:textId="77777777" w:rsidR="00AF7770" w:rsidRDefault="00AF7770">
      <w:r>
        <w:continuationSeparator/>
      </w:r>
    </w:p>
  </w:footnote>
  <w:footnote w:id="1">
    <w:p w14:paraId="40284A0D" w14:textId="16D352AC" w:rsidR="009665A9" w:rsidRPr="00ED43D0" w:rsidRDefault="009665A9" w:rsidP="001323B1">
      <w:pPr>
        <w:pStyle w:val="FootnoteText"/>
        <w:rPr>
          <w:szCs w:val="18"/>
        </w:rPr>
      </w:pPr>
      <w:r w:rsidRPr="00ED43D0">
        <w:rPr>
          <w:rStyle w:val="FootnoteReference"/>
          <w:sz w:val="18"/>
          <w:lang w:val="fr-FR"/>
        </w:rPr>
        <w:footnoteRef/>
      </w:r>
      <w:r>
        <w:rPr>
          <w:lang w:val="fr-FR"/>
        </w:rPr>
        <w:t xml:space="preserve"> </w:t>
      </w:r>
      <w:bookmarkStart w:id="10" w:name="_Hlk109285339"/>
      <w:r>
        <w:rPr>
          <w:lang w:val="fr-FR"/>
        </w:rPr>
        <w:t>Aux termes de la Convention, « produit chimique » s’entend d’une substance présente, soit isolément, soit dans un mélange ou une préparation, qu’elle soit fabriquée ou issue de la nature, à l’exclusion de tout organisme vivant. Cette définition recouvre les catégories suivantes : pesticides (y compris les préparations pesticides extrêmement dangereuses) et produits industriels.</w:t>
      </w:r>
      <w:bookmarkEnd w:id="10"/>
    </w:p>
  </w:footnote>
  <w:footnote w:id="2">
    <w:p w14:paraId="64ADB53A" w14:textId="1F764623" w:rsidR="009665A9" w:rsidRPr="00ED43D0" w:rsidRDefault="009665A9" w:rsidP="001323B1">
      <w:pPr>
        <w:pStyle w:val="FootnoteText"/>
        <w:rPr>
          <w:szCs w:val="18"/>
        </w:rPr>
      </w:pPr>
      <w:r w:rsidRPr="00ED43D0">
        <w:rPr>
          <w:rStyle w:val="FootnoteReference"/>
          <w:sz w:val="18"/>
          <w:lang w:val="fr-FR"/>
        </w:rPr>
        <w:footnoteRef/>
      </w:r>
      <w:r>
        <w:rPr>
          <w:lang w:val="fr-FR"/>
        </w:rPr>
        <w:t xml:space="preserve"> </w:t>
      </w:r>
      <w:bookmarkStart w:id="11" w:name="_Hlk109285379"/>
      <w:r>
        <w:rPr>
          <w:lang w:val="fr-FR"/>
        </w:rPr>
        <w:t>Aux termes de la Convention, « Partie » s’entend d’un État ou d’une organisation régionale d’intégration économique qui a consenti à être lié par la Convention et pour lequel la Convention est en vigueur.</w:t>
      </w:r>
      <w:bookmarkEnd w:id="11"/>
    </w:p>
  </w:footnote>
  <w:footnote w:id="3">
    <w:p w14:paraId="770E7079" w14:textId="78CF1F17" w:rsidR="009665A9" w:rsidRPr="00ED43D0" w:rsidRDefault="009665A9" w:rsidP="001323B1">
      <w:pPr>
        <w:pStyle w:val="FootnoteText"/>
        <w:rPr>
          <w:szCs w:val="18"/>
        </w:rPr>
      </w:pPr>
      <w:r w:rsidRPr="00ED43D0">
        <w:rPr>
          <w:rStyle w:val="FootnoteReference"/>
          <w:sz w:val="18"/>
          <w:lang w:val="fr-FR"/>
        </w:rPr>
        <w:footnoteRef/>
      </w:r>
      <w:r>
        <w:rPr>
          <w:lang w:val="fr-FR"/>
        </w:rPr>
        <w:t xml:space="preserve"> http://www.pic.int/Procedures/ImportResponses/tabid/1162/language/en-US/Default.aspx.</w:t>
      </w:r>
    </w:p>
  </w:footnote>
  <w:footnote w:id="4">
    <w:p w14:paraId="451E5A40" w14:textId="690B9102" w:rsidR="009665A9" w:rsidRPr="0055668A" w:rsidRDefault="009665A9" w:rsidP="006F1716">
      <w:pPr>
        <w:pStyle w:val="FootnoteText"/>
        <w:rPr>
          <w:szCs w:val="18"/>
        </w:rPr>
      </w:pPr>
      <w:r>
        <w:rPr>
          <w:rStyle w:val="FootnoteReference"/>
        </w:rPr>
        <w:footnoteRef/>
      </w:r>
      <w:r>
        <w:t xml:space="preserve"> La notification révisée de mesure de réglementation finale soumise par le Canada le 29 janvier 2021 remplace la notification pour le même produit chimique soumise le 3 février 2008 et publiée dans la circulaire PIC XXVII de juin 2008. Le résumé de la notification révisée a été publié dans la circulaire PIC LIII en juin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69C" w14:textId="48FE2FAD" w:rsidR="009665A9" w:rsidRPr="00A7706B" w:rsidRDefault="009665A9" w:rsidP="00A7706B">
    <w:pPr>
      <w:pStyle w:val="Header-pool"/>
    </w:pPr>
    <w:r w:rsidRPr="00070CED">
      <w:t>UNEP/FAO/RC/</w:t>
    </w:r>
    <w:r>
      <w:t>CRC.18/4/Rev.1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7BAA" w14:textId="0D803E6C" w:rsidR="009665A9" w:rsidRDefault="009665A9" w:rsidP="001323B1">
    <w:pPr>
      <w:pStyle w:val="Header"/>
      <w:pBdr>
        <w:bottom w:val="none" w:sz="0" w:space="0" w:color="auto"/>
      </w:pBdr>
      <w:jc w:val="righ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F8E" w14:textId="41ECF1DC" w:rsidR="009665A9" w:rsidRDefault="009665A9" w:rsidP="00C21DF2">
    <w:pPr>
      <w:pStyle w:val="Header-pool"/>
    </w:pPr>
    <w:r w:rsidRPr="00070CED">
      <w:t>UNEP/FAO/RC/</w:t>
    </w:r>
    <w:r>
      <w:t>CRC.18/4/Rev.1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B1FF" w14:textId="49B6BA66" w:rsidR="009665A9" w:rsidRDefault="009665A9" w:rsidP="00C21DF2">
    <w:pPr>
      <w:pStyle w:val="Header-pool"/>
      <w:jc w:val="right"/>
    </w:pPr>
    <w:r w:rsidRPr="00070CED">
      <w:t>UNEP/FAO/RC/</w:t>
    </w:r>
    <w:r>
      <w:t>CRC.18/4/Rev.1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C96D" w14:textId="2D0D0015" w:rsidR="009665A9" w:rsidRDefault="009665A9" w:rsidP="00A7706B">
    <w:pPr>
      <w:pStyle w:val="Header-pool"/>
      <w:jc w:val="right"/>
    </w:pPr>
    <w:r w:rsidRPr="00070CED">
      <w:t>UNEP/FAO/RC/</w:t>
    </w:r>
    <w:r>
      <w:t>CRC.18/4/Rev.1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CAB"/>
    <w:multiLevelType w:val="hybridMultilevel"/>
    <w:tmpl w:val="E0827AEC"/>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273"/>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B571867"/>
    <w:multiLevelType w:val="singleLevel"/>
    <w:tmpl w:val="9AB82FE2"/>
    <w:lvl w:ilvl="0">
      <w:start w:val="1"/>
      <w:numFmt w:val="upperRoman"/>
      <w:lvlText w:val="%1."/>
      <w:lvlJc w:val="left"/>
      <w:pPr>
        <w:tabs>
          <w:tab w:val="num" w:pos="720"/>
        </w:tabs>
        <w:ind w:left="720" w:hanging="72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35571603"/>
    <w:multiLevelType w:val="singleLevel"/>
    <w:tmpl w:val="53BE2666"/>
    <w:lvl w:ilvl="0">
      <w:start w:val="6"/>
      <w:numFmt w:val="upperLetter"/>
      <w:lvlText w:val="%1."/>
      <w:lvlJc w:val="left"/>
      <w:pPr>
        <w:tabs>
          <w:tab w:val="num" w:pos="360"/>
        </w:tabs>
        <w:ind w:left="360" w:hanging="360"/>
      </w:pPr>
      <w:rPr>
        <w:rFonts w:hint="default"/>
      </w:rPr>
    </w:lvl>
  </w:abstractNum>
  <w:abstractNum w:abstractNumId="6" w15:restartNumberingAfterBreak="0">
    <w:nsid w:val="3AB4508D"/>
    <w:multiLevelType w:val="multilevel"/>
    <w:tmpl w:val="E6DE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F7A42"/>
    <w:multiLevelType w:val="multilevel"/>
    <w:tmpl w:val="C0FC3350"/>
    <w:numStyleLink w:val="Normallist"/>
  </w:abstractNum>
  <w:abstractNum w:abstractNumId="8" w15:restartNumberingAfterBreak="0">
    <w:nsid w:val="52A66A9D"/>
    <w:multiLevelType w:val="multilevel"/>
    <w:tmpl w:val="C0FC335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081F01"/>
    <w:multiLevelType w:val="hybridMultilevel"/>
    <w:tmpl w:val="C3A046F8"/>
    <w:lvl w:ilvl="0" w:tplc="0ADC15D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58B60CB"/>
    <w:multiLevelType w:val="multilevel"/>
    <w:tmpl w:val="38B4B814"/>
    <w:lvl w:ilvl="0">
      <w:start w:val="1"/>
      <w:numFmt w:val="decimal"/>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942D8F"/>
    <w:multiLevelType w:val="multilevel"/>
    <w:tmpl w:val="E2C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749248">
    <w:abstractNumId w:val="3"/>
  </w:num>
  <w:num w:numId="2" w16cid:durableId="805778066">
    <w:abstractNumId w:val="5"/>
  </w:num>
  <w:num w:numId="3" w16cid:durableId="2028170805">
    <w:abstractNumId w:val="8"/>
  </w:num>
  <w:num w:numId="4" w16cid:durableId="1262303847">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5" w16cid:durableId="1887136324">
    <w:abstractNumId w:val="8"/>
  </w:num>
  <w:num w:numId="6" w16cid:durableId="1601984264">
    <w:abstractNumId w:val="8"/>
  </w:num>
  <w:num w:numId="7" w16cid:durableId="1849102332">
    <w:abstractNumId w:val="8"/>
  </w:num>
  <w:num w:numId="8" w16cid:durableId="1562016884">
    <w:abstractNumId w:val="8"/>
  </w:num>
  <w:num w:numId="9" w16cid:durableId="953823498">
    <w:abstractNumId w:val="8"/>
  </w:num>
  <w:num w:numId="10" w16cid:durableId="1576892294">
    <w:abstractNumId w:val="8"/>
  </w:num>
  <w:num w:numId="11" w16cid:durableId="369309833">
    <w:abstractNumId w:val="8"/>
  </w:num>
  <w:num w:numId="12" w16cid:durableId="1496603215">
    <w:abstractNumId w:val="8"/>
  </w:num>
  <w:num w:numId="13" w16cid:durableId="512304884">
    <w:abstractNumId w:val="8"/>
  </w:num>
  <w:num w:numId="14" w16cid:durableId="623923035">
    <w:abstractNumId w:val="8"/>
  </w:num>
  <w:num w:numId="15" w16cid:durableId="1160926639">
    <w:abstractNumId w:val="8"/>
  </w:num>
  <w:num w:numId="16" w16cid:durableId="612328664">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7" w16cid:durableId="872767747">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8" w16cid:durableId="527186955">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9" w16cid:durableId="1745489958">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0" w16cid:durableId="1293831542">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1" w16cid:durableId="1556938815">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2" w16cid:durableId="1787307721">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3" w16cid:durableId="1222598262">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4" w16cid:durableId="275335882">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5" w16cid:durableId="425273548">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6" w16cid:durableId="2082483406">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7" w16cid:durableId="1137257496">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8" w16cid:durableId="1260985160">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16cid:durableId="818882380">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16cid:durableId="1790122859">
    <w:abstractNumId w:val="7"/>
  </w:num>
  <w:num w:numId="31" w16cid:durableId="60103085">
    <w:abstractNumId w:val="3"/>
  </w:num>
  <w:num w:numId="32" w16cid:durableId="784812117">
    <w:abstractNumId w:val="5"/>
  </w:num>
  <w:num w:numId="33" w16cid:durableId="1691031515">
    <w:abstractNumId w:val="8"/>
  </w:num>
  <w:num w:numId="34" w16cid:durableId="797525502">
    <w:abstractNumId w:val="8"/>
  </w:num>
  <w:num w:numId="35" w16cid:durableId="1568035993">
    <w:abstractNumId w:val="8"/>
  </w:num>
  <w:num w:numId="36" w16cid:durableId="147862410">
    <w:abstractNumId w:val="8"/>
  </w:num>
  <w:num w:numId="37" w16cid:durableId="2050493988">
    <w:abstractNumId w:val="1"/>
  </w:num>
  <w:num w:numId="38" w16cid:durableId="60760871">
    <w:abstractNumId w:val="8"/>
  </w:num>
  <w:num w:numId="39" w16cid:durableId="1182430443">
    <w:abstractNumId w:val="4"/>
  </w:num>
  <w:num w:numId="40" w16cid:durableId="409737096">
    <w:abstractNumId w:val="6"/>
  </w:num>
  <w:num w:numId="41" w16cid:durableId="225141562">
    <w:abstractNumId w:val="0"/>
  </w:num>
  <w:num w:numId="42" w16cid:durableId="1927421950">
    <w:abstractNumId w:val="2"/>
  </w:num>
  <w:num w:numId="43" w16cid:durableId="1816097537">
    <w:abstractNumId w:val="10"/>
  </w:num>
  <w:num w:numId="44" w16cid:durableId="177937238">
    <w:abstractNumId w:val="11"/>
  </w:num>
  <w:num w:numId="45" w16cid:durableId="77629507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0" w:nlCheck="1" w:checkStyle="1"/>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fr-CH" w:vendorID="64" w:dllVersion="6" w:nlCheck="1" w:checkStyle="0"/>
  <w:activeWritingStyle w:appName="MSWord" w:lang="en-CA"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de-DE" w:vendorID="64" w:dllVersion="0" w:nlCheck="1" w:checkStyle="0"/>
  <w:activeWritingStyle w:appName="MSWord" w:lang="it-CH" w:vendorID="64" w:dllVersion="0" w:nlCheck="1" w:checkStyle="0"/>
  <w:activeWritingStyle w:appName="MSWord" w:lang="fr-FR" w:vendorID="64" w:dllVersion="4096" w:nlCheck="1" w:checkStyle="0"/>
  <w:activeWritingStyle w:appName="MSWord" w:lang="fr-CA" w:vendorID="64" w:dllVersion="4096"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A9"/>
    <w:rsid w:val="00002921"/>
    <w:rsid w:val="00011376"/>
    <w:rsid w:val="00012608"/>
    <w:rsid w:val="0001286C"/>
    <w:rsid w:val="000149E6"/>
    <w:rsid w:val="00020667"/>
    <w:rsid w:val="000247B0"/>
    <w:rsid w:val="00026997"/>
    <w:rsid w:val="00033C6B"/>
    <w:rsid w:val="00033E0B"/>
    <w:rsid w:val="0003485B"/>
    <w:rsid w:val="00035EDE"/>
    <w:rsid w:val="00035FF3"/>
    <w:rsid w:val="00037560"/>
    <w:rsid w:val="00040A27"/>
    <w:rsid w:val="0004459A"/>
    <w:rsid w:val="000509B4"/>
    <w:rsid w:val="0005447B"/>
    <w:rsid w:val="00056798"/>
    <w:rsid w:val="0006035B"/>
    <w:rsid w:val="000622E7"/>
    <w:rsid w:val="00065E2D"/>
    <w:rsid w:val="000701EA"/>
    <w:rsid w:val="00070CED"/>
    <w:rsid w:val="000710BB"/>
    <w:rsid w:val="00071886"/>
    <w:rsid w:val="000742BC"/>
    <w:rsid w:val="0007624D"/>
    <w:rsid w:val="00082A0C"/>
    <w:rsid w:val="00083504"/>
    <w:rsid w:val="0009640C"/>
    <w:rsid w:val="00096D2E"/>
    <w:rsid w:val="000A48E5"/>
    <w:rsid w:val="000A5B84"/>
    <w:rsid w:val="000B10A4"/>
    <w:rsid w:val="000B22A2"/>
    <w:rsid w:val="000B493F"/>
    <w:rsid w:val="000B5350"/>
    <w:rsid w:val="000B5DB1"/>
    <w:rsid w:val="000B6DCA"/>
    <w:rsid w:val="000C04B6"/>
    <w:rsid w:val="000C2A52"/>
    <w:rsid w:val="000C34C0"/>
    <w:rsid w:val="000C7B60"/>
    <w:rsid w:val="000D20E2"/>
    <w:rsid w:val="000D33C0"/>
    <w:rsid w:val="000D3553"/>
    <w:rsid w:val="000D6941"/>
    <w:rsid w:val="000D711F"/>
    <w:rsid w:val="000E322E"/>
    <w:rsid w:val="000E5508"/>
    <w:rsid w:val="000E6A90"/>
    <w:rsid w:val="000E7029"/>
    <w:rsid w:val="0010049C"/>
    <w:rsid w:val="0010063B"/>
    <w:rsid w:val="00101B1B"/>
    <w:rsid w:val="00110605"/>
    <w:rsid w:val="00113ABA"/>
    <w:rsid w:val="001202E3"/>
    <w:rsid w:val="00123699"/>
    <w:rsid w:val="0012541F"/>
    <w:rsid w:val="00125721"/>
    <w:rsid w:val="00126131"/>
    <w:rsid w:val="00126DD7"/>
    <w:rsid w:val="0013059D"/>
    <w:rsid w:val="001323B1"/>
    <w:rsid w:val="001328DA"/>
    <w:rsid w:val="001349EA"/>
    <w:rsid w:val="00141A55"/>
    <w:rsid w:val="00143DFC"/>
    <w:rsid w:val="001446A3"/>
    <w:rsid w:val="00144762"/>
    <w:rsid w:val="001538F4"/>
    <w:rsid w:val="00153B34"/>
    <w:rsid w:val="00155395"/>
    <w:rsid w:val="0015675A"/>
    <w:rsid w:val="00157D75"/>
    <w:rsid w:val="00160D74"/>
    <w:rsid w:val="001630C4"/>
    <w:rsid w:val="00167449"/>
    <w:rsid w:val="00167D02"/>
    <w:rsid w:val="00171FF7"/>
    <w:rsid w:val="001722AF"/>
    <w:rsid w:val="00181EC8"/>
    <w:rsid w:val="00184349"/>
    <w:rsid w:val="00195F33"/>
    <w:rsid w:val="001967EA"/>
    <w:rsid w:val="00196B3C"/>
    <w:rsid w:val="001B1617"/>
    <w:rsid w:val="001B2B5B"/>
    <w:rsid w:val="001B504B"/>
    <w:rsid w:val="001C4B00"/>
    <w:rsid w:val="001D3874"/>
    <w:rsid w:val="001D7E75"/>
    <w:rsid w:val="001E1A27"/>
    <w:rsid w:val="001E2317"/>
    <w:rsid w:val="001E44A0"/>
    <w:rsid w:val="001E4902"/>
    <w:rsid w:val="001E56D2"/>
    <w:rsid w:val="001E6F60"/>
    <w:rsid w:val="001E7D56"/>
    <w:rsid w:val="001F141C"/>
    <w:rsid w:val="001F427C"/>
    <w:rsid w:val="001F75DE"/>
    <w:rsid w:val="00200D58"/>
    <w:rsid w:val="002013BE"/>
    <w:rsid w:val="00201A25"/>
    <w:rsid w:val="00201EB0"/>
    <w:rsid w:val="00202E44"/>
    <w:rsid w:val="002063A4"/>
    <w:rsid w:val="0021145B"/>
    <w:rsid w:val="002268E3"/>
    <w:rsid w:val="00240B4D"/>
    <w:rsid w:val="0024204A"/>
    <w:rsid w:val="00242EBF"/>
    <w:rsid w:val="00243D36"/>
    <w:rsid w:val="00246EF5"/>
    <w:rsid w:val="00247707"/>
    <w:rsid w:val="00247B60"/>
    <w:rsid w:val="0026018E"/>
    <w:rsid w:val="002609BD"/>
    <w:rsid w:val="00260D0C"/>
    <w:rsid w:val="00260ED6"/>
    <w:rsid w:val="00262071"/>
    <w:rsid w:val="00263F70"/>
    <w:rsid w:val="00266406"/>
    <w:rsid w:val="002801C6"/>
    <w:rsid w:val="00281703"/>
    <w:rsid w:val="00285A02"/>
    <w:rsid w:val="00285C19"/>
    <w:rsid w:val="00286740"/>
    <w:rsid w:val="002929C0"/>
    <w:rsid w:val="002929D8"/>
    <w:rsid w:val="00293C4B"/>
    <w:rsid w:val="00295D67"/>
    <w:rsid w:val="002A237D"/>
    <w:rsid w:val="002A4C53"/>
    <w:rsid w:val="002A6196"/>
    <w:rsid w:val="002B0672"/>
    <w:rsid w:val="002B247F"/>
    <w:rsid w:val="002B3E9B"/>
    <w:rsid w:val="002B7233"/>
    <w:rsid w:val="002B7DE9"/>
    <w:rsid w:val="002C145D"/>
    <w:rsid w:val="002C2C3E"/>
    <w:rsid w:val="002C336B"/>
    <w:rsid w:val="002C4422"/>
    <w:rsid w:val="002C533E"/>
    <w:rsid w:val="002D027F"/>
    <w:rsid w:val="002D54CC"/>
    <w:rsid w:val="002D7A85"/>
    <w:rsid w:val="002D7B60"/>
    <w:rsid w:val="002E7AA8"/>
    <w:rsid w:val="002F17D5"/>
    <w:rsid w:val="002F4761"/>
    <w:rsid w:val="002F5C79"/>
    <w:rsid w:val="00301739"/>
    <w:rsid w:val="003019E2"/>
    <w:rsid w:val="00305A94"/>
    <w:rsid w:val="003112B7"/>
    <w:rsid w:val="0031413F"/>
    <w:rsid w:val="003148BB"/>
    <w:rsid w:val="00317976"/>
    <w:rsid w:val="00323DDA"/>
    <w:rsid w:val="003273F8"/>
    <w:rsid w:val="003318DA"/>
    <w:rsid w:val="0034114F"/>
    <w:rsid w:val="00341A92"/>
    <w:rsid w:val="00341B76"/>
    <w:rsid w:val="00344798"/>
    <w:rsid w:val="003458A0"/>
    <w:rsid w:val="003503A6"/>
    <w:rsid w:val="003515D9"/>
    <w:rsid w:val="00355EA9"/>
    <w:rsid w:val="003578DE"/>
    <w:rsid w:val="003601A0"/>
    <w:rsid w:val="00360D7D"/>
    <w:rsid w:val="00363C8F"/>
    <w:rsid w:val="00363D96"/>
    <w:rsid w:val="00365BD8"/>
    <w:rsid w:val="003748B8"/>
    <w:rsid w:val="003811CB"/>
    <w:rsid w:val="00392C55"/>
    <w:rsid w:val="00394B44"/>
    <w:rsid w:val="00396257"/>
    <w:rsid w:val="00397EB8"/>
    <w:rsid w:val="003A0366"/>
    <w:rsid w:val="003A4FD0"/>
    <w:rsid w:val="003A69D1"/>
    <w:rsid w:val="003A7705"/>
    <w:rsid w:val="003A7773"/>
    <w:rsid w:val="003A77F1"/>
    <w:rsid w:val="003A7C7A"/>
    <w:rsid w:val="003B1545"/>
    <w:rsid w:val="003B353B"/>
    <w:rsid w:val="003B6F35"/>
    <w:rsid w:val="003C05F1"/>
    <w:rsid w:val="003C1E17"/>
    <w:rsid w:val="003C35E3"/>
    <w:rsid w:val="003C409D"/>
    <w:rsid w:val="003C5BA6"/>
    <w:rsid w:val="003C6C85"/>
    <w:rsid w:val="003C7338"/>
    <w:rsid w:val="003E06CC"/>
    <w:rsid w:val="003E6786"/>
    <w:rsid w:val="003F0CC2"/>
    <w:rsid w:val="003F0E85"/>
    <w:rsid w:val="003F10F9"/>
    <w:rsid w:val="003F19C2"/>
    <w:rsid w:val="003F7745"/>
    <w:rsid w:val="00402CB5"/>
    <w:rsid w:val="00403BFD"/>
    <w:rsid w:val="00410C55"/>
    <w:rsid w:val="00413232"/>
    <w:rsid w:val="00413BA6"/>
    <w:rsid w:val="00416854"/>
    <w:rsid w:val="00417725"/>
    <w:rsid w:val="00424C96"/>
    <w:rsid w:val="00427277"/>
    <w:rsid w:val="004325F6"/>
    <w:rsid w:val="00435002"/>
    <w:rsid w:val="00437F26"/>
    <w:rsid w:val="00444097"/>
    <w:rsid w:val="00445487"/>
    <w:rsid w:val="00454769"/>
    <w:rsid w:val="0045777A"/>
    <w:rsid w:val="004652F4"/>
    <w:rsid w:val="00466991"/>
    <w:rsid w:val="0047064C"/>
    <w:rsid w:val="00476914"/>
    <w:rsid w:val="004816F9"/>
    <w:rsid w:val="00494161"/>
    <w:rsid w:val="004944AA"/>
    <w:rsid w:val="00494E89"/>
    <w:rsid w:val="00496139"/>
    <w:rsid w:val="00496594"/>
    <w:rsid w:val="004A0C2F"/>
    <w:rsid w:val="004A42E1"/>
    <w:rsid w:val="004A7152"/>
    <w:rsid w:val="004B0E8D"/>
    <w:rsid w:val="004B162C"/>
    <w:rsid w:val="004B1E9F"/>
    <w:rsid w:val="004B2336"/>
    <w:rsid w:val="004B3006"/>
    <w:rsid w:val="004C07C2"/>
    <w:rsid w:val="004C0E49"/>
    <w:rsid w:val="004C2628"/>
    <w:rsid w:val="004C3DBE"/>
    <w:rsid w:val="004C5C96"/>
    <w:rsid w:val="004C703A"/>
    <w:rsid w:val="004D06A4"/>
    <w:rsid w:val="004D4A00"/>
    <w:rsid w:val="004D5187"/>
    <w:rsid w:val="004D53B7"/>
    <w:rsid w:val="004D7DC3"/>
    <w:rsid w:val="004E77CD"/>
    <w:rsid w:val="004F12E0"/>
    <w:rsid w:val="004F1A81"/>
    <w:rsid w:val="004F1D99"/>
    <w:rsid w:val="004F4F09"/>
    <w:rsid w:val="004F55F6"/>
    <w:rsid w:val="00501320"/>
    <w:rsid w:val="00503F9E"/>
    <w:rsid w:val="0050458D"/>
    <w:rsid w:val="0050460E"/>
    <w:rsid w:val="005218D9"/>
    <w:rsid w:val="00530ED1"/>
    <w:rsid w:val="0053344E"/>
    <w:rsid w:val="00536186"/>
    <w:rsid w:val="00544CBB"/>
    <w:rsid w:val="00553319"/>
    <w:rsid w:val="00553AF2"/>
    <w:rsid w:val="00557FA6"/>
    <w:rsid w:val="00560284"/>
    <w:rsid w:val="0057315F"/>
    <w:rsid w:val="00576104"/>
    <w:rsid w:val="005812CC"/>
    <w:rsid w:val="00587205"/>
    <w:rsid w:val="0059601B"/>
    <w:rsid w:val="005A4388"/>
    <w:rsid w:val="005A4D74"/>
    <w:rsid w:val="005A64F2"/>
    <w:rsid w:val="005B5BF6"/>
    <w:rsid w:val="005C063F"/>
    <w:rsid w:val="005C67C8"/>
    <w:rsid w:val="005D0249"/>
    <w:rsid w:val="005D6E8C"/>
    <w:rsid w:val="005E14FB"/>
    <w:rsid w:val="005E2889"/>
    <w:rsid w:val="005E39E1"/>
    <w:rsid w:val="005E3C8B"/>
    <w:rsid w:val="005E6F7A"/>
    <w:rsid w:val="005F100C"/>
    <w:rsid w:val="005F15E0"/>
    <w:rsid w:val="005F1837"/>
    <w:rsid w:val="005F197C"/>
    <w:rsid w:val="005F68DA"/>
    <w:rsid w:val="006038FD"/>
    <w:rsid w:val="006044E4"/>
    <w:rsid w:val="0060773B"/>
    <w:rsid w:val="00614836"/>
    <w:rsid w:val="006157B5"/>
    <w:rsid w:val="00623CF3"/>
    <w:rsid w:val="00626FC6"/>
    <w:rsid w:val="006303B4"/>
    <w:rsid w:val="006323F9"/>
    <w:rsid w:val="006339E1"/>
    <w:rsid w:val="00633D3D"/>
    <w:rsid w:val="00636F04"/>
    <w:rsid w:val="006371A6"/>
    <w:rsid w:val="00641703"/>
    <w:rsid w:val="006431A6"/>
    <w:rsid w:val="006459B7"/>
    <w:rsid w:val="006459F6"/>
    <w:rsid w:val="006501AD"/>
    <w:rsid w:val="00651BFA"/>
    <w:rsid w:val="00651C52"/>
    <w:rsid w:val="00653F54"/>
    <w:rsid w:val="00654475"/>
    <w:rsid w:val="00660620"/>
    <w:rsid w:val="006607F7"/>
    <w:rsid w:val="00663EF5"/>
    <w:rsid w:val="00665A4B"/>
    <w:rsid w:val="00670179"/>
    <w:rsid w:val="006711B5"/>
    <w:rsid w:val="006910AC"/>
    <w:rsid w:val="00692184"/>
    <w:rsid w:val="00692E2A"/>
    <w:rsid w:val="006966AD"/>
    <w:rsid w:val="006A5FF9"/>
    <w:rsid w:val="006A64BF"/>
    <w:rsid w:val="006A76F2"/>
    <w:rsid w:val="006B2D36"/>
    <w:rsid w:val="006B2EE0"/>
    <w:rsid w:val="006B7B2E"/>
    <w:rsid w:val="006C2EB7"/>
    <w:rsid w:val="006C4459"/>
    <w:rsid w:val="006D0DDD"/>
    <w:rsid w:val="006D5212"/>
    <w:rsid w:val="006D7EFB"/>
    <w:rsid w:val="006E5445"/>
    <w:rsid w:val="006E6672"/>
    <w:rsid w:val="006E6722"/>
    <w:rsid w:val="006F1716"/>
    <w:rsid w:val="007027B9"/>
    <w:rsid w:val="00711E68"/>
    <w:rsid w:val="00715E88"/>
    <w:rsid w:val="007164F6"/>
    <w:rsid w:val="00734CAA"/>
    <w:rsid w:val="007401AB"/>
    <w:rsid w:val="007464AB"/>
    <w:rsid w:val="0075172B"/>
    <w:rsid w:val="007545E0"/>
    <w:rsid w:val="0075533C"/>
    <w:rsid w:val="00757581"/>
    <w:rsid w:val="007611A0"/>
    <w:rsid w:val="007726A8"/>
    <w:rsid w:val="00772E66"/>
    <w:rsid w:val="007857E7"/>
    <w:rsid w:val="00796D3F"/>
    <w:rsid w:val="007A1683"/>
    <w:rsid w:val="007A3E34"/>
    <w:rsid w:val="007A5403"/>
    <w:rsid w:val="007A5C12"/>
    <w:rsid w:val="007A755D"/>
    <w:rsid w:val="007A7CB0"/>
    <w:rsid w:val="007B50CD"/>
    <w:rsid w:val="007B68A3"/>
    <w:rsid w:val="007C0246"/>
    <w:rsid w:val="007C2541"/>
    <w:rsid w:val="007C5354"/>
    <w:rsid w:val="007D59F1"/>
    <w:rsid w:val="007D66A8"/>
    <w:rsid w:val="007D6A2B"/>
    <w:rsid w:val="007D7722"/>
    <w:rsid w:val="007E003F"/>
    <w:rsid w:val="007E27A1"/>
    <w:rsid w:val="007E521C"/>
    <w:rsid w:val="007E6681"/>
    <w:rsid w:val="007F057F"/>
    <w:rsid w:val="008040F6"/>
    <w:rsid w:val="0080434F"/>
    <w:rsid w:val="00813609"/>
    <w:rsid w:val="008149AD"/>
    <w:rsid w:val="008164F2"/>
    <w:rsid w:val="00821395"/>
    <w:rsid w:val="00822255"/>
    <w:rsid w:val="008223F0"/>
    <w:rsid w:val="00830E26"/>
    <w:rsid w:val="00832EED"/>
    <w:rsid w:val="0083545D"/>
    <w:rsid w:val="008375E0"/>
    <w:rsid w:val="00843576"/>
    <w:rsid w:val="00843B64"/>
    <w:rsid w:val="008473C1"/>
    <w:rsid w:val="008478FC"/>
    <w:rsid w:val="00867BFF"/>
    <w:rsid w:val="00870D0E"/>
    <w:rsid w:val="0088480A"/>
    <w:rsid w:val="0088757A"/>
    <w:rsid w:val="00890E2E"/>
    <w:rsid w:val="00891187"/>
    <w:rsid w:val="0089280B"/>
    <w:rsid w:val="008957DD"/>
    <w:rsid w:val="00897D98"/>
    <w:rsid w:val="008A5EED"/>
    <w:rsid w:val="008A6DF2"/>
    <w:rsid w:val="008A7049"/>
    <w:rsid w:val="008A75CF"/>
    <w:rsid w:val="008A7807"/>
    <w:rsid w:val="008B0901"/>
    <w:rsid w:val="008B4CC9"/>
    <w:rsid w:val="008C1A96"/>
    <w:rsid w:val="008C3121"/>
    <w:rsid w:val="008D7C99"/>
    <w:rsid w:val="008E0FCB"/>
    <w:rsid w:val="008E32D2"/>
    <w:rsid w:val="008E6BAA"/>
    <w:rsid w:val="008E7BEF"/>
    <w:rsid w:val="00901C24"/>
    <w:rsid w:val="00902B6E"/>
    <w:rsid w:val="0090394F"/>
    <w:rsid w:val="00903CDB"/>
    <w:rsid w:val="00905AD0"/>
    <w:rsid w:val="00912525"/>
    <w:rsid w:val="00916A5B"/>
    <w:rsid w:val="00916CF3"/>
    <w:rsid w:val="00920705"/>
    <w:rsid w:val="0092178C"/>
    <w:rsid w:val="009227B4"/>
    <w:rsid w:val="00923869"/>
    <w:rsid w:val="00926928"/>
    <w:rsid w:val="00930B88"/>
    <w:rsid w:val="00940DCC"/>
    <w:rsid w:val="0094179A"/>
    <w:rsid w:val="0094459E"/>
    <w:rsid w:val="00944DBC"/>
    <w:rsid w:val="009504FE"/>
    <w:rsid w:val="00950977"/>
    <w:rsid w:val="00951A7B"/>
    <w:rsid w:val="00953676"/>
    <w:rsid w:val="00954B75"/>
    <w:rsid w:val="009564A6"/>
    <w:rsid w:val="0096218F"/>
    <w:rsid w:val="009621D0"/>
    <w:rsid w:val="009621FC"/>
    <w:rsid w:val="00962F9D"/>
    <w:rsid w:val="009665A9"/>
    <w:rsid w:val="00967621"/>
    <w:rsid w:val="00967E6A"/>
    <w:rsid w:val="00980BB9"/>
    <w:rsid w:val="00985D12"/>
    <w:rsid w:val="009862A9"/>
    <w:rsid w:val="00987A22"/>
    <w:rsid w:val="0099264C"/>
    <w:rsid w:val="0099769F"/>
    <w:rsid w:val="009A03DF"/>
    <w:rsid w:val="009A4173"/>
    <w:rsid w:val="009A572E"/>
    <w:rsid w:val="009A5D91"/>
    <w:rsid w:val="009B4A0F"/>
    <w:rsid w:val="009C005E"/>
    <w:rsid w:val="009C03BD"/>
    <w:rsid w:val="009C0DB2"/>
    <w:rsid w:val="009C11D2"/>
    <w:rsid w:val="009C2AEA"/>
    <w:rsid w:val="009C2C38"/>
    <w:rsid w:val="009C6C70"/>
    <w:rsid w:val="009C7457"/>
    <w:rsid w:val="009D0B63"/>
    <w:rsid w:val="009E307E"/>
    <w:rsid w:val="009F1948"/>
    <w:rsid w:val="009F5A67"/>
    <w:rsid w:val="009F773B"/>
    <w:rsid w:val="00A005AE"/>
    <w:rsid w:val="00A006A8"/>
    <w:rsid w:val="00A02326"/>
    <w:rsid w:val="00A02ED2"/>
    <w:rsid w:val="00A040E7"/>
    <w:rsid w:val="00A04F48"/>
    <w:rsid w:val="00A0633A"/>
    <w:rsid w:val="00A07870"/>
    <w:rsid w:val="00A07F19"/>
    <w:rsid w:val="00A12525"/>
    <w:rsid w:val="00A1348D"/>
    <w:rsid w:val="00A16264"/>
    <w:rsid w:val="00A216C4"/>
    <w:rsid w:val="00A232EE"/>
    <w:rsid w:val="00A238A2"/>
    <w:rsid w:val="00A23BB8"/>
    <w:rsid w:val="00A3226E"/>
    <w:rsid w:val="00A4175F"/>
    <w:rsid w:val="00A441A5"/>
    <w:rsid w:val="00A44411"/>
    <w:rsid w:val="00A469FA"/>
    <w:rsid w:val="00A540DD"/>
    <w:rsid w:val="00A55B01"/>
    <w:rsid w:val="00A55FBC"/>
    <w:rsid w:val="00A56B5B"/>
    <w:rsid w:val="00A56C3A"/>
    <w:rsid w:val="00A603FF"/>
    <w:rsid w:val="00A605EB"/>
    <w:rsid w:val="00A63897"/>
    <w:rsid w:val="00A6486C"/>
    <w:rsid w:val="00A657DD"/>
    <w:rsid w:val="00A66189"/>
    <w:rsid w:val="00A666A6"/>
    <w:rsid w:val="00A675FD"/>
    <w:rsid w:val="00A67C5D"/>
    <w:rsid w:val="00A706AE"/>
    <w:rsid w:val="00A72437"/>
    <w:rsid w:val="00A74E75"/>
    <w:rsid w:val="00A76290"/>
    <w:rsid w:val="00A7706B"/>
    <w:rsid w:val="00A80611"/>
    <w:rsid w:val="00A85B2D"/>
    <w:rsid w:val="00A908FC"/>
    <w:rsid w:val="00A9451B"/>
    <w:rsid w:val="00AB1C12"/>
    <w:rsid w:val="00AB445B"/>
    <w:rsid w:val="00AB5340"/>
    <w:rsid w:val="00AB698A"/>
    <w:rsid w:val="00AC0A89"/>
    <w:rsid w:val="00AC7C96"/>
    <w:rsid w:val="00AD2712"/>
    <w:rsid w:val="00AE03E9"/>
    <w:rsid w:val="00AE237D"/>
    <w:rsid w:val="00AE502A"/>
    <w:rsid w:val="00AF104B"/>
    <w:rsid w:val="00AF7770"/>
    <w:rsid w:val="00AF7C07"/>
    <w:rsid w:val="00B04DDA"/>
    <w:rsid w:val="00B14C00"/>
    <w:rsid w:val="00B16CD6"/>
    <w:rsid w:val="00B22C93"/>
    <w:rsid w:val="00B27589"/>
    <w:rsid w:val="00B324BC"/>
    <w:rsid w:val="00B405B7"/>
    <w:rsid w:val="00B448A1"/>
    <w:rsid w:val="00B4500E"/>
    <w:rsid w:val="00B45BFB"/>
    <w:rsid w:val="00B50CEA"/>
    <w:rsid w:val="00B52222"/>
    <w:rsid w:val="00B52E07"/>
    <w:rsid w:val="00B54FE7"/>
    <w:rsid w:val="00B57B70"/>
    <w:rsid w:val="00B61CE0"/>
    <w:rsid w:val="00B645DB"/>
    <w:rsid w:val="00B66901"/>
    <w:rsid w:val="00B70243"/>
    <w:rsid w:val="00B7163F"/>
    <w:rsid w:val="00B71E6D"/>
    <w:rsid w:val="00B72070"/>
    <w:rsid w:val="00B73D3F"/>
    <w:rsid w:val="00B7517C"/>
    <w:rsid w:val="00B774BD"/>
    <w:rsid w:val="00B779E1"/>
    <w:rsid w:val="00B807E8"/>
    <w:rsid w:val="00B87344"/>
    <w:rsid w:val="00B91EE1"/>
    <w:rsid w:val="00B9379E"/>
    <w:rsid w:val="00B97EC1"/>
    <w:rsid w:val="00BA0090"/>
    <w:rsid w:val="00BA1A67"/>
    <w:rsid w:val="00BA1E5E"/>
    <w:rsid w:val="00BA5B6C"/>
    <w:rsid w:val="00BB6E5A"/>
    <w:rsid w:val="00BB716D"/>
    <w:rsid w:val="00BC58EC"/>
    <w:rsid w:val="00BC5F58"/>
    <w:rsid w:val="00BC6EF3"/>
    <w:rsid w:val="00BD1835"/>
    <w:rsid w:val="00BD5DB2"/>
    <w:rsid w:val="00BD63E3"/>
    <w:rsid w:val="00BE3A2D"/>
    <w:rsid w:val="00BE518F"/>
    <w:rsid w:val="00BE5B5F"/>
    <w:rsid w:val="00BE691B"/>
    <w:rsid w:val="00BF52DB"/>
    <w:rsid w:val="00C03BD5"/>
    <w:rsid w:val="00C115FA"/>
    <w:rsid w:val="00C17264"/>
    <w:rsid w:val="00C21DF2"/>
    <w:rsid w:val="00C26CB1"/>
    <w:rsid w:val="00C26F55"/>
    <w:rsid w:val="00C30C63"/>
    <w:rsid w:val="00C363A3"/>
    <w:rsid w:val="00C36B8B"/>
    <w:rsid w:val="00C415C1"/>
    <w:rsid w:val="00C4591F"/>
    <w:rsid w:val="00C47DBF"/>
    <w:rsid w:val="00C51248"/>
    <w:rsid w:val="00C546E8"/>
    <w:rsid w:val="00C552FF"/>
    <w:rsid w:val="00C558DA"/>
    <w:rsid w:val="00C55AF3"/>
    <w:rsid w:val="00C61CF3"/>
    <w:rsid w:val="00C70B20"/>
    <w:rsid w:val="00C7312F"/>
    <w:rsid w:val="00C84759"/>
    <w:rsid w:val="00C84D9B"/>
    <w:rsid w:val="00C87AF0"/>
    <w:rsid w:val="00C910B2"/>
    <w:rsid w:val="00CA1B37"/>
    <w:rsid w:val="00CA6C7F"/>
    <w:rsid w:val="00CB20DD"/>
    <w:rsid w:val="00CB33E8"/>
    <w:rsid w:val="00CB41A9"/>
    <w:rsid w:val="00CC0782"/>
    <w:rsid w:val="00CC10A6"/>
    <w:rsid w:val="00CC61E5"/>
    <w:rsid w:val="00CD0325"/>
    <w:rsid w:val="00CD5EB8"/>
    <w:rsid w:val="00CD7044"/>
    <w:rsid w:val="00CD7A43"/>
    <w:rsid w:val="00CE08B9"/>
    <w:rsid w:val="00CE524C"/>
    <w:rsid w:val="00CF141F"/>
    <w:rsid w:val="00CF1625"/>
    <w:rsid w:val="00CF4777"/>
    <w:rsid w:val="00CF6890"/>
    <w:rsid w:val="00D05A8B"/>
    <w:rsid w:val="00D067BB"/>
    <w:rsid w:val="00D076A8"/>
    <w:rsid w:val="00D10D64"/>
    <w:rsid w:val="00D1352A"/>
    <w:rsid w:val="00D13678"/>
    <w:rsid w:val="00D169AF"/>
    <w:rsid w:val="00D24B01"/>
    <w:rsid w:val="00D25249"/>
    <w:rsid w:val="00D26D70"/>
    <w:rsid w:val="00D26F64"/>
    <w:rsid w:val="00D3445C"/>
    <w:rsid w:val="00D44172"/>
    <w:rsid w:val="00D50566"/>
    <w:rsid w:val="00D51D80"/>
    <w:rsid w:val="00D52C40"/>
    <w:rsid w:val="00D52D6E"/>
    <w:rsid w:val="00D5312A"/>
    <w:rsid w:val="00D6100A"/>
    <w:rsid w:val="00D61A08"/>
    <w:rsid w:val="00D62DE1"/>
    <w:rsid w:val="00D638E3"/>
    <w:rsid w:val="00D63B8C"/>
    <w:rsid w:val="00D64E72"/>
    <w:rsid w:val="00D66A3F"/>
    <w:rsid w:val="00D739CC"/>
    <w:rsid w:val="00D8093D"/>
    <w:rsid w:val="00D8108C"/>
    <w:rsid w:val="00D839B4"/>
    <w:rsid w:val="00D842AE"/>
    <w:rsid w:val="00D9211C"/>
    <w:rsid w:val="00D92C16"/>
    <w:rsid w:val="00D92DE0"/>
    <w:rsid w:val="00D92FEF"/>
    <w:rsid w:val="00D93A0F"/>
    <w:rsid w:val="00D948F4"/>
    <w:rsid w:val="00DA1BCA"/>
    <w:rsid w:val="00DA263B"/>
    <w:rsid w:val="00DA3ACB"/>
    <w:rsid w:val="00DA480E"/>
    <w:rsid w:val="00DA5149"/>
    <w:rsid w:val="00DB1235"/>
    <w:rsid w:val="00DB14D7"/>
    <w:rsid w:val="00DB31A9"/>
    <w:rsid w:val="00DB5B45"/>
    <w:rsid w:val="00DB73E8"/>
    <w:rsid w:val="00DC1E97"/>
    <w:rsid w:val="00DC46FF"/>
    <w:rsid w:val="00DC5254"/>
    <w:rsid w:val="00DD1A4F"/>
    <w:rsid w:val="00DD3107"/>
    <w:rsid w:val="00DD36D1"/>
    <w:rsid w:val="00DD7C2C"/>
    <w:rsid w:val="00DF2318"/>
    <w:rsid w:val="00E06797"/>
    <w:rsid w:val="00E1265B"/>
    <w:rsid w:val="00E13B48"/>
    <w:rsid w:val="00E1404F"/>
    <w:rsid w:val="00E21C83"/>
    <w:rsid w:val="00E22BF6"/>
    <w:rsid w:val="00E24ADA"/>
    <w:rsid w:val="00E2761A"/>
    <w:rsid w:val="00E3096F"/>
    <w:rsid w:val="00E32F59"/>
    <w:rsid w:val="00E46D9A"/>
    <w:rsid w:val="00E565FF"/>
    <w:rsid w:val="00E5669F"/>
    <w:rsid w:val="00E57DA9"/>
    <w:rsid w:val="00E627AA"/>
    <w:rsid w:val="00E65388"/>
    <w:rsid w:val="00E65839"/>
    <w:rsid w:val="00E85B7D"/>
    <w:rsid w:val="00E9121B"/>
    <w:rsid w:val="00E93A6F"/>
    <w:rsid w:val="00E93A9E"/>
    <w:rsid w:val="00E9502D"/>
    <w:rsid w:val="00E9593B"/>
    <w:rsid w:val="00EA0AE2"/>
    <w:rsid w:val="00EA1F24"/>
    <w:rsid w:val="00EA39E5"/>
    <w:rsid w:val="00EA609B"/>
    <w:rsid w:val="00EB3061"/>
    <w:rsid w:val="00EB358C"/>
    <w:rsid w:val="00EB39AF"/>
    <w:rsid w:val="00EB6D71"/>
    <w:rsid w:val="00EC031B"/>
    <w:rsid w:val="00EC5A46"/>
    <w:rsid w:val="00EC63E2"/>
    <w:rsid w:val="00ED43D0"/>
    <w:rsid w:val="00EE150C"/>
    <w:rsid w:val="00EF141F"/>
    <w:rsid w:val="00EF22B3"/>
    <w:rsid w:val="00F03B69"/>
    <w:rsid w:val="00F046EC"/>
    <w:rsid w:val="00F07395"/>
    <w:rsid w:val="00F07A50"/>
    <w:rsid w:val="00F113DA"/>
    <w:rsid w:val="00F133E9"/>
    <w:rsid w:val="00F13FE6"/>
    <w:rsid w:val="00F15581"/>
    <w:rsid w:val="00F314BE"/>
    <w:rsid w:val="00F3679C"/>
    <w:rsid w:val="00F37DC8"/>
    <w:rsid w:val="00F41C59"/>
    <w:rsid w:val="00F439B3"/>
    <w:rsid w:val="00F56A0E"/>
    <w:rsid w:val="00F57AF9"/>
    <w:rsid w:val="00F625EA"/>
    <w:rsid w:val="00F650C3"/>
    <w:rsid w:val="00F65D85"/>
    <w:rsid w:val="00F7542D"/>
    <w:rsid w:val="00F8091E"/>
    <w:rsid w:val="00F83338"/>
    <w:rsid w:val="00F849D5"/>
    <w:rsid w:val="00F8615C"/>
    <w:rsid w:val="00F91397"/>
    <w:rsid w:val="00F92B93"/>
    <w:rsid w:val="00F92E18"/>
    <w:rsid w:val="00F94378"/>
    <w:rsid w:val="00F969E5"/>
    <w:rsid w:val="00F96A79"/>
    <w:rsid w:val="00F97D4C"/>
    <w:rsid w:val="00FA6BB0"/>
    <w:rsid w:val="00FB27B6"/>
    <w:rsid w:val="00FC1F29"/>
    <w:rsid w:val="00FC28F6"/>
    <w:rsid w:val="00FD5860"/>
    <w:rsid w:val="00FD61E0"/>
    <w:rsid w:val="00FD7197"/>
    <w:rsid w:val="00FE352D"/>
    <w:rsid w:val="00FE40EB"/>
    <w:rsid w:val="00FE4D02"/>
    <w:rsid w:val="00FE7D62"/>
    <w:rsid w:val="00FF1248"/>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A24F52"/>
  <w15:docId w15:val="{07976BF7-3ED9-42E6-9952-4CE511A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C7338"/>
    <w:rPr>
      <w:rFonts w:eastAsia="SimSun"/>
      <w:lang w:eastAsia="zh-CN"/>
    </w:rPr>
  </w:style>
  <w:style w:type="paragraph" w:styleId="Heading1">
    <w:name w:val="heading 1"/>
    <w:basedOn w:val="Normal"/>
    <w:next w:val="Normalnumber"/>
    <w:link w:val="Heading1Char"/>
    <w:qFormat/>
    <w:rsid w:val="003C7338"/>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3C7338"/>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3C7338"/>
    <w:pPr>
      <w:spacing w:after="120"/>
      <w:ind w:left="1247" w:hanging="680"/>
      <w:outlineLvl w:val="2"/>
    </w:pPr>
    <w:rPr>
      <w:b/>
    </w:rPr>
  </w:style>
  <w:style w:type="paragraph" w:styleId="Heading4">
    <w:name w:val="heading 4"/>
    <w:aliases w:val="MainPara"/>
    <w:basedOn w:val="Heading3"/>
    <w:next w:val="Normalnumber"/>
    <w:link w:val="Heading4Char"/>
    <w:qFormat/>
    <w:rsid w:val="003C7338"/>
    <w:pPr>
      <w:keepNext/>
      <w:outlineLvl w:val="3"/>
    </w:pPr>
  </w:style>
  <w:style w:type="paragraph" w:styleId="Heading5">
    <w:name w:val="heading 5"/>
    <w:aliases w:val="Subpara 2"/>
    <w:basedOn w:val="Normal"/>
    <w:next w:val="Normal"/>
    <w:link w:val="Heading5Char"/>
    <w:qFormat/>
    <w:rsid w:val="003C7338"/>
    <w:pPr>
      <w:keepNext/>
      <w:outlineLvl w:val="4"/>
    </w:pPr>
    <w:rPr>
      <w:rFonts w:ascii="Univers" w:hAnsi="Univers"/>
      <w:b/>
      <w:sz w:val="24"/>
    </w:rPr>
  </w:style>
  <w:style w:type="paragraph" w:styleId="Heading6">
    <w:name w:val="heading 6"/>
    <w:basedOn w:val="Normal"/>
    <w:next w:val="Normal"/>
    <w:link w:val="Heading6Char"/>
    <w:qFormat/>
    <w:rsid w:val="003C7338"/>
    <w:pPr>
      <w:keepNext/>
      <w:ind w:left="578"/>
      <w:outlineLvl w:val="5"/>
    </w:pPr>
    <w:rPr>
      <w:b/>
      <w:bCs/>
      <w:sz w:val="24"/>
    </w:rPr>
  </w:style>
  <w:style w:type="paragraph" w:styleId="Heading7">
    <w:name w:val="heading 7"/>
    <w:basedOn w:val="Normal"/>
    <w:next w:val="Normal"/>
    <w:link w:val="Heading7Char"/>
    <w:qFormat/>
    <w:rsid w:val="003C7338"/>
    <w:pPr>
      <w:keepNext/>
      <w:widowControl w:val="0"/>
      <w:jc w:val="center"/>
      <w:outlineLvl w:val="6"/>
    </w:pPr>
    <w:rPr>
      <w:snapToGrid w:val="0"/>
      <w:u w:val="single"/>
    </w:rPr>
  </w:style>
  <w:style w:type="paragraph" w:styleId="Heading8">
    <w:name w:val="heading 8"/>
    <w:basedOn w:val="Normal"/>
    <w:next w:val="Normal"/>
    <w:link w:val="Heading8Char"/>
    <w:qFormat/>
    <w:rsid w:val="003C7338"/>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qFormat/>
    <w:rsid w:val="003C7338"/>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C7338"/>
    <w:rPr>
      <w:rFonts w:ascii="Times New Roman" w:hAnsi="Times New Roman"/>
      <w:b/>
      <w:sz w:val="18"/>
    </w:rPr>
  </w:style>
  <w:style w:type="table" w:customStyle="1" w:styleId="Tabledocright">
    <w:name w:val="Table_doc_right"/>
    <w:basedOn w:val="TableNormal"/>
    <w:rsid w:val="003C7338"/>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3C7338"/>
    <w:pPr>
      <w:ind w:left="1000"/>
    </w:pPr>
    <w:rPr>
      <w:sz w:val="18"/>
      <w:szCs w:val="18"/>
    </w:rPr>
  </w:style>
  <w:style w:type="paragraph" w:styleId="TOC7">
    <w:name w:val="toc 7"/>
    <w:basedOn w:val="Normal"/>
    <w:next w:val="Normal"/>
    <w:autoRedefine/>
    <w:semiHidden/>
    <w:rsid w:val="003C7338"/>
    <w:pPr>
      <w:ind w:left="1200"/>
    </w:pPr>
    <w:rPr>
      <w:sz w:val="18"/>
      <w:szCs w:val="18"/>
    </w:rPr>
  </w:style>
  <w:style w:type="paragraph" w:styleId="TOC8">
    <w:name w:val="toc 8"/>
    <w:basedOn w:val="Normal"/>
    <w:next w:val="Normal"/>
    <w:autoRedefine/>
    <w:semiHidden/>
    <w:rsid w:val="003C7338"/>
    <w:pPr>
      <w:ind w:left="1400"/>
    </w:pPr>
    <w:rPr>
      <w:sz w:val="18"/>
      <w:szCs w:val="18"/>
    </w:rPr>
  </w:style>
  <w:style w:type="paragraph" w:styleId="TOC9">
    <w:name w:val="toc 9"/>
    <w:basedOn w:val="Normal"/>
    <w:next w:val="Normal"/>
    <w:autoRedefine/>
    <w:semiHidden/>
    <w:rsid w:val="003C7338"/>
    <w:pPr>
      <w:ind w:left="1600"/>
    </w:pPr>
    <w:rPr>
      <w:sz w:val="18"/>
      <w:szCs w:val="18"/>
    </w:rPr>
  </w:style>
  <w:style w:type="paragraph" w:customStyle="1" w:styleId="Titlefigure">
    <w:name w:val="Title_figure"/>
    <w:basedOn w:val="Titletable"/>
    <w:next w:val="NormalNonumber"/>
    <w:rsid w:val="003C7338"/>
    <w:rPr>
      <w:bCs w:val="0"/>
    </w:rPr>
  </w:style>
  <w:style w:type="paragraph" w:styleId="TableofFigures">
    <w:name w:val="table of figures"/>
    <w:basedOn w:val="Normal"/>
    <w:next w:val="Normal"/>
    <w:autoRedefine/>
    <w:semiHidden/>
    <w:rsid w:val="003C7338"/>
    <w:pPr>
      <w:ind w:left="1814" w:hanging="567"/>
    </w:pPr>
  </w:style>
  <w:style w:type="paragraph" w:customStyle="1" w:styleId="CH1">
    <w:name w:val="CH1"/>
    <w:basedOn w:val="Normal-pool"/>
    <w:next w:val="CH2"/>
    <w:qFormat/>
    <w:rsid w:val="003C733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qFormat/>
    <w:rsid w:val="003C7338"/>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3C7338"/>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3C7338"/>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3C7338"/>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3C7338"/>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3C7338"/>
    <w:pPr>
      <w:tabs>
        <w:tab w:val="left" w:pos="4321"/>
        <w:tab w:val="right" w:pos="8641"/>
      </w:tabs>
      <w:spacing w:before="60" w:after="120"/>
    </w:pPr>
    <w:rPr>
      <w:b/>
      <w:sz w:val="18"/>
    </w:rPr>
  </w:style>
  <w:style w:type="paragraph" w:customStyle="1" w:styleId="Headerpool">
    <w:name w:val="Header_pool"/>
    <w:basedOn w:val="Normal"/>
    <w:next w:val="Normal"/>
    <w:semiHidden/>
    <w:rsid w:val="003C7338"/>
    <w:pPr>
      <w:pBdr>
        <w:bottom w:val="single" w:sz="4" w:space="1" w:color="auto"/>
      </w:pBdr>
      <w:tabs>
        <w:tab w:val="center" w:pos="4536"/>
        <w:tab w:val="right" w:pos="9072"/>
      </w:tabs>
      <w:spacing w:after="120"/>
    </w:pPr>
    <w:rPr>
      <w:b/>
      <w:sz w:val="18"/>
    </w:rPr>
  </w:style>
  <w:style w:type="paragraph" w:customStyle="1" w:styleId="Footer-pool">
    <w:name w:val="Footer-pool"/>
    <w:basedOn w:val="Normal-pool"/>
    <w:next w:val="Normal-pool"/>
    <w:rsid w:val="003C7338"/>
    <w:pPr>
      <w:tabs>
        <w:tab w:val="left" w:pos="4321"/>
        <w:tab w:val="right" w:pos="8641"/>
      </w:tabs>
      <w:spacing w:before="60" w:after="120"/>
    </w:pPr>
    <w:rPr>
      <w:b/>
      <w:sz w:val="18"/>
    </w:rPr>
  </w:style>
  <w:style w:type="paragraph" w:customStyle="1" w:styleId="Header-pool">
    <w:name w:val="Header-pool"/>
    <w:basedOn w:val="Normal-pool"/>
    <w:next w:val="Normal-pool"/>
    <w:rsid w:val="003C733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FootnoteReference">
    <w:name w:val="footnote reference"/>
    <w:rsid w:val="003C7338"/>
    <w:rPr>
      <w:rFonts w:ascii="Times New Roman" w:hAnsi="Times New Roman"/>
      <w:color w:val="auto"/>
      <w:sz w:val="20"/>
      <w:szCs w:val="18"/>
      <w:vertAlign w:val="superscript"/>
    </w:rPr>
  </w:style>
  <w:style w:type="paragraph" w:styleId="FootnoteText">
    <w:name w:val="footnote text"/>
    <w:aliases w:val="DNV-FT"/>
    <w:basedOn w:val="Normal"/>
    <w:link w:val="FootnoteTextChar"/>
    <w:rsid w:val="003C7338"/>
    <w:pPr>
      <w:tabs>
        <w:tab w:val="left" w:pos="1247"/>
        <w:tab w:val="left" w:pos="1814"/>
        <w:tab w:val="left" w:pos="2381"/>
        <w:tab w:val="left" w:pos="2948"/>
        <w:tab w:val="left" w:pos="3515"/>
        <w:tab w:val="left" w:pos="4082"/>
      </w:tabs>
      <w:spacing w:before="20" w:after="40"/>
      <w:ind w:left="1247"/>
    </w:pPr>
    <w:rPr>
      <w:sz w:val="18"/>
      <w:lang w:val="fr-CA" w:eastAsia="en-US"/>
    </w:rPr>
  </w:style>
  <w:style w:type="table" w:customStyle="1" w:styleId="AATable">
    <w:name w:val="AA_Table"/>
    <w:basedOn w:val="TableNormal"/>
    <w:semiHidden/>
    <w:rsid w:val="003C7338"/>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3C7338"/>
    <w:pPr>
      <w:keepNext/>
      <w:keepLines/>
      <w:suppressAutoHyphens/>
      <w:ind w:right="5103"/>
    </w:pPr>
    <w:rPr>
      <w:b/>
    </w:rPr>
  </w:style>
  <w:style w:type="paragraph" w:customStyle="1" w:styleId="AATitle2">
    <w:name w:val="AA_Title2"/>
    <w:basedOn w:val="AATitle"/>
    <w:qFormat/>
    <w:rsid w:val="003C7338"/>
    <w:pPr>
      <w:tabs>
        <w:tab w:val="clear" w:pos="4082"/>
      </w:tabs>
      <w:spacing w:before="120" w:after="120"/>
      <w:ind w:right="4536"/>
    </w:pPr>
  </w:style>
  <w:style w:type="paragraph" w:customStyle="1" w:styleId="BBTitle">
    <w:name w:val="BB_Title"/>
    <w:basedOn w:val="Normal-pool"/>
    <w:qFormat/>
    <w:rsid w:val="003C7338"/>
    <w:pPr>
      <w:keepNext/>
      <w:keepLines/>
      <w:suppressAutoHyphens/>
      <w:spacing w:before="320" w:after="240"/>
      <w:ind w:left="1247" w:right="567"/>
    </w:pPr>
    <w:rPr>
      <w:b/>
      <w:sz w:val="28"/>
      <w:szCs w:val="28"/>
    </w:rPr>
  </w:style>
  <w:style w:type="paragraph" w:styleId="Footer">
    <w:name w:val="footer"/>
    <w:basedOn w:val="Normal"/>
    <w:link w:val="FooterChar"/>
    <w:uiPriority w:val="99"/>
    <w:rsid w:val="003C7338"/>
    <w:pPr>
      <w:tabs>
        <w:tab w:val="center" w:pos="4320"/>
        <w:tab w:val="right" w:pos="8640"/>
      </w:tabs>
      <w:spacing w:before="60" w:after="120"/>
    </w:pPr>
    <w:rPr>
      <w:sz w:val="18"/>
    </w:rPr>
  </w:style>
  <w:style w:type="paragraph" w:styleId="Header">
    <w:name w:val="header"/>
    <w:basedOn w:val="Normal"/>
    <w:link w:val="HeaderChar"/>
    <w:rsid w:val="003C7338"/>
    <w:pPr>
      <w:pBdr>
        <w:bottom w:val="single" w:sz="4" w:space="1" w:color="auto"/>
      </w:pBdr>
      <w:tabs>
        <w:tab w:val="center" w:pos="4536"/>
        <w:tab w:val="right" w:pos="9072"/>
      </w:tabs>
      <w:spacing w:after="120"/>
    </w:pPr>
    <w:rPr>
      <w:b/>
      <w:sz w:val="18"/>
    </w:rPr>
  </w:style>
  <w:style w:type="character" w:styleId="Hyperlink">
    <w:name w:val="Hyperlink"/>
    <w:unhideWhenUsed/>
    <w:rsid w:val="003C7338"/>
    <w:rPr>
      <w:rFonts w:ascii="Times New Roman" w:hAnsi="Times New Roman"/>
      <w:color w:val="auto"/>
      <w:sz w:val="20"/>
      <w:szCs w:val="20"/>
      <w:u w:val="none"/>
      <w:lang w:val="en-US"/>
    </w:rPr>
  </w:style>
  <w:style w:type="numbering" w:customStyle="1" w:styleId="Normallist">
    <w:name w:val="Normal_list"/>
    <w:basedOn w:val="NoList"/>
    <w:rsid w:val="003C7338"/>
    <w:pPr>
      <w:numPr>
        <w:numId w:val="3"/>
      </w:numPr>
    </w:pPr>
  </w:style>
  <w:style w:type="paragraph" w:customStyle="1" w:styleId="NormalNonumber">
    <w:name w:val="Normal_No_number"/>
    <w:basedOn w:val="Normal-pool"/>
    <w:qFormat/>
    <w:rsid w:val="003C7338"/>
    <w:pPr>
      <w:spacing w:after="120"/>
      <w:ind w:left="1247"/>
    </w:pPr>
  </w:style>
  <w:style w:type="paragraph" w:customStyle="1" w:styleId="Normalnumber">
    <w:name w:val="Normal_number"/>
    <w:basedOn w:val="Normal"/>
    <w:link w:val="NormalnumberChar"/>
    <w:rsid w:val="003C7338"/>
    <w:pPr>
      <w:numPr>
        <w:numId w:val="36"/>
      </w:numPr>
      <w:tabs>
        <w:tab w:val="left" w:pos="1247"/>
        <w:tab w:val="left" w:pos="1814"/>
        <w:tab w:val="left" w:pos="2381"/>
        <w:tab w:val="left" w:pos="2948"/>
        <w:tab w:val="left" w:pos="3515"/>
        <w:tab w:val="left" w:pos="4082"/>
      </w:tabs>
      <w:spacing w:after="120"/>
    </w:pPr>
    <w:rPr>
      <w:rFonts w:eastAsia="Times New Roman"/>
      <w:lang w:val="fr-CA" w:eastAsia="en-US"/>
    </w:rPr>
  </w:style>
  <w:style w:type="paragraph" w:customStyle="1" w:styleId="Titletable">
    <w:name w:val="Title_table"/>
    <w:basedOn w:val="Normal-pool"/>
    <w:next w:val="NormalNonumber"/>
    <w:rsid w:val="003C7338"/>
    <w:pPr>
      <w:keepNext/>
      <w:keepLines/>
      <w:suppressAutoHyphens/>
      <w:spacing w:after="60"/>
      <w:ind w:left="1247"/>
    </w:pPr>
    <w:rPr>
      <w:b/>
      <w:bCs/>
    </w:rPr>
  </w:style>
  <w:style w:type="paragraph" w:styleId="TOC1">
    <w:name w:val="toc 1"/>
    <w:basedOn w:val="Normal-pool"/>
    <w:next w:val="Normal-pool"/>
    <w:unhideWhenUsed/>
    <w:rsid w:val="003C7338"/>
    <w:pPr>
      <w:tabs>
        <w:tab w:val="right" w:leader="dot" w:pos="9486"/>
      </w:tabs>
      <w:spacing w:before="240"/>
      <w:ind w:left="1814" w:hanging="567"/>
    </w:pPr>
    <w:rPr>
      <w:bCs/>
    </w:rPr>
  </w:style>
  <w:style w:type="paragraph" w:styleId="TOC2">
    <w:name w:val="toc 2"/>
    <w:basedOn w:val="Normal-pool"/>
    <w:next w:val="Normal-pool"/>
    <w:unhideWhenUsed/>
    <w:rsid w:val="003C7338"/>
    <w:pPr>
      <w:tabs>
        <w:tab w:val="right" w:leader="dot" w:pos="9486"/>
      </w:tabs>
      <w:ind w:left="2381" w:hanging="567"/>
    </w:pPr>
  </w:style>
  <w:style w:type="paragraph" w:styleId="TOC3">
    <w:name w:val="toc 3"/>
    <w:basedOn w:val="Normal-pool"/>
    <w:next w:val="Normal-pool"/>
    <w:unhideWhenUsed/>
    <w:rsid w:val="003C7338"/>
    <w:pPr>
      <w:tabs>
        <w:tab w:val="right" w:leader="dot" w:pos="9486"/>
      </w:tabs>
      <w:ind w:left="2948" w:hanging="567"/>
    </w:pPr>
    <w:rPr>
      <w:iCs/>
    </w:rPr>
  </w:style>
  <w:style w:type="paragraph" w:styleId="TOC4">
    <w:name w:val="toc 4"/>
    <w:basedOn w:val="Normal-pool"/>
    <w:next w:val="Normal-pool"/>
    <w:unhideWhenUsed/>
    <w:rsid w:val="003C7338"/>
    <w:pPr>
      <w:tabs>
        <w:tab w:val="left" w:pos="1000"/>
        <w:tab w:val="right" w:leader="dot" w:pos="9486"/>
      </w:tabs>
      <w:ind w:left="3515" w:hanging="567"/>
    </w:pPr>
    <w:rPr>
      <w:szCs w:val="18"/>
    </w:rPr>
  </w:style>
  <w:style w:type="paragraph" w:styleId="TOC5">
    <w:name w:val="toc 5"/>
    <w:basedOn w:val="Normal-pool"/>
    <w:next w:val="Normal-pool"/>
    <w:rsid w:val="003C7338"/>
    <w:pPr>
      <w:ind w:left="800"/>
    </w:pPr>
    <w:rPr>
      <w:sz w:val="18"/>
      <w:szCs w:val="18"/>
    </w:rPr>
  </w:style>
  <w:style w:type="paragraph" w:customStyle="1" w:styleId="ZZAnxheader">
    <w:name w:val="ZZ_Anx_header"/>
    <w:basedOn w:val="Normal-pool"/>
    <w:rsid w:val="003C7338"/>
    <w:rPr>
      <w:b/>
      <w:bCs/>
      <w:sz w:val="28"/>
      <w:szCs w:val="22"/>
    </w:rPr>
  </w:style>
  <w:style w:type="paragraph" w:customStyle="1" w:styleId="ZZAnxtitle">
    <w:name w:val="ZZ_Anx_title"/>
    <w:basedOn w:val="Normal-pool"/>
    <w:rsid w:val="003C7338"/>
    <w:pPr>
      <w:spacing w:before="360" w:after="120"/>
      <w:ind w:left="1247"/>
    </w:pPr>
    <w:rPr>
      <w:b/>
      <w:bCs/>
      <w:sz w:val="28"/>
      <w:szCs w:val="26"/>
    </w:rPr>
  </w:style>
  <w:style w:type="character" w:styleId="CommentReference">
    <w:name w:val="annotation reference"/>
    <w:basedOn w:val="DefaultParagraphFont"/>
    <w:uiPriority w:val="99"/>
    <w:rsid w:val="00363D96"/>
    <w:rPr>
      <w:sz w:val="16"/>
      <w:szCs w:val="16"/>
    </w:rPr>
  </w:style>
  <w:style w:type="paragraph" w:styleId="CommentText">
    <w:name w:val="annotation text"/>
    <w:basedOn w:val="Normal"/>
    <w:link w:val="CommentTextChar"/>
    <w:uiPriority w:val="99"/>
    <w:rsid w:val="00363D96"/>
  </w:style>
  <w:style w:type="character" w:customStyle="1" w:styleId="CommentTextChar">
    <w:name w:val="Comment Text Char"/>
    <w:basedOn w:val="DefaultParagraphFont"/>
    <w:link w:val="CommentText"/>
    <w:uiPriority w:val="99"/>
    <w:rsid w:val="00363D96"/>
    <w:rPr>
      <w:lang w:val="en-GB"/>
    </w:rPr>
  </w:style>
  <w:style w:type="paragraph" w:styleId="CommentSubject">
    <w:name w:val="annotation subject"/>
    <w:basedOn w:val="CommentText"/>
    <w:next w:val="CommentText"/>
    <w:link w:val="CommentSubjectChar"/>
    <w:uiPriority w:val="99"/>
    <w:rsid w:val="00363D96"/>
    <w:rPr>
      <w:b/>
      <w:bCs/>
    </w:rPr>
  </w:style>
  <w:style w:type="character" w:customStyle="1" w:styleId="CommentSubjectChar">
    <w:name w:val="Comment Subject Char"/>
    <w:basedOn w:val="CommentTextChar"/>
    <w:link w:val="CommentSubject"/>
    <w:uiPriority w:val="99"/>
    <w:rsid w:val="00363D96"/>
    <w:rPr>
      <w:b/>
      <w:bCs/>
      <w:lang w:val="en-GB"/>
    </w:rPr>
  </w:style>
  <w:style w:type="paragraph" w:styleId="Revision">
    <w:name w:val="Revision"/>
    <w:hidden/>
    <w:uiPriority w:val="99"/>
    <w:semiHidden/>
    <w:rsid w:val="00363D96"/>
    <w:rPr>
      <w:lang w:val="en-GB"/>
    </w:rPr>
  </w:style>
  <w:style w:type="paragraph" w:styleId="BalloonText">
    <w:name w:val="Balloon Text"/>
    <w:basedOn w:val="Normal"/>
    <w:link w:val="BalloonTextChar"/>
    <w:rsid w:val="00363D96"/>
    <w:rPr>
      <w:rFonts w:ascii="Tahoma" w:hAnsi="Tahoma" w:cs="Tahoma"/>
      <w:sz w:val="16"/>
      <w:szCs w:val="16"/>
    </w:rPr>
  </w:style>
  <w:style w:type="character" w:customStyle="1" w:styleId="BalloonTextChar">
    <w:name w:val="Balloon Text Char"/>
    <w:basedOn w:val="DefaultParagraphFont"/>
    <w:link w:val="BalloonText"/>
    <w:rsid w:val="00363D96"/>
    <w:rPr>
      <w:rFonts w:ascii="Tahoma" w:hAnsi="Tahoma" w:cs="Tahoma"/>
      <w:sz w:val="16"/>
      <w:szCs w:val="16"/>
      <w:lang w:val="en-GB"/>
    </w:rPr>
  </w:style>
  <w:style w:type="table" w:styleId="TableGrid">
    <w:name w:val="Table Grid"/>
    <w:basedOn w:val="TableNormal"/>
    <w:uiPriority w:val="59"/>
    <w:rsid w:val="00AF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DNV-FT Char"/>
    <w:basedOn w:val="DefaultParagraphFont"/>
    <w:link w:val="FootnoteText"/>
    <w:locked/>
    <w:rsid w:val="00D5312A"/>
    <w:rPr>
      <w:rFonts w:eastAsia="SimSun"/>
      <w:sz w:val="18"/>
      <w:lang w:val="fr-CA"/>
    </w:rPr>
  </w:style>
  <w:style w:type="paragraph" w:customStyle="1" w:styleId="Normal-pool">
    <w:name w:val="Normal-pool"/>
    <w:link w:val="Normal-poolChar"/>
    <w:qFormat/>
    <w:rsid w:val="003C7338"/>
    <w:pPr>
      <w:tabs>
        <w:tab w:val="left" w:pos="1247"/>
        <w:tab w:val="left" w:pos="1814"/>
        <w:tab w:val="left" w:pos="2381"/>
        <w:tab w:val="left" w:pos="2948"/>
        <w:tab w:val="left" w:pos="3515"/>
        <w:tab w:val="left" w:pos="4082"/>
      </w:tabs>
    </w:pPr>
    <w:rPr>
      <w:rFonts w:eastAsia="SimSun"/>
    </w:rPr>
  </w:style>
  <w:style w:type="character" w:customStyle="1" w:styleId="NormalnumberChar">
    <w:name w:val="Normal_number Char"/>
    <w:link w:val="Normalnumber"/>
    <w:locked/>
    <w:rsid w:val="00BC58EC"/>
    <w:rPr>
      <w:lang w:val="fr-CA"/>
    </w:rPr>
  </w:style>
  <w:style w:type="character" w:customStyle="1" w:styleId="Normal-poolChar">
    <w:name w:val="Normal-pool Char"/>
    <w:link w:val="Normal-pool"/>
    <w:locked/>
    <w:rsid w:val="00BC58EC"/>
    <w:rPr>
      <w:rFonts w:eastAsia="SimSun"/>
    </w:rPr>
  </w:style>
  <w:style w:type="character" w:customStyle="1" w:styleId="FooterChar">
    <w:name w:val="Footer Char"/>
    <w:basedOn w:val="DefaultParagraphFont"/>
    <w:link w:val="Footer"/>
    <w:uiPriority w:val="99"/>
    <w:rsid w:val="00D5312A"/>
    <w:rPr>
      <w:rFonts w:eastAsia="SimSun"/>
      <w:sz w:val="18"/>
      <w:lang w:eastAsia="zh-CN"/>
    </w:rPr>
  </w:style>
  <w:style w:type="character" w:customStyle="1" w:styleId="HeaderChar">
    <w:name w:val="Header Char"/>
    <w:basedOn w:val="DefaultParagraphFont"/>
    <w:link w:val="Header"/>
    <w:rsid w:val="00D5312A"/>
    <w:rPr>
      <w:rFonts w:eastAsia="SimSun"/>
      <w:b/>
      <w:sz w:val="18"/>
      <w:lang w:eastAsia="zh-CN"/>
    </w:rPr>
  </w:style>
  <w:style w:type="character" w:customStyle="1" w:styleId="Heading1Char">
    <w:name w:val="Heading 1 Char"/>
    <w:basedOn w:val="DefaultParagraphFont"/>
    <w:link w:val="Heading1"/>
    <w:rsid w:val="00D5312A"/>
    <w:rPr>
      <w:rFonts w:eastAsia="SimSun"/>
      <w:b/>
      <w:sz w:val="28"/>
      <w:lang w:eastAsia="zh-CN"/>
    </w:rPr>
  </w:style>
  <w:style w:type="character" w:customStyle="1" w:styleId="Heading2Char">
    <w:name w:val="Heading 2 Char"/>
    <w:aliases w:val="Chpt Char"/>
    <w:basedOn w:val="DefaultParagraphFont"/>
    <w:link w:val="Heading2"/>
    <w:rsid w:val="00D5312A"/>
    <w:rPr>
      <w:rFonts w:eastAsia="SimSun"/>
      <w:b/>
      <w:sz w:val="24"/>
      <w:szCs w:val="24"/>
      <w:lang w:eastAsia="zh-CN"/>
    </w:rPr>
  </w:style>
  <w:style w:type="character" w:customStyle="1" w:styleId="Heading3Char">
    <w:name w:val="Heading 3 Char"/>
    <w:aliases w:val="Sec Char"/>
    <w:basedOn w:val="DefaultParagraphFont"/>
    <w:link w:val="Heading3"/>
    <w:rsid w:val="00D5312A"/>
    <w:rPr>
      <w:rFonts w:eastAsia="SimSun"/>
      <w:b/>
      <w:lang w:eastAsia="zh-CN"/>
    </w:rPr>
  </w:style>
  <w:style w:type="character" w:customStyle="1" w:styleId="Heading4Char">
    <w:name w:val="Heading 4 Char"/>
    <w:aliases w:val="MainPara Char"/>
    <w:basedOn w:val="DefaultParagraphFont"/>
    <w:link w:val="Heading4"/>
    <w:rsid w:val="00D5312A"/>
    <w:rPr>
      <w:rFonts w:eastAsia="SimSun"/>
      <w:b/>
      <w:lang w:eastAsia="zh-CN"/>
    </w:rPr>
  </w:style>
  <w:style w:type="character" w:customStyle="1" w:styleId="Heading5Char">
    <w:name w:val="Heading 5 Char"/>
    <w:aliases w:val="Subpara 2 Char"/>
    <w:basedOn w:val="DefaultParagraphFont"/>
    <w:link w:val="Heading5"/>
    <w:rsid w:val="00D5312A"/>
    <w:rPr>
      <w:rFonts w:ascii="Univers" w:eastAsia="SimSun" w:hAnsi="Univers"/>
      <w:b/>
      <w:sz w:val="24"/>
      <w:lang w:eastAsia="zh-CN"/>
    </w:rPr>
  </w:style>
  <w:style w:type="character" w:customStyle="1" w:styleId="Heading6Char">
    <w:name w:val="Heading 6 Char"/>
    <w:basedOn w:val="DefaultParagraphFont"/>
    <w:link w:val="Heading6"/>
    <w:rsid w:val="00D5312A"/>
    <w:rPr>
      <w:rFonts w:eastAsia="SimSun"/>
      <w:b/>
      <w:bCs/>
      <w:sz w:val="24"/>
      <w:lang w:eastAsia="zh-CN"/>
    </w:rPr>
  </w:style>
  <w:style w:type="character" w:customStyle="1" w:styleId="Heading7Char">
    <w:name w:val="Heading 7 Char"/>
    <w:basedOn w:val="DefaultParagraphFont"/>
    <w:link w:val="Heading7"/>
    <w:rsid w:val="00D5312A"/>
    <w:rPr>
      <w:rFonts w:eastAsia="SimSun"/>
      <w:snapToGrid w:val="0"/>
      <w:u w:val="single"/>
      <w:lang w:eastAsia="zh-CN"/>
    </w:rPr>
  </w:style>
  <w:style w:type="character" w:customStyle="1" w:styleId="Heading8Char">
    <w:name w:val="Heading 8 Char"/>
    <w:basedOn w:val="DefaultParagraphFont"/>
    <w:link w:val="Heading8"/>
    <w:rsid w:val="00D5312A"/>
    <w:rPr>
      <w:rFonts w:eastAsia="SimSun"/>
      <w:snapToGrid w:val="0"/>
      <w:u w:val="single"/>
      <w:lang w:eastAsia="zh-CN"/>
    </w:rPr>
  </w:style>
  <w:style w:type="character" w:customStyle="1" w:styleId="Heading9Char">
    <w:name w:val="Heading 9 Char"/>
    <w:basedOn w:val="DefaultParagraphFont"/>
    <w:link w:val="Heading9"/>
    <w:rsid w:val="00D5312A"/>
    <w:rPr>
      <w:rFonts w:eastAsia="SimSun"/>
      <w:snapToGrid w:val="0"/>
      <w:u w:val="single"/>
      <w:lang w:eastAsia="zh-CN"/>
    </w:rPr>
  </w:style>
  <w:style w:type="paragraph" w:styleId="NormalWeb">
    <w:name w:val="Normal (Web)"/>
    <w:basedOn w:val="Normal"/>
    <w:uiPriority w:val="99"/>
    <w:semiHidden/>
    <w:unhideWhenUsed/>
    <w:rsid w:val="003C7338"/>
    <w:pPr>
      <w:spacing w:before="100" w:beforeAutospacing="1" w:after="100" w:afterAutospacing="1"/>
    </w:pPr>
    <w:rPr>
      <w:rFonts w:eastAsiaTheme="minorEastAsia"/>
      <w:sz w:val="24"/>
      <w:szCs w:val="24"/>
      <w:lang w:eastAsia="en-US"/>
    </w:rPr>
  </w:style>
  <w:style w:type="table" w:customStyle="1" w:styleId="TableNormal1">
    <w:name w:val="Table Normal1"/>
    <w:next w:val="TableNormal"/>
    <w:semiHidden/>
    <w:rsid w:val="001323B1"/>
    <w:rPr>
      <w:lang w:eastAsia="zh-CN"/>
    </w:rPr>
    <w:tblPr>
      <w:tblInd w:w="0" w:type="dxa"/>
      <w:tblCellMar>
        <w:top w:w="0" w:type="dxa"/>
        <w:left w:w="108" w:type="dxa"/>
        <w:bottom w:w="0" w:type="dxa"/>
        <w:right w:w="108" w:type="dxa"/>
      </w:tblCellMar>
    </w:tblPr>
  </w:style>
  <w:style w:type="numbering" w:customStyle="1" w:styleId="NoList1">
    <w:name w:val="No List1"/>
    <w:next w:val="NoList"/>
    <w:semiHidden/>
    <w:rsid w:val="001323B1"/>
  </w:style>
  <w:style w:type="paragraph" w:customStyle="1" w:styleId="Spacer">
    <w:name w:val="Spacer"/>
    <w:basedOn w:val="Normal"/>
    <w:rsid w:val="001323B1"/>
    <w:pPr>
      <w:tabs>
        <w:tab w:val="left" w:pos="-720"/>
        <w:tab w:val="left" w:pos="0"/>
        <w:tab w:val="left" w:pos="720"/>
      </w:tabs>
      <w:suppressAutoHyphens/>
    </w:pPr>
    <w:rPr>
      <w:rFonts w:eastAsia="Times New Roman"/>
      <w:sz w:val="10"/>
      <w:szCs w:val="10"/>
      <w:lang w:val="en-GB" w:eastAsia="en-US"/>
    </w:rPr>
  </w:style>
  <w:style w:type="paragraph" w:customStyle="1" w:styleId="Spacer1">
    <w:name w:val="Spacer1"/>
    <w:basedOn w:val="Normal"/>
    <w:rsid w:val="001323B1"/>
    <w:rPr>
      <w:rFonts w:eastAsia="Times New Roman"/>
      <w:b/>
      <w:bCs/>
      <w:lang w:val="en-GB" w:eastAsia="en-US"/>
    </w:rPr>
  </w:style>
  <w:style w:type="paragraph" w:customStyle="1" w:styleId="Listings">
    <w:name w:val="Listings"/>
    <w:basedOn w:val="Normal"/>
    <w:rsid w:val="001323B1"/>
    <w:pPr>
      <w:spacing w:after="40"/>
    </w:pPr>
    <w:rPr>
      <w:rFonts w:eastAsia="Times New Roman"/>
      <w:lang w:val="en-GB" w:eastAsia="en-US"/>
    </w:rPr>
  </w:style>
  <w:style w:type="paragraph" w:customStyle="1" w:styleId="ListBold">
    <w:name w:val="ListBold"/>
    <w:basedOn w:val="Listings"/>
    <w:rsid w:val="001323B1"/>
    <w:rPr>
      <w:b/>
      <w:bCs/>
    </w:rPr>
  </w:style>
  <w:style w:type="paragraph" w:customStyle="1" w:styleId="ListAD">
    <w:name w:val="ListAD"/>
    <w:basedOn w:val="Listings"/>
    <w:rsid w:val="001323B1"/>
    <w:pPr>
      <w:spacing w:after="0"/>
    </w:pPr>
  </w:style>
  <w:style w:type="paragraph" w:customStyle="1" w:styleId="Substance">
    <w:name w:val="Substance"/>
    <w:basedOn w:val="Heading1"/>
    <w:rsid w:val="001323B1"/>
    <w:pPr>
      <w:spacing w:before="160" w:after="160"/>
      <w:ind w:left="0" w:firstLine="0"/>
      <w:outlineLvl w:val="9"/>
    </w:pPr>
    <w:rPr>
      <w:rFonts w:eastAsia="Times New Roman"/>
      <w:bCs/>
      <w:kern w:val="28"/>
      <w:sz w:val="48"/>
      <w:szCs w:val="48"/>
      <w:lang w:val="en-GB" w:eastAsia="en-US"/>
    </w:rPr>
  </w:style>
  <w:style w:type="paragraph" w:customStyle="1" w:styleId="RefNo">
    <w:name w:val="RefNo"/>
    <w:basedOn w:val="Listings"/>
    <w:rsid w:val="001323B1"/>
    <w:pPr>
      <w:spacing w:after="0"/>
      <w:jc w:val="right"/>
    </w:pPr>
    <w:rPr>
      <w:i/>
      <w:iCs/>
    </w:rPr>
  </w:style>
  <w:style w:type="paragraph" w:customStyle="1" w:styleId="Ripeat">
    <w:name w:val="Ripeat"/>
    <w:basedOn w:val="Normal"/>
    <w:next w:val="Normal"/>
    <w:rsid w:val="001323B1"/>
    <w:rPr>
      <w:rFonts w:eastAsia="Times New Roman"/>
      <w:i/>
      <w:iCs/>
      <w:lang w:val="en-GB" w:eastAsia="en-US"/>
    </w:rPr>
  </w:style>
  <w:style w:type="paragraph" w:styleId="DocumentMap">
    <w:name w:val="Document Map"/>
    <w:basedOn w:val="Normal"/>
    <w:link w:val="DocumentMapChar"/>
    <w:semiHidden/>
    <w:rsid w:val="001323B1"/>
    <w:pPr>
      <w:shd w:val="clear" w:color="auto" w:fill="000080"/>
    </w:pPr>
    <w:rPr>
      <w:rFonts w:ascii="Tahoma" w:eastAsia="Times New Roman" w:hAnsi="Tahoma" w:cs="Tahoma"/>
      <w:lang w:val="en-GB" w:eastAsia="en-US"/>
    </w:rPr>
  </w:style>
  <w:style w:type="character" w:customStyle="1" w:styleId="DocumentMapChar">
    <w:name w:val="Document Map Char"/>
    <w:basedOn w:val="DefaultParagraphFont"/>
    <w:link w:val="DocumentMap"/>
    <w:semiHidden/>
    <w:rsid w:val="001323B1"/>
    <w:rPr>
      <w:rFonts w:ascii="Tahoma" w:hAnsi="Tahoma" w:cs="Tahoma"/>
      <w:shd w:val="clear" w:color="auto" w:fill="000080"/>
      <w:lang w:val="en-GB"/>
    </w:rPr>
  </w:style>
  <w:style w:type="character" w:styleId="FollowedHyperlink">
    <w:name w:val="FollowedHyperlink"/>
    <w:rsid w:val="001323B1"/>
    <w:rPr>
      <w:color w:val="800080"/>
      <w:u w:val="single"/>
    </w:rPr>
  </w:style>
  <w:style w:type="paragraph" w:customStyle="1" w:styleId="Annex">
    <w:name w:val="Annex"/>
    <w:basedOn w:val="Normal"/>
    <w:next w:val="Normal"/>
    <w:autoRedefine/>
    <w:rsid w:val="001323B1"/>
    <w:rPr>
      <w:rFonts w:eastAsia="Times New Roman"/>
      <w:smallCaps/>
      <w:sz w:val="22"/>
      <w:szCs w:val="22"/>
      <w:lang w:val="en-GB" w:eastAsia="en-US"/>
    </w:rPr>
  </w:style>
  <w:style w:type="paragraph" w:customStyle="1" w:styleId="ca">
    <w:name w:val="ca"/>
    <w:basedOn w:val="Normal"/>
    <w:autoRedefine/>
    <w:rsid w:val="001323B1"/>
    <w:pPr>
      <w:widowControl w:val="0"/>
    </w:pPr>
    <w:rPr>
      <w:rFonts w:eastAsia="Times New Roman"/>
      <w:snapToGrid w:val="0"/>
      <w:color w:val="000000"/>
      <w:lang w:val="en-GB" w:eastAsia="en-US"/>
    </w:rPr>
  </w:style>
  <w:style w:type="paragraph" w:customStyle="1" w:styleId="biblio">
    <w:name w:val="biblio"/>
    <w:basedOn w:val="Normal"/>
    <w:rsid w:val="001323B1"/>
    <w:pPr>
      <w:widowControl w:val="0"/>
      <w:tabs>
        <w:tab w:val="left" w:pos="90"/>
      </w:tabs>
    </w:pPr>
    <w:rPr>
      <w:rFonts w:eastAsia="Times New Roman"/>
      <w:snapToGrid w:val="0"/>
      <w:color w:val="000000"/>
      <w:sz w:val="22"/>
      <w:szCs w:val="22"/>
      <w:lang w:val="en-GB" w:eastAsia="en-US"/>
    </w:rPr>
  </w:style>
  <w:style w:type="paragraph" w:styleId="Caption">
    <w:name w:val="caption"/>
    <w:basedOn w:val="Normal"/>
    <w:next w:val="Normal"/>
    <w:qFormat/>
    <w:rsid w:val="001323B1"/>
    <w:pPr>
      <w:widowControl w:val="0"/>
    </w:pPr>
    <w:rPr>
      <w:rFonts w:ascii="Arial" w:eastAsia="Times New Roman" w:hAnsi="Arial" w:cs="Arial"/>
      <w:lang w:val="en-GB" w:eastAsia="en-US"/>
    </w:rPr>
  </w:style>
  <w:style w:type="paragraph" w:styleId="BodyTextIndent">
    <w:name w:val="Body Text Indent"/>
    <w:basedOn w:val="Normal"/>
    <w:link w:val="BodyTextIndentChar"/>
    <w:rsid w:val="001323B1"/>
    <w:pPr>
      <w:spacing w:line="240" w:lineRule="atLeast"/>
      <w:ind w:left="-143"/>
    </w:pPr>
    <w:rPr>
      <w:rFonts w:eastAsia="Times New Roman"/>
      <w:sz w:val="38"/>
      <w:szCs w:val="38"/>
      <w:lang w:val="en-GB" w:eastAsia="en-US"/>
    </w:rPr>
  </w:style>
  <w:style w:type="character" w:customStyle="1" w:styleId="BodyTextIndentChar">
    <w:name w:val="Body Text Indent Char"/>
    <w:basedOn w:val="DefaultParagraphFont"/>
    <w:link w:val="BodyTextIndent"/>
    <w:rsid w:val="001323B1"/>
    <w:rPr>
      <w:sz w:val="38"/>
      <w:szCs w:val="38"/>
      <w:lang w:val="en-GB"/>
    </w:rPr>
  </w:style>
  <w:style w:type="paragraph" w:customStyle="1" w:styleId="ad">
    <w:name w:val="ad"/>
    <w:basedOn w:val="Normal"/>
    <w:rsid w:val="001323B1"/>
    <w:pPr>
      <w:widowControl w:val="0"/>
      <w:tabs>
        <w:tab w:val="left" w:pos="6480"/>
        <w:tab w:val="left" w:pos="7200"/>
      </w:tabs>
    </w:pPr>
    <w:rPr>
      <w:rFonts w:ascii="Abadi MT Condensed" w:eastAsia="Times New Roman" w:hAnsi="Abadi MT Condensed"/>
      <w:snapToGrid w:val="0"/>
      <w:color w:val="000000"/>
      <w:lang w:val="en-GB" w:eastAsia="en-US"/>
    </w:rPr>
  </w:style>
  <w:style w:type="paragraph" w:customStyle="1" w:styleId="TH">
    <w:name w:val="TH"/>
    <w:basedOn w:val="ad"/>
    <w:next w:val="Normal"/>
    <w:rsid w:val="001323B1"/>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1323B1"/>
    <w:rPr>
      <w:rFonts w:eastAsia="Times New Roman"/>
      <w:sz w:val="28"/>
      <w:szCs w:val="28"/>
      <w:lang w:val="en-GB" w:eastAsia="en-US"/>
    </w:rPr>
  </w:style>
  <w:style w:type="character" w:customStyle="1" w:styleId="BodyTextChar">
    <w:name w:val="Body Text Char"/>
    <w:basedOn w:val="DefaultParagraphFont"/>
    <w:link w:val="BodyText"/>
    <w:rsid w:val="001323B1"/>
    <w:rPr>
      <w:sz w:val="28"/>
      <w:szCs w:val="28"/>
      <w:lang w:val="en-GB"/>
    </w:rPr>
  </w:style>
  <w:style w:type="character" w:styleId="Strong">
    <w:name w:val="Strong"/>
    <w:uiPriority w:val="22"/>
    <w:qFormat/>
    <w:rsid w:val="001323B1"/>
    <w:rPr>
      <w:b/>
      <w:bCs/>
    </w:rPr>
  </w:style>
  <w:style w:type="character" w:styleId="Emphasis">
    <w:name w:val="Emphasis"/>
    <w:qFormat/>
    <w:rsid w:val="001323B1"/>
    <w:rPr>
      <w:i/>
      <w:iCs/>
    </w:rPr>
  </w:style>
  <w:style w:type="paragraph" w:styleId="BodyTextIndent2">
    <w:name w:val="Body Text Indent 2"/>
    <w:basedOn w:val="Normal"/>
    <w:link w:val="BodyTextIndent2Char"/>
    <w:rsid w:val="001323B1"/>
    <w:pPr>
      <w:ind w:left="2552"/>
    </w:pPr>
    <w:rPr>
      <w:rFonts w:eastAsia="Times New Roman"/>
      <w:lang w:val="it-IT" w:eastAsia="en-US"/>
    </w:rPr>
  </w:style>
  <w:style w:type="character" w:customStyle="1" w:styleId="BodyTextIndent2Char">
    <w:name w:val="Body Text Indent 2 Char"/>
    <w:basedOn w:val="DefaultParagraphFont"/>
    <w:link w:val="BodyTextIndent2"/>
    <w:rsid w:val="001323B1"/>
    <w:rPr>
      <w:lang w:val="it-IT"/>
    </w:rPr>
  </w:style>
  <w:style w:type="paragraph" w:styleId="BodyTextIndent3">
    <w:name w:val="Body Text Indent 3"/>
    <w:basedOn w:val="Normal"/>
    <w:link w:val="BodyTextIndent3Char"/>
    <w:rsid w:val="001323B1"/>
    <w:pPr>
      <w:ind w:left="567" w:hanging="567"/>
    </w:pPr>
    <w:rPr>
      <w:rFonts w:eastAsia="Times New Roman"/>
      <w:lang w:eastAsia="en-US"/>
    </w:rPr>
  </w:style>
  <w:style w:type="character" w:customStyle="1" w:styleId="BodyTextIndent3Char">
    <w:name w:val="Body Text Indent 3 Char"/>
    <w:basedOn w:val="DefaultParagraphFont"/>
    <w:link w:val="BodyTextIndent3"/>
    <w:rsid w:val="001323B1"/>
  </w:style>
  <w:style w:type="paragraph" w:styleId="Subtitle">
    <w:name w:val="Subtitle"/>
    <w:basedOn w:val="Normal"/>
    <w:link w:val="SubtitleChar"/>
    <w:qFormat/>
    <w:rsid w:val="001323B1"/>
    <w:pPr>
      <w:widowControl w:val="0"/>
      <w:tabs>
        <w:tab w:val="left" w:pos="90"/>
      </w:tabs>
      <w:spacing w:before="175"/>
    </w:pPr>
    <w:rPr>
      <w:rFonts w:eastAsia="Times New Roman"/>
      <w:b/>
      <w:bCs/>
      <w:snapToGrid w:val="0"/>
      <w:color w:val="000000"/>
      <w:sz w:val="32"/>
      <w:szCs w:val="32"/>
      <w:lang w:eastAsia="en-US"/>
    </w:rPr>
  </w:style>
  <w:style w:type="character" w:customStyle="1" w:styleId="SubtitleChar">
    <w:name w:val="Subtitle Char"/>
    <w:basedOn w:val="DefaultParagraphFont"/>
    <w:link w:val="Subtitle"/>
    <w:rsid w:val="001323B1"/>
    <w:rPr>
      <w:b/>
      <w:bCs/>
      <w:snapToGrid w:val="0"/>
      <w:color w:val="000000"/>
      <w:sz w:val="32"/>
      <w:szCs w:val="32"/>
    </w:rPr>
  </w:style>
  <w:style w:type="paragraph" w:styleId="Title">
    <w:name w:val="Title"/>
    <w:basedOn w:val="Normal"/>
    <w:link w:val="TitleChar"/>
    <w:qFormat/>
    <w:rsid w:val="001323B1"/>
    <w:pPr>
      <w:jc w:val="center"/>
    </w:pPr>
    <w:rPr>
      <w:rFonts w:eastAsia="Times New Roman"/>
      <w:u w:val="single"/>
      <w:lang w:val="en-GB" w:eastAsia="en-US"/>
    </w:rPr>
  </w:style>
  <w:style w:type="character" w:customStyle="1" w:styleId="TitleChar">
    <w:name w:val="Title Char"/>
    <w:basedOn w:val="DefaultParagraphFont"/>
    <w:link w:val="Title"/>
    <w:rsid w:val="001323B1"/>
    <w:rPr>
      <w:u w:val="single"/>
      <w:lang w:val="en-GB"/>
    </w:rPr>
  </w:style>
  <w:style w:type="paragraph" w:customStyle="1" w:styleId="mainpara">
    <w:name w:val="mainpara"/>
    <w:basedOn w:val="Normal"/>
    <w:rsid w:val="001323B1"/>
    <w:pPr>
      <w:numPr>
        <w:numId w:val="39"/>
      </w:numPr>
      <w:tabs>
        <w:tab w:val="clear" w:pos="473"/>
        <w:tab w:val="left" w:pos="720"/>
        <w:tab w:val="left" w:pos="1440"/>
      </w:tabs>
    </w:pPr>
    <w:rPr>
      <w:rFonts w:eastAsia="Times New Roman"/>
      <w:snapToGrid w:val="0"/>
      <w:sz w:val="22"/>
      <w:szCs w:val="22"/>
      <w:lang w:val="en-GB" w:eastAsia="en-US"/>
    </w:rPr>
  </w:style>
  <w:style w:type="paragraph" w:customStyle="1" w:styleId="Level1">
    <w:name w:val="Level1"/>
    <w:basedOn w:val="Normal"/>
    <w:rsid w:val="001323B1"/>
    <w:pPr>
      <w:tabs>
        <w:tab w:val="left" w:pos="578"/>
        <w:tab w:val="left" w:pos="1157"/>
      </w:tabs>
      <w:suppressAutoHyphens/>
      <w:spacing w:after="240"/>
    </w:pPr>
    <w:rPr>
      <w:rFonts w:eastAsia="Times New Roman"/>
      <w:sz w:val="22"/>
      <w:szCs w:val="22"/>
      <w:lang w:val="en-GB" w:eastAsia="en-US"/>
    </w:rPr>
  </w:style>
  <w:style w:type="character" w:customStyle="1" w:styleId="EmailStyle20">
    <w:name w:val="EmailStyle20"/>
    <w:rsid w:val="001323B1"/>
    <w:rPr>
      <w:rFonts w:ascii="Arial" w:hAnsi="Arial" w:cs="Arial"/>
      <w:color w:val="000000"/>
      <w:sz w:val="20"/>
      <w:szCs w:val="20"/>
    </w:rPr>
  </w:style>
  <w:style w:type="paragraph" w:styleId="BodyText2">
    <w:name w:val="Body Text 2"/>
    <w:basedOn w:val="Normal"/>
    <w:link w:val="BodyText2Char"/>
    <w:rsid w:val="001323B1"/>
    <w:rPr>
      <w:rFonts w:eastAsia="Times New Roman"/>
      <w:color w:val="FF0000"/>
      <w:sz w:val="18"/>
      <w:szCs w:val="18"/>
      <w:lang w:val="en-GB" w:eastAsia="en-US"/>
    </w:rPr>
  </w:style>
  <w:style w:type="character" w:customStyle="1" w:styleId="BodyText2Char">
    <w:name w:val="Body Text 2 Char"/>
    <w:basedOn w:val="DefaultParagraphFont"/>
    <w:link w:val="BodyText2"/>
    <w:rsid w:val="001323B1"/>
    <w:rPr>
      <w:color w:val="FF0000"/>
      <w:sz w:val="18"/>
      <w:szCs w:val="18"/>
      <w:lang w:val="en-GB"/>
    </w:rPr>
  </w:style>
  <w:style w:type="paragraph" w:styleId="BodyText3">
    <w:name w:val="Body Text 3"/>
    <w:basedOn w:val="Normal"/>
    <w:link w:val="BodyText3Char"/>
    <w:rsid w:val="001323B1"/>
    <w:rPr>
      <w:rFonts w:eastAsia="Times New Roman"/>
      <w:b/>
      <w:bCs/>
      <w:i/>
      <w:iCs/>
      <w:lang w:val="en-GB" w:eastAsia="en-US"/>
    </w:rPr>
  </w:style>
  <w:style w:type="character" w:customStyle="1" w:styleId="BodyText3Char">
    <w:name w:val="Body Text 3 Char"/>
    <w:basedOn w:val="DefaultParagraphFont"/>
    <w:link w:val="BodyText3"/>
    <w:rsid w:val="001323B1"/>
    <w:rPr>
      <w:b/>
      <w:bCs/>
      <w:i/>
      <w:iCs/>
      <w:lang w:val="en-GB"/>
    </w:rPr>
  </w:style>
  <w:style w:type="paragraph" w:styleId="EndnoteText">
    <w:name w:val="endnote text"/>
    <w:basedOn w:val="Normal"/>
    <w:link w:val="EndnoteTextChar"/>
    <w:semiHidden/>
    <w:rsid w:val="001323B1"/>
    <w:rPr>
      <w:rFonts w:eastAsia="Times New Roman"/>
      <w:lang w:val="en-GB" w:eastAsia="en-US"/>
    </w:rPr>
  </w:style>
  <w:style w:type="character" w:customStyle="1" w:styleId="EndnoteTextChar">
    <w:name w:val="Endnote Text Char"/>
    <w:basedOn w:val="DefaultParagraphFont"/>
    <w:link w:val="EndnoteText"/>
    <w:semiHidden/>
    <w:rsid w:val="001323B1"/>
    <w:rPr>
      <w:lang w:val="en-GB"/>
    </w:rPr>
  </w:style>
  <w:style w:type="character" w:styleId="EndnoteReference">
    <w:name w:val="endnote reference"/>
    <w:semiHidden/>
    <w:rsid w:val="001323B1"/>
    <w:rPr>
      <w:vertAlign w:val="superscript"/>
    </w:rPr>
  </w:style>
  <w:style w:type="character" w:customStyle="1" w:styleId="emailstyle15">
    <w:name w:val="emailstyle15"/>
    <w:rsid w:val="001323B1"/>
    <w:rPr>
      <w:rFonts w:ascii="Arial" w:hAnsi="Arial" w:cs="Arial"/>
      <w:color w:val="000000"/>
      <w:sz w:val="20"/>
      <w:szCs w:val="20"/>
    </w:rPr>
  </w:style>
  <w:style w:type="character" w:customStyle="1" w:styleId="brsofficialcontactslabel">
    <w:name w:val="brsofficialcontacts_label"/>
    <w:rsid w:val="001323B1"/>
  </w:style>
  <w:style w:type="character" w:customStyle="1" w:styleId="markedcontent">
    <w:name w:val="markedcontent"/>
    <w:rsid w:val="001323B1"/>
  </w:style>
  <w:style w:type="paragraph" w:styleId="ListParagraph">
    <w:name w:val="List Paragraph"/>
    <w:basedOn w:val="Normal"/>
    <w:qFormat/>
    <w:rsid w:val="001323B1"/>
    <w:pPr>
      <w:ind w:left="720"/>
      <w:contextualSpacing/>
    </w:pPr>
    <w:rPr>
      <w:sz w:val="24"/>
      <w:szCs w:val="24"/>
      <w:lang w:val="en-GB"/>
    </w:rPr>
  </w:style>
  <w:style w:type="paragraph" w:customStyle="1" w:styleId="Default">
    <w:name w:val="Default"/>
    <w:rsid w:val="001323B1"/>
    <w:pPr>
      <w:autoSpaceDE w:val="0"/>
      <w:autoSpaceDN w:val="0"/>
      <w:adjustRightInd w:val="0"/>
    </w:pPr>
    <w:rPr>
      <w:rFonts w:eastAsia="SimSun"/>
      <w:color w:val="000000"/>
      <w:sz w:val="24"/>
      <w:szCs w:val="24"/>
      <w:lang w:val="fi-FI" w:eastAsia="fi-FI"/>
    </w:rPr>
  </w:style>
  <w:style w:type="paragraph" w:customStyle="1" w:styleId="AConvName">
    <w:name w:val="A_ConvName"/>
    <w:basedOn w:val="Normal-pool"/>
    <w:next w:val="Normal-pool"/>
    <w:rsid w:val="004944AA"/>
    <w:pPr>
      <w:tabs>
        <w:tab w:val="clear" w:pos="1247"/>
        <w:tab w:val="clear" w:pos="1814"/>
        <w:tab w:val="clear" w:pos="2381"/>
        <w:tab w:val="clear" w:pos="2948"/>
        <w:tab w:val="clear" w:pos="3515"/>
        <w:tab w:val="clear" w:pos="4082"/>
      </w:tabs>
      <w:spacing w:before="120" w:after="240"/>
    </w:pPr>
    <w:rPr>
      <w:rFonts w:ascii="Arial" w:eastAsia="Times New Roman" w:hAnsi="Arial"/>
      <w:b/>
      <w:sz w:val="28"/>
    </w:rPr>
  </w:style>
  <w:style w:type="paragraph" w:customStyle="1" w:styleId="ASymbol">
    <w:name w:val="A_Symbol"/>
    <w:basedOn w:val="Normal-pool"/>
    <w:rsid w:val="004944AA"/>
    <w:pPr>
      <w:tabs>
        <w:tab w:val="clear" w:pos="1247"/>
        <w:tab w:val="clear" w:pos="1814"/>
        <w:tab w:val="clear" w:pos="2381"/>
        <w:tab w:val="clear" w:pos="2948"/>
        <w:tab w:val="clear" w:pos="3515"/>
        <w:tab w:val="clear" w:pos="4082"/>
        <w:tab w:val="right" w:pos="2920"/>
      </w:tabs>
    </w:pPr>
    <w:rPr>
      <w:lang w:val="en-GB"/>
    </w:rPr>
  </w:style>
  <w:style w:type="paragraph" w:customStyle="1" w:styleId="AText">
    <w:name w:val="A_Text"/>
    <w:basedOn w:val="Normal-pool"/>
    <w:rsid w:val="004944AA"/>
    <w:pPr>
      <w:spacing w:before="120" w:after="120"/>
    </w:pPr>
    <w:rPr>
      <w:rFonts w:eastAsia="Times New Roman"/>
    </w:rPr>
  </w:style>
  <w:style w:type="paragraph" w:customStyle="1" w:styleId="AUnitedNations">
    <w:name w:val="A_United_Nations"/>
    <w:basedOn w:val="Normal-pool"/>
    <w:next w:val="Normal-pool"/>
    <w:rsid w:val="004944AA"/>
    <w:pPr>
      <w:tabs>
        <w:tab w:val="clear" w:pos="1247"/>
        <w:tab w:val="clear" w:pos="1814"/>
        <w:tab w:val="clear" w:pos="2381"/>
        <w:tab w:val="clear" w:pos="2948"/>
        <w:tab w:val="clear" w:pos="3515"/>
        <w:tab w:val="clear" w:pos="4082"/>
      </w:tabs>
      <w:spacing w:before="20" w:after="20"/>
    </w:pPr>
    <w:rPr>
      <w:rFonts w:ascii="Arial" w:eastAsia="Times New Roman" w:hAnsi="Arial" w:cs="Times New Roman Bold"/>
      <w:b/>
      <w:caps/>
      <w:color w:val="000000" w:themeColor="text1"/>
      <w:sz w:val="27"/>
    </w:rPr>
  </w:style>
  <w:style w:type="paragraph" w:customStyle="1" w:styleId="ALogo">
    <w:name w:val="A_Logo"/>
    <w:basedOn w:val="Normal-pool"/>
    <w:link w:val="ALogoChar"/>
    <w:qFormat/>
    <w:rsid w:val="004944AA"/>
    <w:pPr>
      <w:spacing w:before="120" w:after="240"/>
    </w:pPr>
  </w:style>
  <w:style w:type="character" w:customStyle="1" w:styleId="ALogoChar">
    <w:name w:val="A_Logo Char"/>
    <w:basedOn w:val="Normal-poolChar"/>
    <w:link w:val="ALogo"/>
    <w:rsid w:val="004944AA"/>
    <w:rPr>
      <w:rFonts w:eastAsia="SimSun"/>
    </w:rPr>
  </w:style>
  <w:style w:type="paragraph" w:customStyle="1" w:styleId="ASpacer">
    <w:name w:val="A_Spacer"/>
    <w:basedOn w:val="Normal-pool"/>
    <w:link w:val="ASpacerChar"/>
    <w:qFormat/>
    <w:rsid w:val="004944AA"/>
    <w:rPr>
      <w:sz w:val="2"/>
    </w:rPr>
  </w:style>
  <w:style w:type="character" w:customStyle="1" w:styleId="ASpacerChar">
    <w:name w:val="A_Spacer Char"/>
    <w:basedOn w:val="Normal-poolChar"/>
    <w:link w:val="ASpacer"/>
    <w:rsid w:val="004944AA"/>
    <w:rPr>
      <w:rFonts w:eastAsia="SimSun"/>
      <w:sz w:val="2"/>
    </w:rPr>
  </w:style>
  <w:style w:type="paragraph" w:customStyle="1" w:styleId="AATitle1">
    <w:name w:val="AA_Title1"/>
    <w:basedOn w:val="AATitle"/>
    <w:qFormat/>
    <w:rsid w:val="004944AA"/>
    <w:pPr>
      <w:tabs>
        <w:tab w:val="clear" w:pos="1247"/>
        <w:tab w:val="clear" w:pos="1814"/>
        <w:tab w:val="clear" w:pos="2381"/>
        <w:tab w:val="clear" w:pos="2948"/>
        <w:tab w:val="clear" w:pos="3515"/>
        <w:tab w:val="clear" w:pos="4082"/>
        <w:tab w:val="right" w:pos="2920"/>
      </w:tabs>
      <w:ind w:right="0"/>
    </w:pPr>
    <w:rPr>
      <w:rFonts w:eastAsia="Times New Roman"/>
      <w:b w:val="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sid w:val="006F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45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208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fao.org/fao-who-codexalimentarius/codex-texts/dbs/pestres/commodities/en/?cm=229" TargetMode="External"/><Relationship Id="rId39" Type="http://schemas.openxmlformats.org/officeDocument/2006/relationships/hyperlink" Target="https://pubchem.ncbi.nlm.nih.gov/compound/Terbufos" TargetMode="External"/><Relationship Id="rId21" Type="http://schemas.openxmlformats.org/officeDocument/2006/relationships/image" Target="media/image5.png"/><Relationship Id="rId34" Type="http://schemas.openxmlformats.org/officeDocument/2006/relationships/hyperlink" Target="http://www.fao.org/fao-who-codexalimentarius/codex-texts/dbs/pestres/commodities/en/?cm=55"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fao.org/fao-who-codexalimentarius/codex-texts/dbs/pestres/commodities/en/?cm=1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o.org/fao-who-codexalimentarius/codex-texts/dbs/pestres/commodities/en/?cm=240" TargetMode="External"/><Relationship Id="rId32" Type="http://schemas.openxmlformats.org/officeDocument/2006/relationships/hyperlink" Target="http://www.fao.org/fao-who-codexalimentarius/codex-texts/dbs/pestres/commodities/en/?cm=236" TargetMode="External"/><Relationship Id="rId37" Type="http://schemas.openxmlformats.org/officeDocument/2006/relationships/hyperlink" Target="https://ec.europa.eu/food/plant/pesticides/eu-pesticides-database/mrls/?event=details&amp;pest_res_ids=384&amp;product_ids=&amp;v=1&amp;e=search.pr" TargetMode="External"/><Relationship Id="rId40" Type="http://schemas.openxmlformats.org/officeDocument/2006/relationships/hyperlink" Target="https://www.fao.org/3/v7460e/v7460e.pdf"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hyperlink" Target="http://www.fao.org/fao-who-codexalimentarius/codex-texts/dbs/pestres/commodities/en/?cm=131" TargetMode="External"/><Relationship Id="rId28" Type="http://schemas.openxmlformats.org/officeDocument/2006/relationships/hyperlink" Target="http://www.fao.org/fao-who-codexalimentarius/codex-texts/dbs/pestres/commodities/en/?cm=51" TargetMode="External"/><Relationship Id="rId36" Type="http://schemas.openxmlformats.org/officeDocument/2006/relationships/hyperlink" Target="http://www.fao.org/fao-who-codexalimentarius/codex-texts/dbs/pestres/commodities/en/?cm=319"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fao.org/fao-who-codexalimentarius/codex-texts/dbs/pestres/commodities/en/?cm=233"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S:\Marin\Agenda\!OLEGENE.WPG" TargetMode="External"/><Relationship Id="rId22" Type="http://schemas.openxmlformats.org/officeDocument/2006/relationships/hyperlink" Target="https://saicmknowledge.org/library/replacing-chemicals-biology-phasing-out-highly-hazardous-pesticides-agroecology" TargetMode="External"/><Relationship Id="rId27" Type="http://schemas.openxmlformats.org/officeDocument/2006/relationships/hyperlink" Target="http://www.fao.org/fao-who-codexalimentarius/codex-texts/dbs/pestres/commodities/en/?cm=156" TargetMode="External"/><Relationship Id="rId30" Type="http://schemas.openxmlformats.org/officeDocument/2006/relationships/hyperlink" Target="http://www.fao.org/fao-who-codexalimentarius/codex-texts/dbs/pestres/commodities/en/?cm=187" TargetMode="External"/><Relationship Id="rId35" Type="http://schemas.openxmlformats.org/officeDocument/2006/relationships/hyperlink" Target="http://www.fao.org/fao-who-codexalimentarius/codex-texts/dbs/pestres/commodities/en/?cm=349"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hyperlink" Target="http://www.fao.org/fao-who-codexalimentarius/codex-texts/dbs/pestres/commodities/en/?cm=198" TargetMode="External"/><Relationship Id="rId33" Type="http://schemas.openxmlformats.org/officeDocument/2006/relationships/hyperlink" Target="http://www.fao.org/fao-who-codexalimentarius/codex-texts/dbs/pestres/commodities/en/?cm=160" TargetMode="External"/><Relationship Id="rId38" Type="http://schemas.openxmlformats.org/officeDocument/2006/relationships/hyperlink" Target="https://www.fao.org/fileadmin/templates/agphome/documents/Pests_Pesticides/JMPR/Evaluation05/2005_Terbufos1.pdf" TargetMode="External"/><Relationship Id="rId46" Type="http://schemas.openxmlformats.org/officeDocument/2006/relationships/footer" Target="footer6.xml"/><Relationship Id="rId20" Type="http://schemas.openxmlformats.org/officeDocument/2006/relationships/footer" Target="footer3.xm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DCCFF06D044688251B3E010FA2BB" ma:contentTypeVersion="11" ma:contentTypeDescription="Create a new document." ma:contentTypeScope="" ma:versionID="b6f641573d54f8d8378caecf1fa365de">
  <xsd:schema xmlns:xsd="http://www.w3.org/2001/XMLSchema" xmlns:xs="http://www.w3.org/2001/XMLSchema" xmlns:p="http://schemas.microsoft.com/office/2006/metadata/properties" xmlns:ns2="786100a8-bbaa-48b6-aa10-6d2082f346b4" xmlns:ns3="25a4600d-fc45-4aed-ad1e-9b44b590e5cc" targetNamespace="http://schemas.microsoft.com/office/2006/metadata/properties" ma:root="true" ma:fieldsID="889ed279879ba929ffe081c12af4a8a5" ns2:_="" ns3:_="">
    <xsd:import namespace="786100a8-bbaa-48b6-aa10-6d2082f346b4"/>
    <xsd:import namespace="25a4600d-fc45-4aed-ad1e-9b44b590e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00a8-bbaa-48b6-aa10-6d2082f3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4600d-fc45-4aed-ad1e-9b44b590e5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BD5C8-BF99-4544-B1D4-C5E59C80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00a8-bbaa-48b6-aa10-6d2082f346b4"/>
    <ds:schemaRef ds:uri="25a4600d-fc45-4aed-ad1e-9b44b59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71465-CFF7-4397-8843-B9C313D26581}">
  <ds:schemaRefs>
    <ds:schemaRef ds:uri="http://schemas.microsoft.com/office/2006/documentManagement/types"/>
    <ds:schemaRef ds:uri="http://www.w3.org/XML/1998/namespace"/>
    <ds:schemaRef ds:uri="http://purl.org/dc/terms/"/>
    <ds:schemaRef ds:uri="25a4600d-fc45-4aed-ad1e-9b44b590e5cc"/>
    <ds:schemaRef ds:uri="http://purl.org/dc/elements/1.1/"/>
    <ds:schemaRef ds:uri="http://purl.org/dc/dcmitype/"/>
    <ds:schemaRef ds:uri="786100a8-bbaa-48b6-aa10-6d2082f346b4"/>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AF0BD-A61F-4FF8-8696-C1C656A5B7FE}">
  <ds:schemaRefs>
    <ds:schemaRef ds:uri="http://schemas.openxmlformats.org/officeDocument/2006/bibliography"/>
  </ds:schemaRefs>
</ds:datastoreItem>
</file>

<file path=customXml/itemProps4.xml><?xml version="1.0" encoding="utf-8"?>
<ds:datastoreItem xmlns:ds="http://schemas.openxmlformats.org/officeDocument/2006/customXml" ds:itemID="{54F10565-FD87-4765-87BB-DB19CF113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15818</Words>
  <Characters>93807</Characters>
  <Application>Microsoft Office Word</Application>
  <DocSecurity>0</DocSecurity>
  <Lines>2605</Lines>
  <Paragraphs>1218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Ariel Dayao</dc:creator>
  <cp:lastModifiedBy>Herimalala Raveloarinjato</cp:lastModifiedBy>
  <cp:revision>2</cp:revision>
  <cp:lastPrinted>2022-11-08T05:25:00Z</cp:lastPrinted>
  <dcterms:created xsi:type="dcterms:W3CDTF">2022-11-09T10:28:00Z</dcterms:created>
  <dcterms:modified xsi:type="dcterms:W3CDTF">2022-11-09T10:28:00Z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0x0101001C49DCCFF06D044688251B3E010FA2BB</vt:lpwstr>
  </property>
  <property fmtid="{D5CDD505-2E9C-101B-9397-08002B2CF9AE}" pid="3" name="TranslatedWith">
    <vt:lpwstr>Mercury</vt:lpwstr>
  </property>
  <property fmtid="{D5CDD505-2E9C-101B-9397-08002B2CF9AE}" pid="4" name="GeneratedBy">
    <vt:lpwstr>andriamamonjy.fiaferana</vt:lpwstr>
  </property>
  <property fmtid="{D5CDD505-2E9C-101B-9397-08002B2CF9AE}" pid="5" name="GeneratedDate">
    <vt:lpwstr>07/20/2022 14:32:55</vt:lpwstr>
  </property>
  <property fmtid="{D5CDD505-2E9C-101B-9397-08002B2CF9AE}" pid="6" name="OriginalDocID">
    <vt:lpwstr>35d6f662-41ea-43f5-b7b9-fa330ac7d558</vt:lpwstr>
  </property>
  <property fmtid="{D5CDD505-2E9C-101B-9397-08002B2CF9AE}" pid="7" name="GrammarlyDocumentId">
    <vt:lpwstr>709471965603c4c2dd41f33175aa26ba81bed5ceced3462d3aba871504006b82</vt:lpwstr>
  </property>
</Properties>
</file>