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B59A" w14:textId="39FAD4A0" w:rsidR="001E30EA" w:rsidRPr="00E86607" w:rsidRDefault="001E30EA" w:rsidP="001E30EA">
      <w:pPr>
        <w:rPr>
          <w:rFonts w:eastAsia="SimSun"/>
          <w:b/>
          <w:sz w:val="20"/>
          <w:u w:val="single"/>
          <w:lang w:val="en-US" w:eastAsia="zh-CN"/>
        </w:rPr>
      </w:pPr>
      <w:r w:rsidRPr="00E86607">
        <w:rPr>
          <w:rFonts w:eastAsia="SimSun"/>
          <w:b/>
          <w:sz w:val="20"/>
          <w:u w:val="single"/>
          <w:lang w:eastAsia="zh-CN"/>
        </w:rPr>
        <w:t xml:space="preserve">Mandate of the contact group on the development of a rationale for the conclusion by the Chemical Review Committee that the notifications of final regulatory action submitted by </w:t>
      </w:r>
      <w:r w:rsidR="000C78E3" w:rsidRPr="00E86607">
        <w:rPr>
          <w:rFonts w:eastAsia="SimSun"/>
          <w:b/>
          <w:sz w:val="20"/>
          <w:u w:val="single"/>
          <w:lang w:eastAsia="zh-CN"/>
        </w:rPr>
        <w:t>Ruritania</w:t>
      </w:r>
      <w:r w:rsidRPr="00E86607">
        <w:rPr>
          <w:rFonts w:eastAsia="SimSun"/>
          <w:b/>
          <w:sz w:val="20"/>
          <w:u w:val="single"/>
          <w:lang w:eastAsia="zh-CN"/>
        </w:rPr>
        <w:t xml:space="preserve"> in respect of </w:t>
      </w:r>
      <w:r w:rsidR="00021302">
        <w:rPr>
          <w:rFonts w:eastAsia="SimSun"/>
          <w:b/>
          <w:sz w:val="20"/>
          <w:u w:val="single"/>
          <w:lang w:eastAsia="zh-CN"/>
        </w:rPr>
        <w:t>one-shot ethyl</w:t>
      </w:r>
      <w:r w:rsidR="001E7FA5" w:rsidRPr="00E86607">
        <w:rPr>
          <w:rFonts w:eastAsia="SimSun"/>
          <w:b/>
          <w:sz w:val="20"/>
          <w:u w:val="single"/>
          <w:lang w:eastAsia="zh-CN"/>
        </w:rPr>
        <w:t xml:space="preserve"> </w:t>
      </w:r>
      <w:r w:rsidRPr="00E86607">
        <w:rPr>
          <w:rFonts w:eastAsia="SimSun"/>
          <w:b/>
          <w:sz w:val="20"/>
          <w:u w:val="single"/>
          <w:lang w:eastAsia="zh-CN"/>
        </w:rPr>
        <w:t>meet</w:t>
      </w:r>
      <w:r w:rsidR="001E7FA5" w:rsidRPr="00E86607">
        <w:rPr>
          <w:rFonts w:eastAsia="SimSun"/>
          <w:b/>
          <w:sz w:val="20"/>
          <w:u w:val="single"/>
          <w:lang w:eastAsia="zh-CN"/>
        </w:rPr>
        <w:t>s</w:t>
      </w:r>
      <w:r w:rsidRPr="00E86607">
        <w:rPr>
          <w:rFonts w:eastAsia="SimSun"/>
          <w:b/>
          <w:sz w:val="20"/>
          <w:u w:val="single"/>
          <w:lang w:eastAsia="zh-CN"/>
        </w:rPr>
        <w:t xml:space="preserve"> the criteria of Annex II to the Rotterdam Convention</w:t>
      </w:r>
    </w:p>
    <w:p w14:paraId="70AC9767" w14:textId="77777777" w:rsidR="001E30EA" w:rsidRPr="00E86607" w:rsidRDefault="001E30EA" w:rsidP="001E30EA">
      <w:pPr>
        <w:rPr>
          <w:rFonts w:eastAsia="SimSun"/>
          <w:b/>
          <w:sz w:val="20"/>
          <w:u w:val="single"/>
          <w:lang w:eastAsia="zh-CN"/>
        </w:rPr>
      </w:pPr>
    </w:p>
    <w:p w14:paraId="28394F0B" w14:textId="66BBD4AA" w:rsidR="004F2C3F" w:rsidRPr="00E86607" w:rsidRDefault="001E30EA">
      <w:pPr>
        <w:tabs>
          <w:tab w:val="left" w:pos="6379"/>
        </w:tabs>
        <w:rPr>
          <w:rFonts w:eastAsia="SimSun"/>
          <w:sz w:val="20"/>
          <w:lang w:eastAsia="zh-CN"/>
        </w:rPr>
      </w:pPr>
      <w:r w:rsidRPr="00E86607">
        <w:rPr>
          <w:rFonts w:eastAsia="SimSun"/>
          <w:sz w:val="20"/>
          <w:lang w:eastAsia="zh-CN"/>
        </w:rPr>
        <w:t xml:space="preserve">To prepare a draft </w:t>
      </w:r>
      <w:r w:rsidR="00964E5A" w:rsidRPr="00E86607">
        <w:rPr>
          <w:rFonts w:eastAsia="SimSun"/>
          <w:sz w:val="20"/>
          <w:lang w:eastAsia="zh-CN"/>
        </w:rPr>
        <w:t xml:space="preserve">rationale for the conclusion by the Chemical Review Committee that the notifications of final regulatory action submitted by </w:t>
      </w:r>
      <w:r w:rsidR="001E7FA5" w:rsidRPr="00E86607">
        <w:rPr>
          <w:rFonts w:eastAsia="SimSun"/>
          <w:sz w:val="20"/>
          <w:lang w:eastAsia="zh-CN"/>
        </w:rPr>
        <w:t>Ruritania</w:t>
      </w:r>
      <w:r w:rsidR="00964E5A" w:rsidRPr="00E86607">
        <w:rPr>
          <w:rFonts w:eastAsia="SimSun"/>
          <w:sz w:val="20"/>
          <w:lang w:eastAsia="zh-CN"/>
        </w:rPr>
        <w:t xml:space="preserve"> in respect of </w:t>
      </w:r>
      <w:r w:rsidR="00021302">
        <w:rPr>
          <w:rFonts w:eastAsia="SimSun"/>
          <w:sz w:val="20"/>
          <w:lang w:eastAsia="zh-CN"/>
        </w:rPr>
        <w:t>one-shot ethyl</w:t>
      </w:r>
      <w:r w:rsidR="001E7FA5" w:rsidRPr="00E86607">
        <w:rPr>
          <w:rFonts w:eastAsia="SimSun"/>
          <w:sz w:val="20"/>
          <w:lang w:eastAsia="zh-CN"/>
        </w:rPr>
        <w:t xml:space="preserve"> </w:t>
      </w:r>
      <w:r w:rsidR="00964E5A" w:rsidRPr="00E86607">
        <w:rPr>
          <w:rFonts w:eastAsia="SimSun"/>
          <w:sz w:val="20"/>
          <w:lang w:eastAsia="zh-CN"/>
        </w:rPr>
        <w:t>meet</w:t>
      </w:r>
      <w:r w:rsidR="001E7FA5" w:rsidRPr="00E86607">
        <w:rPr>
          <w:rFonts w:eastAsia="SimSun"/>
          <w:sz w:val="20"/>
          <w:lang w:eastAsia="zh-CN"/>
        </w:rPr>
        <w:t>s</w:t>
      </w:r>
      <w:r w:rsidR="00964E5A" w:rsidRPr="00E86607">
        <w:rPr>
          <w:rFonts w:eastAsia="SimSun"/>
          <w:sz w:val="20"/>
          <w:lang w:eastAsia="zh-CN"/>
        </w:rPr>
        <w:t xml:space="preserve"> the criteria of Annex II to the Rotterdam Convention</w:t>
      </w:r>
      <w:r w:rsidR="001E7FA5" w:rsidRPr="00E86607">
        <w:rPr>
          <w:rFonts w:eastAsia="SimSun"/>
          <w:sz w:val="20"/>
          <w:lang w:eastAsia="zh-CN"/>
        </w:rPr>
        <w:t xml:space="preserve"> using </w:t>
      </w:r>
      <w:r w:rsidR="00964E5A" w:rsidRPr="00E86607">
        <w:rPr>
          <w:rFonts w:eastAsia="SimSun"/>
          <w:sz w:val="20"/>
          <w:lang w:eastAsia="zh-CN"/>
        </w:rPr>
        <w:t xml:space="preserve">a draft rationale prepared by the contact group established on the matter at its previous meeting as the starting point for its deliberations. </w:t>
      </w:r>
      <w:r w:rsidRPr="00E86607">
        <w:rPr>
          <w:rFonts w:eastAsia="SimSun"/>
          <w:sz w:val="20"/>
          <w:lang w:eastAsia="zh-CN"/>
        </w:rPr>
        <w:t xml:space="preserve">This draft </w:t>
      </w:r>
      <w:r w:rsidR="008F5588" w:rsidRPr="00E86607">
        <w:rPr>
          <w:rFonts w:eastAsia="SimSun"/>
          <w:sz w:val="20"/>
          <w:lang w:eastAsia="zh-CN"/>
        </w:rPr>
        <w:t xml:space="preserve">rationale </w:t>
      </w:r>
      <w:r w:rsidRPr="00E86607">
        <w:rPr>
          <w:rFonts w:eastAsia="SimSun"/>
          <w:sz w:val="20"/>
          <w:lang w:eastAsia="zh-CN"/>
        </w:rPr>
        <w:t xml:space="preserve">has been reproduced in the </w:t>
      </w:r>
      <w:r w:rsidR="008F5588" w:rsidRPr="00E86607">
        <w:rPr>
          <w:rFonts w:eastAsia="SimSun"/>
          <w:sz w:val="20"/>
          <w:lang w:eastAsia="zh-CN"/>
        </w:rPr>
        <w:t>a</w:t>
      </w:r>
      <w:r w:rsidRPr="00E86607">
        <w:rPr>
          <w:rFonts w:eastAsia="SimSun"/>
          <w:sz w:val="20"/>
          <w:lang w:eastAsia="zh-CN"/>
        </w:rPr>
        <w:t>nnex below, without formal editing.</w:t>
      </w:r>
    </w:p>
    <w:p w14:paraId="399A1FF4" w14:textId="77777777" w:rsidR="007C409C" w:rsidRPr="00E86607" w:rsidRDefault="007C409C" w:rsidP="001E30EA">
      <w:pPr>
        <w:rPr>
          <w:rFonts w:eastAsia="SimSun"/>
          <w:sz w:val="20"/>
          <w:lang w:eastAsia="zh-CN"/>
        </w:rPr>
      </w:pPr>
      <w:bookmarkStart w:id="0" w:name="_GoBack"/>
      <w:bookmarkEnd w:id="0"/>
    </w:p>
    <w:p w14:paraId="68C8AE01" w14:textId="77777777" w:rsidR="001E30EA" w:rsidRPr="00E86607" w:rsidRDefault="001E30EA" w:rsidP="001E30EA">
      <w:pPr>
        <w:rPr>
          <w:rFonts w:cstheme="minorHAnsi"/>
          <w:b/>
          <w:sz w:val="28"/>
        </w:rPr>
      </w:pPr>
      <w:r w:rsidRPr="00E86607">
        <w:rPr>
          <w:rFonts w:cstheme="minorHAnsi"/>
          <w:b/>
          <w:sz w:val="28"/>
        </w:rPr>
        <w:t xml:space="preserve">Annex </w:t>
      </w:r>
    </w:p>
    <w:p w14:paraId="75C83872" w14:textId="4EDA7618" w:rsidR="009915C5" w:rsidRPr="00E86607" w:rsidRDefault="009915C5" w:rsidP="009915C5">
      <w:pPr>
        <w:pStyle w:val="Subtitle"/>
        <w:tabs>
          <w:tab w:val="left" w:pos="624"/>
          <w:tab w:val="left" w:pos="1247"/>
          <w:tab w:val="left" w:pos="1871"/>
          <w:tab w:val="left" w:pos="2495"/>
        </w:tabs>
        <w:spacing w:before="120" w:after="120"/>
        <w:rPr>
          <w:lang w:val="en-US"/>
        </w:rPr>
      </w:pPr>
      <w:r w:rsidRPr="00E86607">
        <w:t xml:space="preserve">Rationale for the </w:t>
      </w:r>
      <w:r w:rsidRPr="00E86607">
        <w:rPr>
          <w:lang w:val="en-US"/>
        </w:rPr>
        <w:t>conclusion by the Chemical Review Committee that</w:t>
      </w:r>
      <w:r w:rsidRPr="00E86607">
        <w:t xml:space="preserve"> </w:t>
      </w:r>
      <w:r w:rsidRPr="00E86607">
        <w:rPr>
          <w:lang w:val="en-US"/>
        </w:rPr>
        <w:t xml:space="preserve">the notification of final regulatory action submitted by </w:t>
      </w:r>
      <w:r w:rsidR="001E7FA5" w:rsidRPr="00E86607">
        <w:rPr>
          <w:lang w:val="en-US"/>
        </w:rPr>
        <w:t>Ruritania</w:t>
      </w:r>
      <w:r w:rsidRPr="00E86607">
        <w:rPr>
          <w:lang w:val="en-US"/>
        </w:rPr>
        <w:t xml:space="preserve"> in respect of </w:t>
      </w:r>
      <w:r w:rsidR="00021302">
        <w:t>one-shot ethyl</w:t>
      </w:r>
      <w:r w:rsidR="001E7FA5" w:rsidRPr="00E86607">
        <w:t xml:space="preserve"> </w:t>
      </w:r>
      <w:r w:rsidRPr="00E86607">
        <w:rPr>
          <w:lang w:val="en-US"/>
        </w:rPr>
        <w:t>meet</w:t>
      </w:r>
      <w:r w:rsidR="001E7FA5" w:rsidRPr="00E86607">
        <w:rPr>
          <w:lang w:val="en-US"/>
        </w:rPr>
        <w:t>s</w:t>
      </w:r>
      <w:r w:rsidRPr="00E86607">
        <w:rPr>
          <w:lang w:val="en-US"/>
        </w:rPr>
        <w:t xml:space="preserve"> the criteria of Annex II to the Rotterdam Convention</w:t>
      </w:r>
    </w:p>
    <w:p w14:paraId="1D2A76AF" w14:textId="2DF1459F" w:rsidR="00F148CB" w:rsidRPr="00F148CB" w:rsidRDefault="00F148CB" w:rsidP="00F148CB">
      <w:pPr>
        <w:numPr>
          <w:ilvl w:val="0"/>
          <w:numId w:val="5"/>
        </w:numPr>
        <w:tabs>
          <w:tab w:val="left" w:pos="-1440"/>
          <w:tab w:val="left" w:pos="-720"/>
        </w:tabs>
        <w:snapToGrid w:val="0"/>
        <w:spacing w:after="120"/>
        <w:ind w:left="1276" w:firstLine="0"/>
        <w:rPr>
          <w:iCs/>
          <w:snapToGrid w:val="0"/>
          <w:sz w:val="20"/>
        </w:rPr>
      </w:pPr>
      <w:r w:rsidRPr="00E86607">
        <w:rPr>
          <w:sz w:val="20"/>
        </w:rPr>
        <w:t xml:space="preserve">A </w:t>
      </w:r>
      <w:r w:rsidRPr="00E86607">
        <w:rPr>
          <w:iCs/>
          <w:snapToGrid w:val="0"/>
          <w:sz w:val="20"/>
        </w:rPr>
        <w:t xml:space="preserve">notification from Ruritania for </w:t>
      </w:r>
      <w:r w:rsidR="00021302">
        <w:rPr>
          <w:iCs/>
          <w:snapToGrid w:val="0"/>
          <w:sz w:val="20"/>
        </w:rPr>
        <w:t>one-shot ethyl</w:t>
      </w:r>
      <w:r w:rsidRPr="00E86607">
        <w:rPr>
          <w:iCs/>
          <w:snapToGrid w:val="0"/>
          <w:sz w:val="20"/>
        </w:rPr>
        <w:t xml:space="preserve"> has been determined to [meet][not meet] the information requirements of Annex I and the criteria set</w:t>
      </w:r>
      <w:r w:rsidRPr="00F148CB">
        <w:rPr>
          <w:iCs/>
          <w:snapToGrid w:val="0"/>
          <w:sz w:val="20"/>
        </w:rPr>
        <w:t xml:space="preserve"> forth in Annex II to the Rotterdam Convention.</w:t>
      </w:r>
    </w:p>
    <w:p w14:paraId="0117E86D" w14:textId="77777777" w:rsidR="00F148CB" w:rsidRPr="00B33D65" w:rsidRDefault="00F148CB" w:rsidP="00F148CB">
      <w:pPr>
        <w:numPr>
          <w:ilvl w:val="0"/>
          <w:numId w:val="5"/>
        </w:numPr>
        <w:tabs>
          <w:tab w:val="left" w:pos="-1440"/>
          <w:tab w:val="left" w:pos="-720"/>
        </w:tabs>
        <w:snapToGrid w:val="0"/>
        <w:spacing w:after="120"/>
        <w:ind w:left="1276" w:firstLine="0"/>
        <w:rPr>
          <w:sz w:val="20"/>
        </w:rPr>
      </w:pPr>
      <w:r w:rsidRPr="00F148CB">
        <w:rPr>
          <w:iCs/>
          <w:snapToGrid w:val="0"/>
          <w:sz w:val="20"/>
        </w:rPr>
        <w:t>The notification and supporting documentation were made available to the Chemical Review Committee</w:t>
      </w:r>
      <w:r w:rsidRPr="00B33D65">
        <w:rPr>
          <w:sz w:val="20"/>
        </w:rPr>
        <w:t xml:space="preserve"> for its consideration in documents UNEP/FAO/RC/CRC.</w:t>
      </w:r>
      <w:r w:rsidR="00503621">
        <w:rPr>
          <w:sz w:val="20"/>
        </w:rPr>
        <w:t>23</w:t>
      </w:r>
      <w:r w:rsidRPr="00B33D65">
        <w:rPr>
          <w:sz w:val="20"/>
        </w:rPr>
        <w:t>/</w:t>
      </w:r>
      <w:r w:rsidR="00503621">
        <w:rPr>
          <w:sz w:val="20"/>
        </w:rPr>
        <w:t>15</w:t>
      </w:r>
      <w:r w:rsidRPr="00B33D65">
        <w:rPr>
          <w:sz w:val="20"/>
        </w:rPr>
        <w:t xml:space="preserve"> and Add.1and 2.</w:t>
      </w:r>
    </w:p>
    <w:p w14:paraId="0D3C50B4" w14:textId="77777777" w:rsidR="00F148CB" w:rsidRPr="00E42468" w:rsidRDefault="00503621" w:rsidP="00F148CB">
      <w:pPr>
        <w:keepNext/>
        <w:numPr>
          <w:ilvl w:val="0"/>
          <w:numId w:val="7"/>
        </w:numPr>
        <w:snapToGrid w:val="0"/>
        <w:spacing w:before="240" w:after="120"/>
        <w:rPr>
          <w:b/>
          <w:bCs/>
          <w:sz w:val="28"/>
          <w:szCs w:val="28"/>
        </w:rPr>
      </w:pPr>
      <w:r>
        <w:rPr>
          <w:b/>
          <w:bCs/>
          <w:sz w:val="28"/>
          <w:szCs w:val="28"/>
        </w:rPr>
        <w:t xml:space="preserve">Ruritania </w:t>
      </w:r>
      <w:r w:rsidR="00F148CB" w:rsidRPr="00E42468">
        <w:rPr>
          <w:b/>
          <w:bCs/>
          <w:sz w:val="28"/>
          <w:szCs w:val="28"/>
        </w:rPr>
        <w:t xml:space="preserve"> </w:t>
      </w:r>
    </w:p>
    <w:p w14:paraId="5DF0B838" w14:textId="77777777" w:rsidR="00F148CB" w:rsidRPr="00F54EE0" w:rsidRDefault="00F148CB" w:rsidP="00F148CB">
      <w:pPr>
        <w:widowControl w:val="0"/>
        <w:numPr>
          <w:ilvl w:val="0"/>
          <w:numId w:val="6"/>
        </w:numPr>
        <w:tabs>
          <w:tab w:val="left" w:pos="-1440"/>
          <w:tab w:val="left" w:pos="-720"/>
        </w:tabs>
        <w:suppressAutoHyphens/>
        <w:snapToGrid w:val="0"/>
        <w:spacing w:after="120"/>
        <w:ind w:left="1276" w:hanging="709"/>
        <w:rPr>
          <w:b/>
          <w:snapToGrid w:val="0"/>
          <w:sz w:val="20"/>
        </w:rPr>
      </w:pPr>
      <w:r w:rsidRPr="00F54EE0">
        <w:rPr>
          <w:b/>
          <w:snapToGrid w:val="0"/>
          <w:sz w:val="20"/>
        </w:rPr>
        <w:t>Scope of the notified regulatory action</w:t>
      </w:r>
    </w:p>
    <w:p w14:paraId="76D835D6" w14:textId="5FCF5813" w:rsidR="00F148CB" w:rsidRPr="00F54EE0" w:rsidRDefault="00F148CB" w:rsidP="00503621">
      <w:pPr>
        <w:numPr>
          <w:ilvl w:val="0"/>
          <w:numId w:val="5"/>
        </w:numPr>
        <w:snapToGrid w:val="0"/>
        <w:spacing w:after="120"/>
        <w:ind w:left="1276" w:firstLine="0"/>
        <w:rPr>
          <w:iCs/>
          <w:snapToGrid w:val="0"/>
          <w:sz w:val="20"/>
        </w:rPr>
      </w:pPr>
      <w:r w:rsidRPr="00F54EE0">
        <w:rPr>
          <w:iCs/>
          <w:snapToGrid w:val="0"/>
          <w:sz w:val="20"/>
        </w:rPr>
        <w:t xml:space="preserve">The final regulatory action </w:t>
      </w:r>
      <w:r w:rsidR="007943F7" w:rsidRPr="00F54EE0">
        <w:rPr>
          <w:iCs/>
          <w:snapToGrid w:val="0"/>
          <w:sz w:val="20"/>
        </w:rPr>
        <w:t>(Resolution-</w:t>
      </w:r>
      <w:r w:rsidR="007943F7">
        <w:rPr>
          <w:iCs/>
          <w:snapToGrid w:val="0"/>
          <w:sz w:val="20"/>
        </w:rPr>
        <w:t>XYZ/3/201</w:t>
      </w:r>
      <w:r w:rsidR="00021302">
        <w:rPr>
          <w:iCs/>
          <w:snapToGrid w:val="0"/>
          <w:sz w:val="20"/>
        </w:rPr>
        <w:t>5</w:t>
      </w:r>
      <w:r w:rsidR="007943F7" w:rsidRPr="00F54EE0">
        <w:rPr>
          <w:iCs/>
          <w:snapToGrid w:val="0"/>
          <w:sz w:val="20"/>
        </w:rPr>
        <w:t xml:space="preserve"> of </w:t>
      </w:r>
      <w:r w:rsidR="007943F7">
        <w:rPr>
          <w:iCs/>
          <w:snapToGrid w:val="0"/>
          <w:sz w:val="20"/>
        </w:rPr>
        <w:t>8</w:t>
      </w:r>
      <w:r w:rsidR="007943F7" w:rsidRPr="00F54EE0">
        <w:rPr>
          <w:iCs/>
          <w:snapToGrid w:val="0"/>
          <w:sz w:val="20"/>
        </w:rPr>
        <w:t xml:space="preserve"> January </w:t>
      </w:r>
      <w:r w:rsidR="00021302" w:rsidRPr="00503621">
        <w:rPr>
          <w:iCs/>
          <w:sz w:val="20"/>
        </w:rPr>
        <w:t>201</w:t>
      </w:r>
      <w:r w:rsidR="00021302">
        <w:rPr>
          <w:iCs/>
          <w:sz w:val="20"/>
        </w:rPr>
        <w:t>5</w:t>
      </w:r>
      <w:r w:rsidR="007943F7" w:rsidRPr="00F54EE0">
        <w:rPr>
          <w:iCs/>
          <w:snapToGrid w:val="0"/>
          <w:sz w:val="20"/>
        </w:rPr>
        <w:t xml:space="preserve">: technical rule for the active ingredient </w:t>
      </w:r>
      <w:r w:rsidR="00021302">
        <w:rPr>
          <w:iCs/>
          <w:snapToGrid w:val="0"/>
          <w:sz w:val="20"/>
        </w:rPr>
        <w:t>one-shot ethyl</w:t>
      </w:r>
      <w:r w:rsidR="007943F7" w:rsidRPr="00F54EE0">
        <w:rPr>
          <w:iCs/>
          <w:snapToGrid w:val="0"/>
          <w:sz w:val="20"/>
        </w:rPr>
        <w:t xml:space="preserve">) </w:t>
      </w:r>
      <w:r w:rsidRPr="00F54EE0">
        <w:rPr>
          <w:iCs/>
          <w:snapToGrid w:val="0"/>
          <w:sz w:val="20"/>
        </w:rPr>
        <w:t xml:space="preserve">was to ban the use of </w:t>
      </w:r>
      <w:r w:rsidR="00021302">
        <w:rPr>
          <w:iCs/>
          <w:snapToGrid w:val="0"/>
          <w:sz w:val="20"/>
        </w:rPr>
        <w:t>one-shot ethyl</w:t>
      </w:r>
      <w:r w:rsidR="00503621" w:rsidRPr="00503621">
        <w:rPr>
          <w:iCs/>
          <w:snapToGrid w:val="0"/>
          <w:sz w:val="20"/>
        </w:rPr>
        <w:t xml:space="preserve"> </w:t>
      </w:r>
      <w:r w:rsidRPr="00F54EE0">
        <w:rPr>
          <w:iCs/>
          <w:snapToGrid w:val="0"/>
          <w:sz w:val="20"/>
        </w:rPr>
        <w:t>as an insecticide</w:t>
      </w:r>
      <w:r>
        <w:rPr>
          <w:iCs/>
          <w:snapToGrid w:val="0"/>
          <w:sz w:val="20"/>
        </w:rPr>
        <w:t xml:space="preserve"> and/or </w:t>
      </w:r>
      <w:r w:rsidRPr="00F54EE0">
        <w:rPr>
          <w:iCs/>
          <w:snapToGrid w:val="0"/>
          <w:sz w:val="20"/>
        </w:rPr>
        <w:t xml:space="preserve">acaricide, including </w:t>
      </w:r>
      <w:r>
        <w:rPr>
          <w:iCs/>
          <w:snapToGrid w:val="0"/>
          <w:sz w:val="20"/>
        </w:rPr>
        <w:t xml:space="preserve">its </w:t>
      </w:r>
      <w:r w:rsidRPr="00F54EE0">
        <w:rPr>
          <w:iCs/>
          <w:snapToGrid w:val="0"/>
          <w:sz w:val="20"/>
        </w:rPr>
        <w:t xml:space="preserve">sale, import and export. </w:t>
      </w:r>
      <w:r w:rsidR="007943F7">
        <w:rPr>
          <w:iCs/>
          <w:snapToGrid w:val="0"/>
          <w:sz w:val="20"/>
        </w:rPr>
        <w:t>[</w:t>
      </w:r>
      <w:r w:rsidRPr="00F54EE0">
        <w:rPr>
          <w:iCs/>
          <w:snapToGrid w:val="0"/>
          <w:sz w:val="20"/>
        </w:rPr>
        <w:t xml:space="preserve">This action was based on the results of a toxicological re-evaluation and resulted in a ban of all uses of </w:t>
      </w:r>
      <w:r w:rsidR="00021302">
        <w:rPr>
          <w:iCs/>
          <w:snapToGrid w:val="0"/>
          <w:sz w:val="20"/>
        </w:rPr>
        <w:t>one-shot ethyl</w:t>
      </w:r>
      <w:r w:rsidRPr="00F54EE0">
        <w:rPr>
          <w:iCs/>
          <w:snapToGrid w:val="0"/>
          <w:sz w:val="20"/>
        </w:rPr>
        <w:t xml:space="preserve"> as a pesticide.</w:t>
      </w:r>
      <w:r w:rsidR="001A20D9">
        <w:rPr>
          <w:iCs/>
          <w:snapToGrid w:val="0"/>
          <w:sz w:val="20"/>
        </w:rPr>
        <w:t>]</w:t>
      </w:r>
      <w:r w:rsidRPr="00F54EE0">
        <w:rPr>
          <w:iCs/>
          <w:snapToGrid w:val="0"/>
          <w:sz w:val="20"/>
        </w:rPr>
        <w:t xml:space="preserve"> The results of that re-evaluation are outlined in </w:t>
      </w:r>
      <w:r>
        <w:rPr>
          <w:iCs/>
          <w:snapToGrid w:val="0"/>
          <w:sz w:val="20"/>
        </w:rPr>
        <w:t>a</w:t>
      </w:r>
      <w:r w:rsidRPr="00F54EE0">
        <w:rPr>
          <w:iCs/>
          <w:snapToGrid w:val="0"/>
          <w:sz w:val="20"/>
        </w:rPr>
        <w:t xml:space="preserve"> </w:t>
      </w:r>
      <w:r>
        <w:rPr>
          <w:iCs/>
          <w:snapToGrid w:val="0"/>
          <w:sz w:val="20"/>
        </w:rPr>
        <w:t>t</w:t>
      </w:r>
      <w:r w:rsidRPr="00F54EE0">
        <w:rPr>
          <w:iCs/>
          <w:snapToGrid w:val="0"/>
          <w:sz w:val="20"/>
        </w:rPr>
        <w:t xml:space="preserve">echnical </w:t>
      </w:r>
      <w:r>
        <w:rPr>
          <w:iCs/>
          <w:snapToGrid w:val="0"/>
          <w:sz w:val="20"/>
        </w:rPr>
        <w:t>n</w:t>
      </w:r>
      <w:r w:rsidRPr="00F54EE0">
        <w:rPr>
          <w:iCs/>
          <w:snapToGrid w:val="0"/>
          <w:sz w:val="20"/>
        </w:rPr>
        <w:t xml:space="preserve">ote on the </w:t>
      </w:r>
      <w:r>
        <w:rPr>
          <w:iCs/>
          <w:snapToGrid w:val="0"/>
          <w:sz w:val="20"/>
        </w:rPr>
        <w:t>t</w:t>
      </w:r>
      <w:r w:rsidRPr="00F54EE0">
        <w:rPr>
          <w:iCs/>
          <w:snapToGrid w:val="0"/>
          <w:sz w:val="20"/>
        </w:rPr>
        <w:t xml:space="preserve">oxicological re-evaluation of </w:t>
      </w:r>
      <w:r w:rsidR="00021302">
        <w:rPr>
          <w:iCs/>
          <w:snapToGrid w:val="0"/>
          <w:sz w:val="20"/>
        </w:rPr>
        <w:t>one-shot ethyl</w:t>
      </w:r>
      <w:r w:rsidRPr="00F54EE0">
        <w:rPr>
          <w:iCs/>
          <w:snapToGrid w:val="0"/>
          <w:sz w:val="20"/>
        </w:rPr>
        <w:t xml:space="preserve"> prepared by the National Health Surveillance Agency (</w:t>
      </w:r>
      <w:r w:rsidR="00503621">
        <w:rPr>
          <w:iCs/>
          <w:snapToGrid w:val="0"/>
          <w:sz w:val="20"/>
        </w:rPr>
        <w:t>RUNAHSA</w:t>
      </w:r>
      <w:r w:rsidRPr="00F54EE0">
        <w:rPr>
          <w:iCs/>
          <w:snapToGrid w:val="0"/>
          <w:sz w:val="20"/>
        </w:rPr>
        <w:t xml:space="preserve">). The decision entered into force on </w:t>
      </w:r>
      <w:r w:rsidR="00503621">
        <w:rPr>
          <w:iCs/>
          <w:snapToGrid w:val="0"/>
          <w:sz w:val="20"/>
        </w:rPr>
        <w:t>8</w:t>
      </w:r>
      <w:r w:rsidRPr="00F54EE0">
        <w:rPr>
          <w:iCs/>
          <w:snapToGrid w:val="0"/>
          <w:sz w:val="20"/>
        </w:rPr>
        <w:t xml:space="preserve"> January </w:t>
      </w:r>
      <w:r w:rsidR="00503621">
        <w:rPr>
          <w:iCs/>
          <w:snapToGrid w:val="0"/>
          <w:sz w:val="20"/>
        </w:rPr>
        <w:t>201</w:t>
      </w:r>
      <w:r w:rsidR="00021302">
        <w:rPr>
          <w:iCs/>
          <w:snapToGrid w:val="0"/>
          <w:sz w:val="20"/>
        </w:rPr>
        <w:t>5</w:t>
      </w:r>
      <w:r w:rsidRPr="00F54EE0">
        <w:rPr>
          <w:iCs/>
          <w:snapToGrid w:val="0"/>
          <w:sz w:val="20"/>
        </w:rPr>
        <w:t>.</w:t>
      </w:r>
    </w:p>
    <w:p w14:paraId="5F965411" w14:textId="77777777" w:rsidR="00F148CB" w:rsidRPr="007E5A6E" w:rsidRDefault="00F148CB" w:rsidP="00F148CB">
      <w:pPr>
        <w:widowControl w:val="0"/>
        <w:numPr>
          <w:ilvl w:val="0"/>
          <w:numId w:val="6"/>
        </w:numPr>
        <w:suppressAutoHyphens/>
        <w:snapToGrid w:val="0"/>
        <w:spacing w:after="120"/>
        <w:ind w:left="1280" w:hanging="720"/>
        <w:rPr>
          <w:b/>
          <w:sz w:val="20"/>
          <w:lang w:val="fr-CH"/>
        </w:rPr>
      </w:pPr>
      <w:r w:rsidRPr="007E5A6E">
        <w:rPr>
          <w:b/>
          <w:sz w:val="20"/>
          <w:lang w:val="fr-CH"/>
        </w:rPr>
        <w:t>Annex II paragraph (a) criterion</w:t>
      </w:r>
    </w:p>
    <w:p w14:paraId="2523FDCC" w14:textId="77777777" w:rsidR="00F148CB" w:rsidRPr="00F148CB" w:rsidRDefault="00F148CB" w:rsidP="00F148CB">
      <w:pPr>
        <w:pStyle w:val="NormalNonumber"/>
        <w:tabs>
          <w:tab w:val="clear" w:pos="1247"/>
          <w:tab w:val="clear" w:pos="1814"/>
          <w:tab w:val="clear" w:pos="2381"/>
          <w:tab w:val="clear" w:pos="2948"/>
          <w:tab w:val="clear" w:pos="3515"/>
        </w:tabs>
        <w:snapToGrid w:val="0"/>
        <w:ind w:firstLine="624"/>
        <w:rPr>
          <w:i/>
          <w:lang w:val="en-US"/>
        </w:rPr>
      </w:pPr>
      <w:r w:rsidRPr="00F148CB">
        <w:rPr>
          <w:i/>
          <w:lang w:val="en-US"/>
        </w:rPr>
        <w:t>(a)</w:t>
      </w:r>
      <w:r w:rsidRPr="00F148CB">
        <w:rPr>
          <w:i/>
          <w:lang w:val="en-US"/>
        </w:rPr>
        <w:tab/>
        <w:t>Confirm that the final regulatory action has been taken in order to protect human health or the environment;</w:t>
      </w:r>
    </w:p>
    <w:p w14:paraId="70CC4AFB" w14:textId="77777777" w:rsidR="00F148CB" w:rsidRPr="00F54EE0" w:rsidRDefault="00F148CB" w:rsidP="00F148CB">
      <w:pPr>
        <w:numPr>
          <w:ilvl w:val="0"/>
          <w:numId w:val="5"/>
        </w:numPr>
        <w:snapToGrid w:val="0"/>
        <w:spacing w:after="120"/>
        <w:ind w:left="1276" w:firstLine="0"/>
        <w:rPr>
          <w:iCs/>
          <w:sz w:val="20"/>
        </w:rPr>
      </w:pPr>
      <w:r w:rsidRPr="00F54EE0">
        <w:rPr>
          <w:iCs/>
          <w:sz w:val="20"/>
        </w:rPr>
        <w:t>The Committee confirmed that the final regulatory action had been taken to protect human health</w:t>
      </w:r>
      <w:r w:rsidR="005D0ADB">
        <w:rPr>
          <w:iCs/>
          <w:sz w:val="20"/>
        </w:rPr>
        <w:t xml:space="preserve"> [and the environment]</w:t>
      </w:r>
      <w:r w:rsidRPr="00F54EE0">
        <w:rPr>
          <w:iCs/>
          <w:sz w:val="20"/>
        </w:rPr>
        <w:t>.</w:t>
      </w:r>
    </w:p>
    <w:p w14:paraId="68657126" w14:textId="797304D9" w:rsidR="00F148CB" w:rsidRPr="00F54EE0" w:rsidRDefault="00503621" w:rsidP="00F148CB">
      <w:pPr>
        <w:numPr>
          <w:ilvl w:val="0"/>
          <w:numId w:val="5"/>
        </w:numPr>
        <w:snapToGrid w:val="0"/>
        <w:spacing w:after="120"/>
        <w:ind w:left="1276" w:firstLine="0"/>
        <w:rPr>
          <w:iCs/>
          <w:snapToGrid w:val="0"/>
          <w:sz w:val="20"/>
        </w:rPr>
      </w:pPr>
      <w:r w:rsidRPr="00F54EE0">
        <w:rPr>
          <w:iCs/>
          <w:snapToGrid w:val="0"/>
          <w:sz w:val="20"/>
        </w:rPr>
        <w:t>Resolution-</w:t>
      </w:r>
      <w:r>
        <w:rPr>
          <w:iCs/>
          <w:snapToGrid w:val="0"/>
          <w:sz w:val="20"/>
        </w:rPr>
        <w:t>XYZ/3/201</w:t>
      </w:r>
      <w:r w:rsidR="00021302">
        <w:rPr>
          <w:iCs/>
          <w:snapToGrid w:val="0"/>
          <w:sz w:val="20"/>
        </w:rPr>
        <w:t>5</w:t>
      </w:r>
      <w:r w:rsidRPr="00F54EE0">
        <w:rPr>
          <w:iCs/>
          <w:snapToGrid w:val="0"/>
          <w:sz w:val="20"/>
        </w:rPr>
        <w:t xml:space="preserve"> of </w:t>
      </w:r>
      <w:r>
        <w:rPr>
          <w:iCs/>
          <w:snapToGrid w:val="0"/>
          <w:sz w:val="20"/>
        </w:rPr>
        <w:t>8</w:t>
      </w:r>
      <w:r w:rsidRPr="00F54EE0">
        <w:rPr>
          <w:iCs/>
          <w:snapToGrid w:val="0"/>
          <w:sz w:val="20"/>
        </w:rPr>
        <w:t xml:space="preserve"> January </w:t>
      </w:r>
      <w:r w:rsidRPr="00503621">
        <w:rPr>
          <w:iCs/>
          <w:sz w:val="20"/>
        </w:rPr>
        <w:t>201</w:t>
      </w:r>
      <w:r w:rsidR="00021302">
        <w:rPr>
          <w:iCs/>
          <w:sz w:val="20"/>
        </w:rPr>
        <w:t xml:space="preserve">5 </w:t>
      </w:r>
      <w:r w:rsidR="00F148CB" w:rsidRPr="00F54EE0">
        <w:rPr>
          <w:iCs/>
          <w:snapToGrid w:val="0"/>
          <w:sz w:val="20"/>
        </w:rPr>
        <w:t>considered</w:t>
      </w:r>
      <w:r w:rsidR="00F148CB">
        <w:rPr>
          <w:iCs/>
          <w:snapToGrid w:val="0"/>
          <w:sz w:val="20"/>
        </w:rPr>
        <w:t xml:space="preserve"> the pesticide </w:t>
      </w:r>
      <w:r w:rsidR="00021302">
        <w:rPr>
          <w:iCs/>
          <w:snapToGrid w:val="0"/>
          <w:sz w:val="20"/>
        </w:rPr>
        <w:t>one-shot ethyl</w:t>
      </w:r>
      <w:r w:rsidR="00F148CB">
        <w:rPr>
          <w:iCs/>
          <w:snapToGrid w:val="0"/>
          <w:sz w:val="20"/>
        </w:rPr>
        <w:t xml:space="preserve"> to be </w:t>
      </w:r>
      <w:r w:rsidR="001A20D9">
        <w:rPr>
          <w:iCs/>
          <w:snapToGrid w:val="0"/>
          <w:sz w:val="20"/>
        </w:rPr>
        <w:t>[</w:t>
      </w:r>
      <w:r w:rsidR="00F148CB" w:rsidRPr="00F54EE0">
        <w:rPr>
          <w:iCs/>
          <w:snapToGrid w:val="0"/>
          <w:sz w:val="20"/>
        </w:rPr>
        <w:t>extreme</w:t>
      </w:r>
      <w:r w:rsidR="00F148CB">
        <w:rPr>
          <w:iCs/>
          <w:snapToGrid w:val="0"/>
          <w:sz w:val="20"/>
        </w:rPr>
        <w:t>ly</w:t>
      </w:r>
      <w:r w:rsidR="00F148CB" w:rsidRPr="00F54EE0">
        <w:rPr>
          <w:iCs/>
          <w:snapToGrid w:val="0"/>
          <w:sz w:val="20"/>
        </w:rPr>
        <w:t xml:space="preserve"> acute</w:t>
      </w:r>
      <w:r w:rsidR="00F148CB">
        <w:rPr>
          <w:iCs/>
          <w:snapToGrid w:val="0"/>
          <w:sz w:val="20"/>
        </w:rPr>
        <w:t>ly</w:t>
      </w:r>
      <w:r w:rsidR="001A20D9">
        <w:rPr>
          <w:iCs/>
          <w:snapToGrid w:val="0"/>
          <w:sz w:val="20"/>
        </w:rPr>
        <w:t>]</w:t>
      </w:r>
      <w:r w:rsidR="00F148CB" w:rsidRPr="00F54EE0">
        <w:rPr>
          <w:iCs/>
          <w:snapToGrid w:val="0"/>
          <w:sz w:val="20"/>
        </w:rPr>
        <w:t xml:space="preserve"> toxic</w:t>
      </w:r>
      <w:r w:rsidR="00F148CB">
        <w:rPr>
          <w:iCs/>
          <w:snapToGrid w:val="0"/>
          <w:sz w:val="20"/>
        </w:rPr>
        <w:t>,</w:t>
      </w:r>
      <w:r w:rsidR="00F148CB" w:rsidRPr="00F54EE0">
        <w:rPr>
          <w:iCs/>
          <w:snapToGrid w:val="0"/>
          <w:sz w:val="20"/>
        </w:rPr>
        <w:t xml:space="preserve"> </w:t>
      </w:r>
      <w:r w:rsidR="00F148CB">
        <w:rPr>
          <w:iCs/>
          <w:snapToGrid w:val="0"/>
          <w:sz w:val="20"/>
        </w:rPr>
        <w:t xml:space="preserve">neurotoxic and immunotoxic and to </w:t>
      </w:r>
      <w:r w:rsidR="00F148CB" w:rsidRPr="00F54EE0">
        <w:rPr>
          <w:iCs/>
          <w:snapToGrid w:val="0"/>
          <w:sz w:val="20"/>
        </w:rPr>
        <w:t>cause endocrine toxicity, reproductive toxicity and developmental toxicity.</w:t>
      </w:r>
    </w:p>
    <w:p w14:paraId="16B2A349" w14:textId="7BD2EA8A" w:rsidR="00F148CB" w:rsidRPr="00F54EE0" w:rsidRDefault="00F148CB" w:rsidP="00F148CB">
      <w:pPr>
        <w:numPr>
          <w:ilvl w:val="0"/>
          <w:numId w:val="5"/>
        </w:numPr>
        <w:snapToGrid w:val="0"/>
        <w:spacing w:after="120"/>
        <w:ind w:left="1276" w:firstLine="0"/>
        <w:rPr>
          <w:iCs/>
          <w:sz w:val="20"/>
        </w:rPr>
      </w:pPr>
      <w:r>
        <w:rPr>
          <w:iCs/>
          <w:sz w:val="20"/>
        </w:rPr>
        <w:t>The a</w:t>
      </w:r>
      <w:r w:rsidRPr="00F54EE0">
        <w:rPr>
          <w:iCs/>
          <w:sz w:val="20"/>
        </w:rPr>
        <w:t xml:space="preserve">nalysis carried out by </w:t>
      </w:r>
      <w:r w:rsidR="00503621">
        <w:rPr>
          <w:iCs/>
          <w:snapToGrid w:val="0"/>
          <w:sz w:val="20"/>
        </w:rPr>
        <w:t>RUNAHSA</w:t>
      </w:r>
      <w:r w:rsidR="00503621" w:rsidRPr="00F54EE0">
        <w:rPr>
          <w:iCs/>
          <w:sz w:val="20"/>
        </w:rPr>
        <w:t xml:space="preserve"> </w:t>
      </w:r>
      <w:r w:rsidRPr="00F54EE0">
        <w:rPr>
          <w:iCs/>
          <w:sz w:val="20"/>
        </w:rPr>
        <w:t xml:space="preserve">found residues of </w:t>
      </w:r>
      <w:r w:rsidR="00021302">
        <w:rPr>
          <w:iCs/>
          <w:sz w:val="20"/>
        </w:rPr>
        <w:t>one-shot ethyl</w:t>
      </w:r>
      <w:r w:rsidRPr="00F54EE0">
        <w:rPr>
          <w:iCs/>
          <w:sz w:val="20"/>
        </w:rPr>
        <w:t xml:space="preserve"> in various food</w:t>
      </w:r>
      <w:r>
        <w:rPr>
          <w:iCs/>
          <w:sz w:val="20"/>
        </w:rPr>
        <w:t>s</w:t>
      </w:r>
      <w:r w:rsidRPr="00F54EE0">
        <w:rPr>
          <w:iCs/>
          <w:sz w:val="20"/>
        </w:rPr>
        <w:t xml:space="preserve"> for which the use of </w:t>
      </w:r>
      <w:r w:rsidR="00021302">
        <w:rPr>
          <w:iCs/>
          <w:sz w:val="20"/>
        </w:rPr>
        <w:t>one-shot ethyl</w:t>
      </w:r>
      <w:r w:rsidRPr="00F54EE0">
        <w:rPr>
          <w:iCs/>
          <w:sz w:val="20"/>
        </w:rPr>
        <w:t xml:space="preserve"> was not allowed (</w:t>
      </w:r>
      <w:r w:rsidR="007E5A6E">
        <w:rPr>
          <w:iCs/>
          <w:sz w:val="20"/>
        </w:rPr>
        <w:t xml:space="preserve">cucumber, </w:t>
      </w:r>
      <w:r w:rsidRPr="00F54EE0">
        <w:rPr>
          <w:iCs/>
          <w:sz w:val="20"/>
        </w:rPr>
        <w:t>fresh tomato</w:t>
      </w:r>
      <w:r>
        <w:rPr>
          <w:iCs/>
          <w:sz w:val="20"/>
        </w:rPr>
        <w:t>es</w:t>
      </w:r>
      <w:r w:rsidR="007E5A6E">
        <w:rPr>
          <w:iCs/>
          <w:sz w:val="20"/>
        </w:rPr>
        <w:t xml:space="preserve"> and</w:t>
      </w:r>
      <w:r w:rsidRPr="00F54EE0">
        <w:rPr>
          <w:iCs/>
          <w:sz w:val="20"/>
        </w:rPr>
        <w:t xml:space="preserve"> strawberr</w:t>
      </w:r>
      <w:r>
        <w:rPr>
          <w:iCs/>
          <w:sz w:val="20"/>
        </w:rPr>
        <w:t>ies</w:t>
      </w:r>
      <w:r w:rsidRPr="00F54EE0">
        <w:rPr>
          <w:iCs/>
          <w:sz w:val="20"/>
        </w:rPr>
        <w:t>) or restricted. This</w:t>
      </w:r>
      <w:r>
        <w:rPr>
          <w:iCs/>
          <w:sz w:val="20"/>
        </w:rPr>
        <w:t xml:space="preserve"> </w:t>
      </w:r>
      <w:r w:rsidRPr="00F54EE0">
        <w:rPr>
          <w:iCs/>
          <w:sz w:val="20"/>
        </w:rPr>
        <w:t>was considered a public health problem because th</w:t>
      </w:r>
      <w:r>
        <w:rPr>
          <w:iCs/>
          <w:sz w:val="20"/>
        </w:rPr>
        <w:t>o</w:t>
      </w:r>
      <w:r w:rsidRPr="00F54EE0">
        <w:rPr>
          <w:iCs/>
          <w:sz w:val="20"/>
        </w:rPr>
        <w:t>s</w:t>
      </w:r>
      <w:r>
        <w:rPr>
          <w:iCs/>
          <w:sz w:val="20"/>
        </w:rPr>
        <w:t xml:space="preserve">e </w:t>
      </w:r>
      <w:r w:rsidRPr="00F54EE0">
        <w:rPr>
          <w:iCs/>
          <w:sz w:val="20"/>
        </w:rPr>
        <w:t>food</w:t>
      </w:r>
      <w:r>
        <w:rPr>
          <w:iCs/>
          <w:sz w:val="20"/>
        </w:rPr>
        <w:t>s</w:t>
      </w:r>
      <w:r w:rsidRPr="00F54EE0">
        <w:rPr>
          <w:iCs/>
          <w:sz w:val="20"/>
        </w:rPr>
        <w:t xml:space="preserve"> </w:t>
      </w:r>
      <w:r>
        <w:rPr>
          <w:iCs/>
          <w:sz w:val="20"/>
        </w:rPr>
        <w:t xml:space="preserve">are </w:t>
      </w:r>
      <w:r w:rsidRPr="00F54EE0">
        <w:rPr>
          <w:iCs/>
          <w:sz w:val="20"/>
        </w:rPr>
        <w:t xml:space="preserve">usually eaten raw in </w:t>
      </w:r>
      <w:r w:rsidR="00503621">
        <w:rPr>
          <w:iCs/>
          <w:sz w:val="20"/>
        </w:rPr>
        <w:t>Ruritania</w:t>
      </w:r>
      <w:r w:rsidRPr="00F54EE0">
        <w:rPr>
          <w:iCs/>
          <w:sz w:val="20"/>
        </w:rPr>
        <w:t>.</w:t>
      </w:r>
      <w:r>
        <w:rPr>
          <w:iCs/>
          <w:sz w:val="20"/>
        </w:rPr>
        <w:t xml:space="preserve"> In addition, s</w:t>
      </w:r>
      <w:r w:rsidRPr="00F54EE0">
        <w:rPr>
          <w:iCs/>
          <w:sz w:val="20"/>
        </w:rPr>
        <w:t xml:space="preserve">everal studies showed that poisonings and deaths were linked to </w:t>
      </w:r>
      <w:r w:rsidR="00394550">
        <w:rPr>
          <w:iCs/>
          <w:sz w:val="20"/>
        </w:rPr>
        <w:t>[</w:t>
      </w:r>
      <w:r w:rsidRPr="00F54EE0">
        <w:rPr>
          <w:iCs/>
          <w:sz w:val="20"/>
        </w:rPr>
        <w:t>occupational exposure to</w:t>
      </w:r>
      <w:r w:rsidR="00394550">
        <w:rPr>
          <w:iCs/>
          <w:sz w:val="20"/>
        </w:rPr>
        <w:t>]</w:t>
      </w:r>
      <w:r w:rsidRPr="00F54EE0">
        <w:rPr>
          <w:iCs/>
          <w:sz w:val="20"/>
        </w:rPr>
        <w:t xml:space="preserve"> </w:t>
      </w:r>
      <w:r w:rsidR="00021302">
        <w:rPr>
          <w:iCs/>
          <w:sz w:val="20"/>
        </w:rPr>
        <w:t>one-shot ethyl</w:t>
      </w:r>
      <w:r>
        <w:rPr>
          <w:iCs/>
          <w:sz w:val="20"/>
        </w:rPr>
        <w:t xml:space="preserve"> in </w:t>
      </w:r>
      <w:r w:rsidR="00503621">
        <w:rPr>
          <w:iCs/>
          <w:sz w:val="20"/>
        </w:rPr>
        <w:t>Ruritania</w:t>
      </w:r>
      <w:r w:rsidRPr="00F54EE0">
        <w:rPr>
          <w:iCs/>
          <w:sz w:val="20"/>
        </w:rPr>
        <w:t>.</w:t>
      </w:r>
      <w:r w:rsidR="00182F32">
        <w:rPr>
          <w:iCs/>
          <w:sz w:val="20"/>
        </w:rPr>
        <w:t xml:space="preserve"> </w:t>
      </w:r>
      <w:r w:rsidR="00182F32">
        <w:rPr>
          <w:iCs/>
          <w:snapToGrid w:val="0"/>
          <w:sz w:val="20"/>
        </w:rPr>
        <w:t>[It also noted that the pesticide was present in waterbodies in the range of 0.01 ppm concluding that it causes serious ecological damage</w:t>
      </w:r>
      <w:r w:rsidR="00021302">
        <w:rPr>
          <w:iCs/>
          <w:snapToGrid w:val="0"/>
          <w:sz w:val="20"/>
        </w:rPr>
        <w:t>.</w:t>
      </w:r>
      <w:r w:rsidR="00182F32">
        <w:rPr>
          <w:iCs/>
          <w:snapToGrid w:val="0"/>
          <w:sz w:val="20"/>
        </w:rPr>
        <w:t>]</w:t>
      </w:r>
    </w:p>
    <w:p w14:paraId="5E2EF13F" w14:textId="77777777" w:rsidR="00F148CB" w:rsidRPr="00F54EE0" w:rsidRDefault="00F148CB" w:rsidP="00F148CB">
      <w:pPr>
        <w:keepNext/>
        <w:snapToGrid w:val="0"/>
        <w:spacing w:after="120"/>
        <w:ind w:left="1281" w:hanging="720"/>
        <w:rPr>
          <w:b/>
          <w:sz w:val="20"/>
          <w:highlight w:val="yellow"/>
          <w:lang w:val="it-IT"/>
        </w:rPr>
      </w:pPr>
      <w:r w:rsidRPr="00F54EE0">
        <w:rPr>
          <w:b/>
          <w:sz w:val="20"/>
          <w:lang w:val="it-IT"/>
        </w:rPr>
        <w:t>(c)</w:t>
      </w:r>
      <w:r>
        <w:rPr>
          <w:b/>
          <w:sz w:val="20"/>
          <w:lang w:val="it-IT"/>
        </w:rPr>
        <w:tab/>
      </w:r>
      <w:r w:rsidRPr="00F54EE0">
        <w:rPr>
          <w:b/>
          <w:sz w:val="20"/>
          <w:lang w:val="it-IT"/>
        </w:rPr>
        <w:t xml:space="preserve">Annex II paragraph (b) criteria </w:t>
      </w:r>
    </w:p>
    <w:p w14:paraId="49E9F3E6" w14:textId="77777777" w:rsidR="00F148CB" w:rsidRPr="00F148CB" w:rsidRDefault="00F148CB" w:rsidP="00F148CB">
      <w:pPr>
        <w:pStyle w:val="NormalNonumber"/>
        <w:tabs>
          <w:tab w:val="clear" w:pos="1247"/>
          <w:tab w:val="clear" w:pos="1814"/>
          <w:tab w:val="clear" w:pos="2381"/>
          <w:tab w:val="clear" w:pos="2948"/>
          <w:tab w:val="clear" w:pos="3515"/>
        </w:tabs>
        <w:snapToGrid w:val="0"/>
        <w:ind w:firstLine="624"/>
        <w:rPr>
          <w:i/>
          <w:lang w:val="en-US"/>
        </w:rPr>
      </w:pPr>
      <w:r w:rsidRPr="00F148CB">
        <w:rPr>
          <w:i/>
          <w:lang w:val="en-US"/>
        </w:rPr>
        <w:t>(b)</w:t>
      </w:r>
      <w:r w:rsidRPr="00F148CB">
        <w:rPr>
          <w:i/>
          <w:lang w:val="en-US"/>
        </w:rPr>
        <w:tab/>
        <w:t>Establish that the final regulatory action has been taken as a consequence of a risk evaluation. This evaluation shall be based on a review of scientific data in the context of the conditions prevailing in the Party in question. For this purpose, the documentation provided shall demonstrate that:</w:t>
      </w:r>
    </w:p>
    <w:p w14:paraId="2F3E9B9E" w14:textId="77777777" w:rsidR="00F148CB" w:rsidRPr="00F148CB" w:rsidRDefault="00F148CB" w:rsidP="00F148CB">
      <w:pPr>
        <w:pStyle w:val="NormalNonumber"/>
        <w:keepNext/>
        <w:keepLines/>
        <w:tabs>
          <w:tab w:val="clear" w:pos="1247"/>
          <w:tab w:val="clear" w:pos="1814"/>
          <w:tab w:val="clear" w:pos="2381"/>
          <w:tab w:val="clear" w:pos="2948"/>
          <w:tab w:val="clear" w:pos="3515"/>
        </w:tabs>
        <w:snapToGrid w:val="0"/>
        <w:ind w:left="2495" w:hanging="624"/>
        <w:rPr>
          <w:i/>
          <w:lang w:val="en-US"/>
        </w:rPr>
      </w:pPr>
      <w:r w:rsidRPr="00F148CB">
        <w:rPr>
          <w:i/>
          <w:lang w:val="en-US"/>
        </w:rPr>
        <w:lastRenderedPageBreak/>
        <w:t>(i)</w:t>
      </w:r>
      <w:r w:rsidRPr="00F148CB">
        <w:rPr>
          <w:i/>
          <w:lang w:val="en-US"/>
        </w:rPr>
        <w:tab/>
        <w:t>Data have been generated according to scientifically recognized methods;</w:t>
      </w:r>
    </w:p>
    <w:p w14:paraId="0FE4C6CE" w14:textId="77777777" w:rsidR="00F148CB" w:rsidRPr="00F148CB" w:rsidRDefault="00F148CB" w:rsidP="00F148CB">
      <w:pPr>
        <w:pStyle w:val="NormalNonumber"/>
        <w:keepNext/>
        <w:keepLines/>
        <w:tabs>
          <w:tab w:val="clear" w:pos="1247"/>
          <w:tab w:val="clear" w:pos="1814"/>
          <w:tab w:val="clear" w:pos="2381"/>
          <w:tab w:val="clear" w:pos="2948"/>
          <w:tab w:val="clear" w:pos="3515"/>
        </w:tabs>
        <w:snapToGrid w:val="0"/>
        <w:ind w:left="2495" w:hanging="624"/>
        <w:rPr>
          <w:i/>
          <w:lang w:val="en-US"/>
        </w:rPr>
      </w:pPr>
      <w:r w:rsidRPr="00F148CB">
        <w:rPr>
          <w:i/>
          <w:lang w:val="en-US"/>
        </w:rPr>
        <w:t>(ii)</w:t>
      </w:r>
      <w:r w:rsidRPr="00F148CB">
        <w:rPr>
          <w:i/>
          <w:lang w:val="en-US"/>
        </w:rPr>
        <w:tab/>
        <w:t>Data reviews have been performed and documented according to generally recognized scientific principles and procedures;</w:t>
      </w:r>
    </w:p>
    <w:p w14:paraId="56AB8E79" w14:textId="2C2F81A5" w:rsidR="00F148CB" w:rsidRPr="00F54EE0" w:rsidRDefault="00F148CB" w:rsidP="00F148CB">
      <w:pPr>
        <w:numPr>
          <w:ilvl w:val="0"/>
          <w:numId w:val="5"/>
        </w:numPr>
        <w:snapToGrid w:val="0"/>
        <w:spacing w:after="120"/>
        <w:ind w:left="1276" w:firstLine="0"/>
        <w:rPr>
          <w:iCs/>
          <w:sz w:val="20"/>
        </w:rPr>
      </w:pPr>
      <w:r w:rsidRPr="00F54EE0">
        <w:rPr>
          <w:iCs/>
          <w:sz w:val="20"/>
        </w:rPr>
        <w:t xml:space="preserve">A detailed review conducted </w:t>
      </w:r>
      <w:r>
        <w:rPr>
          <w:iCs/>
          <w:sz w:val="20"/>
        </w:rPr>
        <w:t xml:space="preserve">on behalf of </w:t>
      </w:r>
      <w:r w:rsidRPr="00F54EE0">
        <w:rPr>
          <w:iCs/>
          <w:sz w:val="20"/>
        </w:rPr>
        <w:t xml:space="preserve">the government of </w:t>
      </w:r>
      <w:r w:rsidR="00503621">
        <w:rPr>
          <w:iCs/>
          <w:sz w:val="20"/>
        </w:rPr>
        <w:t>Ruritania</w:t>
      </w:r>
      <w:r w:rsidRPr="00F54EE0">
        <w:rPr>
          <w:iCs/>
          <w:sz w:val="20"/>
        </w:rPr>
        <w:t xml:space="preserve"> concluded that </w:t>
      </w:r>
      <w:r w:rsidR="00021302">
        <w:rPr>
          <w:iCs/>
          <w:sz w:val="20"/>
        </w:rPr>
        <w:t>one-shot ethyl</w:t>
      </w:r>
      <w:r w:rsidRPr="00F54EE0">
        <w:rPr>
          <w:iCs/>
          <w:sz w:val="20"/>
        </w:rPr>
        <w:t xml:space="preserve"> </w:t>
      </w:r>
      <w:r>
        <w:rPr>
          <w:iCs/>
          <w:sz w:val="20"/>
        </w:rPr>
        <w:t>wa</w:t>
      </w:r>
      <w:r w:rsidRPr="00F54EE0">
        <w:rPr>
          <w:iCs/>
          <w:sz w:val="20"/>
        </w:rPr>
        <w:t xml:space="preserve">s </w:t>
      </w:r>
      <w:r w:rsidRPr="00F54EE0">
        <w:rPr>
          <w:iCs/>
          <w:snapToGrid w:val="0"/>
          <w:sz w:val="20"/>
        </w:rPr>
        <w:t>neurotoxic</w:t>
      </w:r>
      <w:r>
        <w:rPr>
          <w:iCs/>
          <w:snapToGrid w:val="0"/>
          <w:sz w:val="20"/>
        </w:rPr>
        <w:t xml:space="preserve"> and</w:t>
      </w:r>
      <w:r w:rsidRPr="00F54EE0">
        <w:rPr>
          <w:iCs/>
          <w:snapToGrid w:val="0"/>
          <w:sz w:val="20"/>
        </w:rPr>
        <w:t xml:space="preserve"> immunotoxic and cause</w:t>
      </w:r>
      <w:r>
        <w:rPr>
          <w:iCs/>
          <w:snapToGrid w:val="0"/>
          <w:sz w:val="20"/>
        </w:rPr>
        <w:t>d</w:t>
      </w:r>
      <w:r w:rsidRPr="00F54EE0">
        <w:rPr>
          <w:iCs/>
          <w:snapToGrid w:val="0"/>
          <w:sz w:val="20"/>
        </w:rPr>
        <w:t xml:space="preserve"> endocrine toxicity, reproductive toxicity and developmental</w:t>
      </w:r>
      <w:r w:rsidR="00394550">
        <w:rPr>
          <w:iCs/>
          <w:snapToGrid w:val="0"/>
          <w:sz w:val="20"/>
        </w:rPr>
        <w:t xml:space="preserve"> [and environmental]</w:t>
      </w:r>
      <w:r w:rsidRPr="00F54EE0">
        <w:rPr>
          <w:iCs/>
          <w:snapToGrid w:val="0"/>
          <w:sz w:val="20"/>
        </w:rPr>
        <w:t xml:space="preserve"> toxicity</w:t>
      </w:r>
      <w:r w:rsidRPr="00F54EE0">
        <w:rPr>
          <w:iCs/>
          <w:sz w:val="20"/>
        </w:rPr>
        <w:t>.</w:t>
      </w:r>
      <w:r>
        <w:rPr>
          <w:iCs/>
          <w:sz w:val="20"/>
        </w:rPr>
        <w:t xml:space="preserve"> The technical note o</w:t>
      </w:r>
      <w:r w:rsidRPr="00F54EE0">
        <w:rPr>
          <w:iCs/>
          <w:sz w:val="20"/>
        </w:rPr>
        <w:t xml:space="preserve">n the re-evaluation </w:t>
      </w:r>
      <w:r>
        <w:rPr>
          <w:iCs/>
          <w:sz w:val="20"/>
        </w:rPr>
        <w:t xml:space="preserve">of </w:t>
      </w:r>
      <w:r w:rsidR="00021302">
        <w:rPr>
          <w:iCs/>
          <w:sz w:val="20"/>
        </w:rPr>
        <w:t>one-shot ethyl</w:t>
      </w:r>
      <w:r w:rsidRPr="00F54EE0">
        <w:rPr>
          <w:iCs/>
          <w:sz w:val="20"/>
        </w:rPr>
        <w:t xml:space="preserve"> </w:t>
      </w:r>
      <w:r>
        <w:rPr>
          <w:iCs/>
          <w:sz w:val="20"/>
        </w:rPr>
        <w:t xml:space="preserve">provided an </w:t>
      </w:r>
      <w:r w:rsidRPr="00F54EE0">
        <w:rPr>
          <w:iCs/>
          <w:sz w:val="20"/>
        </w:rPr>
        <w:t>asse</w:t>
      </w:r>
      <w:r>
        <w:rPr>
          <w:iCs/>
          <w:sz w:val="20"/>
        </w:rPr>
        <w:t>ssment of the potential exposure and</w:t>
      </w:r>
      <w:r w:rsidRPr="00F54EE0">
        <w:rPr>
          <w:iCs/>
          <w:sz w:val="20"/>
        </w:rPr>
        <w:t xml:space="preserve"> hazard</w:t>
      </w:r>
      <w:r w:rsidR="00394550">
        <w:rPr>
          <w:iCs/>
          <w:sz w:val="20"/>
        </w:rPr>
        <w:t>s</w:t>
      </w:r>
      <w:r w:rsidRPr="00F54EE0">
        <w:rPr>
          <w:iCs/>
          <w:sz w:val="20"/>
        </w:rPr>
        <w:t xml:space="preserve"> </w:t>
      </w:r>
      <w:r w:rsidR="001A20D9">
        <w:rPr>
          <w:iCs/>
          <w:sz w:val="20"/>
        </w:rPr>
        <w:t>[</w:t>
      </w:r>
      <w:r w:rsidRPr="00F54EE0">
        <w:rPr>
          <w:iCs/>
          <w:sz w:val="20"/>
        </w:rPr>
        <w:t xml:space="preserve">in accordance </w:t>
      </w:r>
      <w:r>
        <w:rPr>
          <w:iCs/>
          <w:sz w:val="20"/>
        </w:rPr>
        <w:t>with</w:t>
      </w:r>
      <w:r w:rsidRPr="00F54EE0">
        <w:rPr>
          <w:iCs/>
          <w:sz w:val="20"/>
        </w:rPr>
        <w:t xml:space="preserve"> </w:t>
      </w:r>
      <w:r>
        <w:rPr>
          <w:iCs/>
          <w:sz w:val="20"/>
        </w:rPr>
        <w:t>internationally recognized</w:t>
      </w:r>
      <w:r w:rsidRPr="00F54EE0">
        <w:rPr>
          <w:iCs/>
          <w:sz w:val="20"/>
        </w:rPr>
        <w:t xml:space="preserve"> </w:t>
      </w:r>
      <w:r>
        <w:rPr>
          <w:iCs/>
          <w:sz w:val="20"/>
        </w:rPr>
        <w:t xml:space="preserve">data and </w:t>
      </w:r>
      <w:r w:rsidRPr="00F54EE0">
        <w:rPr>
          <w:iCs/>
          <w:sz w:val="20"/>
        </w:rPr>
        <w:t>methodologies</w:t>
      </w:r>
      <w:r w:rsidR="001A20D9">
        <w:rPr>
          <w:iCs/>
          <w:sz w:val="20"/>
        </w:rPr>
        <w:t>]</w:t>
      </w:r>
      <w:r>
        <w:rPr>
          <w:iCs/>
          <w:sz w:val="20"/>
        </w:rPr>
        <w:t>, including data and methodologies of the World Health Organization, the Food and Agriculture Organization of the United Nations, the Organization for Economic Cooperation and Development, the United States Environmental Protection Agency and the European Union</w:t>
      </w:r>
      <w:r w:rsidRPr="00F54EE0">
        <w:rPr>
          <w:iCs/>
          <w:sz w:val="20"/>
        </w:rPr>
        <w:t xml:space="preserve">. There is an </w:t>
      </w:r>
      <w:r w:rsidR="00C4653C">
        <w:rPr>
          <w:iCs/>
          <w:sz w:val="20"/>
        </w:rPr>
        <w:t>[</w:t>
      </w:r>
      <w:r w:rsidRPr="00F54EE0">
        <w:rPr>
          <w:iCs/>
          <w:sz w:val="20"/>
        </w:rPr>
        <w:t>extensive</w:t>
      </w:r>
      <w:r w:rsidR="00C4653C">
        <w:rPr>
          <w:iCs/>
          <w:sz w:val="20"/>
        </w:rPr>
        <w:t>]</w:t>
      </w:r>
      <w:r w:rsidRPr="00F54EE0">
        <w:rPr>
          <w:iCs/>
          <w:sz w:val="20"/>
        </w:rPr>
        <w:t xml:space="preserve"> list of references cited in the </w:t>
      </w:r>
      <w:r>
        <w:rPr>
          <w:iCs/>
          <w:sz w:val="20"/>
        </w:rPr>
        <w:t>t</w:t>
      </w:r>
      <w:r w:rsidRPr="00F54EE0">
        <w:rPr>
          <w:iCs/>
          <w:sz w:val="20"/>
        </w:rPr>
        <w:t xml:space="preserve">echnical </w:t>
      </w:r>
      <w:r>
        <w:rPr>
          <w:iCs/>
          <w:sz w:val="20"/>
        </w:rPr>
        <w:t>n</w:t>
      </w:r>
      <w:r w:rsidRPr="00F54EE0">
        <w:rPr>
          <w:iCs/>
          <w:sz w:val="20"/>
        </w:rPr>
        <w:t xml:space="preserve">ote on the </w:t>
      </w:r>
      <w:r>
        <w:rPr>
          <w:iCs/>
          <w:sz w:val="20"/>
        </w:rPr>
        <w:t>r</w:t>
      </w:r>
      <w:r w:rsidRPr="00F54EE0">
        <w:rPr>
          <w:iCs/>
          <w:sz w:val="20"/>
        </w:rPr>
        <w:t xml:space="preserve">e-evaluation of </w:t>
      </w:r>
      <w:r w:rsidR="00021302">
        <w:rPr>
          <w:iCs/>
          <w:sz w:val="20"/>
        </w:rPr>
        <w:t>one-shot ethyl</w:t>
      </w:r>
      <w:r w:rsidRPr="00F54EE0">
        <w:rPr>
          <w:iCs/>
          <w:sz w:val="20"/>
        </w:rPr>
        <w:t xml:space="preserve"> from a wide range of sources including </w:t>
      </w:r>
      <w:r w:rsidR="00394550">
        <w:rPr>
          <w:iCs/>
          <w:sz w:val="20"/>
        </w:rPr>
        <w:t>[</w:t>
      </w:r>
      <w:r w:rsidRPr="00F54EE0">
        <w:rPr>
          <w:iCs/>
          <w:sz w:val="20"/>
        </w:rPr>
        <w:t>well</w:t>
      </w:r>
      <w:r>
        <w:rPr>
          <w:iCs/>
          <w:sz w:val="20"/>
        </w:rPr>
        <w:t>-</w:t>
      </w:r>
      <w:r w:rsidRPr="00F54EE0">
        <w:rPr>
          <w:iCs/>
          <w:sz w:val="20"/>
        </w:rPr>
        <w:t>known international journals</w:t>
      </w:r>
      <w:r w:rsidR="00394550">
        <w:rPr>
          <w:iCs/>
          <w:sz w:val="20"/>
        </w:rPr>
        <w:t>]</w:t>
      </w:r>
      <w:r>
        <w:rPr>
          <w:iCs/>
          <w:sz w:val="20"/>
        </w:rPr>
        <w:t xml:space="preserve"> such as </w:t>
      </w:r>
      <w:r w:rsidR="00394550">
        <w:rPr>
          <w:iCs/>
          <w:sz w:val="20"/>
        </w:rPr>
        <w:t>[</w:t>
      </w:r>
      <w:r w:rsidRPr="00F54EE0">
        <w:rPr>
          <w:iCs/>
          <w:sz w:val="20"/>
        </w:rPr>
        <w:t>Toxicology Letters</w:t>
      </w:r>
      <w:r w:rsidR="00394550">
        <w:rPr>
          <w:iCs/>
          <w:sz w:val="20"/>
        </w:rPr>
        <w:t>]</w:t>
      </w:r>
      <w:r w:rsidRPr="00F54EE0">
        <w:rPr>
          <w:iCs/>
          <w:sz w:val="20"/>
        </w:rPr>
        <w:t xml:space="preserve">, </w:t>
      </w:r>
      <w:r>
        <w:rPr>
          <w:iCs/>
          <w:sz w:val="20"/>
        </w:rPr>
        <w:t xml:space="preserve">the </w:t>
      </w:r>
      <w:r w:rsidRPr="00F54EE0">
        <w:rPr>
          <w:iCs/>
          <w:sz w:val="20"/>
        </w:rPr>
        <w:t>International Journal of Environmental Research</w:t>
      </w:r>
      <w:r>
        <w:rPr>
          <w:iCs/>
          <w:sz w:val="20"/>
        </w:rPr>
        <w:t>,</w:t>
      </w:r>
      <w:r w:rsidRPr="00F54EE0">
        <w:rPr>
          <w:iCs/>
          <w:sz w:val="20"/>
        </w:rPr>
        <w:t xml:space="preserve"> </w:t>
      </w:r>
      <w:r>
        <w:rPr>
          <w:iCs/>
          <w:sz w:val="20"/>
        </w:rPr>
        <w:t xml:space="preserve">Perspectives in </w:t>
      </w:r>
      <w:r w:rsidRPr="00F54EE0">
        <w:rPr>
          <w:iCs/>
          <w:sz w:val="20"/>
        </w:rPr>
        <w:t>Public Health and Environmental Health Perspectives.</w:t>
      </w:r>
    </w:p>
    <w:p w14:paraId="0E85964C" w14:textId="77777777" w:rsidR="00F148CB" w:rsidRPr="00503621" w:rsidRDefault="00F148CB" w:rsidP="00503621">
      <w:pPr>
        <w:numPr>
          <w:ilvl w:val="0"/>
          <w:numId w:val="5"/>
        </w:numPr>
        <w:snapToGrid w:val="0"/>
        <w:spacing w:after="120"/>
        <w:ind w:left="1276" w:firstLine="0"/>
        <w:rPr>
          <w:iCs/>
          <w:sz w:val="20"/>
        </w:rPr>
      </w:pPr>
      <w:r w:rsidRPr="00503621">
        <w:rPr>
          <w:iCs/>
          <w:sz w:val="20"/>
        </w:rPr>
        <w:t xml:space="preserve">Thus, the Committee established that the data reviewed for the risk evaluation were generated </w:t>
      </w:r>
      <w:r w:rsidR="001A20D9">
        <w:rPr>
          <w:iCs/>
          <w:sz w:val="20"/>
        </w:rPr>
        <w:t>[</w:t>
      </w:r>
      <w:r w:rsidRPr="00503621">
        <w:rPr>
          <w:iCs/>
          <w:sz w:val="20"/>
        </w:rPr>
        <w:t>according to scientifically recognized methods and that the data reviews were performed according to generally recognized scientific principles and procedures</w:t>
      </w:r>
      <w:r w:rsidR="001A20D9">
        <w:rPr>
          <w:iCs/>
          <w:sz w:val="20"/>
        </w:rPr>
        <w:t>]</w:t>
      </w:r>
      <w:r w:rsidRPr="00503621">
        <w:rPr>
          <w:iCs/>
          <w:sz w:val="20"/>
        </w:rPr>
        <w:t>.</w:t>
      </w:r>
    </w:p>
    <w:p w14:paraId="35E38906" w14:textId="77777777" w:rsidR="00F148CB" w:rsidRPr="00F148CB" w:rsidRDefault="00F148CB" w:rsidP="00F148CB">
      <w:pPr>
        <w:pStyle w:val="NormalNonumber"/>
        <w:keepNext/>
        <w:keepLines/>
        <w:tabs>
          <w:tab w:val="clear" w:pos="1247"/>
          <w:tab w:val="clear" w:pos="1814"/>
          <w:tab w:val="clear" w:pos="2381"/>
          <w:tab w:val="clear" w:pos="2948"/>
          <w:tab w:val="clear" w:pos="3515"/>
        </w:tabs>
        <w:snapToGrid w:val="0"/>
        <w:ind w:left="2495" w:hanging="624"/>
        <w:rPr>
          <w:i/>
          <w:lang w:val="en-US"/>
        </w:rPr>
      </w:pPr>
      <w:r w:rsidRPr="00F148CB">
        <w:rPr>
          <w:i/>
          <w:lang w:val="en-US"/>
        </w:rPr>
        <w:t>(iii)</w:t>
      </w:r>
      <w:r w:rsidRPr="00F148CB">
        <w:rPr>
          <w:i/>
          <w:lang w:val="en-US"/>
        </w:rPr>
        <w:tab/>
        <w:t>The final regulatory action was based on a risk evaluation involving prevailing conditions within the Party taking the action;</w:t>
      </w:r>
    </w:p>
    <w:p w14:paraId="750C737C" w14:textId="358D6086" w:rsidR="00F148CB" w:rsidRPr="00F54EE0" w:rsidRDefault="00F148CB" w:rsidP="00F148CB">
      <w:pPr>
        <w:numPr>
          <w:ilvl w:val="0"/>
          <w:numId w:val="5"/>
        </w:numPr>
        <w:snapToGrid w:val="0"/>
        <w:spacing w:after="120"/>
        <w:ind w:left="1276" w:firstLine="0"/>
        <w:rPr>
          <w:iCs/>
          <w:sz w:val="20"/>
        </w:rPr>
      </w:pPr>
      <w:r w:rsidRPr="00F54EE0">
        <w:rPr>
          <w:iCs/>
          <w:sz w:val="20"/>
        </w:rPr>
        <w:t xml:space="preserve">The use of pesticides in </w:t>
      </w:r>
      <w:r w:rsidR="00503621">
        <w:rPr>
          <w:iCs/>
          <w:sz w:val="20"/>
        </w:rPr>
        <w:t>Ruritania</w:t>
      </w:r>
      <w:r w:rsidRPr="00F54EE0">
        <w:rPr>
          <w:iCs/>
          <w:sz w:val="20"/>
        </w:rPr>
        <w:t xml:space="preserve"> has been reported to have </w:t>
      </w:r>
      <w:r>
        <w:rPr>
          <w:iCs/>
          <w:sz w:val="20"/>
        </w:rPr>
        <w:t xml:space="preserve">serious consequences </w:t>
      </w:r>
      <w:r w:rsidRPr="00F54EE0">
        <w:rPr>
          <w:iCs/>
          <w:sz w:val="20"/>
        </w:rPr>
        <w:t>for the health of agricultur</w:t>
      </w:r>
      <w:r>
        <w:rPr>
          <w:iCs/>
          <w:sz w:val="20"/>
        </w:rPr>
        <w:t>al</w:t>
      </w:r>
      <w:r w:rsidRPr="00F54EE0">
        <w:rPr>
          <w:iCs/>
          <w:sz w:val="20"/>
        </w:rPr>
        <w:t xml:space="preserve"> workers and consumers of crops treated with th</w:t>
      </w:r>
      <w:r>
        <w:rPr>
          <w:iCs/>
          <w:sz w:val="20"/>
        </w:rPr>
        <w:t>o</w:t>
      </w:r>
      <w:r w:rsidRPr="00F54EE0">
        <w:rPr>
          <w:iCs/>
          <w:sz w:val="20"/>
        </w:rPr>
        <w:t>se products</w:t>
      </w:r>
      <w:r w:rsidR="00394550">
        <w:rPr>
          <w:iCs/>
          <w:sz w:val="20"/>
        </w:rPr>
        <w:t xml:space="preserve"> [and to the environment]</w:t>
      </w:r>
      <w:r w:rsidRPr="00F54EE0">
        <w:rPr>
          <w:iCs/>
          <w:sz w:val="20"/>
        </w:rPr>
        <w:t xml:space="preserve">. In most cases, the effects are conditioned by factors such as </w:t>
      </w:r>
      <w:r>
        <w:rPr>
          <w:iCs/>
          <w:sz w:val="20"/>
        </w:rPr>
        <w:t xml:space="preserve">the </w:t>
      </w:r>
      <w:r w:rsidRPr="00F54EE0">
        <w:rPr>
          <w:iCs/>
          <w:sz w:val="20"/>
        </w:rPr>
        <w:t>high toxicity of the pesticide</w:t>
      </w:r>
      <w:r>
        <w:rPr>
          <w:iCs/>
          <w:sz w:val="20"/>
        </w:rPr>
        <w:t xml:space="preserve"> and the</w:t>
      </w:r>
      <w:r w:rsidRPr="00F54EE0">
        <w:rPr>
          <w:iCs/>
          <w:sz w:val="20"/>
        </w:rPr>
        <w:t xml:space="preserve"> improper use and non-use of personal and collective protective equipment. The </w:t>
      </w:r>
      <w:r w:rsidR="00394550">
        <w:rPr>
          <w:iCs/>
          <w:sz w:val="20"/>
        </w:rPr>
        <w:t xml:space="preserve">climatic, </w:t>
      </w:r>
      <w:r w:rsidRPr="00F54EE0">
        <w:rPr>
          <w:iCs/>
          <w:sz w:val="20"/>
        </w:rPr>
        <w:t xml:space="preserve">socioeconomic </w:t>
      </w:r>
      <w:r w:rsidR="00394550">
        <w:rPr>
          <w:iCs/>
          <w:sz w:val="20"/>
        </w:rPr>
        <w:t xml:space="preserve">conditions </w:t>
      </w:r>
      <w:r w:rsidRPr="00F54EE0">
        <w:rPr>
          <w:iCs/>
          <w:sz w:val="20"/>
        </w:rPr>
        <w:t xml:space="preserve">and cultural </w:t>
      </w:r>
      <w:r w:rsidR="00394550">
        <w:rPr>
          <w:iCs/>
          <w:sz w:val="20"/>
        </w:rPr>
        <w:t>practices</w:t>
      </w:r>
      <w:r w:rsidR="00394550" w:rsidRPr="00F54EE0">
        <w:rPr>
          <w:iCs/>
          <w:sz w:val="20"/>
        </w:rPr>
        <w:t xml:space="preserve"> </w:t>
      </w:r>
      <w:r w:rsidRPr="00F54EE0">
        <w:rPr>
          <w:iCs/>
          <w:sz w:val="20"/>
        </w:rPr>
        <w:t xml:space="preserve">of the majority of the field workers increase their vulnerability to </w:t>
      </w:r>
      <w:r>
        <w:rPr>
          <w:iCs/>
          <w:sz w:val="20"/>
        </w:rPr>
        <w:t xml:space="preserve">toxic </w:t>
      </w:r>
      <w:r w:rsidRPr="00F54EE0">
        <w:rPr>
          <w:iCs/>
          <w:sz w:val="20"/>
        </w:rPr>
        <w:t>pesticides.</w:t>
      </w:r>
    </w:p>
    <w:p w14:paraId="79B740BF" w14:textId="6161879D" w:rsidR="00F148CB" w:rsidRPr="00F54EE0" w:rsidRDefault="00F148CB" w:rsidP="00F148CB">
      <w:pPr>
        <w:numPr>
          <w:ilvl w:val="0"/>
          <w:numId w:val="5"/>
        </w:numPr>
        <w:snapToGrid w:val="0"/>
        <w:spacing w:after="120"/>
        <w:ind w:left="1276" w:firstLine="0"/>
        <w:rPr>
          <w:iCs/>
          <w:sz w:val="20"/>
        </w:rPr>
      </w:pPr>
      <w:r>
        <w:rPr>
          <w:iCs/>
          <w:sz w:val="20"/>
        </w:rPr>
        <w:t>The a</w:t>
      </w:r>
      <w:r w:rsidRPr="00F54EE0">
        <w:rPr>
          <w:iCs/>
          <w:sz w:val="20"/>
        </w:rPr>
        <w:t xml:space="preserve">nalysis carried out by </w:t>
      </w:r>
      <w:r w:rsidR="007E5A6E">
        <w:rPr>
          <w:iCs/>
          <w:snapToGrid w:val="0"/>
          <w:sz w:val="20"/>
        </w:rPr>
        <w:t>RUNAHSA</w:t>
      </w:r>
      <w:r w:rsidR="007E5A6E" w:rsidRPr="00F54EE0">
        <w:rPr>
          <w:iCs/>
          <w:sz w:val="20"/>
        </w:rPr>
        <w:t xml:space="preserve"> </w:t>
      </w:r>
      <w:r w:rsidRPr="00F54EE0">
        <w:rPr>
          <w:iCs/>
          <w:sz w:val="20"/>
        </w:rPr>
        <w:t xml:space="preserve">found residues of </w:t>
      </w:r>
      <w:r w:rsidR="00021302">
        <w:rPr>
          <w:iCs/>
          <w:sz w:val="20"/>
        </w:rPr>
        <w:t>one-shot ethyl</w:t>
      </w:r>
      <w:r w:rsidRPr="00F54EE0">
        <w:rPr>
          <w:iCs/>
          <w:sz w:val="20"/>
        </w:rPr>
        <w:t xml:space="preserve"> in various food</w:t>
      </w:r>
      <w:r>
        <w:rPr>
          <w:iCs/>
          <w:sz w:val="20"/>
        </w:rPr>
        <w:t>s</w:t>
      </w:r>
      <w:r w:rsidRPr="00F54EE0">
        <w:rPr>
          <w:iCs/>
          <w:sz w:val="20"/>
        </w:rPr>
        <w:t xml:space="preserve"> for which the use of </w:t>
      </w:r>
      <w:r w:rsidR="00021302">
        <w:rPr>
          <w:iCs/>
          <w:sz w:val="20"/>
        </w:rPr>
        <w:t>one-shot ethyl</w:t>
      </w:r>
      <w:r w:rsidRPr="00F54EE0">
        <w:rPr>
          <w:iCs/>
          <w:sz w:val="20"/>
        </w:rPr>
        <w:t xml:space="preserve"> was not </w:t>
      </w:r>
      <w:r w:rsidR="00394550">
        <w:rPr>
          <w:iCs/>
          <w:sz w:val="20"/>
        </w:rPr>
        <w:t>on the label</w:t>
      </w:r>
      <w:r w:rsidR="00394550" w:rsidRPr="00F54EE0">
        <w:rPr>
          <w:iCs/>
          <w:sz w:val="20"/>
        </w:rPr>
        <w:t xml:space="preserve"> </w:t>
      </w:r>
      <w:r w:rsidRPr="00F54EE0">
        <w:rPr>
          <w:iCs/>
          <w:sz w:val="20"/>
        </w:rPr>
        <w:t>(</w:t>
      </w:r>
      <w:r w:rsidR="007E5A6E">
        <w:rPr>
          <w:iCs/>
          <w:sz w:val="20"/>
        </w:rPr>
        <w:t>cucumber, f</w:t>
      </w:r>
      <w:r w:rsidRPr="00F54EE0">
        <w:rPr>
          <w:iCs/>
          <w:sz w:val="20"/>
        </w:rPr>
        <w:t>resh tomato</w:t>
      </w:r>
      <w:r>
        <w:rPr>
          <w:iCs/>
          <w:sz w:val="20"/>
        </w:rPr>
        <w:t>es</w:t>
      </w:r>
      <w:r w:rsidR="007E5A6E">
        <w:rPr>
          <w:iCs/>
          <w:sz w:val="20"/>
        </w:rPr>
        <w:t xml:space="preserve"> and</w:t>
      </w:r>
      <w:r w:rsidRPr="00F54EE0">
        <w:rPr>
          <w:iCs/>
          <w:sz w:val="20"/>
        </w:rPr>
        <w:t xml:space="preserve"> strawberr</w:t>
      </w:r>
      <w:r>
        <w:rPr>
          <w:iCs/>
          <w:sz w:val="20"/>
        </w:rPr>
        <w:t>ies</w:t>
      </w:r>
      <w:r w:rsidRPr="00F54EE0">
        <w:rPr>
          <w:iCs/>
          <w:sz w:val="20"/>
        </w:rPr>
        <w:t>). Th</w:t>
      </w:r>
      <w:r>
        <w:rPr>
          <w:iCs/>
          <w:sz w:val="20"/>
        </w:rPr>
        <w:t xml:space="preserve">at </w:t>
      </w:r>
      <w:r w:rsidRPr="00F54EE0">
        <w:rPr>
          <w:iCs/>
          <w:sz w:val="20"/>
        </w:rPr>
        <w:t>was considered a public health problem, because th</w:t>
      </w:r>
      <w:r>
        <w:rPr>
          <w:iCs/>
          <w:sz w:val="20"/>
        </w:rPr>
        <w:t>o</w:t>
      </w:r>
      <w:r w:rsidRPr="00F54EE0">
        <w:rPr>
          <w:iCs/>
          <w:sz w:val="20"/>
        </w:rPr>
        <w:t>s</w:t>
      </w:r>
      <w:r>
        <w:rPr>
          <w:iCs/>
          <w:sz w:val="20"/>
        </w:rPr>
        <w:t xml:space="preserve">e </w:t>
      </w:r>
      <w:r w:rsidRPr="00F54EE0">
        <w:rPr>
          <w:iCs/>
          <w:sz w:val="20"/>
        </w:rPr>
        <w:t>food</w:t>
      </w:r>
      <w:r>
        <w:rPr>
          <w:iCs/>
          <w:sz w:val="20"/>
        </w:rPr>
        <w:t>s</w:t>
      </w:r>
      <w:r w:rsidRPr="00F54EE0">
        <w:rPr>
          <w:iCs/>
          <w:sz w:val="20"/>
        </w:rPr>
        <w:t xml:space="preserve"> </w:t>
      </w:r>
      <w:r>
        <w:rPr>
          <w:iCs/>
          <w:sz w:val="20"/>
        </w:rPr>
        <w:t xml:space="preserve">are </w:t>
      </w:r>
      <w:r w:rsidRPr="00F54EE0">
        <w:rPr>
          <w:iCs/>
          <w:sz w:val="20"/>
        </w:rPr>
        <w:t xml:space="preserve">usually eaten raw in </w:t>
      </w:r>
      <w:r w:rsidR="00503621">
        <w:rPr>
          <w:iCs/>
          <w:sz w:val="20"/>
        </w:rPr>
        <w:t>Ruritania</w:t>
      </w:r>
      <w:r w:rsidRPr="00F54EE0">
        <w:rPr>
          <w:iCs/>
          <w:sz w:val="20"/>
        </w:rPr>
        <w:t>.</w:t>
      </w:r>
      <w:r>
        <w:rPr>
          <w:iCs/>
          <w:sz w:val="20"/>
        </w:rPr>
        <w:t xml:space="preserve"> </w:t>
      </w:r>
      <w:r w:rsidRPr="00F54EE0">
        <w:rPr>
          <w:iCs/>
          <w:sz w:val="20"/>
        </w:rPr>
        <w:t xml:space="preserve">Residues </w:t>
      </w:r>
      <w:r>
        <w:rPr>
          <w:iCs/>
          <w:sz w:val="20"/>
        </w:rPr>
        <w:t xml:space="preserve">of </w:t>
      </w:r>
      <w:r w:rsidR="00021302">
        <w:rPr>
          <w:iCs/>
          <w:sz w:val="20"/>
        </w:rPr>
        <w:t>one-shot ethyl</w:t>
      </w:r>
      <w:r>
        <w:rPr>
          <w:iCs/>
          <w:sz w:val="20"/>
        </w:rPr>
        <w:t xml:space="preserve"> </w:t>
      </w:r>
      <w:r w:rsidRPr="00F54EE0">
        <w:rPr>
          <w:iCs/>
          <w:sz w:val="20"/>
        </w:rPr>
        <w:t>were detected above the legal maximum concentration</w:t>
      </w:r>
      <w:r>
        <w:rPr>
          <w:iCs/>
          <w:sz w:val="20"/>
        </w:rPr>
        <w:t xml:space="preserve"> limits</w:t>
      </w:r>
      <w:r w:rsidRPr="00F54EE0">
        <w:rPr>
          <w:iCs/>
          <w:sz w:val="20"/>
        </w:rPr>
        <w:t>.</w:t>
      </w:r>
    </w:p>
    <w:p w14:paraId="063BE463" w14:textId="1E9E3BB7" w:rsidR="00F148CB" w:rsidRPr="00F54EE0" w:rsidRDefault="00F148CB" w:rsidP="00F148CB">
      <w:pPr>
        <w:numPr>
          <w:ilvl w:val="0"/>
          <w:numId w:val="5"/>
        </w:numPr>
        <w:snapToGrid w:val="0"/>
        <w:spacing w:after="120"/>
        <w:ind w:left="1276" w:firstLine="0"/>
        <w:rPr>
          <w:iCs/>
          <w:sz w:val="20"/>
        </w:rPr>
      </w:pPr>
      <w:r w:rsidRPr="00F54EE0">
        <w:rPr>
          <w:iCs/>
          <w:sz w:val="20"/>
        </w:rPr>
        <w:t xml:space="preserve">Several </w:t>
      </w:r>
      <w:r w:rsidR="00503621">
        <w:rPr>
          <w:iCs/>
          <w:sz w:val="20"/>
        </w:rPr>
        <w:t>Ruritani</w:t>
      </w:r>
      <w:r w:rsidRPr="00F54EE0">
        <w:rPr>
          <w:iCs/>
          <w:sz w:val="20"/>
        </w:rPr>
        <w:t xml:space="preserve">an researchers identified </w:t>
      </w:r>
      <w:r w:rsidR="00021302">
        <w:rPr>
          <w:iCs/>
          <w:sz w:val="20"/>
        </w:rPr>
        <w:t>one-shot ethyl</w:t>
      </w:r>
      <w:r w:rsidRPr="00F54EE0">
        <w:rPr>
          <w:iCs/>
          <w:sz w:val="20"/>
        </w:rPr>
        <w:t xml:space="preserve"> as one of the most </w:t>
      </w:r>
      <w:r>
        <w:rPr>
          <w:iCs/>
          <w:sz w:val="20"/>
        </w:rPr>
        <w:t xml:space="preserve">widely used </w:t>
      </w:r>
      <w:r w:rsidRPr="00F54EE0">
        <w:rPr>
          <w:iCs/>
          <w:sz w:val="20"/>
        </w:rPr>
        <w:t xml:space="preserve">pesticides in </w:t>
      </w:r>
      <w:r w:rsidR="00503621">
        <w:rPr>
          <w:iCs/>
          <w:sz w:val="20"/>
        </w:rPr>
        <w:t>Ruritania</w:t>
      </w:r>
      <w:r>
        <w:rPr>
          <w:iCs/>
          <w:sz w:val="20"/>
        </w:rPr>
        <w:t>,</w:t>
      </w:r>
      <w:r w:rsidRPr="00F54EE0">
        <w:rPr>
          <w:iCs/>
          <w:sz w:val="20"/>
        </w:rPr>
        <w:t xml:space="preserve"> </w:t>
      </w:r>
      <w:r>
        <w:rPr>
          <w:iCs/>
          <w:sz w:val="20"/>
        </w:rPr>
        <w:t xml:space="preserve">resulting in the </w:t>
      </w:r>
      <w:r w:rsidRPr="00F54EE0">
        <w:rPr>
          <w:iCs/>
          <w:sz w:val="20"/>
        </w:rPr>
        <w:t xml:space="preserve">contamination of crops and </w:t>
      </w:r>
      <w:r w:rsidR="00394550">
        <w:rPr>
          <w:iCs/>
          <w:sz w:val="20"/>
        </w:rPr>
        <w:t>[</w:t>
      </w:r>
      <w:r w:rsidRPr="00F54EE0">
        <w:rPr>
          <w:iCs/>
          <w:sz w:val="20"/>
        </w:rPr>
        <w:t>drinking water</w:t>
      </w:r>
      <w:r w:rsidR="00394550">
        <w:rPr>
          <w:iCs/>
          <w:sz w:val="20"/>
        </w:rPr>
        <w:t>]</w:t>
      </w:r>
      <w:r>
        <w:rPr>
          <w:iCs/>
          <w:sz w:val="20"/>
        </w:rPr>
        <w:t>.</w:t>
      </w:r>
      <w:r w:rsidR="00021302">
        <w:rPr>
          <w:iCs/>
          <w:sz w:val="20"/>
        </w:rPr>
        <w:t>One-shot ethyl</w:t>
      </w:r>
      <w:r w:rsidRPr="00F54EE0">
        <w:rPr>
          <w:iCs/>
          <w:sz w:val="20"/>
        </w:rPr>
        <w:t>.</w:t>
      </w:r>
    </w:p>
    <w:p w14:paraId="42B56D53" w14:textId="37658D75" w:rsidR="00F148CB" w:rsidRPr="00F54EE0" w:rsidRDefault="00F148CB" w:rsidP="00F148CB">
      <w:pPr>
        <w:numPr>
          <w:ilvl w:val="0"/>
          <w:numId w:val="5"/>
        </w:numPr>
        <w:snapToGrid w:val="0"/>
        <w:spacing w:after="120"/>
        <w:ind w:left="1276" w:firstLine="0"/>
        <w:rPr>
          <w:iCs/>
          <w:sz w:val="20"/>
        </w:rPr>
      </w:pPr>
      <w:r>
        <w:rPr>
          <w:iCs/>
          <w:sz w:val="20"/>
        </w:rPr>
        <w:t>P</w:t>
      </w:r>
      <w:r w:rsidRPr="00F54EE0">
        <w:rPr>
          <w:iCs/>
          <w:sz w:val="20"/>
        </w:rPr>
        <w:t>oisonings and deaths</w:t>
      </w:r>
      <w:r>
        <w:rPr>
          <w:iCs/>
          <w:sz w:val="20"/>
        </w:rPr>
        <w:t xml:space="preserve"> linked to </w:t>
      </w:r>
      <w:r w:rsidR="006F4981">
        <w:rPr>
          <w:iCs/>
          <w:sz w:val="20"/>
        </w:rPr>
        <w:t>[</w:t>
      </w:r>
      <w:r>
        <w:rPr>
          <w:iCs/>
          <w:sz w:val="20"/>
        </w:rPr>
        <w:t>occupational exposure</w:t>
      </w:r>
      <w:r w:rsidR="006F4981">
        <w:rPr>
          <w:iCs/>
          <w:sz w:val="20"/>
        </w:rPr>
        <w:t>]</w:t>
      </w:r>
      <w:r>
        <w:rPr>
          <w:iCs/>
          <w:sz w:val="20"/>
        </w:rPr>
        <w:t xml:space="preserve"> to </w:t>
      </w:r>
      <w:r w:rsidR="00021302">
        <w:rPr>
          <w:iCs/>
          <w:sz w:val="20"/>
        </w:rPr>
        <w:t>one-shot ethyl</w:t>
      </w:r>
      <w:r>
        <w:rPr>
          <w:iCs/>
          <w:sz w:val="20"/>
        </w:rPr>
        <w:t xml:space="preserve"> have been reported in several studies of direct or indirect poisonings in </w:t>
      </w:r>
      <w:r w:rsidR="00503621">
        <w:rPr>
          <w:iCs/>
          <w:sz w:val="20"/>
        </w:rPr>
        <w:t>Ruritania</w:t>
      </w:r>
      <w:r>
        <w:rPr>
          <w:iCs/>
          <w:sz w:val="20"/>
        </w:rPr>
        <w:t>.</w:t>
      </w:r>
    </w:p>
    <w:p w14:paraId="452FEE4E" w14:textId="4DF0A143" w:rsidR="00F148CB" w:rsidRPr="00F54EE0" w:rsidRDefault="00F148CB" w:rsidP="00F148CB">
      <w:pPr>
        <w:numPr>
          <w:ilvl w:val="0"/>
          <w:numId w:val="5"/>
        </w:numPr>
        <w:snapToGrid w:val="0"/>
        <w:spacing w:after="120"/>
        <w:ind w:left="1276" w:firstLine="0"/>
        <w:rPr>
          <w:iCs/>
          <w:sz w:val="20"/>
        </w:rPr>
      </w:pPr>
      <w:r w:rsidRPr="00F54EE0">
        <w:rPr>
          <w:iCs/>
          <w:sz w:val="20"/>
        </w:rPr>
        <w:t xml:space="preserve">The risk evaluation took into account national studies, </w:t>
      </w:r>
      <w:r w:rsidR="001A20D9">
        <w:rPr>
          <w:iCs/>
          <w:sz w:val="20"/>
        </w:rPr>
        <w:t>[</w:t>
      </w:r>
      <w:r w:rsidRPr="00F54EE0">
        <w:rPr>
          <w:iCs/>
          <w:sz w:val="20"/>
        </w:rPr>
        <w:t xml:space="preserve">including studies on </w:t>
      </w:r>
      <w:r w:rsidR="006F4981">
        <w:rPr>
          <w:iCs/>
          <w:sz w:val="20"/>
        </w:rPr>
        <w:t xml:space="preserve">occupational </w:t>
      </w:r>
      <w:r w:rsidRPr="00F54EE0">
        <w:rPr>
          <w:iCs/>
          <w:sz w:val="20"/>
        </w:rPr>
        <w:t xml:space="preserve">exposure under the prevailing conditions in </w:t>
      </w:r>
      <w:r w:rsidR="00503621">
        <w:rPr>
          <w:iCs/>
          <w:sz w:val="20"/>
        </w:rPr>
        <w:t>Ruritania</w:t>
      </w:r>
      <w:r w:rsidR="001A20D9">
        <w:rPr>
          <w:iCs/>
          <w:sz w:val="20"/>
        </w:rPr>
        <w:t>]</w:t>
      </w:r>
      <w:r w:rsidRPr="00F54EE0">
        <w:rPr>
          <w:iCs/>
          <w:sz w:val="20"/>
        </w:rPr>
        <w:t xml:space="preserve">, and the toxicological endpoints for </w:t>
      </w:r>
      <w:r w:rsidR="00021302">
        <w:rPr>
          <w:iCs/>
          <w:sz w:val="20"/>
        </w:rPr>
        <w:t>one-shot ethyl</w:t>
      </w:r>
      <w:r w:rsidRPr="00F54EE0">
        <w:rPr>
          <w:iCs/>
          <w:sz w:val="20"/>
        </w:rPr>
        <w:t xml:space="preserve">. </w:t>
      </w:r>
      <w:r>
        <w:rPr>
          <w:iCs/>
          <w:sz w:val="20"/>
        </w:rPr>
        <w:t xml:space="preserve">Therefore the Committee concluded that this criterion </w:t>
      </w:r>
      <w:r w:rsidR="001A20D9">
        <w:rPr>
          <w:iCs/>
          <w:sz w:val="20"/>
        </w:rPr>
        <w:t>[</w:t>
      </w:r>
      <w:r>
        <w:rPr>
          <w:iCs/>
          <w:sz w:val="20"/>
        </w:rPr>
        <w:t>was</w:t>
      </w:r>
      <w:r w:rsidR="001A20D9">
        <w:rPr>
          <w:iCs/>
          <w:sz w:val="20"/>
        </w:rPr>
        <w:t>] [was not]</w:t>
      </w:r>
      <w:r>
        <w:rPr>
          <w:iCs/>
          <w:sz w:val="20"/>
        </w:rPr>
        <w:t xml:space="preserve"> met.</w:t>
      </w:r>
    </w:p>
    <w:p w14:paraId="5AD6086A" w14:textId="77777777" w:rsidR="00F148CB" w:rsidRPr="00781FFB" w:rsidRDefault="00F148CB" w:rsidP="00F148CB">
      <w:pPr>
        <w:snapToGrid w:val="0"/>
        <w:spacing w:after="120"/>
        <w:ind w:left="1280" w:hanging="720"/>
        <w:rPr>
          <w:b/>
          <w:sz w:val="20"/>
          <w:lang w:val="it-IT"/>
        </w:rPr>
      </w:pPr>
      <w:r w:rsidRPr="00781FFB">
        <w:rPr>
          <w:b/>
          <w:sz w:val="20"/>
          <w:lang w:val="it-IT"/>
        </w:rPr>
        <w:t>(d)</w:t>
      </w:r>
      <w:r w:rsidRPr="00781FFB">
        <w:rPr>
          <w:b/>
          <w:sz w:val="20"/>
          <w:lang w:val="it-IT"/>
        </w:rPr>
        <w:tab/>
        <w:t>Annex II paragraph (c) criteria</w:t>
      </w:r>
    </w:p>
    <w:p w14:paraId="600DC1CB" w14:textId="77777777" w:rsidR="00F148CB" w:rsidRPr="00F148CB" w:rsidRDefault="00F148CB" w:rsidP="00F148CB">
      <w:pPr>
        <w:pStyle w:val="NormalNonumber"/>
        <w:tabs>
          <w:tab w:val="clear" w:pos="1247"/>
          <w:tab w:val="clear" w:pos="1814"/>
          <w:tab w:val="clear" w:pos="2381"/>
          <w:tab w:val="clear" w:pos="2948"/>
          <w:tab w:val="clear" w:pos="3515"/>
        </w:tabs>
        <w:snapToGrid w:val="0"/>
        <w:ind w:firstLine="624"/>
        <w:rPr>
          <w:i/>
          <w:lang w:val="en-US"/>
        </w:rPr>
      </w:pPr>
      <w:r w:rsidRPr="00F148CB">
        <w:rPr>
          <w:i/>
          <w:lang w:val="en-US"/>
        </w:rPr>
        <w:t>(c)</w:t>
      </w:r>
      <w:r w:rsidRPr="00F148CB">
        <w:rPr>
          <w:i/>
          <w:lang w:val="en-US"/>
        </w:rPr>
        <w:tab/>
        <w:t>Consider whether the final regulatory action provides a sufficiently broad basis to merit listing of the chemical in Annex III, by taking into account:</w:t>
      </w:r>
    </w:p>
    <w:p w14:paraId="0AD0692F" w14:textId="77777777" w:rsidR="00F148CB" w:rsidRPr="00F148CB" w:rsidRDefault="00F148CB" w:rsidP="00F148CB">
      <w:pPr>
        <w:pStyle w:val="NormalNonumber"/>
        <w:keepNext/>
        <w:keepLines/>
        <w:tabs>
          <w:tab w:val="clear" w:pos="1247"/>
          <w:tab w:val="clear" w:pos="1814"/>
          <w:tab w:val="clear" w:pos="2381"/>
          <w:tab w:val="clear" w:pos="2948"/>
          <w:tab w:val="clear" w:pos="3515"/>
        </w:tabs>
        <w:snapToGrid w:val="0"/>
        <w:ind w:left="2495" w:hanging="624"/>
        <w:rPr>
          <w:i/>
          <w:lang w:val="en-US"/>
        </w:rPr>
      </w:pPr>
      <w:r w:rsidRPr="00F148CB">
        <w:rPr>
          <w:i/>
          <w:lang w:val="en-US"/>
        </w:rPr>
        <w:t>(i)</w:t>
      </w:r>
      <w:r w:rsidRPr="00F148CB">
        <w:rPr>
          <w:i/>
          <w:lang w:val="en-US"/>
        </w:rPr>
        <w:tab/>
        <w:t>Whether the final regulatory action led, or would be expected to lead, to a significant decrease in the quantity of the chemical used or the number of its uses;</w:t>
      </w:r>
    </w:p>
    <w:p w14:paraId="785FDAC8" w14:textId="0351C457" w:rsidR="00F148CB" w:rsidRPr="00F54EE0" w:rsidRDefault="00F148CB" w:rsidP="00F148CB">
      <w:pPr>
        <w:numPr>
          <w:ilvl w:val="0"/>
          <w:numId w:val="5"/>
        </w:numPr>
        <w:snapToGrid w:val="0"/>
        <w:spacing w:after="120"/>
        <w:ind w:left="1276" w:firstLine="0"/>
        <w:rPr>
          <w:iCs/>
          <w:sz w:val="20"/>
        </w:rPr>
      </w:pPr>
      <w:r w:rsidRPr="00F54EE0">
        <w:rPr>
          <w:iCs/>
          <w:sz w:val="20"/>
        </w:rPr>
        <w:t xml:space="preserve">The final regulatory action prohibits all uses of </w:t>
      </w:r>
      <w:r w:rsidR="00021302">
        <w:rPr>
          <w:iCs/>
          <w:sz w:val="20"/>
        </w:rPr>
        <w:t>one-shot ethyl</w:t>
      </w:r>
      <w:r w:rsidRPr="00F54EE0">
        <w:rPr>
          <w:iCs/>
          <w:sz w:val="20"/>
        </w:rPr>
        <w:t xml:space="preserve"> as a pesticide, including production, trade and import. It also </w:t>
      </w:r>
      <w:r>
        <w:rPr>
          <w:iCs/>
          <w:sz w:val="20"/>
        </w:rPr>
        <w:t>prohibits</w:t>
      </w:r>
      <w:r w:rsidRPr="00F54EE0">
        <w:rPr>
          <w:iCs/>
          <w:sz w:val="20"/>
        </w:rPr>
        <w:t xml:space="preserve"> registration of all technical products and pesticide formulations based on </w:t>
      </w:r>
      <w:r w:rsidR="00021302">
        <w:rPr>
          <w:iCs/>
          <w:sz w:val="20"/>
        </w:rPr>
        <w:t>one-shot ethyl</w:t>
      </w:r>
      <w:r w:rsidRPr="00F54EE0">
        <w:rPr>
          <w:iCs/>
          <w:sz w:val="20"/>
        </w:rPr>
        <w:t xml:space="preserve"> as the active ingredient. </w:t>
      </w:r>
      <w:r>
        <w:rPr>
          <w:iCs/>
          <w:sz w:val="20"/>
        </w:rPr>
        <w:t>It</w:t>
      </w:r>
      <w:r w:rsidRPr="00F54EE0">
        <w:rPr>
          <w:iCs/>
          <w:sz w:val="20"/>
        </w:rPr>
        <w:t xml:space="preserve"> will therefore lead to a significant decrease in the quantity of </w:t>
      </w:r>
      <w:r w:rsidR="00021302">
        <w:rPr>
          <w:iCs/>
          <w:sz w:val="20"/>
        </w:rPr>
        <w:t>one-shot ethyl</w:t>
      </w:r>
      <w:r w:rsidRPr="00F54EE0">
        <w:rPr>
          <w:iCs/>
          <w:sz w:val="20"/>
        </w:rPr>
        <w:t xml:space="preserve"> used, as </w:t>
      </w:r>
      <w:r>
        <w:rPr>
          <w:iCs/>
          <w:sz w:val="20"/>
        </w:rPr>
        <w:t>indicated</w:t>
      </w:r>
      <w:r w:rsidRPr="00F54EE0">
        <w:rPr>
          <w:iCs/>
          <w:sz w:val="20"/>
        </w:rPr>
        <w:t xml:space="preserve"> by the data on import</w:t>
      </w:r>
      <w:r>
        <w:rPr>
          <w:iCs/>
          <w:sz w:val="20"/>
        </w:rPr>
        <w:t>s</w:t>
      </w:r>
      <w:r w:rsidRPr="00F54EE0">
        <w:rPr>
          <w:iCs/>
          <w:sz w:val="20"/>
        </w:rPr>
        <w:t xml:space="preserve"> and</w:t>
      </w:r>
      <w:r>
        <w:rPr>
          <w:iCs/>
          <w:sz w:val="20"/>
        </w:rPr>
        <w:t xml:space="preserve"> production provided by </w:t>
      </w:r>
      <w:r w:rsidR="00503621">
        <w:rPr>
          <w:iCs/>
          <w:sz w:val="20"/>
        </w:rPr>
        <w:t>Ruritania</w:t>
      </w:r>
      <w:r>
        <w:rPr>
          <w:iCs/>
          <w:sz w:val="20"/>
        </w:rPr>
        <w:t>.</w:t>
      </w:r>
    </w:p>
    <w:p w14:paraId="10591907" w14:textId="77777777" w:rsidR="00F148CB" w:rsidRPr="00F148CB" w:rsidRDefault="00F148CB" w:rsidP="00F148CB">
      <w:pPr>
        <w:pStyle w:val="NormalNonumber"/>
        <w:keepNext/>
        <w:keepLines/>
        <w:tabs>
          <w:tab w:val="clear" w:pos="1247"/>
          <w:tab w:val="clear" w:pos="1814"/>
          <w:tab w:val="clear" w:pos="2381"/>
          <w:tab w:val="clear" w:pos="2948"/>
          <w:tab w:val="clear" w:pos="3515"/>
        </w:tabs>
        <w:snapToGrid w:val="0"/>
        <w:ind w:left="2495" w:hanging="624"/>
        <w:rPr>
          <w:i/>
          <w:lang w:val="en-US"/>
        </w:rPr>
      </w:pPr>
      <w:r w:rsidRPr="00F148CB">
        <w:rPr>
          <w:i/>
          <w:lang w:val="en-US"/>
        </w:rPr>
        <w:lastRenderedPageBreak/>
        <w:t>(ii)</w:t>
      </w:r>
      <w:r w:rsidRPr="00F148CB">
        <w:rPr>
          <w:i/>
          <w:lang w:val="en-US"/>
        </w:rPr>
        <w:tab/>
        <w:t>Whether the final regulatory action led to an actual reduction of risk or would be expected to result in a significant reduction of risk for human health or the environment of the Party that submitted the notification;</w:t>
      </w:r>
    </w:p>
    <w:p w14:paraId="4521EA73" w14:textId="72E5FFB0" w:rsidR="00F148CB" w:rsidRDefault="00F148CB" w:rsidP="00F148CB">
      <w:pPr>
        <w:numPr>
          <w:ilvl w:val="0"/>
          <w:numId w:val="5"/>
        </w:numPr>
        <w:snapToGrid w:val="0"/>
        <w:spacing w:after="120"/>
        <w:ind w:left="1276" w:firstLine="0"/>
        <w:rPr>
          <w:iCs/>
          <w:sz w:val="20"/>
        </w:rPr>
      </w:pPr>
      <w:r w:rsidRPr="00F54EE0">
        <w:rPr>
          <w:iCs/>
          <w:sz w:val="20"/>
        </w:rPr>
        <w:t xml:space="preserve">Since the regulatory action will significantly reduce human exposure to </w:t>
      </w:r>
      <w:r w:rsidR="00021302">
        <w:rPr>
          <w:iCs/>
          <w:sz w:val="20"/>
        </w:rPr>
        <w:t>one-shot ethyl</w:t>
      </w:r>
      <w:r w:rsidRPr="00F54EE0">
        <w:rPr>
          <w:iCs/>
          <w:sz w:val="20"/>
        </w:rPr>
        <w:t xml:space="preserve">, it is expected that </w:t>
      </w:r>
      <w:r>
        <w:rPr>
          <w:iCs/>
          <w:sz w:val="20"/>
        </w:rPr>
        <w:t>it</w:t>
      </w:r>
      <w:r w:rsidRPr="00F54EE0">
        <w:rPr>
          <w:iCs/>
          <w:sz w:val="20"/>
        </w:rPr>
        <w:t xml:space="preserve"> will also lead to a significant redu</w:t>
      </w:r>
      <w:r>
        <w:rPr>
          <w:iCs/>
          <w:sz w:val="20"/>
        </w:rPr>
        <w:t>ction of risk to human health</w:t>
      </w:r>
      <w:r w:rsidR="006F4981">
        <w:rPr>
          <w:iCs/>
          <w:sz w:val="20"/>
        </w:rPr>
        <w:t xml:space="preserve"> [and to the environment]</w:t>
      </w:r>
      <w:r>
        <w:rPr>
          <w:iCs/>
          <w:sz w:val="20"/>
        </w:rPr>
        <w:t xml:space="preserve">. </w:t>
      </w:r>
    </w:p>
    <w:p w14:paraId="412C0D80" w14:textId="77777777" w:rsidR="00F148CB" w:rsidRPr="00F148CB" w:rsidRDefault="00F148CB" w:rsidP="00F148CB">
      <w:pPr>
        <w:pStyle w:val="NormalNonumber"/>
        <w:keepNext/>
        <w:keepLines/>
        <w:tabs>
          <w:tab w:val="clear" w:pos="1247"/>
          <w:tab w:val="clear" w:pos="1814"/>
          <w:tab w:val="clear" w:pos="2381"/>
          <w:tab w:val="clear" w:pos="2948"/>
          <w:tab w:val="clear" w:pos="3515"/>
        </w:tabs>
        <w:snapToGrid w:val="0"/>
        <w:ind w:left="2495" w:hanging="624"/>
        <w:rPr>
          <w:i/>
          <w:lang w:val="en-US"/>
        </w:rPr>
      </w:pPr>
      <w:r w:rsidRPr="00F148CB">
        <w:rPr>
          <w:i/>
          <w:lang w:val="en-US"/>
        </w:rPr>
        <w:t>(iii)</w:t>
      </w:r>
      <w:r w:rsidRPr="00F148CB">
        <w:rPr>
          <w:i/>
          <w:lang w:val="en-US"/>
        </w:rPr>
        <w:tab/>
        <w:t>Whether the considerations that led to the final regulatory action been taken are applicable only in a limited geographical area or in other limited circumstances;</w:t>
      </w:r>
    </w:p>
    <w:p w14:paraId="520ECB87" w14:textId="7C8F0B15" w:rsidR="00F148CB" w:rsidRPr="00F54EE0" w:rsidRDefault="001A20D9" w:rsidP="00F148CB">
      <w:pPr>
        <w:numPr>
          <w:ilvl w:val="0"/>
          <w:numId w:val="5"/>
        </w:numPr>
        <w:snapToGrid w:val="0"/>
        <w:spacing w:after="120"/>
        <w:ind w:left="1276" w:firstLine="0"/>
        <w:rPr>
          <w:iCs/>
          <w:sz w:val="20"/>
        </w:rPr>
      </w:pPr>
      <w:r>
        <w:rPr>
          <w:iCs/>
          <w:sz w:val="20"/>
        </w:rPr>
        <w:t>[</w:t>
      </w:r>
      <w:r w:rsidR="00F148CB" w:rsidRPr="00F54EE0">
        <w:rPr>
          <w:iCs/>
          <w:sz w:val="20"/>
        </w:rPr>
        <w:t xml:space="preserve">Similar health issues are likely to be found in other countries where </w:t>
      </w:r>
      <w:r w:rsidR="00021302">
        <w:rPr>
          <w:iCs/>
          <w:sz w:val="20"/>
        </w:rPr>
        <w:t>one-shot ethyl</w:t>
      </w:r>
      <w:r w:rsidR="00F148CB" w:rsidRPr="00F54EE0">
        <w:rPr>
          <w:iCs/>
          <w:sz w:val="20"/>
        </w:rPr>
        <w:t xml:space="preserve"> is used, especially in developing countries. Therefore, </w:t>
      </w:r>
      <w:r w:rsidR="00F148CB">
        <w:rPr>
          <w:iCs/>
          <w:sz w:val="20"/>
        </w:rPr>
        <w:t xml:space="preserve">the </w:t>
      </w:r>
      <w:r w:rsidR="00F148CB" w:rsidRPr="00F54EE0">
        <w:rPr>
          <w:iCs/>
          <w:sz w:val="20"/>
        </w:rPr>
        <w:t xml:space="preserve">considerations </w:t>
      </w:r>
      <w:r w:rsidR="00F148CB">
        <w:rPr>
          <w:iCs/>
          <w:sz w:val="20"/>
        </w:rPr>
        <w:t>that led to</w:t>
      </w:r>
      <w:r w:rsidR="00F148CB" w:rsidRPr="00F54EE0">
        <w:rPr>
          <w:iCs/>
          <w:sz w:val="20"/>
        </w:rPr>
        <w:t xml:space="preserve"> the final regulatory action are not limited to </w:t>
      </w:r>
      <w:r w:rsidR="00503621">
        <w:rPr>
          <w:iCs/>
          <w:sz w:val="20"/>
        </w:rPr>
        <w:t>Ruritania</w:t>
      </w:r>
      <w:r w:rsidR="00F148CB" w:rsidRPr="00F54EE0">
        <w:rPr>
          <w:iCs/>
          <w:sz w:val="20"/>
        </w:rPr>
        <w:t>.</w:t>
      </w:r>
      <w:r>
        <w:rPr>
          <w:iCs/>
          <w:sz w:val="20"/>
        </w:rPr>
        <w:t>]</w:t>
      </w:r>
      <w:r w:rsidR="00F148CB" w:rsidRPr="00F54EE0">
        <w:rPr>
          <w:iCs/>
          <w:sz w:val="20"/>
        </w:rPr>
        <w:t xml:space="preserve"> </w:t>
      </w:r>
    </w:p>
    <w:p w14:paraId="1CA2E6B1" w14:textId="77777777" w:rsidR="00F148CB" w:rsidRPr="00F148CB" w:rsidRDefault="00F148CB" w:rsidP="00F148CB">
      <w:pPr>
        <w:pStyle w:val="NormalNonumber"/>
        <w:keepNext/>
        <w:keepLines/>
        <w:tabs>
          <w:tab w:val="clear" w:pos="1247"/>
          <w:tab w:val="clear" w:pos="1814"/>
          <w:tab w:val="clear" w:pos="2381"/>
          <w:tab w:val="clear" w:pos="2948"/>
          <w:tab w:val="clear" w:pos="3515"/>
        </w:tabs>
        <w:snapToGrid w:val="0"/>
        <w:ind w:left="2495" w:hanging="624"/>
        <w:rPr>
          <w:i/>
          <w:lang w:val="en-US"/>
        </w:rPr>
      </w:pPr>
      <w:r w:rsidRPr="00F148CB">
        <w:rPr>
          <w:i/>
          <w:lang w:val="en-US"/>
        </w:rPr>
        <w:t>(iv)</w:t>
      </w:r>
      <w:r w:rsidRPr="00F148CB">
        <w:rPr>
          <w:i/>
          <w:lang w:val="en-US"/>
        </w:rPr>
        <w:tab/>
        <w:t>Whether there is evidence of ongoing international trade in the chemical;</w:t>
      </w:r>
    </w:p>
    <w:p w14:paraId="3078D650" w14:textId="77777777" w:rsidR="00F148CB" w:rsidRPr="00F54EE0" w:rsidRDefault="005D0ADB" w:rsidP="005D0ADB">
      <w:pPr>
        <w:numPr>
          <w:ilvl w:val="0"/>
          <w:numId w:val="5"/>
        </w:numPr>
        <w:snapToGrid w:val="0"/>
        <w:spacing w:after="120"/>
        <w:ind w:left="1276" w:firstLine="0"/>
        <w:rPr>
          <w:sz w:val="20"/>
        </w:rPr>
      </w:pPr>
      <w:r>
        <w:rPr>
          <w:sz w:val="20"/>
        </w:rPr>
        <w:t>No information on ongoing trade is available to the Secretariat.</w:t>
      </w:r>
      <w:r w:rsidR="006F4981">
        <w:rPr>
          <w:sz w:val="20"/>
        </w:rPr>
        <w:t xml:space="preserve"> However, </w:t>
      </w:r>
      <w:r w:rsidR="006F4981">
        <w:rPr>
          <w:iCs/>
          <w:sz w:val="20"/>
        </w:rPr>
        <w:t>Ruritania has indicated that there should be ongoing international trade.</w:t>
      </w:r>
      <w:r w:rsidR="006F4981">
        <w:rPr>
          <w:sz w:val="20"/>
        </w:rPr>
        <w:t xml:space="preserve"> </w:t>
      </w:r>
      <w:r>
        <w:rPr>
          <w:sz w:val="20"/>
        </w:rPr>
        <w:t xml:space="preserve"> It therefore [can] [cannot] </w:t>
      </w:r>
      <w:r w:rsidRPr="005D0ADB">
        <w:rPr>
          <w:sz w:val="20"/>
        </w:rPr>
        <w:t>be excluded that international trade takes place</w:t>
      </w:r>
      <w:r w:rsidR="00F148CB">
        <w:rPr>
          <w:sz w:val="20"/>
        </w:rPr>
        <w:t>.</w:t>
      </w:r>
    </w:p>
    <w:p w14:paraId="26C295E1" w14:textId="77777777" w:rsidR="00F148CB" w:rsidRPr="00F54EE0" w:rsidRDefault="00F148CB" w:rsidP="00F148CB">
      <w:pPr>
        <w:keepNext/>
        <w:snapToGrid w:val="0"/>
        <w:spacing w:after="120"/>
        <w:ind w:left="561"/>
        <w:rPr>
          <w:b/>
          <w:sz w:val="20"/>
          <w:lang w:val="it-IT"/>
        </w:rPr>
      </w:pPr>
      <w:r w:rsidRPr="00F54EE0">
        <w:rPr>
          <w:b/>
          <w:sz w:val="20"/>
          <w:lang w:val="it-IT"/>
        </w:rPr>
        <w:t>(e)</w:t>
      </w:r>
      <w:r w:rsidRPr="00F54EE0">
        <w:rPr>
          <w:b/>
          <w:sz w:val="20"/>
          <w:lang w:val="it-IT"/>
        </w:rPr>
        <w:tab/>
        <w:t>Annex II paragraph (d) criteri</w:t>
      </w:r>
      <w:r>
        <w:rPr>
          <w:b/>
          <w:sz w:val="20"/>
          <w:lang w:val="it-IT"/>
        </w:rPr>
        <w:t>on</w:t>
      </w:r>
    </w:p>
    <w:p w14:paraId="11FC91E9" w14:textId="77777777" w:rsidR="00F148CB" w:rsidRPr="00F148CB" w:rsidRDefault="00F148CB" w:rsidP="00F148CB">
      <w:pPr>
        <w:pStyle w:val="NormalNonumber"/>
        <w:tabs>
          <w:tab w:val="clear" w:pos="1247"/>
          <w:tab w:val="clear" w:pos="1814"/>
          <w:tab w:val="clear" w:pos="2381"/>
          <w:tab w:val="clear" w:pos="2948"/>
          <w:tab w:val="clear" w:pos="3515"/>
        </w:tabs>
        <w:snapToGrid w:val="0"/>
        <w:ind w:left="1808" w:firstLine="85"/>
        <w:rPr>
          <w:i/>
          <w:lang w:val="en-US"/>
        </w:rPr>
      </w:pPr>
      <w:r w:rsidRPr="00F148CB">
        <w:rPr>
          <w:i/>
          <w:lang w:val="en-US"/>
        </w:rPr>
        <w:t>(d)</w:t>
      </w:r>
      <w:r w:rsidRPr="00F148CB">
        <w:rPr>
          <w:i/>
          <w:lang w:val="en-US"/>
        </w:rPr>
        <w:tab/>
        <w:t>Take into account that intentional misuse is not in itself an adequate reason to list a chemical in Annex III.</w:t>
      </w:r>
    </w:p>
    <w:p w14:paraId="217661D3" w14:textId="77777777" w:rsidR="00F148CB" w:rsidRDefault="00F148CB" w:rsidP="00F148CB">
      <w:pPr>
        <w:numPr>
          <w:ilvl w:val="0"/>
          <w:numId w:val="5"/>
        </w:numPr>
        <w:snapToGrid w:val="0"/>
        <w:spacing w:after="120"/>
        <w:ind w:left="1276" w:firstLine="0"/>
        <w:rPr>
          <w:iCs/>
          <w:sz w:val="20"/>
        </w:rPr>
      </w:pPr>
      <w:r w:rsidRPr="00F54EE0">
        <w:rPr>
          <w:iCs/>
          <w:sz w:val="20"/>
        </w:rPr>
        <w:t xml:space="preserve">There is </w:t>
      </w:r>
      <w:r w:rsidR="006F4981">
        <w:rPr>
          <w:iCs/>
          <w:sz w:val="20"/>
        </w:rPr>
        <w:t>[</w:t>
      </w:r>
      <w:r w:rsidRPr="00F54EE0">
        <w:rPr>
          <w:iCs/>
          <w:sz w:val="20"/>
        </w:rPr>
        <w:t>no</w:t>
      </w:r>
      <w:r w:rsidR="006F4981">
        <w:rPr>
          <w:iCs/>
          <w:sz w:val="20"/>
        </w:rPr>
        <w:t>]</w:t>
      </w:r>
      <w:r w:rsidRPr="00F54EE0">
        <w:rPr>
          <w:iCs/>
          <w:sz w:val="20"/>
        </w:rPr>
        <w:t xml:space="preserve"> indication in the notification or supporting documentation that concerns for intentional misuse prompted the final regulatory action. </w:t>
      </w:r>
    </w:p>
    <w:p w14:paraId="5593AEBF" w14:textId="77777777" w:rsidR="00F148CB" w:rsidRDefault="00F148CB" w:rsidP="00F148CB">
      <w:pPr>
        <w:snapToGrid w:val="0"/>
        <w:spacing w:after="120"/>
        <w:ind w:left="560"/>
        <w:rPr>
          <w:snapToGrid w:val="0"/>
          <w:sz w:val="20"/>
        </w:rPr>
      </w:pPr>
      <w:r w:rsidRPr="00F54EE0">
        <w:rPr>
          <w:b/>
          <w:sz w:val="20"/>
          <w:lang w:val="it-IT"/>
        </w:rPr>
        <w:t>(</w:t>
      </w:r>
      <w:r>
        <w:rPr>
          <w:b/>
          <w:sz w:val="20"/>
          <w:lang w:val="it-IT"/>
        </w:rPr>
        <w:t>f</w:t>
      </w:r>
      <w:r w:rsidRPr="00F54EE0">
        <w:rPr>
          <w:b/>
          <w:sz w:val="20"/>
          <w:lang w:val="it-IT"/>
        </w:rPr>
        <w:t>)</w:t>
      </w:r>
      <w:r w:rsidRPr="00F54EE0">
        <w:rPr>
          <w:b/>
          <w:sz w:val="20"/>
          <w:lang w:val="it-IT"/>
        </w:rPr>
        <w:tab/>
      </w:r>
      <w:r>
        <w:rPr>
          <w:b/>
          <w:sz w:val="20"/>
          <w:lang w:val="it-IT"/>
        </w:rPr>
        <w:t>Conclusion</w:t>
      </w:r>
    </w:p>
    <w:p w14:paraId="1DA3C016" w14:textId="77777777" w:rsidR="00F148CB" w:rsidRPr="00F54EE0" w:rsidRDefault="00F148CB" w:rsidP="00F148CB">
      <w:pPr>
        <w:numPr>
          <w:ilvl w:val="0"/>
          <w:numId w:val="5"/>
        </w:numPr>
        <w:snapToGrid w:val="0"/>
        <w:spacing w:after="120"/>
        <w:ind w:left="1276" w:firstLine="0"/>
        <w:rPr>
          <w:iCs/>
          <w:sz w:val="20"/>
        </w:rPr>
      </w:pPr>
      <w:r w:rsidRPr="00405BDD">
        <w:rPr>
          <w:sz w:val="20"/>
        </w:rPr>
        <w:t xml:space="preserve">The Committee concluded that the notification of final regulatory action by </w:t>
      </w:r>
      <w:r w:rsidR="00503621">
        <w:rPr>
          <w:sz w:val="20"/>
        </w:rPr>
        <w:t>Ruritania</w:t>
      </w:r>
      <w:r w:rsidRPr="00405BDD">
        <w:rPr>
          <w:sz w:val="20"/>
        </w:rPr>
        <w:t xml:space="preserve"> </w:t>
      </w:r>
      <w:r w:rsidR="001A20D9">
        <w:rPr>
          <w:sz w:val="20"/>
        </w:rPr>
        <w:t>[</w:t>
      </w:r>
      <w:r w:rsidRPr="00405BDD">
        <w:rPr>
          <w:sz w:val="20"/>
        </w:rPr>
        <w:t>met</w:t>
      </w:r>
      <w:r w:rsidR="001A20D9">
        <w:rPr>
          <w:sz w:val="20"/>
        </w:rPr>
        <w:t>] [did not meet]</w:t>
      </w:r>
      <w:r w:rsidRPr="00405BDD">
        <w:rPr>
          <w:sz w:val="20"/>
        </w:rPr>
        <w:t xml:space="preserve"> the criteria set out in Annex II to the Convention</w:t>
      </w:r>
      <w:r>
        <w:rPr>
          <w:sz w:val="20"/>
        </w:rPr>
        <w:t>.</w:t>
      </w:r>
    </w:p>
    <w:p w14:paraId="2E0CD8A5" w14:textId="77777777" w:rsidR="00F148CB" w:rsidRDefault="00F148CB" w:rsidP="00F148CB">
      <w:pPr>
        <w:pStyle w:val="BodyTextIndent"/>
        <w:tabs>
          <w:tab w:val="left" w:pos="0"/>
          <w:tab w:val="left" w:pos="624"/>
        </w:tabs>
        <w:rPr>
          <w:sz w:val="20"/>
          <w:szCs w:val="20"/>
        </w:rPr>
      </w:pPr>
    </w:p>
    <w:p w14:paraId="3DE004D0" w14:textId="77777777" w:rsidR="00F148CB" w:rsidRDefault="00F148CB" w:rsidP="00F148CB">
      <w:pPr>
        <w:pStyle w:val="BodyTextIndent"/>
        <w:tabs>
          <w:tab w:val="left" w:pos="0"/>
          <w:tab w:val="left" w:pos="624"/>
        </w:tabs>
        <w:rPr>
          <w:sz w:val="20"/>
          <w:szCs w:val="20"/>
        </w:rPr>
      </w:pPr>
    </w:p>
    <w:sectPr w:rsidR="00F148CB" w:rsidSect="00A330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7077E" w14:textId="77777777" w:rsidR="000062B0" w:rsidRDefault="000062B0" w:rsidP="00511ABD">
      <w:r>
        <w:separator/>
      </w:r>
    </w:p>
  </w:endnote>
  <w:endnote w:type="continuationSeparator" w:id="0">
    <w:p w14:paraId="5A85729F" w14:textId="77777777" w:rsidR="000062B0" w:rsidRDefault="000062B0" w:rsidP="0051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FF1B" w14:textId="77777777" w:rsidR="000062B0" w:rsidRDefault="000062B0" w:rsidP="00511ABD">
      <w:r>
        <w:separator/>
      </w:r>
    </w:p>
  </w:footnote>
  <w:footnote w:type="continuationSeparator" w:id="0">
    <w:p w14:paraId="2FF2E528" w14:textId="77777777" w:rsidR="000062B0" w:rsidRDefault="000062B0" w:rsidP="0051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CD23" w14:textId="77777777" w:rsidR="00511ABD" w:rsidRDefault="00511ABD" w:rsidP="00511ABD">
    <w:pPr>
      <w:pStyle w:val="Header"/>
    </w:pPr>
    <w:r>
      <w:t>FOR TRAINING PURPOSES ONLY</w:t>
    </w:r>
  </w:p>
  <w:p w14:paraId="63567FF2" w14:textId="77777777" w:rsidR="00511ABD" w:rsidRDefault="00511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671"/>
    <w:multiLevelType w:val="hybridMultilevel"/>
    <w:tmpl w:val="4BA67BC4"/>
    <w:lvl w:ilvl="0" w:tplc="ED42869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42120"/>
    <w:multiLevelType w:val="hybridMultilevel"/>
    <w:tmpl w:val="D466084A"/>
    <w:lvl w:ilvl="0" w:tplc="7D885E8E">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71113A7"/>
    <w:multiLevelType w:val="multilevel"/>
    <w:tmpl w:val="48241D10"/>
    <w:numStyleLink w:val="Normallist"/>
  </w:abstractNum>
  <w:abstractNum w:abstractNumId="3" w15:restartNumberingAfterBreak="0">
    <w:nsid w:val="24F17596"/>
    <w:multiLevelType w:val="hybridMultilevel"/>
    <w:tmpl w:val="B58650E2"/>
    <w:lvl w:ilvl="0" w:tplc="0409000F">
      <w:start w:val="1"/>
      <w:numFmt w:val="decimal"/>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15:restartNumberingAfterBreak="0">
    <w:nsid w:val="42632021"/>
    <w:multiLevelType w:val="hybridMultilevel"/>
    <w:tmpl w:val="68D8A76A"/>
    <w:lvl w:ilvl="0" w:tplc="B68EFBA6">
      <w:start w:val="1"/>
      <w:numFmt w:val="decimal"/>
      <w:lvlText w:val="%1."/>
      <w:lvlJc w:val="left"/>
      <w:pPr>
        <w:tabs>
          <w:tab w:val="num" w:pos="1967"/>
        </w:tabs>
        <w:ind w:left="1967" w:hanging="360"/>
      </w:pPr>
      <w:rPr>
        <w:i w:val="0"/>
        <w:sz w:val="20"/>
        <w:szCs w:val="20"/>
      </w:rPr>
    </w:lvl>
    <w:lvl w:ilvl="1" w:tplc="0409000F">
      <w:start w:val="1"/>
      <w:numFmt w:val="decimal"/>
      <w:lvlText w:val="%2."/>
      <w:lvlJc w:val="left"/>
      <w:pPr>
        <w:tabs>
          <w:tab w:val="num" w:pos="2687"/>
        </w:tabs>
        <w:ind w:left="2687" w:hanging="360"/>
      </w:pPr>
      <w:rPr>
        <w:i w:val="0"/>
        <w:sz w:val="20"/>
        <w:szCs w:val="20"/>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5"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53146050"/>
    <w:multiLevelType w:val="hybridMultilevel"/>
    <w:tmpl w:val="8660865C"/>
    <w:lvl w:ilvl="0" w:tplc="100C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C5"/>
    <w:rsid w:val="000062B0"/>
    <w:rsid w:val="0001517C"/>
    <w:rsid w:val="00021302"/>
    <w:rsid w:val="000C78E3"/>
    <w:rsid w:val="000F2D05"/>
    <w:rsid w:val="001374C9"/>
    <w:rsid w:val="0015505A"/>
    <w:rsid w:val="00182F32"/>
    <w:rsid w:val="001845F2"/>
    <w:rsid w:val="001A20D9"/>
    <w:rsid w:val="001E30EA"/>
    <w:rsid w:val="001E7FA5"/>
    <w:rsid w:val="0025640B"/>
    <w:rsid w:val="00284890"/>
    <w:rsid w:val="002A190B"/>
    <w:rsid w:val="00331355"/>
    <w:rsid w:val="00370E97"/>
    <w:rsid w:val="00375E1A"/>
    <w:rsid w:val="00383567"/>
    <w:rsid w:val="00394550"/>
    <w:rsid w:val="003C736E"/>
    <w:rsid w:val="00456228"/>
    <w:rsid w:val="004C56FF"/>
    <w:rsid w:val="004F2C3F"/>
    <w:rsid w:val="00503621"/>
    <w:rsid w:val="00511ABD"/>
    <w:rsid w:val="005B288B"/>
    <w:rsid w:val="005B3AE7"/>
    <w:rsid w:val="005B40AE"/>
    <w:rsid w:val="005C1DA1"/>
    <w:rsid w:val="005D0ADB"/>
    <w:rsid w:val="00661087"/>
    <w:rsid w:val="006754CD"/>
    <w:rsid w:val="006F473F"/>
    <w:rsid w:val="006F4981"/>
    <w:rsid w:val="00741DEC"/>
    <w:rsid w:val="00774A2A"/>
    <w:rsid w:val="00783563"/>
    <w:rsid w:val="007943F7"/>
    <w:rsid w:val="007C409C"/>
    <w:rsid w:val="007D5883"/>
    <w:rsid w:val="007E5A6E"/>
    <w:rsid w:val="008135E5"/>
    <w:rsid w:val="00873510"/>
    <w:rsid w:val="008F5588"/>
    <w:rsid w:val="009140DD"/>
    <w:rsid w:val="009467A1"/>
    <w:rsid w:val="009473C0"/>
    <w:rsid w:val="00964E5A"/>
    <w:rsid w:val="009915C5"/>
    <w:rsid w:val="009B12D6"/>
    <w:rsid w:val="009F5DF1"/>
    <w:rsid w:val="00A20347"/>
    <w:rsid w:val="00A330E0"/>
    <w:rsid w:val="00A75FC8"/>
    <w:rsid w:val="00B33D65"/>
    <w:rsid w:val="00B928A6"/>
    <w:rsid w:val="00BD0811"/>
    <w:rsid w:val="00C3033D"/>
    <w:rsid w:val="00C4653C"/>
    <w:rsid w:val="00C830BA"/>
    <w:rsid w:val="00CD62FA"/>
    <w:rsid w:val="00D72F60"/>
    <w:rsid w:val="00D77CB3"/>
    <w:rsid w:val="00E3241F"/>
    <w:rsid w:val="00E54CE2"/>
    <w:rsid w:val="00E60E8F"/>
    <w:rsid w:val="00E708E4"/>
    <w:rsid w:val="00E86607"/>
    <w:rsid w:val="00F148CB"/>
    <w:rsid w:val="00F43723"/>
    <w:rsid w:val="00F654AF"/>
    <w:rsid w:val="00F710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B91EA"/>
  <w15:docId w15:val="{8992D14D-66DA-4327-9317-34AB8022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5C5"/>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9915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xhead">
    <w:name w:val="Anx head"/>
    <w:basedOn w:val="Normal"/>
    <w:autoRedefine/>
    <w:rsid w:val="009915C5"/>
    <w:pPr>
      <w:tabs>
        <w:tab w:val="left" w:pos="624"/>
      </w:tabs>
      <w:spacing w:after="240"/>
    </w:pPr>
    <w:rPr>
      <w:b/>
      <w:sz w:val="28"/>
      <w:szCs w:val="28"/>
    </w:rPr>
  </w:style>
  <w:style w:type="paragraph" w:customStyle="1" w:styleId="Anxtitle">
    <w:name w:val="Anx title"/>
    <w:basedOn w:val="Normal"/>
    <w:autoRedefine/>
    <w:rsid w:val="009915C5"/>
    <w:pPr>
      <w:spacing w:after="240"/>
      <w:ind w:left="1247"/>
    </w:pPr>
    <w:rPr>
      <w:b/>
      <w:sz w:val="28"/>
      <w:szCs w:val="28"/>
    </w:rPr>
  </w:style>
  <w:style w:type="paragraph" w:styleId="BodyTextIndent">
    <w:name w:val="Body Text Indent"/>
    <w:basedOn w:val="Normal"/>
    <w:link w:val="BodyTextIndentChar"/>
    <w:rsid w:val="009915C5"/>
    <w:pPr>
      <w:spacing w:after="120"/>
      <w:ind w:left="360"/>
    </w:pPr>
    <w:rPr>
      <w:rFonts w:eastAsia="SimSun"/>
      <w:sz w:val="24"/>
      <w:szCs w:val="24"/>
      <w:lang w:eastAsia="zh-CN"/>
    </w:rPr>
  </w:style>
  <w:style w:type="character" w:customStyle="1" w:styleId="BodyTextIndentChar">
    <w:name w:val="Body Text Indent Char"/>
    <w:basedOn w:val="DefaultParagraphFont"/>
    <w:link w:val="BodyTextIndent"/>
    <w:rsid w:val="009915C5"/>
    <w:rPr>
      <w:rFonts w:ascii="Times New Roman" w:eastAsia="SimSun" w:hAnsi="Times New Roman" w:cs="Times New Roman"/>
      <w:sz w:val="24"/>
      <w:szCs w:val="24"/>
      <w:lang w:eastAsia="zh-CN"/>
    </w:rPr>
  </w:style>
  <w:style w:type="paragraph" w:customStyle="1" w:styleId="H1">
    <w:name w:val="_ H_1"/>
    <w:basedOn w:val="Normal"/>
    <w:next w:val="Normal"/>
    <w:rsid w:val="009915C5"/>
    <w:pPr>
      <w:keepNext/>
      <w:keepLines/>
      <w:suppressAutoHyphens/>
      <w:spacing w:line="270" w:lineRule="exact"/>
      <w:outlineLvl w:val="0"/>
    </w:pPr>
    <w:rPr>
      <w:b/>
      <w:spacing w:val="4"/>
      <w:w w:val="103"/>
      <w:kern w:val="14"/>
      <w:sz w:val="24"/>
    </w:rPr>
  </w:style>
  <w:style w:type="paragraph" w:customStyle="1" w:styleId="Subtitle">
    <w:name w:val="Sub title"/>
    <w:basedOn w:val="Heading2"/>
    <w:rsid w:val="009915C5"/>
    <w:pPr>
      <w:keepLines w:val="0"/>
      <w:spacing w:before="0"/>
      <w:ind w:left="1247"/>
    </w:pPr>
    <w:rPr>
      <w:rFonts w:ascii="Times New Roman" w:eastAsia="Times New Roman" w:hAnsi="Times New Roman" w:cs="Times New Roman"/>
      <w:bCs w:val="0"/>
      <w:color w:val="auto"/>
      <w:sz w:val="24"/>
      <w:szCs w:val="24"/>
    </w:rPr>
  </w:style>
  <w:style w:type="character" w:customStyle="1" w:styleId="Heading2Char">
    <w:name w:val="Heading 2 Char"/>
    <w:basedOn w:val="DefaultParagraphFont"/>
    <w:link w:val="Heading2"/>
    <w:uiPriority w:val="9"/>
    <w:semiHidden/>
    <w:rsid w:val="009915C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1ABD"/>
    <w:pPr>
      <w:tabs>
        <w:tab w:val="center" w:pos="4513"/>
        <w:tab w:val="right" w:pos="9026"/>
      </w:tabs>
    </w:pPr>
  </w:style>
  <w:style w:type="character" w:customStyle="1" w:styleId="HeaderChar">
    <w:name w:val="Header Char"/>
    <w:basedOn w:val="DefaultParagraphFont"/>
    <w:link w:val="Header"/>
    <w:uiPriority w:val="99"/>
    <w:rsid w:val="00511ABD"/>
    <w:rPr>
      <w:rFonts w:ascii="Times New Roman" w:eastAsia="Times New Roman" w:hAnsi="Times New Roman" w:cs="Times New Roman"/>
      <w:szCs w:val="20"/>
    </w:rPr>
  </w:style>
  <w:style w:type="paragraph" w:styleId="Footer">
    <w:name w:val="footer"/>
    <w:basedOn w:val="Normal"/>
    <w:link w:val="FooterChar"/>
    <w:uiPriority w:val="99"/>
    <w:unhideWhenUsed/>
    <w:rsid w:val="00511ABD"/>
    <w:pPr>
      <w:tabs>
        <w:tab w:val="center" w:pos="4513"/>
        <w:tab w:val="right" w:pos="9026"/>
      </w:tabs>
    </w:pPr>
  </w:style>
  <w:style w:type="character" w:customStyle="1" w:styleId="FooterChar">
    <w:name w:val="Footer Char"/>
    <w:basedOn w:val="DefaultParagraphFont"/>
    <w:link w:val="Footer"/>
    <w:uiPriority w:val="99"/>
    <w:rsid w:val="00511ABD"/>
    <w:rPr>
      <w:rFonts w:ascii="Times New Roman" w:eastAsia="Times New Roman" w:hAnsi="Times New Roman" w:cs="Times New Roman"/>
      <w:szCs w:val="20"/>
    </w:rPr>
  </w:style>
  <w:style w:type="character" w:customStyle="1" w:styleId="NormalnumberChar">
    <w:name w:val="Normal_number Char"/>
    <w:link w:val="Normalnumber"/>
    <w:rsid w:val="007C409C"/>
  </w:style>
  <w:style w:type="numbering" w:customStyle="1" w:styleId="Normallist">
    <w:name w:val="Normal_list"/>
    <w:basedOn w:val="NoList"/>
    <w:rsid w:val="007C409C"/>
    <w:pPr>
      <w:numPr>
        <w:numId w:val="2"/>
      </w:numPr>
    </w:pPr>
  </w:style>
  <w:style w:type="paragraph" w:customStyle="1" w:styleId="Normalnumber">
    <w:name w:val="Normal_number"/>
    <w:basedOn w:val="Normal"/>
    <w:link w:val="NormalnumberChar"/>
    <w:rsid w:val="007C409C"/>
    <w:pPr>
      <w:numPr>
        <w:numId w:val="3"/>
      </w:numPr>
      <w:spacing w:after="120"/>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5B288B"/>
    <w:rPr>
      <w:rFonts w:ascii="Tahoma" w:hAnsi="Tahoma" w:cs="Tahoma"/>
      <w:sz w:val="16"/>
      <w:szCs w:val="16"/>
    </w:rPr>
  </w:style>
  <w:style w:type="character" w:customStyle="1" w:styleId="BalloonTextChar">
    <w:name w:val="Balloon Text Char"/>
    <w:basedOn w:val="DefaultParagraphFont"/>
    <w:link w:val="BalloonText"/>
    <w:uiPriority w:val="99"/>
    <w:semiHidden/>
    <w:rsid w:val="005B288B"/>
    <w:rPr>
      <w:rFonts w:ascii="Tahoma" w:eastAsia="Times New Roman" w:hAnsi="Tahoma" w:cs="Tahoma"/>
      <w:sz w:val="16"/>
      <w:szCs w:val="16"/>
    </w:rPr>
  </w:style>
  <w:style w:type="paragraph" w:customStyle="1" w:styleId="NormalNonumber">
    <w:name w:val="Normal_No_number"/>
    <w:basedOn w:val="Normal"/>
    <w:rsid w:val="00F148CB"/>
    <w:pPr>
      <w:tabs>
        <w:tab w:val="left" w:pos="1247"/>
        <w:tab w:val="left" w:pos="1814"/>
        <w:tab w:val="left" w:pos="2381"/>
        <w:tab w:val="left" w:pos="2948"/>
        <w:tab w:val="left" w:pos="3515"/>
      </w:tabs>
      <w:spacing w:after="120"/>
      <w:ind w:left="1247"/>
    </w:pPr>
    <w:rPr>
      <w:szCs w:val="22"/>
      <w:lang w:val="fr-CH"/>
    </w:rPr>
  </w:style>
  <w:style w:type="character" w:styleId="CommentReference">
    <w:name w:val="annotation reference"/>
    <w:basedOn w:val="DefaultParagraphFont"/>
    <w:uiPriority w:val="99"/>
    <w:semiHidden/>
    <w:unhideWhenUsed/>
    <w:rsid w:val="00661087"/>
    <w:rPr>
      <w:sz w:val="16"/>
      <w:szCs w:val="16"/>
    </w:rPr>
  </w:style>
  <w:style w:type="paragraph" w:styleId="CommentText">
    <w:name w:val="annotation text"/>
    <w:basedOn w:val="Normal"/>
    <w:link w:val="CommentTextChar"/>
    <w:uiPriority w:val="99"/>
    <w:semiHidden/>
    <w:unhideWhenUsed/>
    <w:rsid w:val="00661087"/>
    <w:rPr>
      <w:sz w:val="20"/>
    </w:rPr>
  </w:style>
  <w:style w:type="character" w:customStyle="1" w:styleId="CommentTextChar">
    <w:name w:val="Comment Text Char"/>
    <w:basedOn w:val="DefaultParagraphFont"/>
    <w:link w:val="CommentText"/>
    <w:uiPriority w:val="99"/>
    <w:semiHidden/>
    <w:rsid w:val="0066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1087"/>
    <w:rPr>
      <w:b/>
      <w:bCs/>
    </w:rPr>
  </w:style>
  <w:style w:type="character" w:customStyle="1" w:styleId="CommentSubjectChar">
    <w:name w:val="Comment Subject Char"/>
    <w:basedOn w:val="CommentTextChar"/>
    <w:link w:val="CommentSubject"/>
    <w:uiPriority w:val="99"/>
    <w:semiHidden/>
    <w:rsid w:val="006610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awittig</dc:creator>
  <cp:lastModifiedBy>Andrea Lechner</cp:lastModifiedBy>
  <cp:revision>2</cp:revision>
  <cp:lastPrinted>2016-04-11T09:44:00Z</cp:lastPrinted>
  <dcterms:created xsi:type="dcterms:W3CDTF">2018-04-12T07:59:00Z</dcterms:created>
  <dcterms:modified xsi:type="dcterms:W3CDTF">2018-04-12T07:59:00Z</dcterms:modified>
</cp:coreProperties>
</file>